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浙江省中小企业综合楼电梯更新改造项目</w:t>
      </w:r>
    </w:p>
    <w:p>
      <w:pPr>
        <w:adjustRightInd/>
        <w:spacing w:line="360" w:lineRule="auto"/>
        <w:jc w:val="center"/>
        <w:rPr>
          <w:rFonts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pPr>
        <w:snapToGrid w:val="0"/>
        <w:spacing w:line="360" w:lineRule="auto"/>
        <w:jc w:val="center"/>
        <w:rPr>
          <w:rFonts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ZJCT8-ZXZX202401</w:t>
      </w:r>
    </w:p>
    <w:p>
      <w:pPr>
        <w:adjustRightInd/>
        <w:spacing w:line="360" w:lineRule="auto"/>
        <w:rPr>
          <w:rFonts w:ascii="仿宋" w:hAnsi="仿宋" w:eastAsia="仿宋" w:cs="仿宋"/>
          <w:color w:val="auto"/>
          <w:sz w:val="28"/>
          <w:szCs w:val="20"/>
          <w:highlight w:val="none"/>
        </w:rPr>
      </w:pPr>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p>
    <w:p>
      <w:pPr>
        <w:pStyle w:val="182"/>
        <w:widowControl w:val="0"/>
        <w:spacing w:before="0" w:beforeAutospacing="0" w:after="0" w:afterAutospacing="0" w:line="360" w:lineRule="auto"/>
        <w:textAlignment w:val="auto"/>
        <w:rPr>
          <w:rFonts w:hint="default" w:ascii="仿宋" w:hAnsi="仿宋" w:eastAsia="仿宋" w:cs="仿宋"/>
          <w:color w:val="auto"/>
          <w:kern w:val="2"/>
          <w:highlight w:val="none"/>
        </w:rPr>
      </w:pPr>
    </w:p>
    <w:p>
      <w:pPr>
        <w:pStyle w:val="182"/>
        <w:widowControl w:val="0"/>
        <w:spacing w:before="0" w:beforeAutospacing="0" w:after="0" w:afterAutospacing="0" w:line="360" w:lineRule="auto"/>
        <w:textAlignment w:val="auto"/>
        <w:rPr>
          <w:rFonts w:hint="default" w:ascii="仿宋" w:hAnsi="仿宋" w:eastAsia="仿宋" w:cs="仿宋"/>
          <w:color w:val="auto"/>
          <w:kern w:val="2"/>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jc w:val="center"/>
        <w:rPr>
          <w:rFonts w:ascii="仿宋" w:hAnsi="仿宋" w:eastAsia="仿宋" w:cs="仿宋"/>
          <w:color w:val="auto"/>
          <w:sz w:val="32"/>
          <w:szCs w:val="32"/>
          <w:highlight w:val="none"/>
        </w:rPr>
      </w:pPr>
    </w:p>
    <w:p>
      <w:pPr>
        <w:snapToGrid w:val="0"/>
        <w:spacing w:line="360" w:lineRule="auto"/>
        <w:jc w:val="center"/>
        <w:rPr>
          <w:rFonts w:ascii="Calibri" w:hAnsi="Calibri" w:eastAsia="仿宋" w:cs="仿宋_GB2312"/>
          <w:color w:val="auto"/>
          <w:sz w:val="32"/>
          <w:szCs w:val="32"/>
          <w:highlight w:val="none"/>
        </w:rPr>
      </w:pPr>
      <w:r>
        <w:rPr>
          <w:rFonts w:hint="eastAsia" w:ascii="Calibri" w:hAnsi="Calibri" w:eastAsia="仿宋" w:cs="宋体"/>
          <w:color w:val="auto"/>
          <w:sz w:val="32"/>
          <w:szCs w:val="32"/>
          <w:highlight w:val="none"/>
        </w:rPr>
        <w:t>采购人：</w:t>
      </w:r>
      <w:r>
        <w:rPr>
          <w:rFonts w:hint="eastAsia" w:ascii="Calibri" w:hAnsi="Calibri" w:eastAsia="仿宋" w:cs="宋体"/>
          <w:color w:val="auto"/>
          <w:sz w:val="32"/>
          <w:szCs w:val="32"/>
          <w:highlight w:val="none"/>
          <w:lang w:eastAsia="zh-CN"/>
        </w:rPr>
        <w:t>浙江省中小企业发展促进中心</w:t>
      </w:r>
      <w:r>
        <w:rPr>
          <w:rFonts w:hint="eastAsia" w:ascii="Calibri" w:hAnsi="Calibri" w:eastAsia="仿宋" w:cs="宋体"/>
          <w:color w:val="auto"/>
          <w:sz w:val="32"/>
          <w:szCs w:val="32"/>
          <w:highlight w:val="none"/>
        </w:rPr>
        <w:t>（盖章）</w:t>
      </w:r>
    </w:p>
    <w:p>
      <w:pPr>
        <w:snapToGrid w:val="0"/>
        <w:spacing w:line="360" w:lineRule="auto"/>
        <w:jc w:val="center"/>
        <w:rPr>
          <w:rFonts w:ascii="Calibri" w:hAnsi="Calibri" w:eastAsia="仿宋" w:cs="仿宋_GB2312"/>
          <w:color w:val="auto"/>
          <w:sz w:val="32"/>
          <w:szCs w:val="32"/>
          <w:highlight w:val="none"/>
        </w:rPr>
      </w:pPr>
      <w:r>
        <w:rPr>
          <w:rFonts w:hint="eastAsia" w:ascii="Calibri" w:hAnsi="Calibri" w:eastAsia="仿宋" w:cs="宋体"/>
          <w:bCs/>
          <w:color w:val="auto"/>
          <w:sz w:val="32"/>
          <w:szCs w:val="32"/>
          <w:highlight w:val="none"/>
        </w:rPr>
        <w:t>采购代理机构：浙江省成套工程有限公司</w:t>
      </w:r>
      <w:r>
        <w:rPr>
          <w:rFonts w:hint="eastAsia" w:ascii="Calibri" w:hAnsi="Calibri" w:eastAsia="仿宋" w:cs="宋体"/>
          <w:color w:val="auto"/>
          <w:sz w:val="32"/>
          <w:szCs w:val="32"/>
          <w:highlight w:val="none"/>
        </w:rPr>
        <w:t>（盖章）</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月</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tabs>
          <w:tab w:val="left" w:pos="2268"/>
        </w:tabs>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竞争性磋商公告</w:t>
      </w:r>
    </w:p>
    <w:p>
      <w:pPr>
        <w:spacing w:line="360" w:lineRule="auto"/>
        <w:rPr>
          <w:rFonts w:ascii="仿宋" w:hAnsi="仿宋" w:eastAsia="仿宋" w:cs="仿宋"/>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浙江省中小企业综合楼电梯更新改造项目</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2024年5月17日9点30分00秒</w:t>
      </w:r>
      <w:r>
        <w:rPr>
          <w:rFonts w:hint="eastAsia" w:ascii="仿宋" w:hAnsi="仿宋" w:eastAsia="仿宋" w:cs="仿宋"/>
          <w:color w:val="auto"/>
          <w:sz w:val="24"/>
          <w:highlight w:val="none"/>
          <w:u w:val="single"/>
        </w:rPr>
        <w:t>（北京时间）</w:t>
      </w:r>
      <w:r>
        <w:rPr>
          <w:rFonts w:hint="eastAsia" w:ascii="仿宋" w:hAnsi="仿宋" w:eastAsia="仿宋" w:cs="仿宋"/>
          <w:bCs/>
          <w:color w:val="auto"/>
          <w:sz w:val="24"/>
          <w:highlight w:val="none"/>
        </w:rPr>
        <w:t>前提交响应文件</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p>
    <w:p>
      <w:pPr>
        <w:pStyle w:val="4"/>
        <w:numPr>
          <w:ilvl w:val="0"/>
          <w:numId w:val="0"/>
        </w:numPr>
        <w:ind w:left="432" w:hanging="432"/>
        <w:rPr>
          <w:rFonts w:ascii="仿宋" w:eastAsia="仿宋" w:cs="仿宋"/>
          <w:color w:val="auto"/>
          <w:sz w:val="24"/>
          <w:szCs w:val="24"/>
          <w:highlight w:val="none"/>
        </w:rPr>
      </w:pPr>
      <w:bookmarkStart w:id="11" w:name="_Toc28359089"/>
      <w:bookmarkStart w:id="12" w:name="_Toc35393798"/>
      <w:bookmarkStart w:id="13" w:name="_Toc28359012"/>
      <w:bookmarkStart w:id="14" w:name="_Toc35393629"/>
      <w:r>
        <w:rPr>
          <w:rFonts w:hint="eastAsia" w:ascii="仿宋" w:eastAsia="仿宋" w:cs="仿宋"/>
          <w:color w:val="auto"/>
          <w:sz w:val="24"/>
          <w:szCs w:val="24"/>
          <w:highlight w:val="none"/>
        </w:rPr>
        <w:t>一、项目基本情况</w:t>
      </w:r>
      <w:bookmarkEnd w:id="11"/>
      <w:bookmarkEnd w:id="12"/>
      <w:bookmarkEnd w:id="13"/>
      <w:bookmarkEnd w:id="14"/>
    </w:p>
    <w:p>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ZJCT8-ZXZX202401</w:t>
      </w:r>
    </w:p>
    <w:p>
      <w:pPr>
        <w:spacing w:line="360" w:lineRule="auto"/>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浙江省中小企业综合楼电梯更新改造项目</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eastAsia="zh-CN"/>
        </w:rPr>
        <w:t>30万元</w:t>
      </w:r>
    </w:p>
    <w:p>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eastAsia="zh-CN"/>
        </w:rPr>
        <w:t>30万元</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eastAsia="zh-CN"/>
        </w:rPr>
        <w:t>浙江省中小企业综合楼电梯更新改造项目</w:t>
      </w:r>
      <w:r>
        <w:rPr>
          <w:rFonts w:hint="eastAsia" w:ascii="仿宋" w:hAnsi="仿宋" w:eastAsia="仿宋" w:cs="仿宋"/>
          <w:b/>
          <w:color w:val="auto"/>
          <w:sz w:val="24"/>
          <w:highlight w:val="none"/>
        </w:rPr>
        <w:t>：</w:t>
      </w:r>
      <w:r>
        <w:rPr>
          <w:rFonts w:hint="eastAsia" w:ascii="仿宋" w:hAnsi="仿宋" w:eastAsia="仿宋" w:cs="仿宋"/>
          <w:bCs/>
          <w:color w:val="auto"/>
          <w:sz w:val="24"/>
          <w:highlight w:val="none"/>
          <w:lang w:eastAsia="zh-CN"/>
        </w:rPr>
        <w:t>电梯改造。</w:t>
      </w:r>
      <w:r>
        <w:rPr>
          <w:rFonts w:hint="eastAsia" w:ascii="仿宋" w:hAnsi="仿宋" w:eastAsia="仿宋" w:cs="仿宋"/>
          <w:b/>
          <w:color w:val="auto"/>
          <w:sz w:val="24"/>
          <w:highlight w:val="none"/>
        </w:rPr>
        <w:t>详见磋商文件第四部分《采购需求》。</w:t>
      </w:r>
    </w:p>
    <w:p>
      <w:pPr>
        <w:spacing w:line="360" w:lineRule="auto"/>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在接到采购人书面通知后90日历天内将采购设备运送至工地现场，电梯的安装、调试、试车运作及验收通过，具体日期由采购人根据整体工程进度确定。</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MS Gothic" w:hAnsi="MS Gothic" w:eastAsia="MS Gothic" w:cs="仿宋"/>
              <w:b/>
              <w:color w:val="auto"/>
              <w:kern w:val="2"/>
              <w:sz w:val="24"/>
              <w:szCs w:val="24"/>
              <w:highlight w:val="none"/>
              <w:lang w:val="en-US" w:eastAsia="zh-CN" w:bidi="ar-SA"/>
            </w:rPr>
            <w:t>☐</w:t>
          </w:r>
        </w:sdtContent>
      </w:sdt>
      <w:r>
        <w:rPr>
          <w:rFonts w:hint="eastAsia" w:ascii="仿宋" w:hAnsi="仿宋" w:eastAsia="仿宋" w:cs="仿宋"/>
          <w:b/>
          <w:color w:val="auto"/>
          <w:sz w:val="24"/>
          <w:highlight w:val="none"/>
        </w:rPr>
        <w:t>否。</w:t>
      </w:r>
    </w:p>
    <w:p>
      <w:pPr>
        <w:pStyle w:val="4"/>
        <w:numPr>
          <w:ilvl w:val="0"/>
          <w:numId w:val="0"/>
        </w:numPr>
        <w:ind w:left="432" w:hanging="432"/>
        <w:rPr>
          <w:rFonts w:ascii="仿宋" w:eastAsia="仿宋" w:cs="仿宋"/>
          <w:color w:val="auto"/>
          <w:sz w:val="24"/>
          <w:szCs w:val="24"/>
          <w:highlight w:val="none"/>
        </w:rPr>
      </w:pPr>
      <w:bookmarkStart w:id="15" w:name="_Toc28359013"/>
      <w:bookmarkStart w:id="16" w:name="_Toc35393799"/>
      <w:bookmarkStart w:id="17" w:name="_Toc28359090"/>
      <w:bookmarkStart w:id="18" w:name="_Toc35393630"/>
      <w:r>
        <w:rPr>
          <w:rFonts w:hint="eastAsia" w:ascii="仿宋" w:eastAsia="仿宋" w:cs="仿宋"/>
          <w:color w:val="auto"/>
          <w:sz w:val="24"/>
          <w:szCs w:val="24"/>
          <w:highlight w:val="none"/>
        </w:rPr>
        <w:t>二、申请人的资格要求：</w:t>
      </w:r>
      <w:bookmarkEnd w:id="15"/>
      <w:bookmarkEnd w:id="16"/>
      <w:bookmarkEnd w:id="17"/>
      <w:bookmarkEnd w:id="18"/>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Segoe UI Symbol"/>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（注：不得限制大中型企业与小微企业组成联合体参与响应）</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2333085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ascii="仿宋" w:hAnsi="仿宋" w:eastAsia="仿宋" w:cs="仿宋"/>
          <w:color w:val="auto"/>
          <w:highlight w:val="none"/>
        </w:rPr>
      </w:pPr>
      <w:r>
        <w:rPr>
          <w:rFonts w:hint="eastAsia" w:ascii="仿宋" w:hAnsi="仿宋" w:eastAsia="仿宋" w:cs="仿宋"/>
          <w:color w:val="auto"/>
          <w:kern w:val="0"/>
          <w:sz w:val="24"/>
          <w:highlight w:val="none"/>
          <w:lang w:bidi="ar"/>
        </w:rPr>
        <w:sym w:font="Wingdings" w:char="00A8"/>
      </w:r>
      <w:r>
        <w:rPr>
          <w:rFonts w:hint="eastAsia" w:ascii="仿宋" w:hAnsi="仿宋" w:eastAsia="仿宋" w:cs="仿宋"/>
          <w:color w:val="auto"/>
          <w:sz w:val="24"/>
          <w:highlight w:val="none"/>
          <w:lang w:bidi="ar"/>
        </w:rPr>
        <w:t>货物全部由符合政策要求的中小企业制造，提供中小企业声明函；</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134673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仿宋"/>
          <w:color w:val="auto"/>
          <w:highlight w:val="none"/>
        </w:rPr>
      </w:pPr>
      <w:r>
        <w:rPr>
          <w:rFonts w:ascii="Segoe UI Symbol" w:hAnsi="Segoe UI Symbol" w:eastAsia="仿宋" w:cs="Segoe UI Symbol"/>
          <w:color w:val="auto"/>
          <w:kern w:val="0"/>
          <w:sz w:val="24"/>
          <w:highlight w:val="none"/>
          <w:lang w:bidi="ar"/>
        </w:rPr>
        <w:t>☐</w:t>
      </w:r>
      <w:r>
        <w:rPr>
          <w:rFonts w:hint="eastAsia" w:ascii="仿宋" w:hAnsi="仿宋" w:eastAsia="仿宋" w:cs="仿宋"/>
          <w:color w:val="auto"/>
          <w:sz w:val="24"/>
          <w:highlight w:val="none"/>
          <w:lang w:bidi="ar"/>
        </w:rPr>
        <w:t>货物全部由符合政策要求的小微企业制造，提供中小企业声明函；</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3646977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485147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
        <w:numPr>
          <w:ilvl w:val="0"/>
          <w:numId w:val="0"/>
        </w:numPr>
        <w:ind w:left="432" w:hanging="432"/>
        <w:rPr>
          <w:rFonts w:ascii="仿宋" w:eastAsia="仿宋" w:cs="仿宋"/>
          <w:color w:val="auto"/>
          <w:sz w:val="24"/>
          <w:szCs w:val="24"/>
          <w:highlight w:val="none"/>
        </w:rPr>
      </w:pPr>
      <w:bookmarkStart w:id="19" w:name="_Toc28359014"/>
      <w:bookmarkStart w:id="20" w:name="_Toc28359091"/>
      <w:bookmarkStart w:id="21" w:name="_Toc35393631"/>
      <w:bookmarkStart w:id="22" w:name="_Toc35393800"/>
      <w:r>
        <w:rPr>
          <w:rFonts w:hint="eastAsia" w:ascii="仿宋" w:eastAsia="仿宋" w:cs="仿宋"/>
          <w:color w:val="auto"/>
          <w:sz w:val="24"/>
          <w:szCs w:val="24"/>
          <w:highlight w:val="none"/>
        </w:rPr>
        <w:t>三、获取（下载）采购文件</w:t>
      </w:r>
      <w:bookmarkEnd w:id="19"/>
      <w:bookmarkEnd w:id="20"/>
      <w:bookmarkEnd w:id="21"/>
      <w:bookmarkEnd w:id="22"/>
    </w:p>
    <w:p>
      <w:pPr>
        <w:spacing w:line="360" w:lineRule="auto"/>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pPr>
        <w:spacing w:line="360" w:lineRule="auto"/>
        <w:ind w:firstLine="540"/>
        <w:rPr>
          <w:rFonts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pPr>
        <w:spacing w:line="360" w:lineRule="auto"/>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pPr>
        <w:pStyle w:val="4"/>
        <w:numPr>
          <w:ilvl w:val="0"/>
          <w:numId w:val="0"/>
        </w:numPr>
        <w:ind w:left="432" w:hanging="432"/>
        <w:rPr>
          <w:rFonts w:ascii="仿宋" w:eastAsia="仿宋" w:cs="仿宋"/>
          <w:color w:val="auto"/>
          <w:sz w:val="24"/>
          <w:szCs w:val="24"/>
          <w:highlight w:val="none"/>
        </w:rPr>
      </w:pPr>
      <w:bookmarkStart w:id="23" w:name="_Toc35393801"/>
      <w:bookmarkStart w:id="24" w:name="_Toc28359015"/>
      <w:bookmarkStart w:id="25" w:name="_Toc35393632"/>
      <w:bookmarkStart w:id="26" w:name="_Toc28359092"/>
      <w:r>
        <w:rPr>
          <w:rFonts w:hint="eastAsia" w:ascii="仿宋" w:eastAsia="仿宋" w:cs="仿宋"/>
          <w:color w:val="auto"/>
          <w:sz w:val="24"/>
          <w:szCs w:val="24"/>
          <w:highlight w:val="none"/>
        </w:rPr>
        <w:t>四、响应文件提交</w:t>
      </w:r>
      <w:bookmarkEnd w:id="23"/>
      <w:bookmarkEnd w:id="24"/>
      <w:bookmarkEnd w:id="25"/>
      <w:bookmarkEnd w:id="26"/>
      <w:r>
        <w:rPr>
          <w:rFonts w:hint="eastAsia" w:ascii="仿宋" w:eastAsia="仿宋" w:cs="仿宋"/>
          <w:color w:val="auto"/>
          <w:sz w:val="24"/>
          <w:szCs w:val="24"/>
          <w:highlight w:val="none"/>
        </w:rPr>
        <w:t>（上传）</w:t>
      </w:r>
    </w:p>
    <w:p>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lang w:eastAsia="zh-CN"/>
        </w:rPr>
        <w:t>2024年5月17日9点30分00秒</w:t>
      </w:r>
      <w:r>
        <w:rPr>
          <w:rFonts w:hint="eastAsia" w:ascii="仿宋" w:hAnsi="仿宋" w:eastAsia="仿宋" w:cs="仿宋"/>
          <w:color w:val="auto"/>
          <w:sz w:val="24"/>
          <w:highlight w:val="none"/>
          <w:u w:val="single"/>
        </w:rPr>
        <w:t>（北京时间）</w:t>
      </w:r>
    </w:p>
    <w:p>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pPr>
        <w:pStyle w:val="4"/>
        <w:numPr>
          <w:ilvl w:val="0"/>
          <w:numId w:val="0"/>
        </w:numPr>
        <w:ind w:left="432" w:hanging="432"/>
        <w:rPr>
          <w:rFonts w:ascii="仿宋" w:eastAsia="仿宋" w:cs="仿宋"/>
          <w:color w:val="auto"/>
          <w:sz w:val="24"/>
          <w:szCs w:val="24"/>
          <w:highlight w:val="none"/>
        </w:rPr>
      </w:pPr>
      <w:bookmarkStart w:id="27" w:name="_Toc28359093"/>
      <w:bookmarkStart w:id="28" w:name="_Toc35393633"/>
      <w:bookmarkStart w:id="29" w:name="_Toc35393802"/>
      <w:bookmarkStart w:id="30" w:name="_Toc28359016"/>
      <w:r>
        <w:rPr>
          <w:rFonts w:hint="eastAsia" w:ascii="仿宋" w:eastAsia="仿宋" w:cs="仿宋"/>
          <w:color w:val="auto"/>
          <w:sz w:val="24"/>
          <w:szCs w:val="24"/>
          <w:highlight w:val="none"/>
        </w:rPr>
        <w:t>五、响应文件开启</w:t>
      </w:r>
      <w:bookmarkEnd w:id="27"/>
      <w:bookmarkEnd w:id="28"/>
      <w:bookmarkEnd w:id="29"/>
      <w:bookmarkEnd w:id="30"/>
    </w:p>
    <w:p>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eastAsia="zh-CN"/>
        </w:rPr>
        <w:t>2024年5月17日9点30分00秒</w:t>
      </w:r>
      <w:r>
        <w:rPr>
          <w:rFonts w:hint="eastAsia" w:ascii="仿宋" w:hAnsi="仿宋" w:eastAsia="仿宋" w:cs="仿宋"/>
          <w:color w:val="auto"/>
          <w:sz w:val="24"/>
          <w:highlight w:val="none"/>
          <w:u w:val="single"/>
        </w:rPr>
        <w:t>（北京时间）</w:t>
      </w:r>
    </w:p>
    <w:p>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地点：政采云平台（https://www.zcygov.cn/）。</w:t>
      </w:r>
    </w:p>
    <w:p>
      <w:pPr>
        <w:pStyle w:val="4"/>
        <w:numPr>
          <w:ilvl w:val="0"/>
          <w:numId w:val="0"/>
        </w:numPr>
        <w:ind w:left="432" w:hanging="432"/>
        <w:rPr>
          <w:rFonts w:ascii="仿宋" w:eastAsia="仿宋" w:cs="仿宋"/>
          <w:color w:val="auto"/>
          <w:sz w:val="24"/>
          <w:szCs w:val="24"/>
          <w:highlight w:val="none"/>
        </w:rPr>
      </w:pPr>
      <w:bookmarkStart w:id="31" w:name="_Toc28359017"/>
      <w:bookmarkStart w:id="32" w:name="_Toc35393803"/>
      <w:bookmarkStart w:id="33" w:name="_Toc28359094"/>
      <w:bookmarkStart w:id="34" w:name="_Toc35393634"/>
      <w:r>
        <w:rPr>
          <w:rFonts w:hint="eastAsia" w:ascii="仿宋" w:eastAsia="仿宋" w:cs="仿宋"/>
          <w:color w:val="auto"/>
          <w:sz w:val="24"/>
          <w:szCs w:val="24"/>
          <w:highlight w:val="none"/>
        </w:rPr>
        <w:t>六、公告期限</w:t>
      </w:r>
      <w:bookmarkEnd w:id="31"/>
      <w:bookmarkEnd w:id="32"/>
      <w:bookmarkEnd w:id="33"/>
      <w:bookmarkEnd w:id="34"/>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pPr>
        <w:pStyle w:val="4"/>
        <w:numPr>
          <w:ilvl w:val="0"/>
          <w:numId w:val="0"/>
        </w:numPr>
        <w:ind w:left="432" w:hanging="432"/>
        <w:rPr>
          <w:rFonts w:ascii="仿宋" w:eastAsia="仿宋" w:cs="仿宋"/>
          <w:color w:val="auto"/>
          <w:sz w:val="24"/>
          <w:szCs w:val="24"/>
          <w:highlight w:val="none"/>
        </w:rPr>
      </w:pPr>
      <w:bookmarkStart w:id="35" w:name="_Toc35393635"/>
      <w:bookmarkStart w:id="36" w:name="_Toc35393804"/>
      <w:r>
        <w:rPr>
          <w:rFonts w:hint="eastAsia" w:ascii="仿宋" w:eastAsia="仿宋" w:cs="仿宋"/>
          <w:color w:val="auto"/>
          <w:sz w:val="24"/>
          <w:szCs w:val="24"/>
          <w:highlight w:val="none"/>
        </w:rPr>
        <w:t>七、其他补充事宜</w:t>
      </w:r>
      <w:bookmarkEnd w:id="35"/>
      <w:bookmarkEnd w:id="36"/>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rPr>
        <w:t>4. 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 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：详见政采云平台“服务中心-帮助文档-项目采购-操作流程-电子招投标-政府采购项目电子交易管理操作指南-供应商”。磋商文件公告期限与磋商公告的公告期限一致。</w:t>
      </w:r>
      <w:r>
        <w:rPr>
          <w:rFonts w:ascii="仿宋" w:hAnsi="仿宋" w:eastAsia="仿宋" w:cs="仿宋"/>
          <w:color w:val="auto"/>
          <w:sz w:val="24"/>
          <w:highlight w:val="none"/>
        </w:rPr>
        <w:tab/>
      </w:r>
    </w:p>
    <w:p>
      <w:pPr>
        <w:pStyle w:val="4"/>
        <w:numPr>
          <w:ilvl w:val="0"/>
          <w:numId w:val="0"/>
        </w:numPr>
        <w:ind w:left="432" w:hanging="432"/>
        <w:rPr>
          <w:rFonts w:ascii="仿宋" w:eastAsia="仿宋" w:cs="仿宋"/>
          <w:color w:val="auto"/>
          <w:sz w:val="24"/>
          <w:szCs w:val="24"/>
          <w:highlight w:val="none"/>
        </w:rPr>
      </w:pPr>
      <w:bookmarkStart w:id="37" w:name="_Toc35393805"/>
      <w:bookmarkStart w:id="38" w:name="_Toc28359095"/>
      <w:bookmarkStart w:id="39" w:name="_Toc35393636"/>
      <w:bookmarkStart w:id="40" w:name="_Toc28359018"/>
      <w:r>
        <w:rPr>
          <w:rFonts w:hint="eastAsia" w:ascii="仿宋" w:eastAsia="仿宋" w:cs="仿宋"/>
          <w:color w:val="auto"/>
          <w:sz w:val="24"/>
          <w:szCs w:val="24"/>
          <w:highlight w:val="none"/>
        </w:rPr>
        <w:t>八、凡对本次采购提出询问</w:t>
      </w:r>
      <w:r>
        <w:rPr>
          <w:rFonts w:hint="eastAsia" w:ascii="仿宋" w:eastAsia="仿宋" w:cs="仿宋"/>
          <w:bCs w:val="0"/>
          <w:color w:val="auto"/>
          <w:sz w:val="24"/>
          <w:szCs w:val="24"/>
          <w:highlight w:val="none"/>
        </w:rPr>
        <w:t>、质疑、投诉</w:t>
      </w:r>
      <w:r>
        <w:rPr>
          <w:rFonts w:hint="eastAsia" w:ascii="仿宋" w:eastAsia="仿宋" w:cs="仿宋"/>
          <w:color w:val="auto"/>
          <w:sz w:val="24"/>
          <w:szCs w:val="24"/>
          <w:highlight w:val="none"/>
        </w:rPr>
        <w:t>，请按以下方式联系</w:t>
      </w:r>
      <w:bookmarkEnd w:id="37"/>
      <w:bookmarkEnd w:id="38"/>
      <w:bookmarkEnd w:id="39"/>
      <w:bookmarkEnd w:id="40"/>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41" w:name="_Toc35393637"/>
      <w:bookmarkStart w:id="42" w:name="_Toc28359096"/>
      <w:bookmarkStart w:id="43" w:name="_Toc35393806"/>
      <w:bookmarkStart w:id="44" w:name="_Toc28359019"/>
      <w:r>
        <w:rPr>
          <w:rFonts w:hint="eastAsia" w:ascii="仿宋" w:hAnsi="仿宋" w:eastAsia="仿宋" w:cs="仿宋"/>
          <w:color w:val="auto"/>
          <w:kern w:val="2"/>
          <w:sz w:val="24"/>
          <w:szCs w:val="24"/>
          <w:highlight w:val="none"/>
          <w:lang w:val="en-US" w:eastAsia="zh-CN" w:bidi="ar-SA"/>
        </w:rPr>
        <w:t>1.采购人信息</w:t>
      </w:r>
      <w:bookmarkEnd w:id="41"/>
      <w:bookmarkEnd w:id="42"/>
      <w:bookmarkEnd w:id="43"/>
      <w:bookmarkEnd w:id="44"/>
      <w:r>
        <w:rPr>
          <w:rFonts w:hint="eastAsia" w:ascii="仿宋" w:hAnsi="仿宋" w:eastAsia="仿宋" w:cs="仿宋"/>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浙江省中小企业发展促进中心</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址：杭州市拱墅区环城北路296号</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pPr>
        <w:keepNext w:val="0"/>
        <w:keepLines w:val="0"/>
        <w:pageBreakBefore w:val="0"/>
        <w:kinsoku/>
        <w:wordWrap/>
        <w:overflowPunct/>
        <w:topLinePunct w:val="0"/>
        <w:autoSpaceDE/>
        <w:autoSpaceDN/>
        <w:bidi w:val="0"/>
        <w:adjustRightInd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项目联系人（询问）：施莹</w:t>
      </w:r>
    </w:p>
    <w:p>
      <w:pPr>
        <w:keepNext w:val="0"/>
        <w:keepLines w:val="0"/>
        <w:pageBreakBefore w:val="0"/>
        <w:kinsoku/>
        <w:wordWrap/>
        <w:overflowPunct/>
        <w:topLinePunct w:val="0"/>
        <w:autoSpaceDE/>
        <w:autoSpaceDN/>
        <w:bidi w:val="0"/>
        <w:adjustRightInd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项目联系方式（询问）：0571-85360079</w:t>
      </w:r>
    </w:p>
    <w:p>
      <w:pPr>
        <w:keepNext w:val="0"/>
        <w:keepLines w:val="0"/>
        <w:pageBreakBefore w:val="0"/>
        <w:kinsoku/>
        <w:wordWrap/>
        <w:overflowPunct/>
        <w:topLinePunct w:val="0"/>
        <w:autoSpaceDE/>
        <w:autoSpaceDN/>
        <w:bidi w:val="0"/>
        <w:adjustRightInd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质疑联系人：吴祎泓</w:t>
      </w:r>
    </w:p>
    <w:p>
      <w:pPr>
        <w:keepNext w:val="0"/>
        <w:keepLines w:val="0"/>
        <w:pageBreakBefore w:val="0"/>
        <w:kinsoku/>
        <w:wordWrap/>
        <w:overflowPunct/>
        <w:topLinePunct w:val="0"/>
        <w:autoSpaceDE/>
        <w:autoSpaceDN/>
        <w:bidi w:val="0"/>
        <w:adjustRightInd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质疑联系方式：0571-851</w:t>
      </w:r>
      <w:bookmarkStart w:id="69" w:name="_GoBack"/>
      <w:bookmarkEnd w:id="69"/>
      <w:r>
        <w:rPr>
          <w:rFonts w:hint="eastAsia" w:ascii="仿宋" w:hAnsi="仿宋" w:eastAsia="仿宋" w:cs="仿宋"/>
          <w:color w:val="auto"/>
          <w:sz w:val="24"/>
          <w:highlight w:val="none"/>
        </w:rPr>
        <w:t>65068</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45" w:name="_Toc28359020"/>
      <w:bookmarkStart w:id="46" w:name="_Toc35393807"/>
      <w:bookmarkStart w:id="47" w:name="_Toc35393638"/>
      <w:bookmarkStart w:id="48" w:name="_Toc28359097"/>
      <w:r>
        <w:rPr>
          <w:rFonts w:hint="eastAsia" w:ascii="仿宋" w:hAnsi="仿宋" w:eastAsia="仿宋" w:cs="仿宋"/>
          <w:color w:val="auto"/>
          <w:kern w:val="2"/>
          <w:sz w:val="24"/>
          <w:szCs w:val="24"/>
          <w:highlight w:val="none"/>
          <w:lang w:val="en-US" w:eastAsia="zh-CN" w:bidi="ar-SA"/>
        </w:rPr>
        <w:t>2.采购代理机构信息</w:t>
      </w:r>
      <w:bookmarkEnd w:id="45"/>
      <w:bookmarkEnd w:id="46"/>
      <w:bookmarkEnd w:id="47"/>
      <w:bookmarkEnd w:id="48"/>
      <w:r>
        <w:rPr>
          <w:rFonts w:hint="eastAsia" w:ascii="仿宋" w:hAnsi="仿宋" w:eastAsia="仿宋" w:cs="仿宋"/>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名    称：浙江省成套工程有限公司             </w:t>
      </w:r>
    </w:p>
    <w:p>
      <w:pPr>
        <w:keepNext w:val="0"/>
        <w:keepLines w:val="0"/>
        <w:pageBreakBefore w:val="0"/>
        <w:kinsoku/>
        <w:wordWrap/>
        <w:overflowPunct/>
        <w:topLinePunct w:val="0"/>
        <w:autoSpaceDE/>
        <w:autoSpaceDN/>
        <w:bidi w:val="0"/>
        <w:adjustRightInd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bidi="ar"/>
        </w:rPr>
        <w:t>杭州市古墩路701号紫金广场A座1205室</w:t>
      </w:r>
    </w:p>
    <w:p>
      <w:pPr>
        <w:keepNext w:val="0"/>
        <w:keepLines w:val="0"/>
        <w:pageBreakBefore w:val="0"/>
        <w:kinsoku/>
        <w:wordWrap/>
        <w:overflowPunct/>
        <w:topLinePunct w:val="0"/>
        <w:autoSpaceDE/>
        <w:autoSpaceDN/>
        <w:bidi w:val="0"/>
        <w:adjustRightInd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pPr>
        <w:keepNext w:val="0"/>
        <w:keepLines w:val="0"/>
        <w:pageBreakBefore w:val="0"/>
        <w:kinsoku/>
        <w:wordWrap/>
        <w:overflowPunct/>
        <w:topLinePunct w:val="0"/>
        <w:autoSpaceDE/>
        <w:autoSpaceDN/>
        <w:bidi w:val="0"/>
        <w:adjustRightInd w:val="0"/>
        <w:snapToGrid/>
        <w:spacing w:line="36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项目联系人（询问）：张昕云、</w:t>
      </w:r>
      <w:r>
        <w:rPr>
          <w:rFonts w:hint="eastAsia" w:ascii="仿宋" w:hAnsi="仿宋" w:eastAsia="仿宋" w:cs="仿宋"/>
          <w:color w:val="auto"/>
          <w:sz w:val="24"/>
          <w:highlight w:val="none"/>
          <w:lang w:val="en-US" w:eastAsia="zh-CN"/>
        </w:rPr>
        <w:t>朱丛珊、张蒙磊</w:t>
      </w:r>
    </w:p>
    <w:p>
      <w:pPr>
        <w:keepNext w:val="0"/>
        <w:keepLines w:val="0"/>
        <w:pageBreakBefore w:val="0"/>
        <w:kinsoku/>
        <w:wordWrap/>
        <w:overflowPunct/>
        <w:topLinePunct w:val="0"/>
        <w:autoSpaceDE/>
        <w:autoSpaceDN/>
        <w:bidi w:val="0"/>
        <w:adjustRightInd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bidi="ar"/>
        </w:rPr>
        <w:t>0571-8</w:t>
      </w:r>
      <w:r>
        <w:rPr>
          <w:rFonts w:ascii="仿宋" w:hAnsi="仿宋" w:eastAsia="仿宋" w:cs="仿宋"/>
          <w:color w:val="auto"/>
          <w:sz w:val="24"/>
          <w:highlight w:val="none"/>
          <w:lang w:bidi="ar"/>
        </w:rPr>
        <w:t>8952913</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质疑联系人：钱霞妃             </w:t>
      </w:r>
    </w:p>
    <w:p>
      <w:pPr>
        <w:keepNext w:val="0"/>
        <w:keepLines w:val="0"/>
        <w:pageBreakBefore w:val="0"/>
        <w:kinsoku/>
        <w:wordWrap/>
        <w:overflowPunct/>
        <w:topLinePunct w:val="0"/>
        <w:autoSpaceDE/>
        <w:autoSpaceDN/>
        <w:bidi w:val="0"/>
        <w:adjustRightInd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bidi="ar"/>
        </w:rPr>
        <w:t>0571-85064356</w:t>
      </w:r>
      <w:r>
        <w:rPr>
          <w:rFonts w:hint="eastAsia" w:ascii="仿宋" w:hAnsi="仿宋" w:eastAsia="仿宋" w:cs="仿宋"/>
          <w:color w:val="auto"/>
          <w:sz w:val="24"/>
          <w:highlight w:val="none"/>
        </w:rPr>
        <w:t xml:space="preserve"> </w:t>
      </w:r>
    </w:p>
    <w:p>
      <w:pPr>
        <w:pStyle w:val="55"/>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3.该项目由采购人处理采购争议。质疑环节，采购人委托采购代理机构处理的，可由采购代理机构答复。对质疑答复不满意的，向采购人内部设置的采购监督机构反映。            </w:t>
      </w:r>
    </w:p>
    <w:p>
      <w:pPr>
        <w:pStyle w:val="55"/>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    政策咨询：何一平、冯华，0571-87058424、87055741</w:t>
      </w:r>
    </w:p>
    <w:p>
      <w:pPr>
        <w:pStyle w:val="23"/>
        <w:keepNext w:val="0"/>
        <w:keepLines w:val="0"/>
        <w:pageBreakBefore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预算金额未达100万元的采购项目，由采购人处理采购争议。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spacing w:line="360" w:lineRule="auto"/>
        <w:rPr>
          <w:rFonts w:ascii="仿宋" w:hAnsi="仿宋" w:eastAsia="仿宋" w:cs="仿宋"/>
          <w:color w:val="auto"/>
          <w:sz w:val="24"/>
          <w:highlight w:val="none"/>
        </w:rPr>
      </w:pPr>
    </w:p>
    <w:p>
      <w:pPr>
        <w:pStyle w:val="31"/>
        <w:spacing w:line="360" w:lineRule="auto"/>
        <w:ind w:firstLine="480" w:firstLineChars="200"/>
        <w:rPr>
          <w:rFonts w:ascii="仿宋" w:hAnsi="仿宋" w:eastAsia="仿宋" w:cs="仿宋"/>
          <w:color w:val="auto"/>
          <w:sz w:val="24"/>
          <w:szCs w:val="24"/>
          <w:highlight w:val="none"/>
        </w:rPr>
      </w:pP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pPr>
        <w:pStyle w:val="392"/>
        <w:spacing w:before="0"/>
        <w:ind w:firstLine="0" w:firstLineChars="0"/>
        <w:rPr>
          <w:rFonts w:ascii="仿宋" w:hAnsi="仿宋" w:eastAsia="仿宋" w:cs="仿宋"/>
          <w:b/>
          <w:color w:val="auto"/>
          <w:highlight w:val="none"/>
        </w:rPr>
      </w:pPr>
      <w:r>
        <w:rPr>
          <w:rFonts w:hint="eastAsia" w:ascii="仿宋" w:hAnsi="仿宋" w:eastAsia="仿宋" w:cs="仿宋"/>
          <w:b/>
          <w:color w:val="auto"/>
          <w:szCs w:val="24"/>
          <w:highlight w:val="none"/>
        </w:rPr>
        <w:t>1.征集供应商</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pPr>
        <w:spacing w:line="360" w:lineRule="auto"/>
        <w:ind w:firstLine="480" w:firstLineChars="200"/>
        <w:rPr>
          <w:rFonts w:ascii="仿宋" w:hAnsi="仿宋" w:eastAsia="仿宋"/>
          <w:color w:val="auto"/>
          <w:sz w:val="24"/>
          <w:highlight w:val="none"/>
        </w:rPr>
      </w:pPr>
      <w:sdt>
        <w:sdtPr>
          <w:rPr>
            <w:rFonts w:ascii="仿宋" w:hAnsi="仿宋" w:eastAsia="仿宋"/>
            <w:color w:val="auto"/>
            <w:sz w:val="24"/>
            <w:highlight w:val="none"/>
          </w:rPr>
          <w:id w:val="714019020"/>
          <w14:checkbox>
            <w14:checked w14:val="1"/>
            <w14:checkedState w14:val="00FE" w14:font="Wingdings"/>
            <w14:uncheckedState w14:val="2610" w14:font="MS Gothic"/>
          </w14:checkbox>
        </w:sdtPr>
        <w:sdtEndPr>
          <w:rPr>
            <w:rFonts w:ascii="仿宋" w:hAnsi="仿宋" w:eastAsia="仿宋"/>
            <w:color w:val="auto"/>
            <w:sz w:val="24"/>
            <w:highlight w:val="none"/>
          </w:rPr>
        </w:sdtEndPr>
        <w:sdtContent>
          <w:r>
            <w:rPr>
              <w:rFonts w:ascii="仿宋" w:hAnsi="仿宋" w:eastAsia="仿宋"/>
              <w:color w:val="auto"/>
              <w:sz w:val="24"/>
              <w:highlight w:val="none"/>
            </w:rPr>
            <w:sym w:font="Wingdings" w:char="F0FE"/>
          </w:r>
        </w:sdtContent>
      </w:sdt>
      <w:r>
        <w:rPr>
          <w:rFonts w:hint="eastAsia" w:ascii="仿宋" w:hAnsi="仿宋" w:eastAsia="仿宋" w:cs="仿宋"/>
          <w:b/>
          <w:color w:val="auto"/>
          <w:sz w:val="24"/>
          <w:highlight w:val="none"/>
        </w:rPr>
        <w:t>采用公告方式邀请供应商的，</w:t>
      </w:r>
      <w:r>
        <w:rPr>
          <w:rFonts w:hint="eastAsia" w:ascii="仿宋" w:hAnsi="仿宋" w:eastAsia="仿宋" w:cs="仿宋"/>
          <w:color w:val="auto"/>
          <w:sz w:val="24"/>
          <w:highlight w:val="none"/>
        </w:rPr>
        <w:t>由采购人、采购代理机构在省级以上人民政府财政部门指定的政府采购信息发布媒体上发布磋商公告，邀请符合相应资格条件的供应商参与竞争性磋商采购活动。</w:t>
      </w:r>
    </w:p>
    <w:p>
      <w:pPr>
        <w:spacing w:line="360" w:lineRule="auto"/>
        <w:ind w:firstLine="480" w:firstLineChars="200"/>
        <w:rPr>
          <w:rFonts w:ascii="仿宋" w:hAnsi="仿宋" w:eastAsia="仿宋"/>
          <w:color w:val="auto"/>
          <w:sz w:val="24"/>
          <w:highlight w:val="none"/>
        </w:rPr>
      </w:pPr>
      <w:sdt>
        <w:sdtPr>
          <w:rPr>
            <w:rFonts w:ascii="仿宋" w:hAnsi="仿宋" w:eastAsia="仿宋"/>
            <w:color w:val="auto"/>
            <w:sz w:val="24"/>
            <w:highlight w:val="none"/>
          </w:rPr>
          <w:id w:val="1752465208"/>
          <w14:checkbox>
            <w14:checked w14:val="0"/>
            <w14:checkedState w14:val="00FE" w14:font="Wingdings"/>
            <w14:uncheckedState w14:val="2610" w14:font="MS Gothic"/>
          </w14:checkbox>
        </w:sdtPr>
        <w:sdtEndPr>
          <w:rPr>
            <w:rFonts w:ascii="仿宋" w:hAnsi="仿宋" w:eastAsia="仿宋"/>
            <w:color w:val="auto"/>
            <w:sz w:val="24"/>
            <w:highlight w:val="none"/>
          </w:rPr>
        </w:sdtEndPr>
        <w:sdtContent>
          <w:r>
            <w:rPr>
              <w:rFonts w:ascii="Segoe UI Symbol" w:hAnsi="Segoe UI Symbol" w:eastAsia="仿宋" w:cs="Segoe UI Symbol"/>
              <w:color w:val="auto"/>
              <w:sz w:val="24"/>
              <w:highlight w:val="none"/>
            </w:rPr>
            <w:t>☐</w:t>
          </w:r>
        </w:sdtContent>
      </w:sdt>
      <w:r>
        <w:rPr>
          <w:rFonts w:hint="eastAsia" w:ascii="仿宋" w:hAnsi="仿宋" w:eastAsia="仿宋" w:cs="仿宋"/>
          <w:b/>
          <w:color w:val="auto"/>
          <w:sz w:val="24"/>
          <w:highlight w:val="none"/>
        </w:rPr>
        <w:t>采用随机抽取方式邀请供应商的，</w:t>
      </w:r>
      <w:r>
        <w:rPr>
          <w:rFonts w:hint="eastAsia" w:ascii="仿宋" w:hAnsi="仿宋" w:eastAsia="仿宋" w:cs="仿宋"/>
          <w:color w:val="auto"/>
          <w:sz w:val="24"/>
          <w:highlight w:val="none"/>
        </w:rPr>
        <w:t>由采购人、采购代理机构从省级以上财政部门建立的供应商库中随机抽取不少于3家符合相应资格条件的供应商参与竞争性磋商采购活动。</w:t>
      </w:r>
    </w:p>
    <w:p>
      <w:pPr>
        <w:spacing w:line="360" w:lineRule="auto"/>
        <w:ind w:firstLine="480" w:firstLineChars="200"/>
        <w:rPr>
          <w:rFonts w:ascii="仿宋" w:hAnsi="仿宋" w:eastAsia="仿宋"/>
          <w:color w:val="auto"/>
          <w:sz w:val="24"/>
          <w:highlight w:val="none"/>
        </w:rPr>
      </w:pPr>
      <w:sdt>
        <w:sdtPr>
          <w:rPr>
            <w:rFonts w:ascii="仿宋" w:hAnsi="仿宋" w:eastAsia="仿宋"/>
            <w:color w:val="auto"/>
            <w:sz w:val="24"/>
            <w:highlight w:val="none"/>
          </w:rPr>
          <w:id w:val="986062212"/>
          <w14:checkbox>
            <w14:checked w14:val="0"/>
            <w14:checkedState w14:val="00FE" w14:font="Wingdings"/>
            <w14:uncheckedState w14:val="2610" w14:font="MS Gothic"/>
          </w14:checkbox>
        </w:sdtPr>
        <w:sdtEndPr>
          <w:rPr>
            <w:rFonts w:ascii="仿宋" w:hAnsi="仿宋" w:eastAsia="仿宋"/>
            <w:color w:val="auto"/>
            <w:sz w:val="24"/>
            <w:highlight w:val="none"/>
          </w:rPr>
        </w:sdtEndPr>
        <w:sdtContent>
          <w:r>
            <w:rPr>
              <w:rFonts w:ascii="Segoe UI Symbol" w:hAnsi="Segoe UI Symbol" w:eastAsia="仿宋" w:cs="Segoe UI Symbol"/>
              <w:color w:val="auto"/>
              <w:sz w:val="24"/>
              <w:highlight w:val="none"/>
            </w:rPr>
            <w:t>☐</w:t>
          </w:r>
        </w:sdtContent>
      </w:sdt>
      <w:r>
        <w:rPr>
          <w:rFonts w:hint="eastAsia" w:ascii="仿宋" w:hAnsi="仿宋" w:eastAsia="仿宋" w:cs="仿宋"/>
          <w:b/>
          <w:color w:val="auto"/>
          <w:sz w:val="24"/>
          <w:highlight w:val="none"/>
        </w:rPr>
        <w:t>采用书面推荐方式邀请供应商的，</w:t>
      </w:r>
      <w:r>
        <w:rPr>
          <w:rFonts w:hint="eastAsia" w:ascii="仿宋" w:hAnsi="仿宋" w:eastAsia="仿宋" w:cs="仿宋"/>
          <w:color w:val="auto"/>
          <w:sz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pPr>
        <w:pStyle w:val="392"/>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pPr>
        <w:pStyle w:val="392"/>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3.磋商与评审</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3.2采购代理机构宣布有关纪律以及磋商、评审工作程序。</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3.3磋商小组审查确认磋商文件。磋商文件内容违反国家有关强制性规定的，磋商小组应当停止评审并向采购代理机构说明情况。</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3.13采购代理机构唱价。</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pPr>
        <w:pStyle w:val="392"/>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4. 成交</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w:t>
      </w:r>
      <w:r>
        <w:rPr>
          <w:rFonts w:ascii="仿宋" w:hAnsi="仿宋" w:eastAsia="仿宋" w:cs="仿宋"/>
          <w:color w:val="auto"/>
          <w:szCs w:val="24"/>
          <w:highlight w:val="none"/>
        </w:rPr>
        <w:t>5</w:t>
      </w:r>
      <w:r>
        <w:rPr>
          <w:rFonts w:hint="eastAsia" w:ascii="仿宋" w:hAnsi="仿宋" w:eastAsia="仿宋" w:cs="仿宋"/>
          <w:color w:val="auto"/>
          <w:szCs w:val="24"/>
          <w:highlight w:val="none"/>
        </w:rPr>
        <w:t>个工作日内，从评审报告提出的成交候选供应商中，按照排序由高到低的原则确定成交供应商，采购人也可以书面授权磋商小组直接确定成交供应商。</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w:t>
      </w:r>
      <w:r>
        <w:rPr>
          <w:rFonts w:ascii="仿宋" w:hAnsi="仿宋" w:eastAsia="仿宋" w:cs="仿宋"/>
          <w:color w:val="auto"/>
          <w:szCs w:val="24"/>
          <w:highlight w:val="none"/>
        </w:rPr>
        <w:t>3</w:t>
      </w:r>
      <w:r>
        <w:rPr>
          <w:rFonts w:hint="eastAsia" w:ascii="仿宋" w:hAnsi="仿宋" w:eastAsia="仿宋" w:cs="仿宋"/>
          <w:color w:val="auto"/>
          <w:szCs w:val="24"/>
          <w:highlight w:val="none"/>
        </w:rPr>
        <w:t>0日内签订政府采购合同。</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5.3合同履约。</w:t>
      </w:r>
    </w:p>
    <w:p>
      <w:pPr>
        <w:pStyle w:val="39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pPr>
        <w:widowControl/>
        <w:adjustRightInd/>
        <w:jc w:val="left"/>
        <w:rPr>
          <w:rFonts w:ascii="仿宋" w:hAnsi="仿宋" w:eastAsia="仿宋" w:cs="仿宋"/>
          <w:b/>
          <w:color w:val="auto"/>
          <w:sz w:val="24"/>
          <w:szCs w:val="20"/>
          <w:highlight w:val="none"/>
        </w:rPr>
      </w:pPr>
      <w:r>
        <w:rPr>
          <w:rFonts w:hint="eastAsia" w:ascii="仿宋" w:hAnsi="仿宋" w:eastAsia="仿宋" w:cs="仿宋"/>
          <w:b/>
          <w:color w:val="auto"/>
          <w:highlight w:val="none"/>
        </w:rPr>
        <w:br w:type="page"/>
      </w:r>
    </w:p>
    <w:p>
      <w:pPr>
        <w:pStyle w:val="392"/>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6.竞争性磋商流程图</w:t>
      </w:r>
    </w:p>
    <w:p>
      <w:pPr>
        <w:pStyle w:val="392"/>
        <w:spacing w:before="0"/>
        <w:ind w:firstLine="0" w:firstLineChars="0"/>
        <w:rPr>
          <w:rFonts w:ascii="仿宋" w:hAnsi="仿宋" w:eastAsia="仿宋" w:cs="仿宋"/>
          <w:b/>
          <w:color w:val="auto"/>
          <w:highlight w:val="none"/>
        </w:rPr>
      </w:pPr>
    </w:p>
    <w:p>
      <w:pPr>
        <w:widowControl/>
        <w:adjustRightInd/>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w:br w:type="page"/>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8"/>
      <w:r>
        <w:rPr>
          <w:rFonts w:hint="eastAsia" w:ascii="仿宋" w:hAnsi="仿宋" w:eastAsia="仿宋" w:cs="仿宋"/>
          <w:b/>
          <w:color w:val="auto"/>
          <w:sz w:val="36"/>
          <w:szCs w:val="20"/>
          <w:highlight w:val="none"/>
        </w:rPr>
        <w:t xml:space="preserve">  供应商须知</w:t>
      </w:r>
      <w:bookmarkEnd w:id="9"/>
    </w:p>
    <w:p>
      <w:pPr>
        <w:pStyle w:val="104"/>
        <w:numPr>
          <w:ilvl w:val="0"/>
          <w:numId w:val="7"/>
        </w:numPr>
        <w:adjustRightInd/>
        <w:ind w:firstLineChars="0"/>
        <w:jc w:val="center"/>
        <w:outlineLvl w:val="0"/>
        <w:rPr>
          <w:rFonts w:ascii="仿宋" w:hAnsi="仿宋" w:eastAsia="仿宋" w:cs="仿宋"/>
          <w:b/>
          <w:vanish/>
          <w:color w:val="auto"/>
          <w:sz w:val="32"/>
          <w:szCs w:val="32"/>
          <w:highlight w:val="none"/>
        </w:rPr>
      </w:pPr>
      <w:r>
        <w:rPr>
          <w:rFonts w:hint="eastAsia" w:ascii="仿宋" w:hAnsi="仿宋" w:eastAsia="仿宋" w:cs="仿宋"/>
          <w:b/>
          <w:color w:val="auto"/>
          <w:sz w:val="32"/>
          <w:szCs w:val="32"/>
          <w:highlight w:val="none"/>
        </w:rPr>
        <w:t>前附表</w:t>
      </w:r>
    </w:p>
    <w:tbl>
      <w:tblPr>
        <w:tblStyle w:val="60"/>
        <w:tblW w:w="92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68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629"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序号</w:t>
            </w: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事项</w:t>
            </w:r>
          </w:p>
        </w:tc>
        <w:tc>
          <w:tcPr>
            <w:tcW w:w="680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本项目的特别规定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项目属性与核心产品</w:t>
            </w:r>
          </w:p>
        </w:tc>
        <w:tc>
          <w:tcPr>
            <w:tcW w:w="6803" w:type="dxa"/>
            <w:vAlign w:val="center"/>
          </w:tcPr>
          <w:p>
            <w:pPr>
              <w:rPr>
                <w:rFonts w:ascii="Calibri" w:hAnsi="Calibri" w:eastAsia="仿宋" w:cs="宋体"/>
                <w:color w:val="auto"/>
                <w:sz w:val="24"/>
                <w:highlight w:val="none"/>
              </w:rPr>
            </w:pPr>
            <w:r>
              <w:rPr>
                <w:rFonts w:hint="eastAsia" w:ascii="Calibri" w:hAnsi="Calibri" w:eastAsia="仿宋" w:cs="宋体"/>
                <w:color w:val="auto"/>
                <w:sz w:val="24"/>
                <w:highlight w:val="none"/>
              </w:rPr>
              <w:t>货物类，单一产品或核心产品为：</w:t>
            </w:r>
            <w:r>
              <w:rPr>
                <w:rFonts w:hint="eastAsia" w:ascii="Calibri" w:hAnsi="Calibri" w:eastAsia="仿宋" w:cs="宋体"/>
                <w:color w:val="auto"/>
                <w:sz w:val="24"/>
                <w:highlight w:val="none"/>
                <w:u w:val="single"/>
                <w:lang w:val="en-US" w:eastAsia="zh-CN"/>
              </w:rPr>
              <w:t>电梯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交货地点</w:t>
            </w:r>
          </w:p>
        </w:tc>
        <w:tc>
          <w:tcPr>
            <w:tcW w:w="6803" w:type="dxa"/>
            <w:vAlign w:val="center"/>
          </w:tcPr>
          <w:p>
            <w:pPr>
              <w:rPr>
                <w:rFonts w:ascii="Calibri" w:hAnsi="Calibri" w:eastAsia="仿宋" w:cs="宋体"/>
                <w:color w:val="auto"/>
                <w:sz w:val="24"/>
                <w:highlight w:val="none"/>
              </w:rPr>
            </w:pPr>
            <w:r>
              <w:rPr>
                <w:rFonts w:hint="eastAsia" w:ascii="Calibri" w:hAnsi="Calibri" w:eastAsia="仿宋" w:cs="宋体"/>
                <w:color w:val="auto"/>
                <w:sz w:val="24"/>
                <w:highlight w:val="none"/>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采购内容</w:t>
            </w:r>
          </w:p>
        </w:tc>
        <w:tc>
          <w:tcPr>
            <w:tcW w:w="6803" w:type="dxa"/>
            <w:vAlign w:val="center"/>
          </w:tcPr>
          <w:p>
            <w:pPr>
              <w:spacing w:line="360" w:lineRule="auto"/>
              <w:rPr>
                <w:rFonts w:ascii="Calibri" w:hAnsi="Calibri" w:eastAsia="仿宋" w:cs="宋体"/>
                <w:color w:val="auto"/>
                <w:sz w:val="24"/>
                <w:highlight w:val="none"/>
              </w:rPr>
            </w:pPr>
            <w:r>
              <w:rPr>
                <w:rFonts w:hint="eastAsia" w:ascii="Calibri" w:hAnsi="Calibri" w:eastAsia="仿宋" w:cs="宋体"/>
                <w:bCs/>
                <w:snapToGrid/>
                <w:color w:val="auto"/>
                <w:kern w:val="2"/>
                <w:sz w:val="24"/>
                <w:szCs w:val="24"/>
                <w:highlight w:val="none"/>
                <w:lang w:eastAsia="zh-CN"/>
              </w:rPr>
              <w:t>浙江省中小企业综合楼电梯更新改造项目</w:t>
            </w:r>
            <w:r>
              <w:rPr>
                <w:rFonts w:hint="eastAsia" w:ascii="Calibri" w:hAnsi="Calibri" w:eastAsia="仿宋" w:cs="宋体"/>
                <w:bCs/>
                <w:snapToGrid/>
                <w:color w:val="auto"/>
                <w:kern w:val="2"/>
                <w:sz w:val="24"/>
                <w:szCs w:val="24"/>
                <w:highlight w:val="none"/>
              </w:rPr>
              <w:t>主要内容：</w:t>
            </w:r>
            <w:r>
              <w:rPr>
                <w:rFonts w:hint="eastAsia" w:ascii="Calibri" w:hAnsi="Calibri" w:eastAsia="仿宋" w:cs="宋体"/>
                <w:bCs/>
                <w:snapToGrid/>
                <w:color w:val="auto"/>
                <w:kern w:val="2"/>
                <w:sz w:val="24"/>
                <w:szCs w:val="24"/>
                <w:highlight w:val="none"/>
                <w:lang w:eastAsia="zh-CN"/>
              </w:rPr>
              <w:t>电梯改造</w:t>
            </w:r>
            <w:r>
              <w:rPr>
                <w:rFonts w:hint="eastAsia" w:ascii="Calibri" w:hAnsi="Calibri" w:eastAsia="仿宋" w:cs="宋体"/>
                <w:bCs/>
                <w:color w:val="auto"/>
                <w:sz w:val="24"/>
                <w:highlight w:val="none"/>
                <w:lang w:eastAsia="zh-CN"/>
              </w:rPr>
              <w:t>。</w:t>
            </w:r>
            <w:r>
              <w:rPr>
                <w:rFonts w:hint="eastAsia" w:ascii="Calibri" w:hAnsi="Calibri" w:eastAsia="仿宋"/>
                <w:b/>
                <w:bCs/>
                <w:color w:val="auto"/>
                <w:sz w:val="24"/>
                <w:highlight w:val="none"/>
              </w:rPr>
              <w:t>具体以招标文件第三部分采购需求为准</w:t>
            </w:r>
            <w:r>
              <w:rPr>
                <w:rFonts w:ascii="Calibri" w:hAnsi="Calibri" w:eastAsia="仿宋"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交货期/工期</w:t>
            </w:r>
          </w:p>
        </w:tc>
        <w:tc>
          <w:tcPr>
            <w:tcW w:w="6803" w:type="dxa"/>
            <w:vAlign w:val="center"/>
          </w:tcPr>
          <w:p>
            <w:pPr>
              <w:spacing w:line="360" w:lineRule="auto"/>
              <w:rPr>
                <w:rFonts w:ascii="Calibri" w:hAnsi="Calibri" w:eastAsia="仿宋" w:cs="宋体"/>
                <w:color w:val="auto"/>
                <w:sz w:val="24"/>
                <w:highlight w:val="none"/>
              </w:rPr>
            </w:pPr>
            <w:r>
              <w:rPr>
                <w:rFonts w:hint="eastAsia" w:ascii="Calibri" w:hAnsi="Calibri" w:eastAsia="仿宋" w:cs="宋体"/>
                <w:bCs/>
                <w:color w:val="auto"/>
                <w:sz w:val="24"/>
                <w:highlight w:val="none"/>
                <w:lang w:eastAsia="zh-CN"/>
              </w:rPr>
              <w:t>在接到采购人书面通知后90日历天内将采购设备运送至工地现场，电梯的安装、调试、试车运作及验收通过，具体日期由采购人根据整体工程进度确定。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资金来源</w:t>
            </w:r>
          </w:p>
        </w:tc>
        <w:tc>
          <w:tcPr>
            <w:tcW w:w="6803" w:type="dxa"/>
            <w:vAlign w:val="center"/>
          </w:tcPr>
          <w:p>
            <w:pPr>
              <w:rPr>
                <w:rFonts w:ascii="Calibri" w:hAnsi="Calibri" w:eastAsia="仿宋" w:cs="宋体"/>
                <w:color w:val="auto"/>
                <w:sz w:val="24"/>
                <w:highlight w:val="none"/>
              </w:rPr>
            </w:pPr>
            <w:r>
              <w:rPr>
                <w:rFonts w:hint="eastAsia" w:ascii="Calibri" w:hAnsi="Calibri" w:eastAsia="仿宋" w:cs="宋体"/>
                <w:color w:val="auto"/>
                <w:sz w:val="24"/>
                <w:highlight w:val="none"/>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91" w:hRule="atLeast"/>
          <w:jc w:val="center"/>
        </w:trPr>
        <w:tc>
          <w:tcPr>
            <w:tcW w:w="629" w:type="dxa"/>
            <w:vMerge w:val="restart"/>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Merge w:val="restart"/>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采购标的及其对应的中小企业划分标准所属行业</w:t>
            </w:r>
          </w:p>
        </w:tc>
        <w:tc>
          <w:tcPr>
            <w:tcW w:w="6803" w:type="dxa"/>
            <w:vAlign w:val="center"/>
          </w:tcPr>
          <w:p>
            <w:pPr>
              <w:spacing w:line="360" w:lineRule="auto"/>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w:t>
            </w:r>
            <w:r>
              <w:rPr>
                <w:rFonts w:ascii="Calibri" w:hAnsi="Calibri" w:eastAsia="仿宋" w:cs="Arial"/>
                <w:color w:val="auto"/>
                <w:kern w:val="0"/>
                <w:sz w:val="24"/>
                <w:highlight w:val="none"/>
              </w:rPr>
              <w:t>1</w:t>
            </w:r>
            <w:r>
              <w:rPr>
                <w:rFonts w:hint="eastAsia" w:ascii="Calibri" w:hAnsi="Calibri" w:eastAsia="仿宋" w:cs="Arial"/>
                <w:color w:val="auto"/>
                <w:kern w:val="0"/>
                <w:sz w:val="24"/>
                <w:highlight w:val="none"/>
              </w:rPr>
              <w:t>）</w:t>
            </w:r>
          </w:p>
          <w:p>
            <w:pPr>
              <w:numPr>
                <w:ilvl w:val="0"/>
                <w:numId w:val="9"/>
              </w:numPr>
              <w:spacing w:line="360" w:lineRule="auto"/>
              <w:rPr>
                <w:rFonts w:ascii="Calibri" w:hAnsi="Calibri" w:eastAsia="仿宋" w:cs="Arial"/>
                <w:color w:val="auto"/>
                <w:sz w:val="24"/>
                <w:highlight w:val="none"/>
                <w:u w:val="single"/>
              </w:rPr>
            </w:pPr>
            <w:r>
              <w:rPr>
                <w:rFonts w:hint="eastAsia" w:ascii="Calibri" w:hAnsi="Calibri" w:eastAsia="仿宋" w:cs="Arial"/>
                <w:color w:val="auto"/>
                <w:kern w:val="0"/>
                <w:sz w:val="24"/>
                <w:highlight w:val="none"/>
              </w:rPr>
              <w:t>标的：</w:t>
            </w:r>
            <w:r>
              <w:rPr>
                <w:rFonts w:hint="eastAsia" w:ascii="Calibri" w:hAnsi="Calibri" w:eastAsia="仿宋" w:cs="Arial"/>
                <w:color w:val="auto"/>
                <w:sz w:val="24"/>
                <w:highlight w:val="none"/>
                <w:u w:val="single"/>
                <w:lang w:val="en-US" w:eastAsia="zh-CN"/>
              </w:rPr>
              <w:t>电梯</w:t>
            </w:r>
            <w:r>
              <w:rPr>
                <w:rFonts w:hint="eastAsia" w:ascii="Calibri" w:hAnsi="Calibri" w:eastAsia="仿宋" w:cs="Arial"/>
                <w:color w:val="auto"/>
                <w:kern w:val="0"/>
                <w:sz w:val="24"/>
                <w:highlight w:val="none"/>
              </w:rPr>
              <w:t>，属于</w:t>
            </w:r>
            <w:r>
              <w:rPr>
                <w:rFonts w:hint="eastAsia" w:ascii="Calibri" w:hAnsi="Calibri" w:eastAsia="仿宋" w:cs="Arial"/>
                <w:b/>
                <w:bCs/>
                <w:color w:val="auto"/>
                <w:kern w:val="0"/>
                <w:sz w:val="24"/>
                <w:highlight w:val="none"/>
                <w:u w:val="single"/>
              </w:rPr>
              <w:t>工业</w:t>
            </w:r>
          </w:p>
          <w:p>
            <w:pPr>
              <w:keepNext/>
              <w:keepLines/>
              <w:tabs>
                <w:tab w:val="left" w:pos="432"/>
              </w:tabs>
              <w:adjustRightInd/>
              <w:spacing w:line="360" w:lineRule="auto"/>
              <w:jc w:val="left"/>
              <w:outlineLvl w:val="1"/>
              <w:rPr>
                <w:rFonts w:ascii="Calibri" w:hAnsi="Calibri" w:eastAsia="仿宋" w:cs="宋体"/>
                <w:b/>
                <w:bCs/>
                <w:color w:val="auto"/>
                <w:sz w:val="32"/>
                <w:szCs w:val="32"/>
                <w:highlight w:val="none"/>
              </w:rPr>
            </w:pPr>
            <w:r>
              <w:rPr>
                <w:rFonts w:hint="eastAsia" w:ascii="Calibri" w:hAnsi="Calibri" w:eastAsia="仿宋" w:cs="Arial"/>
                <w:color w:val="auto"/>
                <w:kern w:val="0"/>
                <w:sz w:val="24"/>
                <w:szCs w:val="32"/>
                <w:highlight w:val="none"/>
                <w:lang w:val="zh-CN"/>
              </w:rPr>
              <w:t>【</w:t>
            </w:r>
            <w:r>
              <w:rPr>
                <w:rFonts w:hint="eastAsia" w:ascii="Calibri" w:hAnsi="Calibri" w:eastAsia="仿宋" w:cs="Arial"/>
                <w:b/>
                <w:bCs/>
                <w:color w:val="auto"/>
                <w:kern w:val="0"/>
                <w:sz w:val="24"/>
                <w:szCs w:val="32"/>
                <w:highlight w:val="none"/>
                <w:lang w:val="zh-CN"/>
              </w:rPr>
              <w:t>说明：工业。</w:t>
            </w:r>
            <w:r>
              <w:rPr>
                <w:rFonts w:hint="eastAsia" w:ascii="Calibri" w:hAnsi="Calibri" w:eastAsia="仿宋" w:cs="Arial"/>
                <w:color w:val="auto"/>
                <w:kern w:val="0"/>
                <w:sz w:val="24"/>
                <w:szCs w:val="32"/>
                <w:highlight w:val="none"/>
                <w:lang w:val="zh-CN"/>
              </w:rPr>
              <w:t>从业人员1000人以下或营业收入40000万元以下的为中小微型企业。其中，从业人员300人及以上，且营业收入2000万元及以上的为</w:t>
            </w:r>
            <w:r>
              <w:rPr>
                <w:rFonts w:hint="eastAsia" w:ascii="Calibri" w:hAnsi="Calibri" w:eastAsia="仿宋" w:cs="Arial"/>
                <w:b/>
                <w:bCs/>
                <w:color w:val="auto"/>
                <w:kern w:val="0"/>
                <w:sz w:val="24"/>
                <w:szCs w:val="32"/>
                <w:highlight w:val="none"/>
                <w:lang w:val="zh-CN"/>
              </w:rPr>
              <w:t>中型企业</w:t>
            </w:r>
            <w:r>
              <w:rPr>
                <w:rFonts w:hint="eastAsia" w:ascii="Calibri" w:hAnsi="Calibri" w:eastAsia="仿宋" w:cs="Arial"/>
                <w:color w:val="auto"/>
                <w:kern w:val="0"/>
                <w:sz w:val="24"/>
                <w:szCs w:val="32"/>
                <w:highlight w:val="none"/>
                <w:lang w:val="zh-CN"/>
              </w:rPr>
              <w:t>；从业人员20人及以上，且营业收入300万元及以上的为</w:t>
            </w:r>
            <w:r>
              <w:rPr>
                <w:rFonts w:hint="eastAsia" w:ascii="Calibri" w:hAnsi="Calibri" w:eastAsia="仿宋" w:cs="Arial"/>
                <w:b/>
                <w:bCs/>
                <w:color w:val="auto"/>
                <w:kern w:val="0"/>
                <w:sz w:val="24"/>
                <w:szCs w:val="32"/>
                <w:highlight w:val="none"/>
                <w:lang w:val="zh-CN"/>
              </w:rPr>
              <w:t>小型企业</w:t>
            </w:r>
            <w:r>
              <w:rPr>
                <w:rFonts w:hint="eastAsia" w:ascii="Calibri" w:hAnsi="Calibri" w:eastAsia="仿宋" w:cs="Arial"/>
                <w:color w:val="auto"/>
                <w:kern w:val="0"/>
                <w:sz w:val="24"/>
                <w:szCs w:val="32"/>
                <w:highlight w:val="none"/>
                <w:lang w:val="zh-CN"/>
              </w:rPr>
              <w:t>；从业人员20人以下或营业收入300万元以下的为</w:t>
            </w:r>
            <w:r>
              <w:rPr>
                <w:rFonts w:hint="eastAsia" w:ascii="Calibri" w:hAnsi="Calibri" w:eastAsia="仿宋" w:cs="Arial"/>
                <w:b/>
                <w:bCs/>
                <w:color w:val="auto"/>
                <w:kern w:val="0"/>
                <w:sz w:val="24"/>
                <w:szCs w:val="32"/>
                <w:highlight w:val="none"/>
                <w:lang w:val="zh-CN"/>
              </w:rPr>
              <w:t>微型企业</w:t>
            </w:r>
            <w:r>
              <w:rPr>
                <w:rFonts w:hint="eastAsia" w:ascii="Calibri" w:hAnsi="Calibri" w:eastAsia="仿宋" w:cs="Arial"/>
                <w:color w:val="auto"/>
                <w:kern w:val="0"/>
                <w:sz w:val="24"/>
                <w:szCs w:val="32"/>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629" w:type="dxa"/>
            <w:vMerge w:val="continue"/>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Merge w:val="continue"/>
            <w:vAlign w:val="center"/>
          </w:tcPr>
          <w:p>
            <w:pPr>
              <w:snapToGrid w:val="0"/>
              <w:jc w:val="center"/>
              <w:rPr>
                <w:rFonts w:ascii="Calibri" w:hAnsi="Calibri" w:eastAsia="仿宋" w:cs="宋体"/>
                <w:b/>
                <w:color w:val="auto"/>
                <w:sz w:val="24"/>
                <w:highlight w:val="none"/>
              </w:rPr>
            </w:pPr>
          </w:p>
        </w:tc>
        <w:tc>
          <w:tcPr>
            <w:tcW w:w="6803" w:type="dxa"/>
            <w:vAlign w:val="center"/>
          </w:tcPr>
          <w:p>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b/>
                <w:bCs/>
                <w:color w:val="auto"/>
                <w:kern w:val="0"/>
                <w:sz w:val="24"/>
                <w:highlight w:val="none"/>
              </w:rPr>
              <w:t>（2）</w:t>
            </w:r>
            <w:r>
              <w:rPr>
                <w:rFonts w:hint="eastAsia" w:ascii="Calibri" w:hAnsi="Calibri" w:eastAsia="仿宋" w:cs="Arial"/>
                <w:color w:val="auto"/>
                <w:kern w:val="0"/>
                <w:sz w:val="24"/>
                <w:highlight w:val="none"/>
              </w:rPr>
              <w:t>在货物采购项目中，投标人提供的货物既有中小企业制造货物，也有大型企业制造货物的，不享受中小企业扶持政策。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是否允许采购进口产品</w:t>
            </w:r>
          </w:p>
        </w:tc>
        <w:tc>
          <w:tcPr>
            <w:tcW w:w="6803" w:type="dxa"/>
            <w:vAlign w:val="center"/>
          </w:tcPr>
          <w:p>
            <w:pPr>
              <w:snapToGrid w:val="0"/>
              <w:spacing w:line="360" w:lineRule="auto"/>
              <w:contextualSpacing/>
              <w:rPr>
                <w:rFonts w:ascii="Calibri" w:hAnsi="Calibri" w:eastAsia="仿宋" w:cs="宋体"/>
                <w:color w:val="auto"/>
                <w:kern w:val="0"/>
                <w:sz w:val="24"/>
                <w:highlight w:val="none"/>
              </w:rPr>
            </w:pPr>
            <w:sdt>
              <w:sdtPr>
                <w:rPr>
                  <w:rFonts w:hint="eastAsia" w:ascii="Calibri" w:hAnsi="Calibri" w:eastAsia="仿宋" w:cs="宋体"/>
                  <w:color w:val="auto"/>
                  <w:kern w:val="0"/>
                  <w:sz w:val="24"/>
                  <w:highlight w:val="none"/>
                </w:rPr>
                <w:id w:val="35"/>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本项目不允许采购进口产品。</w:t>
            </w:r>
          </w:p>
          <w:p>
            <w:pPr>
              <w:snapToGrid w:val="0"/>
              <w:spacing w:line="360" w:lineRule="auto"/>
              <w:contextualSpacing/>
              <w:rPr>
                <w:rFonts w:ascii="Calibri" w:hAnsi="Calibri" w:eastAsia="仿宋" w:cs="宋体"/>
                <w:color w:val="auto"/>
                <w:highlight w:val="none"/>
              </w:rPr>
            </w:pPr>
            <w:sdt>
              <w:sdtPr>
                <w:rPr>
                  <w:rFonts w:hint="eastAsia" w:ascii="Calibri" w:hAnsi="Calibri" w:eastAsia="仿宋" w:cs="宋体"/>
                  <w:color w:val="auto"/>
                  <w:kern w:val="0"/>
                  <w:sz w:val="24"/>
                  <w:highlight w:val="none"/>
                </w:rPr>
                <w:id w:val="36"/>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可以就</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kern w:val="0"/>
                <w:sz w:val="24"/>
                <w:highlight w:val="none"/>
              </w:rPr>
              <w:t>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分包</w:t>
            </w:r>
          </w:p>
        </w:tc>
        <w:tc>
          <w:tcPr>
            <w:tcW w:w="6803" w:type="dxa"/>
            <w:vAlign w:val="center"/>
          </w:tcPr>
          <w:p>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7"/>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 xml:space="preserve"> A</w:t>
            </w:r>
            <w:r>
              <w:rPr>
                <w:rFonts w:hint="eastAsia" w:ascii="Calibri" w:hAnsi="Calibri" w:eastAsia="仿宋" w:cs="宋体"/>
                <w:color w:val="auto"/>
                <w:sz w:val="24"/>
                <w:highlight w:val="none"/>
              </w:rPr>
              <w:t>同意将非主体、非关键性的</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工作分包。</w:t>
            </w:r>
          </w:p>
          <w:p>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8"/>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 xml:space="preserve"> B</w:t>
            </w:r>
            <w:r>
              <w:rPr>
                <w:rFonts w:hint="eastAsia" w:ascii="Calibri" w:hAnsi="Calibri" w:eastAsia="仿宋" w:cs="宋体"/>
                <w:color w:val="auto"/>
                <w:sz w:val="24"/>
                <w:highlight w:val="none"/>
              </w:rPr>
              <w:t>不同意分包。</w:t>
            </w:r>
          </w:p>
          <w:p>
            <w:pPr>
              <w:snapToGrid w:val="0"/>
              <w:spacing w:line="360" w:lineRule="auto"/>
              <w:contextualSpacing/>
              <w:rPr>
                <w:rFonts w:ascii="Calibri" w:hAnsi="Calibri" w:eastAsia="仿宋" w:cs="宋体"/>
                <w:color w:val="auto"/>
                <w:sz w:val="24"/>
                <w:highlight w:val="none"/>
              </w:rPr>
            </w:pPr>
            <w:r>
              <w:rPr>
                <w:rFonts w:hint="eastAsia" w:ascii="Calibri" w:hAnsi="Calibri" w:eastAsia="仿宋" w:cs="宋体"/>
                <w:color w:val="auto"/>
                <w:sz w:val="24"/>
                <w:highlight w:val="none"/>
              </w:rPr>
              <w:t>注：不得限制大中型企业向小微企业合理分包。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开标前答疑会或现场考察</w:t>
            </w:r>
          </w:p>
        </w:tc>
        <w:tc>
          <w:tcPr>
            <w:tcW w:w="6803" w:type="dxa"/>
            <w:vAlign w:val="center"/>
          </w:tcPr>
          <w:p>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9"/>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A</w:t>
            </w:r>
            <w:r>
              <w:rPr>
                <w:rFonts w:hint="eastAsia" w:ascii="Calibri" w:hAnsi="Calibri" w:eastAsia="仿宋" w:cs="宋体"/>
                <w:color w:val="auto"/>
                <w:sz w:val="24"/>
                <w:highlight w:val="none"/>
              </w:rPr>
              <w:t>不组织。</w:t>
            </w:r>
          </w:p>
          <w:p>
            <w:pPr>
              <w:snapToGrid w:val="0"/>
              <w:spacing w:line="360" w:lineRule="auto"/>
              <w:contextualSpacing/>
              <w:rPr>
                <w:rFonts w:ascii="Calibri" w:hAnsi="Calibri" w:eastAsia="仿宋" w:cs="宋体"/>
                <w:color w:val="auto"/>
                <w:sz w:val="24"/>
                <w:szCs w:val="20"/>
                <w:highlight w:val="none"/>
              </w:rPr>
            </w:pPr>
            <w:sdt>
              <w:sdtPr>
                <w:rPr>
                  <w:rFonts w:hint="eastAsia" w:ascii="Calibri" w:hAnsi="Calibri" w:eastAsia="仿宋" w:cs="宋体"/>
                  <w:color w:val="auto"/>
                  <w:kern w:val="0"/>
                  <w:sz w:val="24"/>
                  <w:highlight w:val="none"/>
                </w:rPr>
                <w:id w:val="40"/>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B组织，</w:t>
            </w:r>
            <w:r>
              <w:rPr>
                <w:rFonts w:hint="eastAsia" w:ascii="Calibri" w:hAnsi="Calibri" w:eastAsia="仿宋" w:cs="宋体"/>
                <w:color w:val="auto"/>
                <w:sz w:val="24"/>
                <w:highlight w:val="none"/>
              </w:rPr>
              <w:t>时间：</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,地点：</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，联系人：</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，联系方式：</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0"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样品提供</w:t>
            </w:r>
          </w:p>
        </w:tc>
        <w:tc>
          <w:tcPr>
            <w:tcW w:w="6803" w:type="dxa"/>
            <w:vAlign w:val="center"/>
          </w:tcPr>
          <w:p>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41"/>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A</w:t>
            </w:r>
            <w:r>
              <w:rPr>
                <w:rFonts w:hint="eastAsia" w:ascii="Calibri" w:hAnsi="Calibri" w:eastAsia="仿宋" w:cs="宋体"/>
                <w:color w:val="auto"/>
                <w:sz w:val="24"/>
                <w:highlight w:val="none"/>
              </w:rPr>
              <w:t>不要求提供。</w:t>
            </w:r>
          </w:p>
          <w:p>
            <w:pPr>
              <w:snapToGrid w:val="0"/>
              <w:spacing w:line="360" w:lineRule="auto"/>
              <w:contextualSpacing/>
              <w:rPr>
                <w:rFonts w:ascii="Calibri" w:hAnsi="Calibri" w:eastAsia="仿宋" w:cs="宋体"/>
                <w:color w:val="auto"/>
                <w:kern w:val="0"/>
                <w:sz w:val="24"/>
                <w:highlight w:val="none"/>
              </w:rPr>
            </w:pPr>
            <w:sdt>
              <w:sdtPr>
                <w:rPr>
                  <w:rFonts w:hint="eastAsia" w:ascii="Calibri" w:hAnsi="Calibri" w:eastAsia="仿宋" w:cs="宋体"/>
                  <w:color w:val="auto"/>
                  <w:kern w:val="0"/>
                  <w:sz w:val="24"/>
                  <w:highlight w:val="none"/>
                </w:rPr>
                <w:id w:val="1026831988"/>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B要求提供</w:t>
            </w:r>
            <w:r>
              <w:rPr>
                <w:rFonts w:hint="eastAsia" w:ascii="Calibri" w:hAnsi="Calibri" w:eastAsia="仿宋" w:cs="仿宋"/>
                <w:b/>
                <w:bCs/>
                <w:color w:val="auto"/>
                <w:kern w:val="0"/>
                <w:sz w:val="24"/>
                <w:highlight w:val="none"/>
              </w:rPr>
              <w:t>（未提供样品或提供样品不满足采购需求实质性条件的供应商，投标无效）</w:t>
            </w:r>
            <w:r>
              <w:rPr>
                <w:rFonts w:hint="eastAsia" w:ascii="Calibri" w:hAnsi="Calibri" w:eastAsia="仿宋" w:cs="宋体"/>
                <w:color w:val="auto"/>
                <w:kern w:val="0"/>
                <w:sz w:val="24"/>
                <w:highlight w:val="none"/>
              </w:rPr>
              <w:t>，</w:t>
            </w:r>
          </w:p>
          <w:p>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1</w:t>
            </w:r>
            <w:r>
              <w:rPr>
                <w:rFonts w:hint="eastAsia" w:ascii="Calibri" w:hAnsi="Calibri" w:eastAsia="仿宋"/>
                <w:color w:val="auto"/>
                <w:kern w:val="0"/>
                <w:sz w:val="24"/>
                <w:highlight w:val="none"/>
              </w:rPr>
              <w:t>）</w:t>
            </w:r>
            <w:r>
              <w:rPr>
                <w:rFonts w:hint="eastAsia" w:ascii="Calibri" w:hAnsi="Calibri" w:eastAsia="仿宋"/>
                <w:snapToGrid w:val="0"/>
                <w:color w:val="auto"/>
                <w:kern w:val="28"/>
                <w:sz w:val="24"/>
                <w:highlight w:val="none"/>
              </w:rPr>
              <w:t>样品：</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w:t>
            </w:r>
          </w:p>
          <w:p>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2</w:t>
            </w:r>
            <w:r>
              <w:rPr>
                <w:rFonts w:hint="eastAsia" w:ascii="Calibri" w:hAnsi="Calibri" w:eastAsia="仿宋"/>
                <w:color w:val="auto"/>
                <w:kern w:val="0"/>
                <w:sz w:val="24"/>
                <w:highlight w:val="none"/>
              </w:rPr>
              <w:t>）</w:t>
            </w:r>
            <w:r>
              <w:rPr>
                <w:rFonts w:hint="eastAsia" w:ascii="Calibri" w:hAnsi="Calibri" w:eastAsia="仿宋"/>
                <w:snapToGrid w:val="0"/>
                <w:color w:val="auto"/>
                <w:kern w:val="28"/>
                <w:sz w:val="24"/>
                <w:highlight w:val="none"/>
              </w:rPr>
              <w:t>样品制作的标准和要求：</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w:t>
            </w:r>
          </w:p>
          <w:p>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3</w:t>
            </w:r>
            <w:r>
              <w:rPr>
                <w:rFonts w:hint="eastAsia" w:ascii="Calibri" w:hAnsi="Calibri" w:eastAsia="仿宋"/>
                <w:color w:val="auto"/>
                <w:kern w:val="0"/>
                <w:sz w:val="24"/>
                <w:highlight w:val="none"/>
              </w:rPr>
              <w:t>）样品的评审方法以及评审标准</w:t>
            </w:r>
            <w:r>
              <w:rPr>
                <w:rFonts w:hint="eastAsia" w:ascii="Calibri" w:hAnsi="Calibri" w:eastAsia="仿宋"/>
                <w:snapToGrid w:val="0"/>
                <w:color w:val="auto"/>
                <w:kern w:val="28"/>
                <w:sz w:val="24"/>
                <w:highlight w:val="none"/>
              </w:rPr>
              <w:t>：详见</w:t>
            </w:r>
            <w:r>
              <w:rPr>
                <w:rFonts w:hint="eastAsia" w:ascii="Calibri" w:hAnsi="Calibri" w:eastAsia="仿宋"/>
                <w:color w:val="auto"/>
                <w:sz w:val="24"/>
                <w:highlight w:val="none"/>
                <w:u w:val="single"/>
              </w:rPr>
              <w:t>评标办法</w:t>
            </w:r>
            <w:r>
              <w:rPr>
                <w:rFonts w:hint="eastAsia" w:ascii="Calibri" w:hAnsi="Calibri" w:eastAsia="仿宋"/>
                <w:color w:val="auto"/>
                <w:kern w:val="0"/>
                <w:sz w:val="24"/>
                <w:highlight w:val="none"/>
              </w:rPr>
              <w:t>；</w:t>
            </w:r>
          </w:p>
          <w:p>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4</w:t>
            </w:r>
            <w:r>
              <w:rPr>
                <w:rFonts w:hint="eastAsia" w:ascii="Calibri" w:hAnsi="Calibri" w:eastAsia="仿宋"/>
                <w:color w:val="auto"/>
                <w:kern w:val="0"/>
                <w:sz w:val="24"/>
                <w:highlight w:val="none"/>
              </w:rPr>
              <w:t>）是否需要随样品提交检测报告：</w:t>
            </w:r>
            <w:r>
              <w:rPr>
                <w:rFonts w:ascii="Segoe UI Symbol" w:hAnsi="Segoe UI Symbol" w:eastAsia="仿宋" w:cs="Segoe UI Symbol"/>
                <w:color w:val="auto"/>
                <w:kern w:val="0"/>
                <w:sz w:val="24"/>
                <w:highlight w:val="none"/>
              </w:rPr>
              <w:t>☐</w:t>
            </w:r>
            <w:r>
              <w:rPr>
                <w:rFonts w:hint="eastAsia" w:ascii="Calibri" w:hAnsi="Calibri" w:eastAsia="仿宋"/>
                <w:color w:val="auto"/>
                <w:kern w:val="0"/>
                <w:sz w:val="24"/>
                <w:highlight w:val="none"/>
              </w:rPr>
              <w:t>否；</w:t>
            </w:r>
            <w:r>
              <w:rPr>
                <w:rFonts w:ascii="Segoe UI Symbol" w:hAnsi="Segoe UI Symbol" w:eastAsia="仿宋" w:cs="Segoe UI Symbol"/>
                <w:color w:val="auto"/>
                <w:kern w:val="0"/>
                <w:sz w:val="24"/>
                <w:highlight w:val="none"/>
              </w:rPr>
              <w:t>☐</w:t>
            </w:r>
            <w:r>
              <w:rPr>
                <w:rFonts w:hint="eastAsia" w:ascii="Calibri" w:hAnsi="Calibri" w:eastAsia="仿宋"/>
                <w:color w:val="auto"/>
                <w:kern w:val="0"/>
                <w:sz w:val="24"/>
                <w:highlight w:val="none"/>
              </w:rPr>
              <w:t>是，检测机构的要求</w:t>
            </w:r>
            <w:r>
              <w:rPr>
                <w:rFonts w:hint="eastAsia" w:ascii="Calibri" w:hAnsi="Calibri" w:eastAsia="仿宋"/>
                <w:color w:val="auto"/>
                <w:sz w:val="24"/>
                <w:highlight w:val="none"/>
              </w:rPr>
              <w:t>：</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；检测内容</w:t>
            </w:r>
            <w:r>
              <w:rPr>
                <w:rFonts w:hint="eastAsia" w:ascii="Calibri" w:hAnsi="Calibri" w:eastAsia="仿宋"/>
                <w:color w:val="auto"/>
                <w:sz w:val="24"/>
                <w:highlight w:val="none"/>
              </w:rPr>
              <w:t>：</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w:t>
            </w:r>
          </w:p>
          <w:p>
            <w:pPr>
              <w:snapToGrid w:val="0"/>
              <w:spacing w:line="360" w:lineRule="auto"/>
              <w:contextualSpacing/>
              <w:rPr>
                <w:rFonts w:ascii="Calibri" w:hAnsi="Calibri" w:eastAsia="仿宋"/>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5</w:t>
            </w:r>
            <w:r>
              <w:rPr>
                <w:rFonts w:hint="eastAsia" w:ascii="Calibri" w:hAnsi="Calibri" w:eastAsia="仿宋"/>
                <w:color w:val="auto"/>
                <w:sz w:val="24"/>
                <w:highlight w:val="none"/>
              </w:rPr>
              <w:t>）提供样品的时间：</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；地点：</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；联系人</w:t>
            </w:r>
            <w:r>
              <w:rPr>
                <w:rFonts w:hint="eastAsia" w:ascii="Calibri" w:hAnsi="Calibri" w:eastAsia="仿宋"/>
                <w:color w:val="auto"/>
                <w:sz w:val="24"/>
                <w:highlight w:val="none"/>
              </w:rPr>
              <w:t>：</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w:t>
            </w:r>
            <w:r>
              <w:rPr>
                <w:rFonts w:hint="eastAsia" w:ascii="Calibri" w:hAnsi="Calibri" w:eastAsia="仿宋"/>
                <w:color w:val="auto"/>
                <w:kern w:val="28"/>
                <w:sz w:val="24"/>
                <w:highlight w:val="none"/>
              </w:rPr>
              <w:t>联系电话：</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。请供应商在上述时间内提供样品并按规定位置安装完毕。超过截止时间的，采购人或采购代理机构将不予接收，并将清场并封闭样品现场。</w:t>
            </w:r>
          </w:p>
          <w:p>
            <w:pPr>
              <w:snapToGrid w:val="0"/>
              <w:spacing w:line="360" w:lineRule="auto"/>
              <w:contextualSpacing/>
              <w:rPr>
                <w:rFonts w:ascii="Calibri" w:hAnsi="Calibri" w:eastAsia="仿宋"/>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6</w:t>
            </w:r>
            <w:r>
              <w:rPr>
                <w:rFonts w:hint="eastAsia" w:ascii="Calibri" w:hAnsi="Calibri" w:eastAsia="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napToGrid w:val="0"/>
              <w:spacing w:line="360" w:lineRule="auto"/>
              <w:contextualSpacing/>
              <w:rPr>
                <w:rFonts w:ascii="Calibri" w:hAnsi="Calibri" w:eastAsia="仿宋" w:cs="宋体"/>
                <w:b/>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7</w:t>
            </w:r>
            <w:r>
              <w:rPr>
                <w:rFonts w:hint="eastAsia" w:ascii="Calibri" w:hAnsi="Calibri" w:eastAsia="仿宋"/>
                <w:color w:val="auto"/>
                <w:sz w:val="24"/>
                <w:highlight w:val="none"/>
              </w:rPr>
              <w:t>）制作、运输、安装和保管样品所发生的一切费用由供应商自理。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Cs/>
                <w:color w:val="auto"/>
                <w:sz w:val="24"/>
                <w:highlight w:val="none"/>
              </w:rPr>
            </w:pPr>
            <w:r>
              <w:rPr>
                <w:rFonts w:hint="eastAsia" w:ascii="Calibri" w:hAnsi="Calibri" w:eastAsia="仿宋" w:cs="宋体"/>
                <w:b/>
                <w:color w:val="auto"/>
                <w:sz w:val="24"/>
                <w:highlight w:val="none"/>
              </w:rPr>
              <w:t>方案讲解演示</w:t>
            </w:r>
          </w:p>
        </w:tc>
        <w:tc>
          <w:tcPr>
            <w:tcW w:w="6803" w:type="dxa"/>
            <w:vAlign w:val="center"/>
          </w:tcPr>
          <w:p>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43"/>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Calibri" w:hAnsi="Calibri" w:eastAsia="仿宋" w:cs="宋体"/>
                <w:color w:val="auto"/>
                <w:kern w:val="0"/>
                <w:sz w:val="24"/>
                <w:highlight w:val="none"/>
              </w:rPr>
              <w:t>A</w:t>
            </w:r>
            <w:r>
              <w:rPr>
                <w:rFonts w:hint="eastAsia" w:ascii="Calibri" w:hAnsi="Calibri" w:eastAsia="仿宋" w:cs="宋体"/>
                <w:color w:val="auto"/>
                <w:sz w:val="24"/>
                <w:highlight w:val="none"/>
              </w:rPr>
              <w:t>不组织。</w:t>
            </w:r>
          </w:p>
          <w:p>
            <w:pPr>
              <w:snapToGrid w:val="0"/>
              <w:spacing w:line="360" w:lineRule="auto"/>
              <w:contextualSpacing/>
              <w:rPr>
                <w:rFonts w:ascii="Calibri" w:hAnsi="Calibri" w:eastAsia="仿宋" w:cs="宋体"/>
                <w:color w:val="auto"/>
                <w:kern w:val="0"/>
                <w:sz w:val="24"/>
                <w:highlight w:val="none"/>
              </w:rPr>
            </w:pPr>
            <w:sdt>
              <w:sdtPr>
                <w:rPr>
                  <w:rFonts w:hint="eastAsia" w:ascii="Calibri" w:hAnsi="Calibri" w:eastAsia="仿宋" w:cs="宋体"/>
                  <w:color w:val="auto"/>
                  <w:kern w:val="0"/>
                  <w:sz w:val="24"/>
                  <w:highlight w:val="none"/>
                </w:rPr>
                <w:id w:val="1174071719"/>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MS Gothic" w:hAnsi="MS Gothic" w:eastAsia="仿宋" w:cs="宋体"/>
                    <w:color w:val="auto"/>
                    <w:kern w:val="0"/>
                    <w:sz w:val="24"/>
                    <w:szCs w:val="24"/>
                    <w:highlight w:val="none"/>
                    <w:lang w:val="en-US" w:eastAsia="zh-CN" w:bidi="ar-SA"/>
                  </w:rPr>
                  <w:t>☐</w:t>
                </w:r>
              </w:sdtContent>
            </w:sdt>
            <w:r>
              <w:rPr>
                <w:rFonts w:hint="eastAsia" w:ascii="Calibri" w:hAnsi="Calibri" w:eastAsia="仿宋" w:cs="宋体"/>
                <w:color w:val="auto"/>
                <w:kern w:val="0"/>
                <w:sz w:val="24"/>
                <w:highlight w:val="none"/>
              </w:rPr>
              <w:t>B组织。</w:t>
            </w:r>
          </w:p>
          <w:p>
            <w:pPr>
              <w:snapToGrid w:val="0"/>
              <w:spacing w:line="360" w:lineRule="auto"/>
              <w:contextualSpacing/>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（1）在评标时安排每个投标人进行方案讲解演示。每个投标人时间不超过</w:t>
            </w:r>
            <w:r>
              <w:rPr>
                <w:rFonts w:hint="eastAsia" w:ascii="Calibri" w:hAnsi="Calibri" w:eastAsia="仿宋" w:cs="宋体"/>
                <w:color w:val="auto"/>
                <w:kern w:val="0"/>
                <w:sz w:val="24"/>
                <w:highlight w:val="none"/>
                <w:u w:val="single"/>
              </w:rPr>
              <w:t>30</w:t>
            </w:r>
            <w:r>
              <w:rPr>
                <w:rFonts w:hint="eastAsia" w:ascii="Calibri" w:hAnsi="Calibri" w:eastAsia="仿宋" w:cs="宋体"/>
                <w:color w:val="auto"/>
                <w:kern w:val="0"/>
                <w:sz w:val="24"/>
                <w:highlight w:val="none"/>
              </w:rPr>
              <w:t>分钟，讲解次序以投标文件解密时间先后次序为准，讲解演示人员不超过</w:t>
            </w:r>
            <w:r>
              <w:rPr>
                <w:rFonts w:ascii="Calibri" w:hAnsi="Calibri" w:eastAsia="仿宋" w:cs="宋体"/>
                <w:color w:val="auto"/>
                <w:kern w:val="0"/>
                <w:sz w:val="24"/>
                <w:highlight w:val="none"/>
                <w:u w:val="single"/>
              </w:rPr>
              <w:t>3</w:t>
            </w:r>
            <w:r>
              <w:rPr>
                <w:rFonts w:hint="eastAsia" w:ascii="Calibri" w:hAnsi="Calibri" w:eastAsia="仿宋" w:cs="宋体"/>
                <w:color w:val="auto"/>
                <w:kern w:val="0"/>
                <w:sz w:val="24"/>
                <w:highlight w:val="none"/>
              </w:rPr>
              <w:t>人。讲解演示结束后按要求解答评标委员会提问。</w:t>
            </w:r>
          </w:p>
          <w:p>
            <w:pPr>
              <w:snapToGrid w:val="0"/>
              <w:spacing w:line="360" w:lineRule="auto"/>
              <w:contextualSpacing/>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（2）方案讲解演示可选择以下其中一种方式：</w:t>
            </w:r>
          </w:p>
          <w:p>
            <w:pPr>
              <w:snapToGrid w:val="0"/>
              <w:spacing w:line="360" w:lineRule="auto"/>
              <w:contextualSpacing/>
              <w:rPr>
                <w:rFonts w:ascii="Calibri" w:hAnsi="Calibri" w:eastAsia="仿宋"/>
                <w:color w:val="auto"/>
                <w:kern w:val="0"/>
                <w:sz w:val="24"/>
                <w:highlight w:val="none"/>
              </w:rPr>
            </w:pPr>
            <w:sdt>
              <w:sdtPr>
                <w:rPr>
                  <w:rFonts w:hint="eastAsia" w:ascii="Calibri" w:hAnsi="Calibri" w:eastAsia="仿宋" w:cs="宋体"/>
                  <w:color w:val="auto"/>
                  <w:kern w:val="0"/>
                  <w:sz w:val="24"/>
                  <w:highlight w:val="none"/>
                </w:rPr>
                <w:id w:val="742374729"/>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b/>
                <w:bCs/>
                <w:color w:val="auto"/>
                <w:kern w:val="0"/>
                <w:sz w:val="24"/>
                <w:highlight w:val="none"/>
              </w:rPr>
              <w:t>方式一：</w:t>
            </w:r>
            <w:r>
              <w:rPr>
                <w:rFonts w:hint="eastAsia" w:ascii="Calibri" w:hAnsi="Calibri" w:eastAsia="仿宋"/>
                <w:color w:val="auto"/>
                <w:kern w:val="0"/>
                <w:sz w:val="24"/>
                <w:highlight w:val="none"/>
              </w:rPr>
              <w:t>政采云平台在线讲解演示。政采云平台在线讲解需供应商根据政采云平台操作要求做好准备工作，提前完善软硬件配置环境。</w:t>
            </w:r>
          </w:p>
          <w:p>
            <w:pPr>
              <w:snapToGrid w:val="0"/>
              <w:spacing w:line="360" w:lineRule="auto"/>
              <w:contextualSpacing/>
              <w:rPr>
                <w:rFonts w:ascii="Calibri" w:hAnsi="Calibri" w:eastAsia="仿宋"/>
                <w:b/>
                <w:bCs/>
                <w:color w:val="auto"/>
                <w:kern w:val="0"/>
                <w:sz w:val="24"/>
                <w:highlight w:val="none"/>
              </w:rPr>
            </w:pPr>
            <w:sdt>
              <w:sdtPr>
                <w:rPr>
                  <w:rFonts w:hint="eastAsia" w:ascii="Calibri" w:hAnsi="Calibri" w:eastAsia="仿宋" w:cs="宋体"/>
                  <w:color w:val="auto"/>
                  <w:kern w:val="0"/>
                  <w:sz w:val="24"/>
                  <w:highlight w:val="none"/>
                </w:rPr>
                <w:id w:val="46"/>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MS Gothic" w:hAnsi="MS Gothic" w:eastAsia="仿宋" w:cs="宋体"/>
                    <w:color w:val="auto"/>
                    <w:kern w:val="0"/>
                    <w:sz w:val="24"/>
                    <w:szCs w:val="24"/>
                    <w:highlight w:val="none"/>
                    <w:lang w:val="en-US" w:eastAsia="zh-CN" w:bidi="ar-SA"/>
                  </w:rPr>
                  <w:t>☐</w:t>
                </w:r>
              </w:sdtContent>
            </w:sdt>
            <w:r>
              <w:rPr>
                <w:rFonts w:hint="eastAsia" w:ascii="Calibri" w:hAnsi="Calibri" w:eastAsia="仿宋"/>
                <w:b/>
                <w:bCs/>
                <w:color w:val="auto"/>
                <w:kern w:val="0"/>
                <w:sz w:val="24"/>
                <w:highlight w:val="none"/>
              </w:rPr>
              <w:t>方式二：</w:t>
            </w:r>
            <w:r>
              <w:rPr>
                <w:rFonts w:hint="eastAsia" w:ascii="Calibri" w:hAnsi="Calibri" w:eastAsia="仿宋"/>
                <w:color w:val="auto"/>
                <w:kern w:val="0"/>
                <w:sz w:val="24"/>
                <w:highlight w:val="none"/>
              </w:rPr>
              <w:t>代理机构评标场所</w:t>
            </w:r>
            <w:r>
              <w:rPr>
                <w:rFonts w:hint="eastAsia" w:ascii="Calibri" w:hAnsi="Calibri" w:eastAsia="仿宋" w:cs="仿宋"/>
                <w:color w:val="auto"/>
                <w:kern w:val="0"/>
                <w:sz w:val="24"/>
                <w:highlight w:val="none"/>
              </w:rPr>
              <w:t>现场讲解演示。</w:t>
            </w:r>
            <w:r>
              <w:rPr>
                <w:rFonts w:hint="eastAsia" w:ascii="Calibri" w:hAnsi="Calibri" w:eastAsia="仿宋"/>
                <w:color w:val="auto"/>
                <w:kern w:val="0"/>
                <w:sz w:val="24"/>
                <w:highlight w:val="none"/>
              </w:rPr>
              <w:t>现场演示人员进场时</w:t>
            </w:r>
            <w:r>
              <w:rPr>
                <w:rFonts w:hint="eastAsia" w:ascii="Calibri" w:hAnsi="Calibri" w:eastAsia="仿宋"/>
                <w:b/>
                <w:bCs/>
                <w:color w:val="auto"/>
                <w:kern w:val="0"/>
                <w:sz w:val="24"/>
                <w:highlight w:val="none"/>
              </w:rPr>
              <w:t>须携带</w:t>
            </w:r>
            <w:r>
              <w:rPr>
                <w:rFonts w:hint="eastAsia" w:ascii="Calibri" w:hAnsi="Calibri" w:eastAsia="仿宋"/>
                <w:color w:val="auto"/>
                <w:kern w:val="0"/>
                <w:sz w:val="24"/>
                <w:highlight w:val="none"/>
                <w:u w:val="single"/>
              </w:rPr>
              <w:t>身份证、授权委托书（详见采购文件格式范例附件8，法定代表人可不携带）</w:t>
            </w:r>
            <w:r>
              <w:rPr>
                <w:rFonts w:hint="eastAsia" w:ascii="Calibri" w:hAnsi="Calibri" w:eastAsia="仿宋"/>
                <w:color w:val="auto"/>
                <w:kern w:val="0"/>
                <w:sz w:val="24"/>
                <w:highlight w:val="none"/>
              </w:rPr>
              <w:t>，否则不得进场。现场演示后按要求解答评标委员会的提问。</w:t>
            </w:r>
            <w:r>
              <w:rPr>
                <w:rFonts w:hint="eastAsia" w:ascii="Calibri" w:hAnsi="Calibri" w:eastAsia="仿宋"/>
                <w:b/>
                <w:bCs/>
                <w:color w:val="auto"/>
                <w:kern w:val="0"/>
                <w:sz w:val="24"/>
                <w:highlight w:val="none"/>
              </w:rPr>
              <w:t>讲解等候地点</w:t>
            </w:r>
            <w:r>
              <w:rPr>
                <w:rFonts w:hint="eastAsia" w:ascii="Calibri" w:hAnsi="Calibri" w:eastAsia="仿宋"/>
                <w:color w:val="auto"/>
                <w:kern w:val="0"/>
                <w:sz w:val="24"/>
                <w:highlight w:val="none"/>
              </w:rPr>
              <w:t>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u w:val="single"/>
              </w:rPr>
              <w:t>杭州市古墩路701号紫金广场A座15楼1</w:t>
            </w:r>
            <w:r>
              <w:rPr>
                <w:rFonts w:ascii="Calibri" w:hAnsi="Calibri" w:eastAsia="仿宋"/>
                <w:color w:val="auto"/>
                <w:sz w:val="24"/>
                <w:highlight w:val="none"/>
                <w:u w:val="single"/>
              </w:rPr>
              <w:t>505</w:t>
            </w:r>
            <w:r>
              <w:rPr>
                <w:rFonts w:hint="eastAsia" w:ascii="Calibri" w:hAnsi="Calibri" w:eastAsia="仿宋"/>
                <w:color w:val="auto"/>
                <w:sz w:val="24"/>
                <w:highlight w:val="none"/>
                <w:u w:val="single"/>
              </w:rPr>
              <w:t>开标室</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w:t>
            </w:r>
            <w:r>
              <w:rPr>
                <w:rFonts w:hint="eastAsia" w:ascii="Calibri" w:hAnsi="Calibri" w:eastAsia="仿宋"/>
                <w:b/>
                <w:bCs/>
                <w:color w:val="auto"/>
                <w:kern w:val="0"/>
                <w:sz w:val="24"/>
                <w:highlight w:val="none"/>
              </w:rPr>
              <w:t>现场讲解地点</w:t>
            </w:r>
            <w:r>
              <w:rPr>
                <w:rFonts w:hint="eastAsia" w:ascii="Calibri" w:hAnsi="Calibri" w:eastAsia="仿宋"/>
                <w:color w:val="auto"/>
                <w:kern w:val="0"/>
                <w:sz w:val="24"/>
                <w:highlight w:val="none"/>
              </w:rPr>
              <w:t>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u w:val="single"/>
              </w:rPr>
              <w:t>杭州市古墩路701号紫金广场A座15楼评标室</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，讲解演示所用电脑等设备由供应商自备。</w:t>
            </w:r>
            <w:r>
              <w:rPr>
                <w:rFonts w:hint="eastAsia" w:ascii="Calibri" w:hAnsi="Calibri" w:eastAsia="仿宋"/>
                <w:b/>
                <w:bCs/>
                <w:color w:val="auto"/>
                <w:kern w:val="0"/>
                <w:sz w:val="24"/>
                <w:highlight w:val="none"/>
              </w:rPr>
              <w:t>现场讲解演示人员进场时提供讲解人员名单（加盖公章）及身份证明，否则不得讲解演示。</w:t>
            </w:r>
          </w:p>
          <w:p>
            <w:pPr>
              <w:snapToGrid w:val="0"/>
              <w:spacing w:line="360" w:lineRule="auto"/>
              <w:contextualSpacing/>
              <w:rPr>
                <w:rFonts w:ascii="Calibri" w:hAnsi="Calibri" w:eastAsia="仿宋" w:cs="宋体"/>
                <w:b/>
                <w:color w:val="auto"/>
                <w:kern w:val="0"/>
                <w:sz w:val="24"/>
                <w:highlight w:val="none"/>
                <w:lang w:val="zh-CN"/>
              </w:rPr>
            </w:pPr>
            <w:r>
              <w:rPr>
                <w:rFonts w:hint="eastAsia" w:ascii="Calibri" w:hAnsi="Calibri" w:eastAsia="仿宋"/>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629" w:type="dxa"/>
            <w:vMerge w:val="restart"/>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Merge w:val="restart"/>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供应商应当提供的资格、资信证明文件</w:t>
            </w:r>
          </w:p>
        </w:tc>
        <w:tc>
          <w:tcPr>
            <w:tcW w:w="6803" w:type="dxa"/>
            <w:vAlign w:val="center"/>
          </w:tcPr>
          <w:p>
            <w:pPr>
              <w:snapToGrid w:val="0"/>
              <w:spacing w:line="360" w:lineRule="auto"/>
              <w:contextualSpacing/>
              <w:rPr>
                <w:rFonts w:ascii="Calibri" w:hAnsi="Calibri" w:eastAsia="仿宋"/>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1</w:t>
            </w:r>
            <w:r>
              <w:rPr>
                <w:rFonts w:hint="eastAsia" w:ascii="Calibri" w:hAnsi="Calibri" w:eastAsia="仿宋"/>
                <w:color w:val="auto"/>
                <w:sz w:val="24"/>
                <w:highlight w:val="none"/>
              </w:rPr>
              <w:t>）资格证明文件：见采购文件第二部分</w:t>
            </w:r>
            <w:r>
              <w:rPr>
                <w:rFonts w:ascii="Calibri" w:hAnsi="Calibri" w:eastAsia="仿宋"/>
                <w:color w:val="auto"/>
                <w:sz w:val="24"/>
                <w:highlight w:val="none"/>
              </w:rPr>
              <w:t>11.1</w:t>
            </w:r>
            <w:r>
              <w:rPr>
                <w:rFonts w:hint="eastAsia" w:ascii="Calibri" w:hAnsi="Calibri" w:eastAsia="仿宋"/>
                <w:color w:val="auto"/>
                <w:sz w:val="24"/>
                <w:highlight w:val="none"/>
              </w:rPr>
              <w:t>。</w:t>
            </w:r>
          </w:p>
          <w:p>
            <w:pPr>
              <w:snapToGrid w:val="0"/>
              <w:spacing w:line="360" w:lineRule="auto"/>
              <w:contextualSpacing/>
              <w:rPr>
                <w:rFonts w:ascii="Calibri" w:hAnsi="Calibri" w:eastAsia="仿宋" w:cs="宋体"/>
                <w:snapToGrid w:val="0"/>
                <w:color w:val="auto"/>
                <w:kern w:val="0"/>
                <w:szCs w:val="21"/>
                <w:highlight w:val="none"/>
              </w:rPr>
            </w:pPr>
            <w:r>
              <w:rPr>
                <w:rFonts w:hint="eastAsia" w:ascii="Calibri" w:hAnsi="Calibri" w:eastAsia="仿宋"/>
                <w:color w:val="auto"/>
                <w:kern w:val="0"/>
                <w:sz w:val="24"/>
                <w:highlight w:val="none"/>
                <w:lang w:val="zh-CN"/>
              </w:rPr>
              <w:t>供应商未提供有效的资格证明文件的，视为供应商不具备采购文件中规定的资格要求，投标无效。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Merge w:val="continue"/>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Merge w:val="continue"/>
            <w:vAlign w:val="center"/>
          </w:tcPr>
          <w:p>
            <w:pPr>
              <w:snapToGrid w:val="0"/>
              <w:jc w:val="center"/>
              <w:rPr>
                <w:rFonts w:ascii="Calibri" w:hAnsi="Calibri" w:eastAsia="仿宋" w:cs="宋体"/>
                <w:b/>
                <w:color w:val="auto"/>
                <w:sz w:val="24"/>
                <w:highlight w:val="none"/>
              </w:rPr>
            </w:pPr>
          </w:p>
        </w:tc>
        <w:tc>
          <w:tcPr>
            <w:tcW w:w="6803" w:type="dxa"/>
            <w:vAlign w:val="center"/>
          </w:tcPr>
          <w:p>
            <w:pPr>
              <w:snapToGrid w:val="0"/>
              <w:spacing w:line="360" w:lineRule="auto"/>
              <w:contextualSpacing/>
              <w:rPr>
                <w:rFonts w:ascii="Calibri" w:hAnsi="Calibri" w:eastAsia="仿宋" w:cs="宋体"/>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2</w:t>
            </w:r>
            <w:r>
              <w:rPr>
                <w:rFonts w:hint="eastAsia" w:ascii="Calibri" w:hAnsi="Calibri" w:eastAsia="仿宋"/>
                <w:color w:val="auto"/>
                <w:sz w:val="24"/>
                <w:highlight w:val="none"/>
              </w:rPr>
              <w:t>）资信证明文件：根据采购文件第四部分评标标准提供。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节能产品、环境标志产品</w:t>
            </w:r>
          </w:p>
        </w:tc>
        <w:tc>
          <w:tcPr>
            <w:tcW w:w="6803" w:type="dxa"/>
            <w:vAlign w:val="center"/>
          </w:tcPr>
          <w:p>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严格执行《财政部 发展改革委 生态环境部 市场监管总局关于调整优化节能产品、环境标志产品政府采购执行机制的通知》（财库〔2019〕9 号）。</w:t>
            </w:r>
          </w:p>
          <w:p>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0"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报价要求</w:t>
            </w:r>
          </w:p>
        </w:tc>
        <w:tc>
          <w:tcPr>
            <w:tcW w:w="6803" w:type="dxa"/>
            <w:vAlign w:val="center"/>
          </w:tcPr>
          <w:p>
            <w:pPr>
              <w:snapToGrid w:val="0"/>
              <w:spacing w:line="360" w:lineRule="auto"/>
              <w:contextualSpacing/>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有关本项目实施所需的所有费用（含税费）均计入报价。</w:t>
            </w:r>
            <w:r>
              <w:rPr>
                <w:rFonts w:hint="eastAsia" w:ascii="Calibri" w:hAnsi="Calibri" w:eastAsia="仿宋" w:cs="宋体"/>
                <w:b/>
                <w:bCs/>
                <w:color w:val="auto"/>
                <w:kern w:val="0"/>
                <w:sz w:val="24"/>
                <w:highlight w:val="none"/>
                <w:lang w:val="zh-CN"/>
              </w:rPr>
              <w:t>投标文件</w:t>
            </w:r>
            <w:r>
              <w:rPr>
                <w:rFonts w:hint="eastAsia" w:ascii="Calibri" w:hAnsi="Calibri" w:eastAsia="仿宋"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Calibri" w:hAnsi="Calibri" w:eastAsia="仿宋"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提醒：验收时检测费用由采购人承担，不包含在投标总价中。</w:t>
            </w:r>
          </w:p>
          <w:p>
            <w:pPr>
              <w:snapToGrid w:val="0"/>
              <w:spacing w:line="360" w:lineRule="auto"/>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投标报价出现下列情形的，投标无效：</w:t>
            </w:r>
          </w:p>
          <w:p>
            <w:pPr>
              <w:snapToGrid w:val="0"/>
              <w:spacing w:line="360" w:lineRule="auto"/>
              <w:ind w:firstLine="241" w:firstLineChars="100"/>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投标文件出现不是唯一的、有选择性投标报价的；</w:t>
            </w:r>
          </w:p>
          <w:p>
            <w:pPr>
              <w:snapToGrid w:val="0"/>
              <w:spacing w:line="360" w:lineRule="auto"/>
              <w:ind w:firstLine="241" w:firstLineChars="100"/>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投标报价超过招标文件中规定的预算金额或者最高限价的;</w:t>
            </w:r>
          </w:p>
          <w:p>
            <w:pPr>
              <w:snapToGrid w:val="0"/>
              <w:spacing w:line="360" w:lineRule="auto"/>
              <w:ind w:firstLine="241" w:firstLineChars="100"/>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pPr>
              <w:snapToGrid w:val="0"/>
              <w:spacing w:line="360" w:lineRule="auto"/>
              <w:ind w:firstLine="241" w:firstLineChars="100"/>
              <w:contextualSpacing/>
              <w:rPr>
                <w:rFonts w:ascii="Calibri" w:hAnsi="Calibri" w:eastAsia="仿宋" w:cs="宋体"/>
                <w:color w:val="auto"/>
                <w:sz w:val="24"/>
                <w:highlight w:val="none"/>
              </w:rPr>
            </w:pPr>
            <w:r>
              <w:rPr>
                <w:rFonts w:hint="eastAsia" w:ascii="Calibri" w:hAnsi="Calibri" w:eastAsia="仿宋" w:cs="宋体"/>
                <w:b/>
                <w:color w:val="auto"/>
                <w:kern w:val="0"/>
                <w:sz w:val="24"/>
                <w:highlight w:val="none"/>
                <w:lang w:val="zh-CN"/>
              </w:rPr>
              <w:t>投标人对根据修正原则修正后的报价不确认的</w:t>
            </w:r>
            <w:r>
              <w:rPr>
                <w:rFonts w:hint="eastAsia" w:ascii="Calibri" w:hAnsi="Calibri" w:eastAsia="仿宋" w:cs="宋体"/>
                <w:b/>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4"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中小企业信用融资</w:t>
            </w:r>
          </w:p>
        </w:tc>
        <w:tc>
          <w:tcPr>
            <w:tcW w:w="6803" w:type="dxa"/>
            <w:vAlign w:val="center"/>
          </w:tcPr>
          <w:p>
            <w:pPr>
              <w:snapToGrid w:val="0"/>
              <w:spacing w:line="360" w:lineRule="auto"/>
              <w:ind w:firstLine="480" w:firstLineChars="200"/>
              <w:contextualSpacing/>
              <w:rPr>
                <w:rFonts w:ascii="Calibri" w:hAnsi="Calibri" w:eastAsia="仿宋"/>
                <w:color w:val="auto"/>
                <w:highlight w:val="none"/>
              </w:rPr>
            </w:pPr>
            <w:r>
              <w:rPr>
                <w:rFonts w:hint="eastAsia" w:ascii="Calibri" w:hAnsi="Calibri" w:eastAsia="仿宋"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5"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备份投标文件送达地点和签收人员</w:t>
            </w:r>
          </w:p>
        </w:tc>
        <w:tc>
          <w:tcPr>
            <w:tcW w:w="6803" w:type="dxa"/>
            <w:vAlign w:val="center"/>
          </w:tcPr>
          <w:p>
            <w:pPr>
              <w:snapToGrid w:val="0"/>
              <w:spacing w:line="360" w:lineRule="auto"/>
              <w:contextualSpacing/>
              <w:rPr>
                <w:rFonts w:ascii="Calibri" w:hAnsi="Calibri" w:eastAsia="仿宋" w:cs="仿宋_GB2312"/>
                <w:snapToGrid w:val="0"/>
                <w:color w:val="auto"/>
                <w:sz w:val="24"/>
                <w:highlight w:val="none"/>
              </w:rPr>
            </w:pPr>
            <w:r>
              <w:rPr>
                <w:rFonts w:hint="eastAsia" w:ascii="Calibri" w:hAnsi="Calibri" w:eastAsia="仿宋"/>
                <w:snapToGrid w:val="0"/>
                <w:color w:val="auto"/>
                <w:kern w:val="28"/>
                <w:sz w:val="24"/>
                <w:highlight w:val="none"/>
              </w:rPr>
              <w:t>①备份投标文件送达地点：</w:t>
            </w:r>
            <w:r>
              <w:rPr>
                <w:rFonts w:hint="eastAsia" w:ascii="Calibri" w:hAnsi="Calibri" w:eastAsia="仿宋" w:cs="Arial"/>
                <w:snapToGrid w:val="0"/>
                <w:color w:val="auto"/>
                <w:sz w:val="24"/>
                <w:szCs w:val="21"/>
                <w:highlight w:val="none"/>
                <w:u w:val="single"/>
              </w:rPr>
              <w:t>杭州市古墩路</w:t>
            </w:r>
            <w:r>
              <w:rPr>
                <w:rFonts w:ascii="Calibri" w:hAnsi="Calibri" w:eastAsia="仿宋" w:cs="Arial"/>
                <w:snapToGrid w:val="0"/>
                <w:color w:val="auto"/>
                <w:sz w:val="24"/>
                <w:szCs w:val="21"/>
                <w:highlight w:val="none"/>
                <w:u w:val="single"/>
              </w:rPr>
              <w:t>701</w:t>
            </w:r>
            <w:r>
              <w:rPr>
                <w:rFonts w:hint="eastAsia" w:ascii="Calibri" w:hAnsi="Calibri" w:eastAsia="仿宋" w:cs="Arial"/>
                <w:snapToGrid w:val="0"/>
                <w:color w:val="auto"/>
                <w:sz w:val="24"/>
                <w:szCs w:val="21"/>
                <w:highlight w:val="none"/>
                <w:u w:val="single"/>
              </w:rPr>
              <w:t>号紫金广场</w:t>
            </w:r>
            <w:r>
              <w:rPr>
                <w:rFonts w:ascii="Calibri" w:hAnsi="Calibri" w:eastAsia="仿宋" w:cs="Arial"/>
                <w:snapToGrid w:val="0"/>
                <w:color w:val="auto"/>
                <w:sz w:val="24"/>
                <w:szCs w:val="21"/>
                <w:highlight w:val="none"/>
                <w:u w:val="single"/>
              </w:rPr>
              <w:t>A</w:t>
            </w:r>
            <w:r>
              <w:rPr>
                <w:rFonts w:hint="eastAsia" w:ascii="Calibri" w:hAnsi="Calibri" w:eastAsia="仿宋" w:cs="Arial"/>
                <w:snapToGrid w:val="0"/>
                <w:color w:val="auto"/>
                <w:sz w:val="24"/>
                <w:szCs w:val="21"/>
                <w:highlight w:val="none"/>
                <w:u w:val="single"/>
              </w:rPr>
              <w:t>座</w:t>
            </w:r>
            <w:r>
              <w:rPr>
                <w:rFonts w:ascii="Calibri" w:hAnsi="Calibri" w:eastAsia="仿宋" w:cs="Arial"/>
                <w:snapToGrid w:val="0"/>
                <w:color w:val="auto"/>
                <w:sz w:val="24"/>
                <w:szCs w:val="21"/>
                <w:highlight w:val="none"/>
                <w:u w:val="single"/>
              </w:rPr>
              <w:t>1205</w:t>
            </w:r>
            <w:r>
              <w:rPr>
                <w:rFonts w:hint="eastAsia" w:ascii="Calibri" w:hAnsi="Calibri" w:eastAsia="仿宋" w:cs="Arial"/>
                <w:snapToGrid w:val="0"/>
                <w:color w:val="auto"/>
                <w:sz w:val="24"/>
                <w:szCs w:val="21"/>
                <w:highlight w:val="none"/>
                <w:u w:val="single"/>
              </w:rPr>
              <w:t>室</w:t>
            </w:r>
            <w:r>
              <w:rPr>
                <w:rFonts w:hint="eastAsia" w:ascii="Calibri" w:hAnsi="Calibri" w:eastAsia="仿宋"/>
                <w:snapToGrid w:val="0"/>
                <w:color w:val="auto"/>
                <w:kern w:val="28"/>
                <w:sz w:val="24"/>
                <w:highlight w:val="none"/>
              </w:rPr>
              <w:t>；备份投标文件签收人员联系电话：</w:t>
            </w:r>
            <w:r>
              <w:rPr>
                <w:rFonts w:hint="eastAsia" w:ascii="Calibri" w:hAnsi="Calibri" w:eastAsia="仿宋"/>
                <w:snapToGrid w:val="0"/>
                <w:color w:val="auto"/>
                <w:kern w:val="28"/>
                <w:sz w:val="24"/>
                <w:highlight w:val="none"/>
                <w:u w:val="single"/>
                <w:lang w:val="en-US" w:eastAsia="zh-CN"/>
              </w:rPr>
              <w:t>张蒙磊</w:t>
            </w:r>
            <w:r>
              <w:rPr>
                <w:rFonts w:hint="eastAsia" w:ascii="Calibri" w:hAnsi="Calibri" w:eastAsia="仿宋"/>
                <w:snapToGrid w:val="0"/>
                <w:color w:val="auto"/>
                <w:kern w:val="28"/>
                <w:sz w:val="24"/>
                <w:highlight w:val="none"/>
                <w:u w:val="single"/>
              </w:rPr>
              <w:t>，</w:t>
            </w:r>
            <w:r>
              <w:rPr>
                <w:rFonts w:hint="eastAsia" w:ascii="Calibri" w:hAnsi="Calibri" w:eastAsia="仿宋" w:cs="Arial"/>
                <w:snapToGrid w:val="0"/>
                <w:color w:val="auto"/>
                <w:sz w:val="24"/>
                <w:szCs w:val="21"/>
                <w:highlight w:val="none"/>
                <w:u w:val="single"/>
                <w:lang w:val="en-US" w:eastAsia="zh-CN"/>
              </w:rPr>
              <w:t>13420598089</w:t>
            </w:r>
            <w:r>
              <w:rPr>
                <w:rFonts w:hint="eastAsia" w:ascii="Calibri" w:hAnsi="Calibri" w:eastAsia="仿宋" w:cs="仿宋_GB2312"/>
                <w:snapToGrid w:val="0"/>
                <w:color w:val="auto"/>
                <w:sz w:val="24"/>
                <w:highlight w:val="none"/>
              </w:rPr>
              <w:t>。</w:t>
            </w:r>
          </w:p>
          <w:p>
            <w:pPr>
              <w:snapToGrid w:val="0"/>
              <w:spacing w:line="360" w:lineRule="auto"/>
              <w:contextualSpacing/>
              <w:rPr>
                <w:rFonts w:ascii="Calibri" w:hAnsi="Calibri" w:eastAsia="仿宋" w:cs="仿宋"/>
                <w:snapToGrid w:val="0"/>
                <w:color w:val="auto"/>
                <w:kern w:val="0"/>
                <w:sz w:val="24"/>
                <w:highlight w:val="none"/>
              </w:rPr>
            </w:pPr>
            <w:r>
              <w:rPr>
                <w:color w:val="auto"/>
                <w:highlight w:val="none"/>
              </w:rPr>
              <w:fldChar w:fldCharType="begin"/>
            </w:r>
            <w:r>
              <w:rPr>
                <w:color w:val="auto"/>
                <w:highlight w:val="none"/>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color w:val="auto"/>
                <w:highlight w:val="none"/>
              </w:rPr>
              <w:fldChar w:fldCharType="separate"/>
            </w:r>
            <w:r>
              <w:rPr>
                <w:rFonts w:hint="eastAsia" w:ascii="Calibri" w:hAnsi="Calibri" w:eastAsia="仿宋" w:cs="仿宋"/>
                <w:snapToGrid w:val="0"/>
                <w:color w:val="auto"/>
                <w:kern w:val="0"/>
                <w:sz w:val="24"/>
                <w:highlight w:val="none"/>
              </w:rPr>
              <w:t>②供应商可在</w:t>
            </w:r>
            <w:r>
              <w:rPr>
                <w:rFonts w:hint="eastAsia" w:ascii="Calibri" w:hAnsi="Calibri" w:eastAsia="仿宋" w:cs="宋体"/>
                <w:color w:val="auto"/>
                <w:sz w:val="24"/>
                <w:highlight w:val="none"/>
                <w:lang w:eastAsia="zh-CN"/>
              </w:rPr>
              <w:t>2024年5月17日9点30分00秒</w:t>
            </w:r>
            <w:r>
              <w:rPr>
                <w:rFonts w:hint="eastAsia" w:ascii="Calibri" w:hAnsi="Calibri" w:eastAsia="仿宋" w:cs="仿宋"/>
                <w:snapToGrid w:val="0"/>
                <w:color w:val="auto"/>
                <w:kern w:val="0"/>
                <w:sz w:val="24"/>
                <w:highlight w:val="none"/>
              </w:rPr>
              <w:t>前将在政采云平台上最后生成的具备电子签章的备份加密投标文件（文件名后缀为</w:t>
            </w:r>
            <w:r>
              <w:rPr>
                <w:rFonts w:ascii="Calibri" w:hAnsi="Calibri" w:eastAsia="仿宋" w:cs="仿宋"/>
                <w:snapToGrid w:val="0"/>
                <w:color w:val="auto"/>
                <w:kern w:val="0"/>
                <w:sz w:val="24"/>
                <w:highlight w:val="none"/>
              </w:rPr>
              <w:t>.bfbs</w:t>
            </w:r>
            <w:r>
              <w:rPr>
                <w:rFonts w:hint="eastAsia" w:ascii="Calibri" w:hAnsi="Calibri" w:eastAsia="仿宋" w:cs="仿宋"/>
                <w:snapToGrid w:val="0"/>
                <w:color w:val="auto"/>
                <w:kern w:val="0"/>
                <w:sz w:val="24"/>
                <w:highlight w:val="none"/>
              </w:rPr>
              <w:t>）以电子邮件方式传送至浙江省成套工程有限公司邮箱（</w:t>
            </w:r>
            <w:r>
              <w:rPr>
                <w:rFonts w:hint="eastAsia" w:ascii="Calibri" w:hAnsi="Calibri" w:eastAsia="仿宋" w:cs="仿宋"/>
                <w:snapToGrid w:val="0"/>
                <w:color w:val="auto"/>
                <w:kern w:val="0"/>
                <w:sz w:val="24"/>
                <w:highlight w:val="none"/>
                <w:lang w:val="en-US" w:eastAsia="zh-CN"/>
              </w:rPr>
              <w:t>297755869</w:t>
            </w:r>
            <w:r>
              <w:rPr>
                <w:rFonts w:ascii="Calibri" w:hAnsi="Calibri" w:eastAsia="仿宋" w:cs="仿宋"/>
                <w:snapToGrid w:val="0"/>
                <w:color w:val="auto"/>
                <w:kern w:val="0"/>
                <w:sz w:val="24"/>
                <w:highlight w:val="none"/>
              </w:rPr>
              <w:t>@qq.com</w:t>
            </w:r>
            <w:r>
              <w:rPr>
                <w:rFonts w:hint="eastAsia" w:ascii="Calibri" w:hAnsi="Calibri" w:eastAsia="仿宋" w:cs="仿宋"/>
                <w:snapToGrid w:val="0"/>
                <w:color w:val="auto"/>
                <w:kern w:val="0"/>
                <w:sz w:val="24"/>
                <w:highlight w:val="none"/>
              </w:rPr>
              <w:t>）</w:t>
            </w:r>
            <w:r>
              <w:rPr>
                <w:rFonts w:ascii="Calibri" w:hAnsi="Calibri" w:eastAsia="仿宋" w:cs="仿宋"/>
                <w:snapToGrid w:val="0"/>
                <w:color w:val="auto"/>
                <w:kern w:val="0"/>
                <w:sz w:val="24"/>
                <w:highlight w:val="none"/>
              </w:rPr>
              <w:t>,</w:t>
            </w:r>
            <w:r>
              <w:rPr>
                <w:rFonts w:hint="eastAsia" w:ascii="Calibri" w:hAnsi="Calibri" w:eastAsia="仿宋" w:cs="仿宋"/>
                <w:snapToGrid w:val="0"/>
                <w:color w:val="auto"/>
                <w:kern w:val="0"/>
                <w:sz w:val="24"/>
                <w:highlight w:val="none"/>
              </w:rPr>
              <w:t>未按规定时间递交备份文件的供应商自行承担该风险。</w:t>
            </w:r>
            <w:r>
              <w:rPr>
                <w:rFonts w:hint="eastAsia" w:ascii="Calibri" w:hAnsi="Calibri" w:eastAsia="仿宋" w:cs="仿宋"/>
                <w:snapToGrid w:val="0"/>
                <w:color w:val="auto"/>
                <w:kern w:val="0"/>
                <w:sz w:val="24"/>
                <w:highlight w:val="none"/>
              </w:rPr>
              <w:fldChar w:fldCharType="end"/>
            </w:r>
          </w:p>
          <w:p>
            <w:pPr>
              <w:snapToGrid w:val="0"/>
              <w:spacing w:line="360" w:lineRule="auto"/>
              <w:contextualSpacing/>
              <w:rPr>
                <w:rFonts w:ascii="Calibri" w:hAnsi="Calibri" w:eastAsia="仿宋" w:cs="仿宋_GB2312"/>
                <w:snapToGrid w:val="0"/>
                <w:color w:val="auto"/>
                <w:sz w:val="24"/>
                <w:highlight w:val="none"/>
              </w:rPr>
            </w:pPr>
            <w:r>
              <w:rPr>
                <w:rFonts w:hint="eastAsia" w:ascii="Calibri" w:hAnsi="Calibri" w:eastAsia="仿宋" w:cs="仿宋_GB2312"/>
                <w:b/>
                <w:snapToGrid w:val="0"/>
                <w:color w:val="auto"/>
                <w:sz w:val="24"/>
                <w:highlight w:val="none"/>
              </w:rPr>
              <w:t>以上二种方式任选其一即可。</w:t>
            </w:r>
          </w:p>
          <w:p>
            <w:pPr>
              <w:snapToGrid w:val="0"/>
              <w:spacing w:line="360" w:lineRule="auto"/>
              <w:contextualSpacing/>
              <w:rPr>
                <w:rFonts w:ascii="Calibri" w:hAnsi="Calibri" w:eastAsia="仿宋" w:cs="宋体"/>
                <w:snapToGrid w:val="0"/>
                <w:color w:val="auto"/>
                <w:kern w:val="28"/>
                <w:sz w:val="24"/>
                <w:szCs w:val="21"/>
                <w:highlight w:val="none"/>
              </w:rPr>
            </w:pPr>
            <w:r>
              <w:rPr>
                <w:rFonts w:hint="eastAsia" w:ascii="Calibri" w:hAnsi="Calibri" w:eastAsia="仿宋" w:cs="仿宋_GB2312"/>
                <w:b/>
                <w:color w:val="auto"/>
                <w:sz w:val="24"/>
                <w:highlight w:val="none"/>
              </w:rPr>
              <w:t>采购人、采购代理机构不强制或变相强制供应商提交备份投标文件。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代理服务费</w:t>
            </w:r>
          </w:p>
        </w:tc>
        <w:tc>
          <w:tcPr>
            <w:tcW w:w="6803"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本次采购代理服务费依据浙价服【2003】77号文件规定收费标准收取（不足捌仟元按捌仟元收取），采购代理服务费包含在投标总价中，由</w:t>
            </w:r>
            <w:r>
              <w:rPr>
                <w:rFonts w:hint="eastAsia" w:ascii="仿宋" w:hAnsi="仿宋" w:eastAsia="仿宋"/>
                <w:color w:val="auto"/>
                <w:sz w:val="24"/>
                <w:highlight w:val="none"/>
                <w:lang w:eastAsia="zh-CN"/>
              </w:rPr>
              <w:t>成交</w:t>
            </w:r>
            <w:r>
              <w:rPr>
                <w:rFonts w:hint="eastAsia" w:ascii="仿宋" w:hAnsi="仿宋" w:eastAsia="仿宋"/>
                <w:color w:val="auto"/>
                <w:sz w:val="24"/>
                <w:highlight w:val="none"/>
              </w:rPr>
              <w:t>供应商在接到</w:t>
            </w:r>
            <w:r>
              <w:rPr>
                <w:rFonts w:hint="eastAsia" w:ascii="仿宋" w:hAnsi="仿宋" w:eastAsia="仿宋"/>
                <w:color w:val="auto"/>
                <w:sz w:val="24"/>
                <w:highlight w:val="none"/>
                <w:lang w:eastAsia="zh-CN"/>
              </w:rPr>
              <w:t>成交</w:t>
            </w:r>
            <w:r>
              <w:rPr>
                <w:rFonts w:hint="eastAsia" w:ascii="仿宋" w:hAnsi="仿宋" w:eastAsia="仿宋"/>
                <w:color w:val="auto"/>
                <w:sz w:val="24"/>
                <w:highlight w:val="none"/>
              </w:rPr>
              <w:t>通知书时以人民币方式向采购代理机构一次性支付。</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相关信息如下:</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账户：浙江省成套工程有限公司</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开户银行：杭州联合农村商业银行股份有限公司三墩支行</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或者网银：浙江省农村信用合作社</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或者 浙江省农村商业银行</w:t>
            </w:r>
          </w:p>
          <w:p>
            <w:pPr>
              <w:snapToGrid w:val="0"/>
              <w:spacing w:line="360" w:lineRule="auto"/>
              <w:contextualSpacing/>
              <w:rPr>
                <w:rFonts w:ascii="Calibri" w:hAnsi="Calibri" w:eastAsia="仿宋" w:cs="宋体"/>
                <w:snapToGrid w:val="0"/>
                <w:color w:val="auto"/>
                <w:kern w:val="28"/>
                <w:sz w:val="24"/>
                <w:highlight w:val="none"/>
              </w:rPr>
            </w:pPr>
            <w:r>
              <w:rPr>
                <w:rFonts w:hint="eastAsia" w:ascii="仿宋" w:hAnsi="仿宋" w:eastAsia="仿宋"/>
                <w:color w:val="auto"/>
                <w:sz w:val="24"/>
                <w:highlight w:val="none"/>
              </w:rPr>
              <w:t>账号：201000065548152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629" w:type="dxa"/>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Align w:val="center"/>
          </w:tcPr>
          <w:p>
            <w:pPr>
              <w:snapToGrid w:val="0"/>
              <w:jc w:val="center"/>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履约保证金</w:t>
            </w:r>
          </w:p>
        </w:tc>
        <w:tc>
          <w:tcPr>
            <w:tcW w:w="6803" w:type="dxa"/>
            <w:vAlign w:val="center"/>
          </w:tcPr>
          <w:p>
            <w:pPr>
              <w:widowControl/>
              <w:tabs>
                <w:tab w:val="left" w:pos="1212"/>
                <w:tab w:val="left" w:pos="3888"/>
              </w:tabs>
              <w:snapToGrid w:val="0"/>
              <w:spacing w:line="360" w:lineRule="auto"/>
              <w:contextualSpacing/>
              <w:jc w:val="left"/>
              <w:rPr>
                <w:rFonts w:ascii="Calibri" w:hAnsi="Calibri" w:eastAsia="仿宋" w:cs="仿宋"/>
                <w:color w:val="auto"/>
                <w:kern w:val="0"/>
                <w:sz w:val="24"/>
                <w:highlight w:val="none"/>
                <w:u w:val="single"/>
              </w:rPr>
            </w:pPr>
            <w:r>
              <w:rPr>
                <w:rFonts w:hint="eastAsia" w:ascii="Calibri" w:hAnsi="Calibri" w:eastAsia="仿宋" w:cs="仿宋"/>
                <w:color w:val="auto"/>
                <w:kern w:val="0"/>
                <w:sz w:val="24"/>
                <w:highlight w:val="none"/>
              </w:rPr>
              <w:t>履约保证金金额：</w:t>
            </w:r>
            <w:r>
              <w:rPr>
                <w:rFonts w:hint="eastAsia" w:ascii="Calibri" w:hAnsi="Calibri" w:eastAsia="仿宋" w:cs="仿宋"/>
                <w:color w:val="auto"/>
                <w:kern w:val="0"/>
                <w:sz w:val="24"/>
                <w:highlight w:val="none"/>
                <w:u w:val="single"/>
              </w:rPr>
              <w:t>面向大型企业收取合同金额的1%；面向中小型企业免收。</w:t>
            </w:r>
          </w:p>
          <w:p>
            <w:pPr>
              <w:snapToGrid w:val="0"/>
              <w:spacing w:line="360" w:lineRule="auto"/>
              <w:rPr>
                <w:rFonts w:ascii="Calibri" w:hAnsi="Calibri" w:eastAsia="仿宋" w:cs="仿宋"/>
                <w:snapToGrid w:val="0"/>
                <w:color w:val="auto"/>
                <w:sz w:val="24"/>
                <w:highlight w:val="none"/>
              </w:rPr>
            </w:pPr>
            <w:r>
              <w:rPr>
                <w:rFonts w:hint="eastAsia" w:ascii="Calibri" w:hAnsi="Calibri" w:eastAsia="仿宋" w:cs="仿宋"/>
                <w:snapToGrid w:val="0"/>
                <w:color w:val="auto"/>
                <w:sz w:val="24"/>
                <w:highlight w:val="none"/>
              </w:rPr>
              <w:t>履约保证金缴纳时间：</w:t>
            </w:r>
            <w:r>
              <w:rPr>
                <w:rFonts w:hint="eastAsia" w:ascii="Calibri" w:hAnsi="Calibri" w:eastAsia="仿宋" w:cs="仿宋"/>
                <w:snapToGrid w:val="0"/>
                <w:color w:val="auto"/>
                <w:sz w:val="24"/>
                <w:highlight w:val="none"/>
                <w:u w:val="single"/>
              </w:rPr>
              <w:t>合同签订生效之日起</w:t>
            </w:r>
            <w:r>
              <w:rPr>
                <w:rFonts w:ascii="Calibri" w:hAnsi="Calibri" w:eastAsia="仿宋" w:cs="仿宋"/>
                <w:snapToGrid w:val="0"/>
                <w:color w:val="auto"/>
                <w:sz w:val="24"/>
                <w:highlight w:val="none"/>
                <w:u w:val="single"/>
              </w:rPr>
              <w:t>15</w:t>
            </w:r>
            <w:r>
              <w:rPr>
                <w:rFonts w:hint="eastAsia" w:ascii="Calibri" w:hAnsi="Calibri" w:eastAsia="仿宋" w:cs="仿宋"/>
                <w:snapToGrid w:val="0"/>
                <w:color w:val="auto"/>
                <w:sz w:val="24"/>
                <w:highlight w:val="none"/>
                <w:u w:val="single"/>
              </w:rPr>
              <w:t>个工作日内。</w:t>
            </w:r>
          </w:p>
          <w:p>
            <w:pPr>
              <w:widowControl/>
              <w:shd w:val="clear" w:color="auto" w:fill="FFFFFF"/>
              <w:snapToGrid w:val="0"/>
              <w:spacing w:line="360" w:lineRule="auto"/>
              <w:contextualSpacing/>
              <w:jc w:val="left"/>
              <w:rPr>
                <w:rFonts w:ascii="Calibri" w:hAnsi="Calibri" w:eastAsia="仿宋"/>
                <w:snapToGrid w:val="0"/>
                <w:color w:val="auto"/>
                <w:kern w:val="28"/>
                <w:sz w:val="24"/>
                <w:highlight w:val="none"/>
                <w:u w:val="single"/>
              </w:rPr>
            </w:pPr>
            <w:r>
              <w:rPr>
                <w:rFonts w:hint="eastAsia" w:ascii="Calibri" w:hAnsi="Calibri" w:eastAsia="仿宋"/>
                <w:snapToGrid w:val="0"/>
                <w:color w:val="auto"/>
                <w:kern w:val="28"/>
                <w:sz w:val="24"/>
                <w:highlight w:val="none"/>
              </w:rPr>
              <w:t>履约保证金</w:t>
            </w:r>
            <w:r>
              <w:rPr>
                <w:rFonts w:ascii="Calibri" w:hAnsi="Calibri" w:eastAsia="仿宋"/>
                <w:snapToGrid w:val="0"/>
                <w:color w:val="auto"/>
                <w:kern w:val="28"/>
                <w:sz w:val="24"/>
                <w:highlight w:val="none"/>
              </w:rPr>
              <w:t>缴纳形式：</w:t>
            </w:r>
            <w:r>
              <w:rPr>
                <w:rFonts w:ascii="Calibri" w:hAnsi="Calibri" w:eastAsia="仿宋"/>
                <w:snapToGrid w:val="0"/>
                <w:color w:val="auto"/>
                <w:kern w:val="28"/>
                <w:sz w:val="24"/>
                <w:highlight w:val="none"/>
                <w:u w:val="single"/>
              </w:rPr>
              <w:t>支票、汇票、本票或者金融机构、担保机构出具的保函等非现金形式提交</w:t>
            </w:r>
            <w:r>
              <w:rPr>
                <w:rFonts w:hint="eastAsia" w:ascii="Calibri" w:hAnsi="Calibri" w:eastAsia="仿宋"/>
                <w:snapToGrid w:val="0"/>
                <w:color w:val="auto"/>
                <w:kern w:val="28"/>
                <w:sz w:val="24"/>
                <w:highlight w:val="none"/>
                <w:u w:val="single"/>
              </w:rPr>
              <w:t>。</w:t>
            </w:r>
          </w:p>
          <w:p>
            <w:pPr>
              <w:widowControl/>
              <w:shd w:val="clear" w:color="auto" w:fill="FFFFFF"/>
              <w:snapToGrid w:val="0"/>
              <w:spacing w:line="360" w:lineRule="auto"/>
              <w:contextualSpacing/>
              <w:jc w:val="left"/>
              <w:rPr>
                <w:rFonts w:ascii="Calibri" w:hAnsi="Calibri" w:eastAsia="仿宋"/>
                <w:snapToGrid w:val="0"/>
                <w:color w:val="auto"/>
                <w:kern w:val="28"/>
                <w:sz w:val="24"/>
                <w:highlight w:val="none"/>
                <w:u w:val="single"/>
              </w:rPr>
            </w:pPr>
            <w:r>
              <w:rPr>
                <w:rFonts w:hint="eastAsia" w:ascii="Calibri" w:hAnsi="Calibri" w:eastAsia="仿宋"/>
                <w:snapToGrid w:val="0"/>
                <w:color w:val="auto"/>
                <w:kern w:val="28"/>
                <w:sz w:val="24"/>
                <w:highlight w:val="none"/>
              </w:rPr>
              <w:t>履约保证金</w:t>
            </w:r>
            <w:r>
              <w:rPr>
                <w:rFonts w:ascii="Calibri" w:hAnsi="Calibri" w:eastAsia="仿宋"/>
                <w:snapToGrid w:val="0"/>
                <w:color w:val="auto"/>
                <w:kern w:val="28"/>
                <w:sz w:val="24"/>
                <w:highlight w:val="none"/>
              </w:rPr>
              <w:t>有效期：</w:t>
            </w:r>
            <w:r>
              <w:rPr>
                <w:rFonts w:ascii="Calibri" w:hAnsi="Calibri" w:eastAsia="仿宋"/>
                <w:snapToGrid w:val="0"/>
                <w:color w:val="auto"/>
                <w:kern w:val="28"/>
                <w:sz w:val="24"/>
                <w:highlight w:val="none"/>
                <w:u w:val="single"/>
              </w:rPr>
              <w:t>合同签订之日起至项目最终验收通过</w:t>
            </w:r>
            <w:r>
              <w:rPr>
                <w:rFonts w:hint="eastAsia" w:ascii="Calibri" w:hAnsi="Calibri" w:eastAsia="仿宋"/>
                <w:snapToGrid w:val="0"/>
                <w:color w:val="auto"/>
                <w:kern w:val="28"/>
                <w:sz w:val="24"/>
                <w:highlight w:val="none"/>
                <w:u w:val="single"/>
              </w:rPr>
              <w:t>。</w:t>
            </w:r>
          </w:p>
          <w:p>
            <w:pPr>
              <w:widowControl/>
              <w:shd w:val="clear" w:color="auto" w:fill="FFFFFF"/>
              <w:snapToGrid w:val="0"/>
              <w:spacing w:line="360" w:lineRule="auto"/>
              <w:contextualSpacing/>
              <w:jc w:val="left"/>
              <w:rPr>
                <w:rFonts w:ascii="Calibri" w:hAnsi="Calibri" w:eastAsia="仿宋" w:cs="仿宋"/>
                <w:snapToGrid w:val="0"/>
                <w:color w:val="auto"/>
                <w:kern w:val="28"/>
                <w:highlight w:val="none"/>
              </w:rPr>
            </w:pPr>
            <w:r>
              <w:rPr>
                <w:rFonts w:ascii="Calibri" w:hAnsi="Calibri" w:eastAsia="仿宋"/>
                <w:snapToGrid w:val="0"/>
                <w:color w:val="auto"/>
                <w:kern w:val="28"/>
                <w:sz w:val="24"/>
                <w:highlight w:val="none"/>
              </w:rPr>
              <w:t>履约保证金退还：</w:t>
            </w:r>
            <w:r>
              <w:rPr>
                <w:rFonts w:ascii="Calibri" w:hAnsi="Calibri" w:eastAsia="仿宋"/>
                <w:snapToGrid w:val="0"/>
                <w:color w:val="auto"/>
                <w:kern w:val="28"/>
                <w:sz w:val="24"/>
                <w:highlight w:val="none"/>
                <w:u w:val="single"/>
              </w:rPr>
              <w:t>项目最终验收通过15个工作日内退还。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Merge w:val="restart"/>
            <w:vAlign w:val="center"/>
          </w:tcPr>
          <w:p>
            <w:pPr>
              <w:numPr>
                <w:ilvl w:val="0"/>
                <w:numId w:val="8"/>
              </w:numPr>
              <w:snapToGrid w:val="0"/>
              <w:spacing w:line="360" w:lineRule="auto"/>
              <w:jc w:val="center"/>
              <w:rPr>
                <w:rFonts w:ascii="Calibri" w:hAnsi="Calibri" w:eastAsia="仿宋" w:cs="宋体"/>
                <w:color w:val="auto"/>
                <w:sz w:val="24"/>
                <w:highlight w:val="none"/>
              </w:rPr>
            </w:pPr>
          </w:p>
        </w:tc>
        <w:tc>
          <w:tcPr>
            <w:tcW w:w="1843" w:type="dxa"/>
            <w:vMerge w:val="restart"/>
            <w:vAlign w:val="center"/>
          </w:tcPr>
          <w:p>
            <w:pPr>
              <w:snapToGrid w:val="0"/>
              <w:jc w:val="center"/>
              <w:rPr>
                <w:rFonts w:ascii="Calibri" w:hAnsi="Calibri" w:eastAsia="仿宋" w:cs="宋体"/>
                <w:b/>
                <w:color w:val="auto"/>
                <w:sz w:val="24"/>
                <w:highlight w:val="none"/>
              </w:rPr>
            </w:pPr>
            <w:r>
              <w:rPr>
                <w:rFonts w:hint="eastAsia" w:ascii="Calibri" w:hAnsi="Calibri" w:eastAsia="仿宋" w:cs="仿宋_GB2312"/>
                <w:b/>
                <w:color w:val="auto"/>
                <w:sz w:val="24"/>
                <w:highlight w:val="none"/>
              </w:rPr>
              <w:t>特别说明</w:t>
            </w:r>
          </w:p>
        </w:tc>
        <w:tc>
          <w:tcPr>
            <w:tcW w:w="6803" w:type="dxa"/>
            <w:vAlign w:val="center"/>
          </w:tcPr>
          <w:p>
            <w:pPr>
              <w:snapToGrid w:val="0"/>
              <w:spacing w:line="360" w:lineRule="auto"/>
              <w:contextualSpacing/>
              <w:rPr>
                <w:rFonts w:hint="eastAsia" w:ascii="Calibri" w:hAnsi="Calibri" w:eastAsia="仿宋" w:cs="Arial"/>
                <w:color w:val="auto"/>
                <w:kern w:val="0"/>
                <w:sz w:val="24"/>
                <w:highlight w:val="none"/>
                <w:lang w:val="en-US" w:eastAsia="zh-CN"/>
              </w:rPr>
            </w:pPr>
            <w:sdt>
              <w:sdtPr>
                <w:rPr>
                  <w:rFonts w:hint="eastAsia" w:ascii="Calibri" w:hAnsi="Calibri" w:eastAsia="仿宋" w:cs="Arial"/>
                  <w:color w:val="auto"/>
                  <w:kern w:val="0"/>
                  <w:sz w:val="24"/>
                  <w:highlight w:val="none"/>
                </w:rPr>
                <w:id w:val="49"/>
                <w14:checkbox>
                  <w14:checked w14:val="0"/>
                  <w14:checkedState w14:val="00FE" w14:font="Wingdings"/>
                  <w14:uncheckedState w14:val="2610" w14:font="MS Gothic"/>
                </w14:checkbox>
              </w:sdtPr>
              <w:sdtEndPr>
                <w:rPr>
                  <w:rFonts w:hint="eastAsia" w:ascii="Calibri" w:hAnsi="Calibri" w:eastAsia="仿宋" w:cs="Arial"/>
                  <w:color w:val="auto"/>
                  <w:kern w:val="0"/>
                  <w:sz w:val="24"/>
                  <w:highlight w:val="none"/>
                </w:rPr>
              </w:sdtEndPr>
              <w:sdtContent>
                <w:r>
                  <w:rPr>
                    <w:rFonts w:ascii="MS Gothic" w:hAnsi="MS Gothic" w:eastAsia="仿宋" w:cs="Segoe UI Symbol"/>
                    <w:color w:val="auto"/>
                    <w:kern w:val="0"/>
                    <w:sz w:val="24"/>
                    <w:szCs w:val="24"/>
                    <w:highlight w:val="none"/>
                    <w:lang w:val="en-US" w:eastAsia="zh-CN" w:bidi="ar-SA"/>
                  </w:rPr>
                  <w:t>☐</w:t>
                </w:r>
              </w:sdtContent>
            </w:sdt>
            <w:r>
              <w:rPr>
                <w:rFonts w:hint="eastAsia" w:ascii="Calibri" w:hAnsi="Calibri" w:eastAsia="仿宋" w:cs="Arial"/>
                <w:color w:val="auto"/>
                <w:kern w:val="0"/>
                <w:sz w:val="24"/>
                <w:highlight w:val="none"/>
                <w:lang w:val="en-US" w:eastAsia="zh-CN"/>
              </w:rPr>
              <w:t>本项目不适用</w:t>
            </w:r>
          </w:p>
          <w:p>
            <w:pPr>
              <w:snapToGrid w:val="0"/>
              <w:spacing w:line="360" w:lineRule="auto"/>
              <w:contextualSpacing/>
              <w:rPr>
                <w:rFonts w:ascii="Calibri" w:hAnsi="Calibri" w:eastAsia="仿宋" w:cs="宋体"/>
                <w:snapToGrid w:val="0"/>
                <w:color w:val="auto"/>
                <w:kern w:val="28"/>
                <w:sz w:val="24"/>
                <w:highlight w:val="none"/>
              </w:rPr>
            </w:pPr>
            <w:sdt>
              <w:sdtPr>
                <w:rPr>
                  <w:rFonts w:hint="eastAsia" w:ascii="Calibri" w:hAnsi="Calibri" w:eastAsia="仿宋" w:cs="Arial"/>
                  <w:color w:val="auto"/>
                  <w:kern w:val="0"/>
                  <w:sz w:val="24"/>
                  <w:highlight w:val="none"/>
                </w:rPr>
                <w:id w:val="49"/>
                <w14:checkbox>
                  <w14:checked w14:val="1"/>
                  <w14:checkedState w14:val="00FE" w14:font="Wingdings"/>
                  <w14:uncheckedState w14:val="2610" w14:font="MS Gothic"/>
                </w14:checkbox>
              </w:sdtPr>
              <w:sdtEndPr>
                <w:rPr>
                  <w:rFonts w:hint="eastAsia" w:ascii="Calibri" w:hAnsi="Calibri" w:eastAsia="仿宋" w:cs="Arial"/>
                  <w:color w:val="auto"/>
                  <w:kern w:val="0"/>
                  <w:sz w:val="24"/>
                  <w:highlight w:val="none"/>
                </w:rPr>
              </w:sdtEndPr>
              <w:sdtContent>
                <w:r>
                  <w:rPr>
                    <w:rFonts w:ascii="Wingdings" w:hAnsi="Wingdings" w:eastAsia="仿宋" w:cs="Segoe UI Symbol"/>
                    <w:color w:val="auto"/>
                    <w:kern w:val="0"/>
                    <w:sz w:val="24"/>
                    <w:szCs w:val="24"/>
                    <w:highlight w:val="none"/>
                    <w:lang w:val="en-US" w:eastAsia="zh-CN" w:bidi="ar-SA"/>
                  </w:rPr>
                  <w:t>þ</w:t>
                </w:r>
              </w:sdtContent>
            </w:sdt>
            <w:r>
              <w:rPr>
                <w:rFonts w:hint="eastAsia" w:ascii="Calibri" w:hAnsi="Calibri" w:eastAsia="仿宋"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1" w:hRule="atLeast"/>
          <w:jc w:val="center"/>
        </w:trPr>
        <w:tc>
          <w:tcPr>
            <w:tcW w:w="629" w:type="dxa"/>
            <w:vMerge w:val="continue"/>
            <w:vAlign w:val="center"/>
          </w:tcPr>
          <w:p>
            <w:pPr>
              <w:snapToGrid w:val="0"/>
              <w:jc w:val="center"/>
              <w:rPr>
                <w:rFonts w:ascii="Calibri" w:hAnsi="Calibri" w:eastAsia="仿宋" w:cs="宋体"/>
                <w:color w:val="auto"/>
                <w:sz w:val="24"/>
                <w:highlight w:val="none"/>
              </w:rPr>
            </w:pPr>
          </w:p>
        </w:tc>
        <w:tc>
          <w:tcPr>
            <w:tcW w:w="1843" w:type="dxa"/>
            <w:vMerge w:val="continue"/>
            <w:vAlign w:val="center"/>
          </w:tcPr>
          <w:p>
            <w:pPr>
              <w:snapToGrid w:val="0"/>
              <w:jc w:val="center"/>
              <w:rPr>
                <w:rFonts w:ascii="Calibri" w:hAnsi="Calibri" w:eastAsia="仿宋" w:cs="宋体"/>
                <w:b/>
                <w:color w:val="auto"/>
                <w:sz w:val="24"/>
                <w:highlight w:val="none"/>
              </w:rPr>
            </w:pPr>
          </w:p>
        </w:tc>
        <w:tc>
          <w:tcPr>
            <w:tcW w:w="6803" w:type="dxa"/>
            <w:vAlign w:val="center"/>
          </w:tcPr>
          <w:p>
            <w:pPr>
              <w:snapToGrid w:val="0"/>
              <w:spacing w:line="360" w:lineRule="auto"/>
              <w:contextualSpacing/>
              <w:rPr>
                <w:rFonts w:hint="default" w:ascii="Calibri" w:hAnsi="Calibri" w:eastAsia="仿宋" w:cs="Arial"/>
                <w:color w:val="auto"/>
                <w:kern w:val="0"/>
                <w:sz w:val="24"/>
                <w:highlight w:val="none"/>
                <w:lang w:val="en-US" w:eastAsia="zh-CN"/>
              </w:rPr>
            </w:pPr>
            <w:sdt>
              <w:sdtPr>
                <w:rPr>
                  <w:rFonts w:hint="eastAsia" w:ascii="Calibri" w:hAnsi="Calibri" w:eastAsia="仿宋" w:cs="Arial"/>
                  <w:color w:val="auto"/>
                  <w:kern w:val="0"/>
                  <w:sz w:val="24"/>
                  <w:highlight w:val="none"/>
                </w:rPr>
                <w:id w:val="49"/>
                <w14:checkbox>
                  <w14:checked w14:val="0"/>
                  <w14:checkedState w14:val="00FE" w14:font="Wingdings"/>
                  <w14:uncheckedState w14:val="2610" w14:font="MS Gothic"/>
                </w14:checkbox>
              </w:sdtPr>
              <w:sdtEndPr>
                <w:rPr>
                  <w:rFonts w:hint="eastAsia" w:ascii="Calibri" w:hAnsi="Calibri" w:eastAsia="仿宋" w:cs="Arial"/>
                  <w:color w:val="auto"/>
                  <w:kern w:val="0"/>
                  <w:sz w:val="24"/>
                  <w:highlight w:val="none"/>
                </w:rPr>
              </w:sdtEndPr>
              <w:sdtContent>
                <w:r>
                  <w:rPr>
                    <w:rFonts w:ascii="MS Gothic" w:hAnsi="MS Gothic" w:eastAsia="仿宋" w:cs="Segoe UI Symbol"/>
                    <w:color w:val="auto"/>
                    <w:kern w:val="0"/>
                    <w:sz w:val="24"/>
                    <w:szCs w:val="24"/>
                    <w:highlight w:val="none"/>
                    <w:lang w:val="en-US" w:eastAsia="zh-CN" w:bidi="ar-SA"/>
                  </w:rPr>
                  <w:t>☐</w:t>
                </w:r>
              </w:sdtContent>
            </w:sdt>
            <w:r>
              <w:rPr>
                <w:rFonts w:hint="eastAsia" w:ascii="Calibri" w:hAnsi="Calibri" w:eastAsia="仿宋" w:cs="Arial"/>
                <w:color w:val="auto"/>
                <w:kern w:val="0"/>
                <w:sz w:val="24"/>
                <w:highlight w:val="none"/>
                <w:lang w:val="en-US" w:eastAsia="zh-CN"/>
              </w:rPr>
              <w:t>本项目不适用</w:t>
            </w:r>
          </w:p>
          <w:p>
            <w:pPr>
              <w:snapToGrid w:val="0"/>
              <w:spacing w:line="360" w:lineRule="auto"/>
              <w:contextualSpacing/>
              <w:rPr>
                <w:rFonts w:ascii="Calibri" w:hAnsi="Calibri" w:eastAsia="仿宋" w:cs="宋体"/>
                <w:snapToGrid w:val="0"/>
                <w:color w:val="auto"/>
                <w:kern w:val="28"/>
                <w:sz w:val="24"/>
                <w:highlight w:val="none"/>
              </w:rPr>
            </w:pPr>
            <w:sdt>
              <w:sdtPr>
                <w:rPr>
                  <w:rFonts w:hint="eastAsia" w:ascii="Calibri" w:hAnsi="Calibri" w:eastAsia="仿宋" w:cs="Arial"/>
                  <w:color w:val="auto"/>
                  <w:kern w:val="0"/>
                  <w:sz w:val="24"/>
                  <w:highlight w:val="none"/>
                </w:rPr>
                <w:id w:val="49"/>
                <w14:checkbox>
                  <w14:checked w14:val="1"/>
                  <w14:checkedState w14:val="00FE" w14:font="Wingdings"/>
                  <w14:uncheckedState w14:val="2610" w14:font="MS Gothic"/>
                </w14:checkbox>
              </w:sdtPr>
              <w:sdtEndPr>
                <w:rPr>
                  <w:rFonts w:hint="eastAsia" w:ascii="Calibri" w:hAnsi="Calibri" w:eastAsia="仿宋" w:cs="Arial"/>
                  <w:color w:val="auto"/>
                  <w:kern w:val="0"/>
                  <w:sz w:val="24"/>
                  <w:highlight w:val="none"/>
                </w:rPr>
              </w:sdtEndPr>
              <w:sdtContent>
                <w:r>
                  <w:rPr>
                    <w:rFonts w:ascii="Wingdings" w:hAnsi="Wingdings" w:eastAsia="仿宋" w:cs="Segoe UI Symbol"/>
                    <w:color w:val="auto"/>
                    <w:kern w:val="0"/>
                    <w:sz w:val="24"/>
                    <w:szCs w:val="24"/>
                    <w:highlight w:val="none"/>
                    <w:lang w:val="en-US" w:eastAsia="zh-CN" w:bidi="ar-SA"/>
                  </w:rPr>
                  <w:t>þ</w:t>
                </w:r>
              </w:sdtContent>
            </w:sdt>
            <w:r>
              <w:rPr>
                <w:rFonts w:hint="eastAsia" w:ascii="Calibri" w:hAnsi="Calibri" w:eastAsia="仿宋" w:cs="宋体"/>
                <w:snapToGrid w:val="0"/>
                <w:color w:val="auto"/>
                <w:kern w:val="28"/>
                <w:sz w:val="24"/>
                <w:highlight w:val="none"/>
              </w:rPr>
              <w:t>联合体投标的，联合体各方均需按采购文件第四部分评标标准要求提供资信证明文件，否则视为不符合相关要求。</w:t>
            </w:r>
          </w:p>
          <w:p>
            <w:pPr>
              <w:snapToGrid w:val="0"/>
              <w:spacing w:line="360" w:lineRule="auto"/>
              <w:contextualSpacing/>
              <w:rPr>
                <w:rFonts w:ascii="Calibri" w:hAnsi="Calibri" w:eastAsia="仿宋" w:cs="宋体"/>
                <w:snapToGrid w:val="0"/>
                <w:color w:val="auto"/>
                <w:kern w:val="28"/>
                <w:sz w:val="24"/>
                <w:highlight w:val="none"/>
              </w:rPr>
            </w:pPr>
            <w:sdt>
              <w:sdtPr>
                <w:rPr>
                  <w:rFonts w:hint="eastAsia" w:ascii="Calibri" w:hAnsi="Calibri" w:eastAsia="仿宋" w:cs="Arial"/>
                  <w:color w:val="auto"/>
                  <w:kern w:val="0"/>
                  <w:sz w:val="24"/>
                  <w:highlight w:val="none"/>
                </w:rPr>
                <w:id w:val="50"/>
                <w14:checkbox>
                  <w14:checked w14:val="0"/>
                  <w14:checkedState w14:val="00FE" w14:font="Wingdings"/>
                  <w14:uncheckedState w14:val="2610" w14:font="MS Gothic"/>
                </w14:checkbox>
              </w:sdtPr>
              <w:sdtEndPr>
                <w:rPr>
                  <w:rFonts w:hint="eastAsia" w:ascii="Calibri" w:hAnsi="Calibri" w:eastAsia="仿宋" w:cs="Arial"/>
                  <w:color w:val="auto"/>
                  <w:kern w:val="0"/>
                  <w:sz w:val="24"/>
                  <w:highlight w:val="none"/>
                </w:rPr>
              </w:sdtEndPr>
              <w:sdtContent>
                <w:r>
                  <w:rPr>
                    <w:rFonts w:hint="eastAsia" w:ascii="MS Gothic" w:hAnsi="MS Gothic" w:eastAsia="仿宋" w:cs="Arial"/>
                    <w:color w:val="auto"/>
                    <w:kern w:val="0"/>
                    <w:sz w:val="24"/>
                    <w:szCs w:val="24"/>
                    <w:highlight w:val="none"/>
                    <w:lang w:val="en-US" w:eastAsia="zh-CN" w:bidi="ar-SA"/>
                  </w:rPr>
                  <w:t>☐</w:t>
                </w:r>
              </w:sdtContent>
            </w:sdt>
            <w:r>
              <w:rPr>
                <w:rFonts w:hint="eastAsia" w:ascii="Calibri" w:hAnsi="Calibri" w:eastAsia="仿宋" w:cs="宋体"/>
                <w:snapToGrid w:val="0"/>
                <w:color w:val="auto"/>
                <w:kern w:val="28"/>
                <w:sz w:val="24"/>
                <w:highlight w:val="none"/>
              </w:rPr>
              <w:t>联合体投标的，联合体中有一方或者联合体成员根据分工按采购文件第四部分评标标准要求提供资信证明文件的，视为符合了相关要求。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1" w:hRule="atLeast"/>
          <w:jc w:val="center"/>
        </w:trPr>
        <w:tc>
          <w:tcPr>
            <w:tcW w:w="629" w:type="dxa"/>
            <w:vMerge w:val="continue"/>
            <w:vAlign w:val="center"/>
          </w:tcPr>
          <w:p>
            <w:pPr>
              <w:snapToGrid w:val="0"/>
              <w:jc w:val="center"/>
              <w:rPr>
                <w:rFonts w:ascii="Calibri" w:hAnsi="Calibri" w:eastAsia="仿宋" w:cs="宋体"/>
                <w:color w:val="auto"/>
                <w:sz w:val="24"/>
                <w:highlight w:val="none"/>
              </w:rPr>
            </w:pPr>
          </w:p>
        </w:tc>
        <w:tc>
          <w:tcPr>
            <w:tcW w:w="1843" w:type="dxa"/>
            <w:vMerge w:val="continue"/>
            <w:vAlign w:val="center"/>
          </w:tcPr>
          <w:p>
            <w:pPr>
              <w:snapToGrid w:val="0"/>
              <w:jc w:val="center"/>
              <w:rPr>
                <w:rFonts w:ascii="Calibri" w:hAnsi="Calibri" w:eastAsia="仿宋" w:cs="宋体"/>
                <w:b/>
                <w:color w:val="auto"/>
                <w:sz w:val="24"/>
                <w:highlight w:val="none"/>
              </w:rPr>
            </w:pPr>
          </w:p>
        </w:tc>
        <w:tc>
          <w:tcPr>
            <w:tcW w:w="6803" w:type="dxa"/>
            <w:vAlign w:val="center"/>
          </w:tcPr>
          <w:p>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1）供应商应无条件的、认真仔细的、不厌其烦的阅读本采购文件及其澄清答疑（如有）、修改答复的补充文件（如有），严格按照采购文件及补充文件（如有）的规定和要求编制投标文件。在编制投标文件过程中，应严格遵循实事求是、诚信投标的原则，针对采购文件中第三部分采购需求、第四部分合同条款等各项内容进行确认，如有偏离，应如实填写响应偏离表。</w:t>
            </w:r>
          </w:p>
          <w:p>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2）本项目中标公示期间，供应商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（3）质疑、投诉人未按采购文件相关规定进行质疑、投诉（申诉）、举报等，均属于扰乱政府采购市场不良行为。</w:t>
            </w:r>
          </w:p>
          <w:p>
            <w:pPr>
              <w:snapToGrid w:val="0"/>
              <w:spacing w:line="360" w:lineRule="auto"/>
              <w:contextualSpacing/>
              <w:rPr>
                <w:rFonts w:ascii="Calibri" w:hAnsi="Calibri" w:eastAsia="仿宋" w:cs="Arial"/>
                <w:b/>
                <w:bCs/>
                <w:color w:val="auto"/>
                <w:kern w:val="0"/>
                <w:sz w:val="24"/>
                <w:highlight w:val="none"/>
              </w:rPr>
            </w:pPr>
            <w:r>
              <w:rPr>
                <w:rFonts w:hint="eastAsia" w:ascii="Calibri" w:hAnsi="Calibri" w:eastAsia="仿宋" w:cs="Arial"/>
                <w:b/>
                <w:bCs/>
                <w:color w:val="auto"/>
                <w:kern w:val="0"/>
                <w:sz w:val="24"/>
                <w:highlight w:val="none"/>
              </w:rPr>
              <w:t>（4）采购文件中凡标注“▲”的条款均为实质性要求，不响应的投标文件将作无效标处理。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Merge w:val="continue"/>
            <w:vAlign w:val="center"/>
          </w:tcPr>
          <w:p>
            <w:pPr>
              <w:snapToGrid w:val="0"/>
              <w:jc w:val="center"/>
              <w:rPr>
                <w:rFonts w:ascii="Calibri" w:hAnsi="Calibri" w:eastAsia="仿宋" w:cs="宋体"/>
                <w:color w:val="auto"/>
                <w:sz w:val="24"/>
                <w:highlight w:val="none"/>
              </w:rPr>
            </w:pPr>
          </w:p>
        </w:tc>
        <w:tc>
          <w:tcPr>
            <w:tcW w:w="1843" w:type="dxa"/>
            <w:vMerge w:val="continue"/>
            <w:vAlign w:val="center"/>
          </w:tcPr>
          <w:p>
            <w:pPr>
              <w:snapToGrid w:val="0"/>
              <w:jc w:val="center"/>
              <w:rPr>
                <w:rFonts w:ascii="Calibri" w:hAnsi="Calibri" w:eastAsia="仿宋" w:cs="宋体"/>
                <w:b/>
                <w:color w:val="auto"/>
                <w:sz w:val="24"/>
                <w:highlight w:val="none"/>
              </w:rPr>
            </w:pPr>
          </w:p>
        </w:tc>
        <w:tc>
          <w:tcPr>
            <w:tcW w:w="6803" w:type="dxa"/>
            <w:vAlign w:val="center"/>
          </w:tcPr>
          <w:p>
            <w:pPr>
              <w:snapToGrid w:val="0"/>
              <w:spacing w:line="360" w:lineRule="auto"/>
              <w:contextualSpacing/>
              <w:rPr>
                <w:rFonts w:ascii="Calibri" w:hAnsi="Calibri" w:eastAsia="仿宋" w:cs="Arial"/>
                <w:b/>
                <w:bCs/>
                <w:color w:val="auto"/>
                <w:kern w:val="0"/>
                <w:sz w:val="24"/>
                <w:highlight w:val="none"/>
              </w:rPr>
            </w:pPr>
            <w:r>
              <w:rPr>
                <w:rFonts w:hint="eastAsia" w:ascii="Calibri" w:hAnsi="Calibri" w:eastAsia="仿宋" w:cs="Arial"/>
                <w:b/>
                <w:bCs/>
                <w:color w:val="auto"/>
                <w:kern w:val="0"/>
                <w:sz w:val="24"/>
                <w:highlight w:val="none"/>
              </w:rPr>
              <w:t>如中标，中标人需根据招标人要求提供纸质投标文件至少5份。</w:t>
            </w:r>
          </w:p>
        </w:tc>
      </w:tr>
    </w:tbl>
    <w:p>
      <w:pPr>
        <w:snapToGrid w:val="0"/>
        <w:rPr>
          <w:rFonts w:ascii="仿宋" w:hAnsi="仿宋" w:eastAsia="仿宋" w:cs="仿宋"/>
          <w:b/>
          <w:color w:val="auto"/>
          <w:sz w:val="32"/>
          <w:szCs w:val="20"/>
          <w:highlight w:val="none"/>
        </w:rPr>
      </w:pPr>
    </w:p>
    <w:p>
      <w:pPr>
        <w:rPr>
          <w:color w:val="auto"/>
          <w:highlight w:val="none"/>
        </w:rPr>
      </w:pPr>
      <w:r>
        <w:rPr>
          <w:color w:val="auto"/>
          <w:highlight w:val="none"/>
        </w:rPr>
        <w:br w:type="page"/>
      </w:r>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“采购代理机构”系指磋商邀请公告中载明的本项目的采购代理机构。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2.10 “▲” 系指实质性要求条款， “※”系指磋商过程中可能实质性变动的内容， “</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仿宋"/>
          <w:color w:val="auto"/>
          <w:sz w:val="24"/>
          <w:highlight w:val="none"/>
        </w:rPr>
        <w:t>” 系指不适用本项目的要求。</w:t>
      </w:r>
    </w:p>
    <w:p>
      <w:pPr>
        <w:adjustRightInd/>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 响应有效期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highlight w:val="none"/>
        </w:rPr>
        <w:t>拒绝延长磋商有效期的供应商不得再参与该项目后续采购活动。</w:t>
      </w:r>
    </w:p>
    <w:p>
      <w:pPr>
        <w:tabs>
          <w:tab w:val="left" w:pos="3780"/>
        </w:tab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4．响应费用</w:t>
      </w:r>
    </w:p>
    <w:p>
      <w:pPr>
        <w:pStyle w:val="31"/>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pPr>
        <w:spacing w:line="360" w:lineRule="auto"/>
        <w:jc w:val="center"/>
        <w:rPr>
          <w:rFonts w:ascii="仿宋" w:hAnsi="仿宋" w:eastAsia="仿宋" w:cs="仿宋"/>
          <w:b/>
          <w:color w:val="auto"/>
          <w:sz w:val="24"/>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pPr>
        <w:pStyle w:val="31"/>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color w:val="auto"/>
          <w:sz w:val="24"/>
          <w:highlight w:val="none"/>
        </w:rPr>
      </w:pPr>
    </w:p>
    <w:p>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p>
    <w:p>
      <w:pPr>
        <w:pStyle w:val="31"/>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 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 供应商质疑</w:t>
      </w:r>
    </w:p>
    <w:p>
      <w:pPr>
        <w:pStyle w:val="31"/>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34" w:firstLineChars="181"/>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pPr>
        <w:pStyle w:val="31"/>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3.2质疑答复</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3.2.1质疑答复责任主体如下：</w:t>
      </w:r>
    </w:p>
    <w:p>
      <w:pPr>
        <w:widowControl/>
        <w:adjustRightInd/>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1"/>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32" w:type="dxa"/>
            <w:vAlign w:val="center"/>
          </w:tcPr>
          <w:p>
            <w:pPr>
              <w:pStyle w:val="31"/>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36" w:type="dxa"/>
            <w:vAlign w:val="center"/>
          </w:tcPr>
          <w:p>
            <w:pPr>
              <w:pStyle w:val="31"/>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32" w:type="dxa"/>
            <w:vAlign w:val="center"/>
          </w:tcPr>
          <w:p>
            <w:pPr>
              <w:pStyle w:val="31"/>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ascii="仿宋" w:hAnsi="仿宋" w:eastAsia="仿宋" w:cs="仿宋"/>
                <w:color w:val="auto"/>
                <w:sz w:val="24"/>
                <w:highlight w:val="none"/>
              </w:rPr>
            </w:pPr>
          </w:p>
        </w:tc>
        <w:tc>
          <w:tcPr>
            <w:tcW w:w="4536" w:type="dxa"/>
            <w:vAlign w:val="center"/>
          </w:tcPr>
          <w:p>
            <w:pPr>
              <w:pStyle w:val="31"/>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32" w:type="dxa"/>
            <w:vAlign w:val="center"/>
          </w:tcPr>
          <w:p>
            <w:pPr>
              <w:pStyle w:val="31"/>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36" w:type="dxa"/>
            <w:vAlign w:val="center"/>
          </w:tcPr>
          <w:p>
            <w:pPr>
              <w:pStyle w:val="31"/>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32" w:type="dxa"/>
            <w:vAlign w:val="center"/>
          </w:tcPr>
          <w:p>
            <w:pPr>
              <w:pStyle w:val="31"/>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ascii="仿宋" w:hAnsi="仿宋" w:eastAsia="仿宋" w:cs="仿宋"/>
                <w:color w:val="auto"/>
                <w:sz w:val="24"/>
                <w:highlight w:val="none"/>
              </w:rPr>
            </w:pPr>
          </w:p>
        </w:tc>
        <w:tc>
          <w:tcPr>
            <w:tcW w:w="4536" w:type="dxa"/>
            <w:vAlign w:val="center"/>
          </w:tcPr>
          <w:p>
            <w:pPr>
              <w:pStyle w:val="31"/>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32" w:type="dxa"/>
            <w:vAlign w:val="center"/>
          </w:tcPr>
          <w:p>
            <w:pPr>
              <w:pStyle w:val="31"/>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1"/>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36" w:type="dxa"/>
            <w:vAlign w:val="center"/>
          </w:tcPr>
          <w:p>
            <w:pPr>
              <w:pStyle w:val="31"/>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32" w:type="dxa"/>
            <w:vAlign w:val="center"/>
          </w:tcPr>
          <w:p>
            <w:pPr>
              <w:pStyle w:val="31"/>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bl>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机构在质疑回复后及时在浙江政府采购网的“其他公告”栏目公开质疑答复，答复内容应当完整。质疑函作为附件上传。</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 2.3询问或者质疑事项可能影响采购结果的，采购人应当暂停签订合同，已经签订合同的，应当中止履行合同。</w:t>
      </w:r>
    </w:p>
    <w:p>
      <w:pPr>
        <w:pStyle w:val="31"/>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pPr>
        <w:pStyle w:val="31"/>
        <w:numPr>
          <w:ilvl w:val="0"/>
          <w:numId w:val="4"/>
        </w:numPr>
        <w:tabs>
          <w:tab w:val="left" w:pos="426"/>
          <w:tab w:val="clear" w:pos="840"/>
        </w:tabs>
        <w:spacing w:line="360" w:lineRule="auto"/>
        <w:ind w:left="284"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pPr>
        <w:pStyle w:val="31"/>
        <w:spacing w:line="360" w:lineRule="auto"/>
        <w:ind w:firstLine="480" w:firstLineChars="200"/>
        <w:rPr>
          <w:rFonts w:ascii="仿宋" w:hAnsi="仿宋" w:eastAsia="仿宋" w:cs="仿宋"/>
          <w:color w:val="auto"/>
          <w:sz w:val="24"/>
          <w:highlight w:val="none"/>
        </w:rPr>
      </w:pPr>
      <w:bookmarkStart w:id="49" w:name="_Hlk136208195"/>
      <w:r>
        <w:rPr>
          <w:rFonts w:hint="eastAsia" w:ascii="仿宋" w:hAnsi="仿宋" w:eastAsia="仿宋" w:cs="仿宋"/>
          <w:color w:val="auto"/>
          <w:sz w:val="24"/>
          <w:highlight w:val="none"/>
        </w:rPr>
        <w:t>4.5</w:t>
      </w:r>
      <w:r>
        <w:rPr>
          <w:rFonts w:hint="eastAsia" w:ascii="仿宋" w:hAnsi="仿宋" w:eastAsia="仿宋" w:cs="仿宋"/>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bookmarkEnd w:id="49"/>
    <w:p>
      <w:pPr>
        <w:pStyle w:val="31"/>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pPr>
        <w:rPr>
          <w:rFonts w:ascii="仿宋" w:hAnsi="仿宋" w:eastAsia="仿宋"/>
          <w:color w:val="auto"/>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pPr>
        <w:pStyle w:val="31"/>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供应商邀请</w:t>
      </w:r>
    </w:p>
    <w:p>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供应商须知</w:t>
      </w:r>
    </w:p>
    <w:p>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采购需求</w:t>
      </w:r>
    </w:p>
    <w:p>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评审方法及评审标准</w:t>
      </w:r>
    </w:p>
    <w:p>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pPr>
        <w:pStyle w:val="31"/>
        <w:numPr>
          <w:ilvl w:val="0"/>
          <w:numId w:val="4"/>
        </w:numPr>
        <w:spacing w:line="360" w:lineRule="auto"/>
        <w:ind w:left="839"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pPr>
        <w:pStyle w:val="31"/>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pPr>
        <w:pStyle w:val="39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2.1已获取磋商文件的潜在供应商，若有问题需要澄清，应于提交首次响应文件截止时间前，以书面形式向采购代理机构提出。</w:t>
      </w:r>
    </w:p>
    <w:p>
      <w:pPr>
        <w:pStyle w:val="39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2"/>
        <w:snapToGrid w:val="0"/>
        <w:spacing w:before="0"/>
        <w:ind w:firstLine="482"/>
        <w:rPr>
          <w:rFonts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pPr>
        <w:pStyle w:val="2"/>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1. 响应文件的语言</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2. 响应文件的组成</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（1）响应函</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（2）资格文件</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pPr>
        <w:pStyle w:val="31"/>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 (如果有)</w:t>
      </w:r>
      <w:r>
        <w:rPr>
          <w:rFonts w:hint="eastAsia" w:ascii="仿宋" w:hAnsi="仿宋" w:eastAsia="仿宋" w:cs="仿宋"/>
          <w:color w:val="auto"/>
          <w:sz w:val="24"/>
          <w:highlight w:val="none"/>
          <w:lang w:val="zh-CN"/>
        </w:rPr>
        <w:t xml:space="preserve"> ；</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 (如果有) ；</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en-US" w:eastAsia="zh-CN"/>
        </w:rPr>
        <w:t>技术响应程度</w:t>
      </w:r>
      <w:r>
        <w:rPr>
          <w:rFonts w:hint="eastAsia" w:ascii="仿宋" w:hAnsi="仿宋" w:eastAsia="仿宋" w:cs="仿宋"/>
          <w:color w:val="auto"/>
          <w:kern w:val="0"/>
          <w:sz w:val="24"/>
          <w:highlight w:val="none"/>
          <w:lang w:val="zh-CN"/>
        </w:rPr>
        <w:t xml:space="preserve"> ；</w:t>
      </w:r>
    </w:p>
    <w:p>
      <w:pPr>
        <w:pStyle w:val="31"/>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lang w:val="zh-CN"/>
        </w:rPr>
        <w:t>需求理解</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11</w:t>
      </w:r>
      <w:r>
        <w:rPr>
          <w:rFonts w:hint="eastAsia" w:ascii="仿宋" w:hAnsi="仿宋" w:eastAsia="仿宋" w:cs="仿宋"/>
          <w:color w:val="auto"/>
          <w:kern w:val="0"/>
          <w:sz w:val="24"/>
          <w:highlight w:val="none"/>
          <w:lang w:val="zh-CN"/>
        </w:rPr>
        <w:t>）施工组织方案</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）安全保障体系</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）质量保障体系及措施</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进度计划方案及保障措施</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设备维保服务能力</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）备品备件仓库和工具设备资源</w:t>
      </w:r>
      <w:r>
        <w:rPr>
          <w:rFonts w:hint="eastAsia" w:ascii="仿宋" w:hAnsi="仿宋" w:eastAsia="仿宋" w:cs="仿宋"/>
          <w:color w:val="auto"/>
          <w:kern w:val="0"/>
          <w:sz w:val="24"/>
          <w:highlight w:val="none"/>
          <w:lang w:val="zh-CN"/>
        </w:rPr>
        <w:t>（含随机自带的备品备件和质保期后供采购人选择的备品备件及配套零部件，明细备品备件及价格，且供货价格不高于成交价格；成交货物设备应提供易损部件的备件和整机备品）（如果有）；</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售后服务方案</w:t>
      </w:r>
    </w:p>
    <w:p>
      <w:pPr>
        <w:pStyle w:val="31"/>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供应商认为需要的其他技术文件或说明（如果有）；</w:t>
      </w:r>
    </w:p>
    <w:p>
      <w:pPr>
        <w:pStyle w:val="31"/>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highlight w:val="none"/>
          <w:lang w:val="zh-CN"/>
        </w:rPr>
        <w:t>政府采购供应商廉洁自律承诺书。</w:t>
      </w:r>
    </w:p>
    <w:p>
      <w:pPr>
        <w:pStyle w:val="31"/>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响应文件的编制和签署</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pPr>
        <w:pStyle w:val="392"/>
        <w:snapToGrid w:val="0"/>
        <w:spacing w:before="0"/>
        <w:ind w:firstLine="480"/>
        <w:rPr>
          <w:rFonts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3.6磋商文件对响应文件签署、盖章的要求适用于电子签名。</w:t>
      </w:r>
    </w:p>
    <w:p>
      <w:pPr>
        <w:pStyle w:val="31"/>
        <w:spacing w:line="360" w:lineRule="auto"/>
        <w:ind w:firstLine="480" w:firstLineChars="200"/>
        <w:rPr>
          <w:rFonts w:ascii="仿宋" w:hAnsi="仿宋" w:eastAsia="仿宋" w:cs="仿宋"/>
          <w:color w:val="auto"/>
          <w:sz w:val="24"/>
          <w:szCs w:val="24"/>
          <w:highlight w:val="none"/>
        </w:rPr>
      </w:pPr>
    </w:p>
    <w:p>
      <w:pPr>
        <w:rPr>
          <w:rFonts w:ascii="仿宋" w:hAnsi="仿宋" w:eastAsia="仿宋"/>
          <w:color w:val="auto"/>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pPr>
        <w:pStyle w:val="392"/>
        <w:spacing w:before="0"/>
        <w:ind w:firstLine="0" w:firstLineChars="0"/>
        <w:rPr>
          <w:rFonts w:ascii="仿宋" w:hAnsi="仿宋" w:eastAsia="仿宋" w:cs="仿宋"/>
          <w:b/>
          <w:color w:val="auto"/>
          <w:szCs w:val="24"/>
          <w:highlight w:val="none"/>
        </w:rPr>
      </w:pPr>
    </w:p>
    <w:p>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pPr>
        <w:pStyle w:val="392"/>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pPr>
        <w:pStyle w:val="31"/>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pPr>
        <w:pStyle w:val="31"/>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2.2 备份响应文件须在“政采云投标客户端”制作生成，并储存在不可修改的</w:t>
      </w:r>
      <w:r>
        <w:rPr>
          <w:rFonts w:hint="eastAsia" w:ascii="仿宋" w:hAnsi="仿宋" w:eastAsia="仿宋" w:cs="仿宋"/>
          <w:b/>
          <w:color w:val="auto"/>
          <w:sz w:val="24"/>
          <w:highlight w:val="none"/>
          <w:u w:val="single"/>
        </w:rPr>
        <w:t>电子光盘等存储介质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pPr>
        <w:pStyle w:val="31"/>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pPr>
        <w:pStyle w:val="31"/>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1"/>
        <w:spacing w:line="360" w:lineRule="auto"/>
        <w:ind w:firstLine="361" w:firstLineChars="15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2.5 </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pPr>
        <w:rPr>
          <w:rFonts w:ascii="仿宋" w:hAnsi="仿宋" w:eastAsia="仿宋"/>
          <w:color w:val="auto"/>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开启响应文件</w:t>
      </w:r>
    </w:p>
    <w:p>
      <w:pPr>
        <w:pStyle w:val="31"/>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pPr>
        <w:pStyle w:val="31"/>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1"/>
        <w:spacing w:line="360" w:lineRule="auto"/>
        <w:ind w:firstLine="361" w:firstLineChars="15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pPr>
        <w:pStyle w:val="39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pPr>
        <w:pStyle w:val="39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pPr>
        <w:pStyle w:val="39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ascii="仿宋" w:hAnsi="仿宋" w:eastAsia="仿宋" w:cs="仿宋"/>
          <w:b/>
          <w:color w:val="auto"/>
          <w:sz w:val="24"/>
          <w:szCs w:val="24"/>
          <w:highlight w:val="none"/>
        </w:rPr>
      </w:pPr>
    </w:p>
    <w:p>
      <w:pPr>
        <w:adjustRightInd/>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pPr>
        <w:snapToGrid w:val="0"/>
        <w:spacing w:line="360" w:lineRule="auto"/>
        <w:rPr>
          <w:rFonts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pPr>
        <w:pStyle w:val="31"/>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pPr>
        <w:pStyle w:val="31"/>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1.2中小企业声明函（如果有）。</w:t>
      </w:r>
    </w:p>
    <w:p>
      <w:pPr>
        <w:rPr>
          <w:rFonts w:ascii="仿宋" w:hAnsi="仿宋" w:eastAsia="仿宋"/>
          <w:color w:val="auto"/>
          <w:highlight w:val="none"/>
        </w:rPr>
      </w:pPr>
    </w:p>
    <w:p>
      <w:pPr>
        <w:adjustRightInd/>
        <w:spacing w:line="360" w:lineRule="auto"/>
        <w:jc w:val="center"/>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pPr>
        <w:pStyle w:val="392"/>
        <w:spacing w:before="0"/>
        <w:ind w:firstLine="0" w:firstLineChars="0"/>
        <w:rPr>
          <w:rFonts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pPr>
        <w:pStyle w:val="392"/>
        <w:spacing w:before="0"/>
        <w:ind w:firstLine="0" w:firstLineChars="0"/>
        <w:rPr>
          <w:rFonts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pPr>
        <w:pStyle w:val="392"/>
        <w:spacing w:before="0"/>
        <w:ind w:firstLine="0" w:firstLineChars="0"/>
        <w:rPr>
          <w:rFonts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pPr>
        <w:rPr>
          <w:rFonts w:ascii="仿宋" w:hAnsi="仿宋" w:eastAsia="仿宋"/>
          <w:color w:val="auto"/>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1. 推荐成交候选供应商</w:t>
      </w:r>
    </w:p>
    <w:p>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1"/>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 确定成交供应商</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ascii="仿宋" w:hAnsi="仿宋" w:eastAsia="仿宋" w:cs="仿宋"/>
          <w:color w:val="auto"/>
          <w:sz w:val="24"/>
          <w:highlight w:val="none"/>
        </w:rPr>
        <w:t>5</w:t>
      </w:r>
      <w:r>
        <w:rPr>
          <w:rFonts w:hint="eastAsia" w:ascii="仿宋" w:hAnsi="仿宋" w:eastAsia="仿宋" w:cs="仿宋"/>
          <w:color w:val="auto"/>
          <w:sz w:val="24"/>
          <w:highlight w:val="none"/>
        </w:rPr>
        <w:t>个工作日内在线确定成交供应商。成交通知书和成交结果公告应当在规定时间内同时发出。</w:t>
      </w:r>
    </w:p>
    <w:p>
      <w:pPr>
        <w:tabs>
          <w:tab w:val="left" w:pos="0"/>
        </w:tabs>
        <w:spacing w:line="360" w:lineRule="auto"/>
        <w:rPr>
          <w:rFonts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3.1自成交人确定之日起2个工作日内，采购代理机构通过电子交易平台向成交人发出成交通知书，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rPr>
        <w:t>采购代理机构也可以以纸质形式进行成交通知。</w:t>
      </w:r>
    </w:p>
    <w:p>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50" w:name="_Hlk101184471"/>
      <w:r>
        <w:rPr>
          <w:rFonts w:hint="eastAsia" w:ascii="仿宋" w:hAnsi="仿宋" w:eastAsia="仿宋" w:cs="仿宋"/>
          <w:color w:val="auto"/>
          <w:sz w:val="24"/>
          <w:highlight w:val="none"/>
        </w:rPr>
        <w:t>资格审查情况、评审专家抽取规则、符合性审查情况、</w:t>
      </w:r>
      <w:bookmarkEnd w:id="50"/>
      <w:r>
        <w:rPr>
          <w:rFonts w:hint="eastAsia" w:ascii="仿宋" w:hAnsi="仿宋" w:eastAsia="仿宋" w:cs="仿宋"/>
          <w:color w:val="auto"/>
          <w:sz w:val="24"/>
          <w:highlight w:val="none"/>
        </w:rPr>
        <w:t>成交公告期限以及评审专家名单、评分汇总及明细。</w:t>
      </w:r>
    </w:p>
    <w:p>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pPr>
        <w:rPr>
          <w:rFonts w:ascii="仿宋" w:hAnsi="仿宋" w:eastAsia="仿宋"/>
          <w:color w:val="auto"/>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pPr>
        <w:tabs>
          <w:tab w:val="left" w:pos="0"/>
        </w:tab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pPr>
        <w:tabs>
          <w:tab w:val="left" w:pos="0"/>
        </w:tab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采购人应当在成交通知书发出之日起3</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pPr>
        <w:pStyle w:val="392"/>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pPr>
        <w:tabs>
          <w:tab w:val="left" w:pos="0"/>
        </w:tab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rFonts w:ascii="仿宋" w:hAnsi="仿宋" w:eastAsia="仿宋"/>
          <w:b/>
          <w:bCs/>
          <w:color w:val="auto"/>
          <w:sz w:val="24"/>
          <w:highlight w:val="none"/>
        </w:rPr>
      </w:pPr>
      <w:r>
        <w:rPr>
          <w:rFonts w:hint="eastAsia" w:ascii="仿宋" w:hAnsi="仿宋" w:eastAsia="仿宋"/>
          <w:b/>
          <w:bCs/>
          <w:color w:val="auto"/>
          <w:sz w:val="24"/>
          <w:highlight w:val="none"/>
        </w:rPr>
        <w:t>4.预付款</w:t>
      </w:r>
    </w:p>
    <w:p>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ascii="仿宋" w:hAnsi="仿宋" w:eastAsia="仿宋" w:cs="仿宋"/>
          <w:color w:val="auto"/>
          <w:sz w:val="24"/>
          <w:highlight w:val="none"/>
        </w:rPr>
        <w:t>7</w:t>
      </w:r>
      <w:r>
        <w:rPr>
          <w:rFonts w:hint="eastAsia" w:ascii="仿宋" w:hAnsi="仿宋" w:eastAsia="仿宋" w:cs="仿宋"/>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rPr>
          <w:rFonts w:ascii="仿宋" w:hAnsi="仿宋" w:eastAsia="仿宋" w:cs="仿宋"/>
          <w:snapToGrid w:val="0"/>
          <w:color w:val="auto"/>
          <w:kern w:val="28"/>
          <w:sz w:val="24"/>
          <w:highlight w:val="none"/>
        </w:rPr>
      </w:pPr>
    </w:p>
    <w:p>
      <w:pPr>
        <w:rPr>
          <w:color w:val="auto"/>
          <w:highlight w:val="none"/>
        </w:rPr>
      </w:pPr>
      <w:r>
        <w:rPr>
          <w:color w:val="auto"/>
          <w:highlight w:val="none"/>
        </w:rPr>
        <w:br w:type="page"/>
      </w: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pPr>
        <w:pStyle w:val="23"/>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1.验收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仿宋" w:hAnsi="仿宋" w:eastAsia="仿宋" w:cs="仿宋"/>
          <w:b/>
          <w:color w:val="auto"/>
          <w:sz w:val="36"/>
          <w:szCs w:val="36"/>
          <w:highlight w:val="none"/>
        </w:rPr>
      </w:pPr>
    </w:p>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pPr>
        <w:tabs>
          <w:tab w:val="left" w:pos="0"/>
        </w:tab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 电子交易活动的中止</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pPr>
        <w:tabs>
          <w:tab w:val="left" w:pos="0"/>
        </w:tabs>
        <w:spacing w:line="360" w:lineRule="auto"/>
        <w:rPr>
          <w:rFonts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1" w:name="_Hlt75236101"/>
      <w:bookmarkEnd w:id="51"/>
      <w:bookmarkStart w:id="52" w:name="_Hlt68057669"/>
      <w:bookmarkEnd w:id="52"/>
      <w:bookmarkStart w:id="53" w:name="_Hlt75236290"/>
      <w:bookmarkEnd w:id="53"/>
      <w:bookmarkStart w:id="54" w:name="_Hlt74714665"/>
      <w:bookmarkEnd w:id="54"/>
      <w:bookmarkStart w:id="55" w:name="_Hlt74707468"/>
      <w:bookmarkEnd w:id="55"/>
      <w:bookmarkStart w:id="56" w:name="_Hlt75236011"/>
      <w:bookmarkEnd w:id="56"/>
      <w:bookmarkStart w:id="57" w:name="_Hlt68072990"/>
      <w:bookmarkEnd w:id="57"/>
      <w:bookmarkStart w:id="58" w:name="_Hlt74729768"/>
      <w:bookmarkEnd w:id="58"/>
      <w:bookmarkStart w:id="59" w:name="_Hlt74730295"/>
      <w:bookmarkEnd w:id="59"/>
      <w:bookmarkStart w:id="60" w:name="_Toc164416483"/>
      <w:bookmarkStart w:id="61" w:name="第三部分"/>
      <w:r>
        <w:rPr>
          <w:rFonts w:hint="eastAsia" w:ascii="仿宋" w:hAnsi="仿宋" w:eastAsia="仿宋" w:cs="仿宋"/>
          <w:b/>
          <w:color w:val="auto"/>
          <w:sz w:val="36"/>
          <w:szCs w:val="36"/>
          <w:highlight w:val="none"/>
        </w:rPr>
        <w:br w:type="page"/>
      </w:r>
    </w:p>
    <w:p>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采购需求</w:t>
      </w:r>
    </w:p>
    <w:p>
      <w:pPr>
        <w:adjustRightInd/>
        <w:spacing w:line="360" w:lineRule="auto"/>
        <w:jc w:val="left"/>
        <w:rPr>
          <w:rFonts w:ascii="Calibri" w:hAnsi="Calibri" w:eastAsia="仿宋" w:cs="仿宋_GB2312"/>
          <w:b/>
          <w:color w:val="auto"/>
          <w:sz w:val="36"/>
          <w:szCs w:val="36"/>
          <w:highlight w:val="none"/>
          <w:u w:val="single"/>
        </w:rPr>
      </w:pPr>
      <w:r>
        <w:rPr>
          <w:rFonts w:hint="eastAsia" w:ascii="Calibri" w:hAnsi="Calibri" w:eastAsia="仿宋"/>
          <w:color w:val="auto"/>
          <w:sz w:val="24"/>
          <w:highlight w:val="none"/>
          <w:u w:val="single"/>
        </w:rPr>
        <w:t>注：“▲” 系指实质性要求条款， “</w:t>
      </w:r>
      <w:r>
        <w:rPr>
          <w:rFonts w:hint="eastAsia" w:ascii="Calibri" w:hAnsi="Calibri" w:eastAsia="仿宋"/>
          <w:b/>
          <w:color w:val="auto"/>
          <w:sz w:val="24"/>
          <w:highlight w:val="none"/>
          <w:u w:val="single"/>
        </w:rPr>
        <w:t>※</w:t>
      </w:r>
      <w:r>
        <w:rPr>
          <w:rFonts w:hint="eastAsia" w:ascii="Calibri" w:hAnsi="Calibri" w:eastAsia="仿宋"/>
          <w:color w:val="auto"/>
          <w:sz w:val="24"/>
          <w:highlight w:val="none"/>
          <w:u w:val="single"/>
        </w:rPr>
        <w:t>”系指磋商过程中可能实质性变动的内容。</w:t>
      </w:r>
    </w:p>
    <w:p>
      <w:pPr>
        <w:keepNext w:val="0"/>
        <w:keepLines w:val="0"/>
        <w:pageBreakBefore w:val="0"/>
        <w:kinsoku/>
        <w:wordWrap/>
        <w:topLinePunct w:val="0"/>
        <w:bidi w:val="0"/>
        <w:adjustRightInd w:val="0"/>
        <w:snapToGrid w:val="0"/>
        <w:spacing w:line="360" w:lineRule="auto"/>
        <w:outlineLvl w:val="1"/>
        <w:rPr>
          <w:rFonts w:hint="eastAsia" w:ascii="仿宋" w:hAnsi="仿宋" w:eastAsia="仿宋"/>
          <w:b/>
          <w:color w:val="auto"/>
          <w:sz w:val="30"/>
          <w:szCs w:val="30"/>
          <w:highlight w:val="none"/>
          <w:lang w:val="en-US" w:eastAsia="zh-CN"/>
        </w:rPr>
      </w:pPr>
      <w:r>
        <w:rPr>
          <w:rFonts w:hint="eastAsia" w:ascii="仿宋" w:hAnsi="仿宋" w:eastAsia="仿宋"/>
          <w:b/>
          <w:color w:val="auto"/>
          <w:sz w:val="30"/>
          <w:szCs w:val="30"/>
          <w:highlight w:val="none"/>
          <w:lang w:val="en-US" w:eastAsia="zh-CN"/>
        </w:rPr>
        <w:t>一、概要</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此份技术规格书是</w:t>
      </w:r>
      <w:r>
        <w:rPr>
          <w:rFonts w:hint="eastAsia" w:ascii="仿宋" w:hAnsi="仿宋" w:eastAsia="仿宋" w:cs="仿宋"/>
          <w:color w:val="auto"/>
          <w:sz w:val="24"/>
          <w:szCs w:val="24"/>
          <w:highlight w:val="none"/>
          <w:lang w:val="en-US" w:eastAsia="zh-CN"/>
        </w:rPr>
        <w:t>电梯采购要求</w:t>
      </w:r>
      <w:r>
        <w:rPr>
          <w:rFonts w:hint="eastAsia" w:ascii="仿宋" w:hAnsi="仿宋" w:eastAsia="仿宋" w:cs="仿宋"/>
          <w:color w:val="auto"/>
          <w:sz w:val="24"/>
          <w:szCs w:val="24"/>
          <w:highlight w:val="none"/>
        </w:rPr>
        <w:t>的一部分，包括电梯的详细规格、条款和资料。</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须根据各自的技术和商务优势对全部项目进行</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w:t>
      </w:r>
    </w:p>
    <w:p>
      <w:pPr>
        <w:keepNext w:val="0"/>
        <w:keepLines w:val="0"/>
        <w:pageBreakBefore w:val="0"/>
        <w:kinsoku/>
        <w:wordWrap/>
        <w:topLinePunct w:val="0"/>
        <w:bidi w:val="0"/>
        <w:adjustRightInd w:val="0"/>
        <w:snapToGrid w:val="0"/>
        <w:spacing w:line="360" w:lineRule="auto"/>
        <w:outlineLvl w:val="1"/>
        <w:rPr>
          <w:rFonts w:hint="eastAsia" w:ascii="仿宋" w:hAnsi="仿宋" w:eastAsia="仿宋"/>
          <w:b/>
          <w:color w:val="auto"/>
          <w:sz w:val="30"/>
          <w:szCs w:val="30"/>
          <w:highlight w:val="none"/>
          <w:lang w:val="en-US" w:eastAsia="zh-CN"/>
        </w:rPr>
      </w:pPr>
      <w:r>
        <w:rPr>
          <w:rFonts w:hint="eastAsia" w:ascii="仿宋" w:hAnsi="仿宋" w:eastAsia="仿宋"/>
          <w:b/>
          <w:color w:val="auto"/>
          <w:sz w:val="30"/>
          <w:szCs w:val="30"/>
          <w:highlight w:val="none"/>
          <w:lang w:val="en-US" w:eastAsia="zh-CN"/>
        </w:rPr>
        <w:t>二、项目报价所需包含工程内容</w:t>
      </w:r>
    </w:p>
    <w:p>
      <w:pPr>
        <w:keepNext w:val="0"/>
        <w:keepLines w:val="0"/>
        <w:pageBreakBefore w:val="0"/>
        <w:numPr>
          <w:ilvl w:val="0"/>
          <w:numId w:val="10"/>
        </w:numPr>
        <w:kinsoku/>
        <w:wordWrap/>
        <w:topLinePunct w:val="0"/>
        <w:bidi w:val="0"/>
        <w:adjustRightInd w:val="0"/>
        <w:snapToGrid w:val="0"/>
        <w:spacing w:line="360" w:lineRule="auto"/>
        <w:ind w:left="425" w:leftChars="0" w:hanging="5"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旧电梯的拆除，并集中堆放以备后续处理；</w:t>
      </w:r>
    </w:p>
    <w:p>
      <w:pPr>
        <w:keepNext w:val="0"/>
        <w:keepLines w:val="0"/>
        <w:pageBreakBefore w:val="0"/>
        <w:numPr>
          <w:ilvl w:val="0"/>
          <w:numId w:val="10"/>
        </w:numPr>
        <w:kinsoku/>
        <w:wordWrap/>
        <w:topLinePunct w:val="0"/>
        <w:bidi w:val="0"/>
        <w:adjustRightInd w:val="0"/>
        <w:snapToGrid w:val="0"/>
        <w:spacing w:line="360" w:lineRule="auto"/>
        <w:ind w:left="425" w:leftChars="0" w:hanging="5"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电梯钢结构井道的整改，以满足新电梯的安装，并满足验收条件；</w:t>
      </w:r>
    </w:p>
    <w:p>
      <w:pPr>
        <w:keepNext w:val="0"/>
        <w:keepLines w:val="0"/>
        <w:pageBreakBefore w:val="0"/>
        <w:numPr>
          <w:ilvl w:val="0"/>
          <w:numId w:val="10"/>
        </w:numPr>
        <w:kinsoku/>
        <w:wordWrap/>
        <w:topLinePunct w:val="0"/>
        <w:bidi w:val="0"/>
        <w:adjustRightInd w:val="0"/>
        <w:snapToGrid w:val="0"/>
        <w:spacing w:line="360" w:lineRule="auto"/>
        <w:ind w:left="425" w:leftChars="0" w:hanging="5"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新电梯设备的提供以及电梯安装、调试、验收；</w:t>
      </w:r>
    </w:p>
    <w:p>
      <w:pPr>
        <w:keepNext w:val="0"/>
        <w:keepLines w:val="0"/>
        <w:pageBreakBefore w:val="0"/>
        <w:numPr>
          <w:ilvl w:val="0"/>
          <w:numId w:val="10"/>
        </w:numPr>
        <w:kinsoku/>
        <w:wordWrap/>
        <w:topLinePunct w:val="0"/>
        <w:bidi w:val="0"/>
        <w:adjustRightInd w:val="0"/>
        <w:snapToGrid w:val="0"/>
        <w:spacing w:line="360" w:lineRule="auto"/>
        <w:ind w:left="425" w:leftChars="0" w:hanging="5"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因更换电梯所导致的原电梯井道、电梯厅装饰面的拆除、整改及修复，以及因材料堆放、成品保护、安全措施等相关配套工作。（供应商对该条做出承诺，承诺函格式自拟）</w:t>
      </w:r>
    </w:p>
    <w:p>
      <w:pPr>
        <w:keepNext w:val="0"/>
        <w:keepLines w:val="0"/>
        <w:pageBreakBefore w:val="0"/>
        <w:kinsoku/>
        <w:wordWrap/>
        <w:topLinePunct w:val="0"/>
        <w:bidi w:val="0"/>
        <w:adjustRightInd w:val="0"/>
        <w:snapToGrid w:val="0"/>
        <w:spacing w:line="360" w:lineRule="auto"/>
        <w:outlineLvl w:val="1"/>
        <w:rPr>
          <w:rFonts w:hint="eastAsia" w:ascii="仿宋" w:hAnsi="仿宋" w:eastAsia="仿宋"/>
          <w:b/>
          <w:color w:val="auto"/>
          <w:sz w:val="30"/>
          <w:szCs w:val="30"/>
          <w:highlight w:val="none"/>
          <w:lang w:val="en-US" w:eastAsia="zh-CN"/>
        </w:rPr>
      </w:pPr>
      <w:r>
        <w:rPr>
          <w:rFonts w:hint="eastAsia" w:ascii="仿宋" w:hAnsi="仿宋" w:eastAsia="仿宋"/>
          <w:b/>
          <w:color w:val="auto"/>
          <w:sz w:val="30"/>
          <w:szCs w:val="30"/>
          <w:highlight w:val="none"/>
          <w:lang w:val="en-US" w:eastAsia="zh-CN"/>
        </w:rPr>
        <w:t>三、设备基本情况</w:t>
      </w:r>
    </w:p>
    <w:p>
      <w:pPr>
        <w:keepNext w:val="0"/>
        <w:keepLines w:val="0"/>
        <w:pageBreakBefore w:val="0"/>
        <w:kinsoku/>
        <w:wordWrap/>
        <w:topLinePunct w:val="0"/>
        <w:bidi w:val="0"/>
        <w:adjustRightIn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1、工地条件</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所有合同中提供的设备应能符合下列但不仅限于以下的环境条件。</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适应性要求：</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室外环境温度： -10℃～40℃</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电源条件</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电源由建设单位开通，从配电箱接到电梯机房的电缆等施工所需材料由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自行解决，费用包含在总价中，所有提供的设备和元器件的安装须符合和适应下列条件，不包括在另行条文中的说明。</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电压：～380V，3相5线，50Hz；～220V，单相,50Hz</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电压波动：-7%～+7%</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动力电接地电阻要求： ≤4欧姆</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抗地震要求：</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所有提供的设备，须适应</w:t>
      </w:r>
      <w:r>
        <w:rPr>
          <w:rFonts w:hint="eastAsia" w:ascii="仿宋" w:hAnsi="仿宋" w:eastAsia="仿宋" w:cs="仿宋"/>
          <w:color w:val="auto"/>
          <w:sz w:val="24"/>
          <w:szCs w:val="24"/>
          <w:highlight w:val="none"/>
          <w:u w:val="single"/>
        </w:rPr>
        <w:t xml:space="preserve"> 6 </w:t>
      </w:r>
      <w:r>
        <w:rPr>
          <w:rFonts w:hint="eastAsia" w:ascii="仿宋" w:hAnsi="仿宋" w:eastAsia="仿宋" w:cs="仿宋"/>
          <w:color w:val="auto"/>
          <w:sz w:val="24"/>
          <w:szCs w:val="24"/>
          <w:highlight w:val="none"/>
        </w:rPr>
        <w:t>度地震烈度，建筑结构正常的前提下，能正常运行。</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耐火等级：</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建筑物耐火等级为</w:t>
      </w:r>
      <w:r>
        <w:rPr>
          <w:rFonts w:hint="eastAsia" w:ascii="仿宋" w:hAnsi="仿宋" w:eastAsia="仿宋" w:cs="仿宋"/>
          <w:color w:val="auto"/>
          <w:sz w:val="24"/>
          <w:szCs w:val="24"/>
          <w:highlight w:val="none"/>
          <w:u w:val="single"/>
        </w:rPr>
        <w:t xml:space="preserve"> 二 </w:t>
      </w:r>
      <w:r>
        <w:rPr>
          <w:rFonts w:hint="eastAsia" w:ascii="仿宋" w:hAnsi="仿宋" w:eastAsia="仿宋" w:cs="仿宋"/>
          <w:color w:val="auto"/>
          <w:sz w:val="24"/>
          <w:szCs w:val="24"/>
          <w:highlight w:val="none"/>
        </w:rPr>
        <w:t>级。</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电梯层门耐火极限不低于1小时，并符合GB/T27903规定的完整性和隔热性要求。</w:t>
      </w:r>
    </w:p>
    <w:p>
      <w:pPr>
        <w:keepNext w:val="0"/>
        <w:keepLines w:val="0"/>
        <w:pageBreakBefore w:val="0"/>
        <w:kinsoku/>
        <w:wordWrap/>
        <w:topLinePunct w:val="0"/>
        <w:bidi w:val="0"/>
        <w:adjustRightInd w:val="0"/>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2、标准和规范</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本招标文件成文时，下列所示标准和规范均有效，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应达到下列标准和规范最新版本的要求。</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中华人民共和国标准和国外标准</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提供的所有产品和服务须符合下列规范、条例及标准：</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中华人民共和国的国家标准：电梯制造和安装安全规范（GB7588—2003）；</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中华人民共和国的国家标准：电梯安装验收规范    （GB10060）；</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中华人民共和国的国家标准：电梯技术条件     （GB/T10058）；</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中华人民共和国的国家标准：电梯试验方法   （GB/T10059）；</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中华人民共和国标准：电梯工程施工质量验收规范   （GB50310）；</w:t>
      </w:r>
    </w:p>
    <w:p>
      <w:pPr>
        <w:keepNext w:val="0"/>
        <w:keepLines w:val="0"/>
        <w:pageBreakBefore w:val="0"/>
        <w:kinsoku/>
        <w:wordWrap/>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其他有关的中国规定；</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遵守不限于此规格书中的标准时，应向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及时解释清楚。</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上述技术标准和规范如与国家、国际最新标准相抵触或未能罗列完全时，应以国家、国际最新权威标准为依据。</w:t>
      </w:r>
    </w:p>
    <w:p>
      <w:pPr>
        <w:keepNext w:val="0"/>
        <w:keepLines w:val="0"/>
        <w:pageBreakBefore w:val="0"/>
        <w:kinsoku/>
        <w:wordWrap/>
        <w:topLinePunct w:val="0"/>
        <w:bidi w:val="0"/>
        <w:adjustRightInd w:val="0"/>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3、设备的防护、包装及运输</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设备的防护及油漆</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设备内、外表面应洁净。</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时须提供设备的具体防护措施供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认可，并对此工作负责。油漆表面应光洁，无折皱和剥落。</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所有设备应合理、有效包装，以使其有效防止各种损坏，如受潮、受热、 剥落、腐蚀、变形等。</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对不油漆且易磨损的零件应涂上高熔点或脂肪酸或其他保护功能的油脂以得到保护，并得到妥善包装后固定。机组所有开口处应封闭保护，以防止在运输人搬运途中异物进入。电动机、控制中心、排气装置和机组的控制器等均应加保护罩。</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随机的零部件、备品备件等散件应木箱包装。这些箱盒应适合于储存，储存年限应在包装上予以说明。</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设备的包装费应包括在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总价中，这些包装材料应属于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所有。</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两种。以中文为准。</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应对设备的整个交货过程负责，包括运输、装卸、安装指导调试、装潢的安全。</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 随包装箱携带的文件、资料应防潮密封，并放置在包装箱内明显处。</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应对设备国内运输、国内仓储和短驳做出详细计划。</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3.10</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施工现场提供的临时仓储条件做出明确详细的要求，相关费用含在报价中。</w:t>
      </w:r>
    </w:p>
    <w:p>
      <w:pPr>
        <w:keepNext w:val="0"/>
        <w:keepLines w:val="0"/>
        <w:pageBreakBefore w:val="0"/>
        <w:kinsoku/>
        <w:wordWrap/>
        <w:topLinePunct w:val="0"/>
        <w:bidi w:val="0"/>
        <w:adjustRightInd w:val="0"/>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4、到货验收</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4.1在所供设备到工地时，由双方对外包装共同验收，依据安装进度由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书面通知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进行开箱验收。</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若发现任何损坏及质量问题，</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应负责更换零件，并妥善处理直至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满意。</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4.2在建设单位工地少量的临时存放场地由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负责协调落实，但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应负责看管。</w:t>
      </w:r>
    </w:p>
    <w:p>
      <w:pPr>
        <w:keepNext w:val="0"/>
        <w:keepLines w:val="0"/>
        <w:pageBreakBefore w:val="0"/>
        <w:kinsoku/>
        <w:wordWrap/>
        <w:topLinePunct w:val="0"/>
        <w:bidi w:val="0"/>
        <w:adjustRightInd w:val="0"/>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5、所需资料</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所需资料（不仅限于以下资料）</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a．产品样本说明书；</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b．设备安装和组装图；</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c．设备详细配置；(如采用进口部件的须附进口件清单，包括型号、原产地)</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d．制造商工程业绩记录；</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e．与土建相关的安装图纸；</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5.2合同签订后，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须按建设进度要求提供下列资料（与土建设计图纸有不一致地方需经设计单位书面同意）：</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最终</w:t>
      </w:r>
      <w:r>
        <w:rPr>
          <w:rFonts w:hint="eastAsia" w:ascii="仿宋" w:hAnsi="仿宋" w:eastAsia="仿宋" w:cs="仿宋"/>
          <w:color w:val="auto"/>
          <w:sz w:val="24"/>
          <w:szCs w:val="24"/>
          <w:highlight w:val="none"/>
        </w:rPr>
        <w:t>人在合同签订后三天内，须制订出提交资料的进度表，该进度表应为</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认可，并符合设计，制造、安装、调试等工程建设进度的需要。</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a.系统图；</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b.布置方案图；</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c.电路图；</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d.接线图；</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e.设计图；</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f.装配图；</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g.井道尺寸剖面图;</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认为有必要提供的其他文件和技术资料。</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设计图纸要求</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a.图纸一式六份需交</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审查并认可。此类审查认可并不免除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在本合同项下的责任义务。</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b.如果有任何图纸未被认可，须由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建议做好修改，并再次送审直到认可。</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 图纸审查包括：</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a.所有对土建的要求符合现有的实际情况，包括荷载、预留孔位置和尺寸、预埋件、机房楼板预留孔（另定）、吊装荷载、机房通道、底坑地基和用于固定的一些细节等。</w:t>
      </w:r>
    </w:p>
    <w:p>
      <w:pPr>
        <w:keepNext w:val="0"/>
        <w:keepLines w:val="0"/>
        <w:pageBreakBefore w:val="0"/>
        <w:kinsoku/>
        <w:wordWrap/>
        <w:topLinePunct w:val="0"/>
        <w:bidi w:val="0"/>
        <w:adjustRightInd w:val="0"/>
        <w:snapToGrid w:val="0"/>
        <w:spacing w:line="360" w:lineRule="auto"/>
        <w:ind w:right="-408"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所有对土建工程的要求须送交</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委托的设计单位审查。</w:t>
      </w:r>
    </w:p>
    <w:p>
      <w:pPr>
        <w:keepNext w:val="0"/>
        <w:keepLines w:val="0"/>
        <w:pageBreakBefore w:val="0"/>
        <w:kinsoku/>
        <w:wordWrap/>
        <w:topLinePunct w:val="0"/>
        <w:bidi w:val="0"/>
        <w:adjustRightInd w:val="0"/>
        <w:snapToGrid w:val="0"/>
        <w:spacing w:line="360" w:lineRule="auto"/>
        <w:ind w:right="-408"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b.主要设备和装置须按额定值、外形、尺寸、表面装饰、维修、更换、安装方法等方面加以阐明。</w:t>
      </w:r>
    </w:p>
    <w:p>
      <w:pPr>
        <w:keepNext w:val="0"/>
        <w:keepLines w:val="0"/>
        <w:pageBreakBefore w:val="0"/>
        <w:kinsoku/>
        <w:wordWrap/>
        <w:topLinePunct w:val="0"/>
        <w:bidi w:val="0"/>
        <w:adjustRightInd w:val="0"/>
        <w:snapToGrid w:val="0"/>
        <w:spacing w:line="360" w:lineRule="auto"/>
        <w:ind w:right="-408"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c.与其他设备系统的连接示意图及工作范围（例如，消防系统、电气设备等）。</w:t>
      </w:r>
    </w:p>
    <w:p>
      <w:pPr>
        <w:keepNext w:val="0"/>
        <w:keepLines w:val="0"/>
        <w:pageBreakBefore w:val="0"/>
        <w:kinsoku/>
        <w:wordWrap/>
        <w:topLinePunct w:val="0"/>
        <w:bidi w:val="0"/>
        <w:adjustRightInd w:val="0"/>
        <w:snapToGrid w:val="0"/>
        <w:spacing w:line="360" w:lineRule="auto"/>
        <w:ind w:right="-408"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d.设备及装置的布置图、辅助线路图等等。所有设备、装置的线路图，都须用特殊的线标明，以防与其它线混同。</w:t>
      </w:r>
    </w:p>
    <w:p>
      <w:pPr>
        <w:keepNext w:val="0"/>
        <w:keepLines w:val="0"/>
        <w:pageBreakBefore w:val="0"/>
        <w:kinsoku/>
        <w:wordWrap/>
        <w:topLinePunct w:val="0"/>
        <w:bidi w:val="0"/>
        <w:adjustRightInd w:val="0"/>
        <w:snapToGrid w:val="0"/>
        <w:spacing w:line="360" w:lineRule="auto"/>
        <w:ind w:right="-408"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e.主要设备的交货程序，外形尺寸、重量和预留吊装位置和吊钩。</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f.主要设备的电源负荷和通风降温要求。</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g.应标明电梯机房的剖面以获得土建的认可。</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5.5 </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在接到任何有关土建或结构设计的变更通知，须根据变更提供详细土建图。</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5.6 </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须在完成合同范围的安装指导、调试验收完毕后，七天内提交所有相关的安装指导记录和工序验收记录并提交竣工图。</w:t>
      </w:r>
    </w:p>
    <w:p>
      <w:pPr>
        <w:keepNext w:val="0"/>
        <w:keepLines w:val="0"/>
        <w:pageBreakBefore w:val="0"/>
        <w:kinsoku/>
        <w:wordWrap/>
        <w:topLinePunct w:val="0"/>
        <w:bidi w:val="0"/>
        <w:adjustRightInd w:val="0"/>
        <w:snapToGrid w:val="0"/>
        <w:spacing w:line="360" w:lineRule="auto"/>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5.8</w:t>
      </w:r>
      <w:r>
        <w:rPr>
          <w:rFonts w:hint="eastAsia" w:ascii="仿宋" w:hAnsi="仿宋" w:eastAsia="仿宋" w:cs="仿宋"/>
          <w:b/>
          <w:bCs/>
          <w:color w:val="auto"/>
          <w:sz w:val="24"/>
          <w:szCs w:val="24"/>
          <w:highlight w:val="none"/>
        </w:rPr>
        <w:t>在正式交付运行前七天，</w:t>
      </w:r>
      <w:r>
        <w:rPr>
          <w:rFonts w:hint="eastAsia" w:ascii="仿宋" w:hAnsi="仿宋" w:eastAsia="仿宋" w:cs="仿宋"/>
          <w:b/>
          <w:bCs/>
          <w:color w:val="auto"/>
          <w:sz w:val="24"/>
          <w:szCs w:val="24"/>
          <w:highlight w:val="none"/>
          <w:lang w:eastAsia="zh-CN"/>
        </w:rPr>
        <w:t>成交供应商</w:t>
      </w:r>
      <w:r>
        <w:rPr>
          <w:rFonts w:hint="eastAsia" w:ascii="仿宋" w:hAnsi="仿宋" w:eastAsia="仿宋" w:cs="仿宋"/>
          <w:b/>
          <w:bCs/>
          <w:color w:val="auto"/>
          <w:sz w:val="24"/>
          <w:szCs w:val="24"/>
          <w:highlight w:val="none"/>
        </w:rPr>
        <w:t>需提交安装手册和维保手册每台1套，以便于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和相关人员能预先对将要运行的设备和系统有所了解。</w:t>
      </w:r>
    </w:p>
    <w:p>
      <w:pPr>
        <w:keepNext w:val="0"/>
        <w:keepLines w:val="0"/>
        <w:pageBreakBefore w:val="0"/>
        <w:kinsoku/>
        <w:wordWrap/>
        <w:topLinePunct w:val="0"/>
        <w:bidi w:val="0"/>
        <w:adjustRightIn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、需要完成的工作</w:t>
      </w:r>
    </w:p>
    <w:p>
      <w:pPr>
        <w:keepNext w:val="0"/>
        <w:keepLines w:val="0"/>
        <w:pageBreakBefore w:val="0"/>
        <w:kinsoku/>
        <w:wordWrap/>
        <w:topLinePunct w:val="0"/>
        <w:bidi w:val="0"/>
        <w:adjustRightInd w:val="0"/>
        <w:spacing w:line="360" w:lineRule="auto"/>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6、验收</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6.1 验收合格条件</w:t>
      </w:r>
      <w:r>
        <w:rPr>
          <w:rFonts w:hint="eastAsia" w:ascii="仿宋" w:hAnsi="仿宋" w:eastAsia="仿宋" w:cs="仿宋"/>
          <w:b/>
          <w:color w:val="auto"/>
          <w:sz w:val="24"/>
          <w:szCs w:val="24"/>
          <w:highlight w:val="none"/>
        </w:rPr>
        <w:t xml:space="preserve"> </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6.1.1运行结果符合产品标准和技术规格书及合同要求。底坑</w:t>
      </w:r>
      <w:r>
        <w:rPr>
          <w:rFonts w:hint="eastAsia" w:ascii="仿宋" w:hAnsi="仿宋" w:eastAsia="仿宋" w:cs="仿宋"/>
          <w:bCs/>
          <w:color w:val="auto"/>
          <w:sz w:val="24"/>
          <w:szCs w:val="24"/>
          <w:highlight w:val="none"/>
        </w:rPr>
        <w:t>须满足GB7588-2003标准中的5.7.3.3条款要求。</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6.1.2在进行测试和验收运行过程中发生的故障已被消除并得到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的认可。</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6.1.3所有合同中规定的货物和材料都已提交。</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6.1.4工程竣工后，通过当地质量技术监督局验收合格并签发合格证书及整个项目通过当地有关部门的综合验收后，移交建设单位或建设单位确定的物业公司。</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6.1.5整套设备图纸及技术文件都已提交并得到接受。</w:t>
      </w:r>
    </w:p>
    <w:p>
      <w:pPr>
        <w:keepNext w:val="0"/>
        <w:keepLines w:val="0"/>
        <w:pageBreakBefore w:val="0"/>
        <w:kinsoku/>
        <w:wordWrap/>
        <w:topLinePunct w:val="0"/>
        <w:bidi w:val="0"/>
        <w:adjustRightInd w:val="0"/>
        <w:spacing w:line="360" w:lineRule="auto"/>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7、售后服务</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7.1维修点须设在设备使用地附近，可以处理所有的维修服务，且需提供24小时服务，维修人员需在接到维修电话后0.5小时内赶到现场，提供不间断的服务直到结束。维修点需提供足够的备件以适应</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维修需求。</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须对合同中规定的整套电梯提供不少于2年的质保期及维修和保养，</w:t>
      </w:r>
      <w:r>
        <w:rPr>
          <w:rFonts w:hint="eastAsia" w:ascii="仿宋" w:hAnsi="仿宋" w:eastAsia="仿宋" w:cs="仿宋"/>
          <w:color w:val="auto"/>
          <w:sz w:val="24"/>
          <w:szCs w:val="24"/>
          <w:highlight w:val="none"/>
          <w:shd w:val="clear" w:color="auto" w:fill="FFFFFF"/>
        </w:rPr>
        <w:t>开始</w:t>
      </w:r>
      <w:r>
        <w:rPr>
          <w:rFonts w:hint="eastAsia" w:ascii="仿宋" w:hAnsi="仿宋" w:eastAsia="仿宋" w:cs="仿宋"/>
          <w:color w:val="auto"/>
          <w:sz w:val="24"/>
          <w:szCs w:val="24"/>
          <w:highlight w:val="none"/>
        </w:rPr>
        <w:t>时间从通过当地质量技术监督局验收合格并签发合格证书之日起算起。</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7.3在质保期内的工作应包括对所有常规检查、调整和润滑。质保期内，</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每二月对设备进行一次总体检测，每半年对设备进行一次复调，质保期后为</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提供一套完整的运行记录。具体的操作程序和内容须在</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时说明。</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7.4在质保期满时，</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工程师和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工程师代表对所有设备进行另一次测试，任何故障须由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自费解决并取得</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认可。</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7.5质保期内</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须自行付费，负责修理或替换任何由于设备自身质量问题造成的损坏及故障，并承担年检费用。</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7.6专用工具和备品备件清单及报价，并承诺该备品备件报价在质保期满后的10年内不上涨；</w:t>
      </w:r>
    </w:p>
    <w:p>
      <w:pPr>
        <w:keepNext w:val="0"/>
        <w:keepLines w:val="0"/>
        <w:pageBreakBefore w:val="0"/>
        <w:kinsoku/>
        <w:wordWrap/>
        <w:topLinePunct w:val="0"/>
        <w:bidi w:val="0"/>
        <w:adjustRightInd w:val="0"/>
        <w:spacing w:line="360" w:lineRule="auto"/>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7.7</w:t>
      </w:r>
      <w:r>
        <w:rPr>
          <w:rFonts w:hint="eastAsia" w:ascii="仿宋" w:hAnsi="仿宋" w:eastAsia="仿宋" w:cs="仿宋"/>
          <w:b/>
          <w:color w:val="auto"/>
          <w:sz w:val="24"/>
          <w:szCs w:val="24"/>
          <w:highlight w:val="none"/>
          <w:lang w:val="en-US" w:eastAsia="zh-CN"/>
        </w:rPr>
        <w:t>报价</w:t>
      </w:r>
      <w:r>
        <w:rPr>
          <w:rFonts w:hint="eastAsia" w:ascii="仿宋" w:hAnsi="仿宋" w:eastAsia="仿宋" w:cs="仿宋"/>
          <w:b/>
          <w:color w:val="auto"/>
          <w:sz w:val="24"/>
          <w:szCs w:val="24"/>
          <w:highlight w:val="none"/>
        </w:rPr>
        <w:t>过程中，</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应提供一份有关备品备件在质保期后5年的小包维修，其价格单列，不计入总价，作为</w:t>
      </w:r>
      <w:r>
        <w:rPr>
          <w:rFonts w:hint="eastAsia" w:ascii="仿宋" w:hAnsi="仿宋" w:eastAsia="仿宋" w:cs="仿宋"/>
          <w:b/>
          <w:color w:val="auto"/>
          <w:sz w:val="24"/>
          <w:szCs w:val="24"/>
          <w:highlight w:val="none"/>
          <w:lang w:eastAsia="zh-CN"/>
        </w:rPr>
        <w:t>采购人</w:t>
      </w:r>
      <w:r>
        <w:rPr>
          <w:rFonts w:hint="eastAsia" w:ascii="仿宋" w:hAnsi="仿宋" w:eastAsia="仿宋" w:cs="仿宋"/>
          <w:b/>
          <w:color w:val="auto"/>
          <w:sz w:val="24"/>
          <w:szCs w:val="24"/>
          <w:highlight w:val="none"/>
        </w:rPr>
        <w:t>今后签订维修和保养合同的参考</w:t>
      </w:r>
      <w:r>
        <w:rPr>
          <w:rFonts w:hint="eastAsia" w:ascii="仿宋" w:hAnsi="仿宋" w:eastAsia="仿宋" w:cs="仿宋"/>
          <w:color w:val="auto"/>
          <w:sz w:val="24"/>
          <w:szCs w:val="24"/>
          <w:highlight w:val="none"/>
        </w:rPr>
        <w:t>，该合同应有以下内容：</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a．服务对象</w:t>
      </w:r>
    </w:p>
    <w:p>
      <w:pPr>
        <w:keepNext w:val="0"/>
        <w:keepLines w:val="0"/>
        <w:pageBreakBefore w:val="0"/>
        <w:kinsoku/>
        <w:wordWrap/>
        <w:topLinePunct w:val="0"/>
        <w:bidi w:val="0"/>
        <w:adjustRightInd w:val="0"/>
        <w:snapToGrid w:val="0"/>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b.服务范围</w:t>
      </w:r>
    </w:p>
    <w:p>
      <w:pPr>
        <w:keepNext w:val="0"/>
        <w:keepLines w:val="0"/>
        <w:pageBreakBefore w:val="0"/>
        <w:kinsoku/>
        <w:wordWrap/>
        <w:topLinePunct w:val="0"/>
        <w:bidi w:val="0"/>
        <w:adjustRightInd w:val="0"/>
        <w:snapToGrid w:val="0"/>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c.服务期限</w:t>
      </w:r>
    </w:p>
    <w:p>
      <w:pPr>
        <w:keepNext w:val="0"/>
        <w:keepLines w:val="0"/>
        <w:pageBreakBefore w:val="0"/>
        <w:kinsoku/>
        <w:wordWrap/>
        <w:topLinePunct w:val="0"/>
        <w:bidi w:val="0"/>
        <w:adjustRightInd w:val="0"/>
        <w:snapToGrid w:val="0"/>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d.服务内容</w:t>
      </w:r>
    </w:p>
    <w:p>
      <w:pPr>
        <w:keepNext w:val="0"/>
        <w:keepLines w:val="0"/>
        <w:pageBreakBefore w:val="0"/>
        <w:kinsoku/>
        <w:wordWrap/>
        <w:topLinePunct w:val="0"/>
        <w:bidi w:val="0"/>
        <w:adjustRightInd w:val="0"/>
        <w:snapToGrid w:val="0"/>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e.服务费 </w:t>
      </w:r>
    </w:p>
    <w:p>
      <w:pPr>
        <w:keepNext w:val="0"/>
        <w:keepLines w:val="0"/>
        <w:pageBreakBefore w:val="0"/>
        <w:kinsoku/>
        <w:wordWrap/>
        <w:topLinePunct w:val="0"/>
        <w:bidi w:val="0"/>
        <w:adjustRightInd w:val="0"/>
        <w:snapToGrid w:val="0"/>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f.不负责任的内容</w:t>
      </w:r>
    </w:p>
    <w:p>
      <w:pPr>
        <w:keepNext w:val="0"/>
        <w:keepLines w:val="0"/>
        <w:pageBreakBefore w:val="0"/>
        <w:kinsoku/>
        <w:wordWrap/>
        <w:topLinePunct w:val="0"/>
        <w:bidi w:val="0"/>
        <w:adjustRightInd w:val="0"/>
        <w:snapToGrid w:val="0"/>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g.双方负责的内容</w:t>
      </w:r>
    </w:p>
    <w:p>
      <w:pPr>
        <w:keepNext w:val="0"/>
        <w:keepLines w:val="0"/>
        <w:pageBreakBefore w:val="0"/>
        <w:kinsoku/>
        <w:wordWrap/>
        <w:topLinePunct w:val="0"/>
        <w:bidi w:val="0"/>
        <w:adjustRightInd w:val="0"/>
        <w:snapToGrid w:val="0"/>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h.其他</w:t>
      </w:r>
    </w:p>
    <w:p>
      <w:pPr>
        <w:keepNext w:val="0"/>
        <w:keepLines w:val="0"/>
        <w:pageBreakBefore w:val="0"/>
        <w:kinsoku/>
        <w:wordWrap/>
        <w:topLinePunct w:val="0"/>
        <w:bidi w:val="0"/>
        <w:adjustRightInd w:val="0"/>
        <w:snapToGrid w:val="0"/>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8、备件供应</w:t>
      </w:r>
    </w:p>
    <w:p>
      <w:pPr>
        <w:keepNext w:val="0"/>
        <w:keepLines w:val="0"/>
        <w:pageBreakBefore w:val="0"/>
        <w:kinsoku/>
        <w:wordWrap/>
        <w:topLinePunct w:val="0"/>
        <w:bidi w:val="0"/>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对各种型号的设备须提供足够的备件、附件和易损件并保证是原厂生产的产品，以满足设备正常运行的需要。</w:t>
      </w:r>
    </w:p>
    <w:p>
      <w:pPr>
        <w:keepNext w:val="0"/>
        <w:keepLines w:val="0"/>
        <w:pageBreakBefore w:val="0"/>
        <w:kinsoku/>
        <w:wordWrap/>
        <w:topLinePunct w:val="0"/>
        <w:bidi w:val="0"/>
        <w:adjustRightInd w:val="0"/>
        <w:snapToGrid w:val="0"/>
        <w:spacing w:line="360" w:lineRule="auto"/>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9、检验和维修设备及工具</w:t>
      </w:r>
    </w:p>
    <w:p>
      <w:pPr>
        <w:keepNext w:val="0"/>
        <w:keepLines w:val="0"/>
        <w:pageBreakBefore w:val="0"/>
        <w:kinsoku/>
        <w:wordWrap/>
        <w:topLinePunct w:val="0"/>
        <w:bidi w:val="0"/>
        <w:adjustRightInd w:val="0"/>
        <w:snapToGrid w:val="0"/>
        <w:spacing w:line="360"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9.1 须免费提供足够的常用检修设备。推荐的检修设备须在</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文件中注明。这些设备及工具不能在安装时使用。</w:t>
      </w:r>
    </w:p>
    <w:p>
      <w:pPr>
        <w:keepNext w:val="0"/>
        <w:keepLines w:val="0"/>
        <w:pageBreakBefore w:val="0"/>
        <w:kinsoku/>
        <w:wordWrap/>
        <w:topLinePunct w:val="0"/>
        <w:bidi w:val="0"/>
        <w:adjustRightInd w:val="0"/>
        <w:snapToGrid w:val="0"/>
        <w:spacing w:line="360"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9.2 所有测试需要的附件、零部件和中文操作维修手册应与检修设备一并免费提供。</w:t>
      </w:r>
    </w:p>
    <w:p>
      <w:pPr>
        <w:keepNext w:val="0"/>
        <w:keepLines w:val="0"/>
        <w:pageBreakBefore w:val="0"/>
        <w:kinsoku/>
        <w:wordWrap/>
        <w:topLinePunct w:val="0"/>
        <w:bidi w:val="0"/>
        <w:adjustRightInd w:val="0"/>
        <w:snapToGrid w:val="0"/>
        <w:spacing w:line="360" w:lineRule="auto"/>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10、商标与铭牌</w:t>
      </w:r>
    </w:p>
    <w:p>
      <w:pPr>
        <w:keepNext w:val="0"/>
        <w:keepLines w:val="0"/>
        <w:pageBreakBefore w:val="0"/>
        <w:kinsoku/>
        <w:wordWrap/>
        <w:topLinePunct w:val="0"/>
        <w:bidi w:val="0"/>
        <w:adjustRightInd w:val="0"/>
        <w:snapToGrid w:val="0"/>
        <w:spacing w:line="360"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提供的设备，其铭牌（原品牌英文铭牌）、使用标记、警示标记都应表示清楚。</w:t>
      </w:r>
    </w:p>
    <w:p>
      <w:pPr>
        <w:keepNext w:val="0"/>
        <w:keepLines w:val="0"/>
        <w:pageBreakBefore w:val="0"/>
        <w:kinsoku/>
        <w:wordWrap/>
        <w:topLinePunct w:val="0"/>
        <w:bidi w:val="0"/>
        <w:adjustRightInd w:val="0"/>
        <w:snapToGrid w:val="0"/>
        <w:spacing w:line="360" w:lineRule="auto"/>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11、产品质量和新技术</w:t>
      </w:r>
    </w:p>
    <w:p>
      <w:pPr>
        <w:keepNext w:val="0"/>
        <w:keepLines w:val="0"/>
        <w:pageBreakBefore w:val="0"/>
        <w:kinsoku/>
        <w:wordWrap/>
        <w:topLinePunct w:val="0"/>
        <w:bidi w:val="0"/>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提供的设备是高品质的，技术要求是最新的，详见招标文件技术规格和要求。  </w:t>
      </w:r>
    </w:p>
    <w:p>
      <w:pPr>
        <w:keepNext w:val="0"/>
        <w:keepLines w:val="0"/>
        <w:pageBreakBefore w:val="0"/>
        <w:kinsoku/>
        <w:wordWrap/>
        <w:topLinePunct w:val="0"/>
        <w:bidi w:val="0"/>
        <w:adjustRightInd w:val="0"/>
        <w:snapToGrid w:val="0"/>
        <w:spacing w:line="360" w:lineRule="auto"/>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12、工期要求</w:t>
      </w:r>
    </w:p>
    <w:p>
      <w:pPr>
        <w:keepNext w:val="0"/>
        <w:keepLines w:val="0"/>
        <w:pageBreakBefore w:val="0"/>
        <w:kinsoku/>
        <w:wordWrap/>
        <w:topLinePunct w:val="0"/>
        <w:bidi w:val="0"/>
        <w:adjustRightInd w:val="0"/>
        <w:snapToGrid w:val="0"/>
        <w:spacing w:line="360" w:lineRule="auto"/>
        <w:ind w:firstLine="440" w:firstLineChars="200"/>
        <w:rPr>
          <w:rFonts w:hint="eastAsia" w:ascii="仿宋" w:hAnsi="仿宋" w:eastAsia="仿宋" w:cs="仿宋"/>
          <w:b/>
          <w:bCs/>
          <w:color w:val="auto"/>
          <w:sz w:val="24"/>
          <w:szCs w:val="24"/>
          <w:highlight w:val="none"/>
        </w:rPr>
      </w:pPr>
      <w:r>
        <w:rPr>
          <w:rFonts w:hint="eastAsia" w:ascii="仿宋" w:hAnsi="仿宋" w:eastAsia="仿宋" w:cs="仿宋"/>
          <w:color w:val="auto"/>
          <w:spacing w:val="-10"/>
          <w:sz w:val="24"/>
          <w:szCs w:val="24"/>
          <w:highlight w:val="none"/>
        </w:rPr>
        <w:t>在接到</w:t>
      </w:r>
      <w:r>
        <w:rPr>
          <w:rFonts w:hint="eastAsia" w:ascii="仿宋" w:hAnsi="仿宋" w:eastAsia="仿宋" w:cs="仿宋"/>
          <w:color w:val="auto"/>
          <w:spacing w:val="-10"/>
          <w:sz w:val="24"/>
          <w:szCs w:val="24"/>
          <w:highlight w:val="none"/>
          <w:lang w:eastAsia="zh-CN"/>
        </w:rPr>
        <w:t>采购人</w:t>
      </w:r>
      <w:r>
        <w:rPr>
          <w:rFonts w:hint="eastAsia" w:ascii="仿宋" w:hAnsi="仿宋" w:eastAsia="仿宋" w:cs="仿宋"/>
          <w:color w:val="auto"/>
          <w:spacing w:val="-10"/>
          <w:sz w:val="24"/>
          <w:szCs w:val="24"/>
          <w:highlight w:val="none"/>
        </w:rPr>
        <w:t>书面通知后</w:t>
      </w:r>
      <w:r>
        <w:rPr>
          <w:rFonts w:hint="eastAsia" w:ascii="仿宋" w:hAnsi="仿宋" w:eastAsia="仿宋" w:cs="仿宋"/>
          <w:color w:val="auto"/>
          <w:spacing w:val="-10"/>
          <w:sz w:val="24"/>
          <w:szCs w:val="24"/>
          <w:highlight w:val="none"/>
          <w:lang w:val="en-US" w:eastAsia="zh-CN"/>
        </w:rPr>
        <w:t>9</w:t>
      </w:r>
      <w:r>
        <w:rPr>
          <w:rFonts w:hint="eastAsia" w:ascii="仿宋" w:hAnsi="仿宋" w:eastAsia="仿宋" w:cs="仿宋"/>
          <w:color w:val="auto"/>
          <w:spacing w:val="-10"/>
          <w:sz w:val="24"/>
          <w:szCs w:val="24"/>
          <w:highlight w:val="none"/>
        </w:rPr>
        <w:t>0日历天内将招标设备运送至工地现场，电梯的</w:t>
      </w:r>
      <w:r>
        <w:rPr>
          <w:rFonts w:hint="eastAsia" w:ascii="仿宋" w:hAnsi="仿宋" w:eastAsia="仿宋" w:cs="仿宋"/>
          <w:color w:val="auto"/>
          <w:sz w:val="24"/>
          <w:szCs w:val="24"/>
          <w:highlight w:val="none"/>
        </w:rPr>
        <w:t>安装、调试、试车运作及验收通过，具体日期由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根据整体工程进度确定。</w:t>
      </w:r>
    </w:p>
    <w:p>
      <w:pPr>
        <w:keepNext w:val="0"/>
        <w:keepLines w:val="0"/>
        <w:pageBreakBefore w:val="0"/>
        <w:kinsoku/>
        <w:wordWrap/>
        <w:topLinePunct w:val="0"/>
        <w:bidi w:val="0"/>
        <w:adjustRightInd w:val="0"/>
        <w:snapToGrid w:val="0"/>
        <w:spacing w:line="360" w:lineRule="auto"/>
        <w:rPr>
          <w:rFonts w:hint="eastAsia" w:ascii="仿宋" w:hAnsi="仿宋" w:eastAsia="仿宋" w:cs="仿宋"/>
          <w:b/>
          <w:bCs/>
          <w:color w:val="auto"/>
          <w:sz w:val="24"/>
          <w:szCs w:val="24"/>
          <w:highlight w:val="none"/>
          <w:shd w:val="clear" w:color="auto" w:fill="FFFFFF"/>
        </w:rPr>
      </w:pPr>
    </w:p>
    <w:p>
      <w:pPr>
        <w:pStyle w:val="56"/>
        <w:keepNext w:val="0"/>
        <w:keepLines w:val="0"/>
        <w:pageBreakBefore w:val="0"/>
        <w:kinsoku/>
        <w:wordWrap/>
        <w:topLinePunct w:val="0"/>
        <w:bidi w:val="0"/>
        <w:adjustRightIn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二、采购电梯技术规格</w:t>
      </w:r>
    </w:p>
    <w:tbl>
      <w:tblPr>
        <w:tblStyle w:val="650"/>
        <w:tblW w:w="8690"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327"/>
        <w:gridCol w:w="1328"/>
        <w:gridCol w:w="51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61" w:type="dxa"/>
            <w:vAlign w:val="center"/>
          </w:tcPr>
          <w:p>
            <w:pPr>
              <w:pStyle w:val="222"/>
              <w:keepNext w:val="0"/>
              <w:keepLines w:val="0"/>
              <w:pageBreakBefore w:val="0"/>
              <w:kinsoku/>
              <w:wordWrap/>
              <w:topLinePunct w:val="0"/>
              <w:bidi w:val="0"/>
              <w:adjustRightInd w:val="0"/>
              <w:spacing w:before="63" w:line="360" w:lineRule="auto"/>
              <w:ind w:left="223"/>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序号</w:t>
            </w:r>
          </w:p>
        </w:tc>
        <w:tc>
          <w:tcPr>
            <w:tcW w:w="7829" w:type="dxa"/>
            <w:gridSpan w:val="3"/>
            <w:vAlign w:val="center"/>
          </w:tcPr>
          <w:p>
            <w:pPr>
              <w:pStyle w:val="222"/>
              <w:keepNext w:val="0"/>
              <w:keepLines w:val="0"/>
              <w:pageBreakBefore w:val="0"/>
              <w:kinsoku/>
              <w:wordWrap/>
              <w:topLinePunct w:val="0"/>
              <w:bidi w:val="0"/>
              <w:adjustRightInd w:val="0"/>
              <w:spacing w:before="63" w:line="360" w:lineRule="auto"/>
              <w:ind w:left="64"/>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电梯技术规格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61" w:type="dxa"/>
            <w:vAlign w:val="center"/>
          </w:tcPr>
          <w:p>
            <w:pPr>
              <w:pStyle w:val="222"/>
              <w:keepNext w:val="0"/>
              <w:keepLines w:val="0"/>
              <w:pageBreakBefore w:val="0"/>
              <w:kinsoku/>
              <w:wordWrap/>
              <w:topLinePunct w:val="0"/>
              <w:bidi w:val="0"/>
              <w:adjustRightInd w:val="0"/>
              <w:spacing w:before="69"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w:t>
            </w:r>
          </w:p>
        </w:tc>
        <w:tc>
          <w:tcPr>
            <w:tcW w:w="2655" w:type="dxa"/>
            <w:gridSpan w:val="2"/>
            <w:vAlign w:val="center"/>
          </w:tcPr>
          <w:p>
            <w:pPr>
              <w:pStyle w:val="222"/>
              <w:keepNext w:val="0"/>
              <w:keepLines w:val="0"/>
              <w:pageBreakBefore w:val="0"/>
              <w:kinsoku/>
              <w:wordWrap/>
              <w:topLinePunct w:val="0"/>
              <w:bidi w:val="0"/>
              <w:adjustRightInd w:val="0"/>
              <w:spacing w:before="69" w:line="360" w:lineRule="auto"/>
              <w:ind w:right="28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电梯型号要求（无机房电 梯）</w:t>
            </w:r>
          </w:p>
        </w:tc>
        <w:tc>
          <w:tcPr>
            <w:tcW w:w="5174" w:type="dxa"/>
            <w:vAlign w:val="center"/>
          </w:tcPr>
          <w:p>
            <w:pPr>
              <w:pStyle w:val="222"/>
              <w:keepNext w:val="0"/>
              <w:keepLines w:val="0"/>
              <w:pageBreakBefore w:val="0"/>
              <w:kinsoku/>
              <w:wordWrap/>
              <w:topLinePunct w:val="0"/>
              <w:bidi w:val="0"/>
              <w:adjustRightInd w:val="0"/>
              <w:spacing w:before="60" w:line="360" w:lineRule="auto"/>
              <w:ind w:left="68" w:right="72"/>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无机房载客电梯,卖方写清产品型号和名称，型号必须是唯一的，且同时需提供具体投标产品的型式检验报告。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61" w:type="dxa"/>
            <w:vAlign w:val="center"/>
          </w:tcPr>
          <w:p>
            <w:pPr>
              <w:pStyle w:val="222"/>
              <w:keepNext w:val="0"/>
              <w:keepLines w:val="0"/>
              <w:pageBreakBefore w:val="0"/>
              <w:kinsoku/>
              <w:wordWrap/>
              <w:topLinePunct w:val="0"/>
              <w:bidi w:val="0"/>
              <w:adjustRightInd w:val="0"/>
              <w:spacing w:before="94"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w:t>
            </w:r>
          </w:p>
        </w:tc>
        <w:tc>
          <w:tcPr>
            <w:tcW w:w="2655" w:type="dxa"/>
            <w:gridSpan w:val="2"/>
            <w:vAlign w:val="center"/>
          </w:tcPr>
          <w:p>
            <w:pPr>
              <w:pStyle w:val="222"/>
              <w:keepNext w:val="0"/>
              <w:keepLines w:val="0"/>
              <w:pageBreakBefore w:val="0"/>
              <w:kinsoku/>
              <w:wordWrap/>
              <w:topLinePunct w:val="0"/>
              <w:bidi w:val="0"/>
              <w:adjustRightInd w:val="0"/>
              <w:spacing w:before="59" w:line="360" w:lineRule="auto"/>
              <w:ind w:left="65"/>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数量</w:t>
            </w:r>
          </w:p>
        </w:tc>
        <w:tc>
          <w:tcPr>
            <w:tcW w:w="5174" w:type="dxa"/>
            <w:vAlign w:val="center"/>
          </w:tcPr>
          <w:p>
            <w:pPr>
              <w:pStyle w:val="222"/>
              <w:keepNext w:val="0"/>
              <w:keepLines w:val="0"/>
              <w:pageBreakBefore w:val="0"/>
              <w:kinsoku/>
              <w:wordWrap/>
              <w:topLinePunct w:val="0"/>
              <w:bidi w:val="0"/>
              <w:adjustRightInd w:val="0"/>
              <w:spacing w:before="59" w:line="360" w:lineRule="auto"/>
              <w:ind w:left="84"/>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61" w:type="dxa"/>
            <w:vAlign w:val="center"/>
          </w:tcPr>
          <w:p>
            <w:pPr>
              <w:pStyle w:val="222"/>
              <w:keepNext w:val="0"/>
              <w:keepLines w:val="0"/>
              <w:pageBreakBefore w:val="0"/>
              <w:kinsoku/>
              <w:wordWrap/>
              <w:topLinePunct w:val="0"/>
              <w:bidi w:val="0"/>
              <w:adjustRightInd w:val="0"/>
              <w:spacing w:before="246"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3</w:t>
            </w:r>
          </w:p>
        </w:tc>
        <w:tc>
          <w:tcPr>
            <w:tcW w:w="2655" w:type="dxa"/>
            <w:gridSpan w:val="2"/>
            <w:vAlign w:val="center"/>
          </w:tcPr>
          <w:p>
            <w:pPr>
              <w:pStyle w:val="222"/>
              <w:keepNext w:val="0"/>
              <w:keepLines w:val="0"/>
              <w:pageBreakBefore w:val="0"/>
              <w:kinsoku/>
              <w:wordWrap/>
              <w:topLinePunct w:val="0"/>
              <w:bidi w:val="0"/>
              <w:adjustRightInd w:val="0"/>
              <w:spacing w:before="211" w:line="360" w:lineRule="auto"/>
              <w:ind w:left="7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曳引系统</w:t>
            </w:r>
          </w:p>
        </w:tc>
        <w:tc>
          <w:tcPr>
            <w:tcW w:w="5174" w:type="dxa"/>
            <w:vAlign w:val="center"/>
          </w:tcPr>
          <w:p>
            <w:pPr>
              <w:pStyle w:val="222"/>
              <w:keepNext w:val="0"/>
              <w:keepLines w:val="0"/>
              <w:pageBreakBefore w:val="0"/>
              <w:kinsoku/>
              <w:wordWrap/>
              <w:topLinePunct w:val="0"/>
              <w:bidi w:val="0"/>
              <w:adjustRightInd w:val="0"/>
              <w:spacing w:before="59" w:line="360" w:lineRule="auto"/>
              <w:ind w:left="83" w:right="211" w:hanging="13"/>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无齿轮曳引机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61" w:type="dxa"/>
            <w:vAlign w:val="center"/>
          </w:tcPr>
          <w:p>
            <w:pPr>
              <w:pStyle w:val="222"/>
              <w:keepNext w:val="0"/>
              <w:keepLines w:val="0"/>
              <w:pageBreakBefore w:val="0"/>
              <w:kinsoku/>
              <w:wordWrap/>
              <w:topLinePunct w:val="0"/>
              <w:bidi w:val="0"/>
              <w:adjustRightInd w:val="0"/>
              <w:spacing w:before="99"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4</w:t>
            </w:r>
          </w:p>
        </w:tc>
        <w:tc>
          <w:tcPr>
            <w:tcW w:w="2655" w:type="dxa"/>
            <w:gridSpan w:val="2"/>
            <w:vAlign w:val="center"/>
          </w:tcPr>
          <w:p>
            <w:pPr>
              <w:pStyle w:val="222"/>
              <w:keepNext w:val="0"/>
              <w:keepLines w:val="0"/>
              <w:pageBreakBefore w:val="0"/>
              <w:kinsoku/>
              <w:wordWrap/>
              <w:topLinePunct w:val="0"/>
              <w:bidi w:val="0"/>
              <w:adjustRightInd w:val="0"/>
              <w:spacing w:before="63" w:line="360" w:lineRule="auto"/>
              <w:ind w:left="62"/>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对重位置</w:t>
            </w:r>
          </w:p>
        </w:tc>
        <w:tc>
          <w:tcPr>
            <w:tcW w:w="5174" w:type="dxa"/>
            <w:vAlign w:val="center"/>
          </w:tcPr>
          <w:p>
            <w:pPr>
              <w:pStyle w:val="222"/>
              <w:keepNext w:val="0"/>
              <w:keepLines w:val="0"/>
              <w:pageBreakBefore w:val="0"/>
              <w:kinsoku/>
              <w:wordWrap/>
              <w:topLinePunct w:val="0"/>
              <w:bidi w:val="0"/>
              <w:adjustRightInd w:val="0"/>
              <w:spacing w:before="63" w:line="360" w:lineRule="auto"/>
              <w:ind w:left="66"/>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侧置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61" w:type="dxa"/>
            <w:vAlign w:val="center"/>
          </w:tcPr>
          <w:p>
            <w:pPr>
              <w:pStyle w:val="222"/>
              <w:keepNext w:val="0"/>
              <w:keepLines w:val="0"/>
              <w:pageBreakBefore w:val="0"/>
              <w:kinsoku/>
              <w:wordWrap/>
              <w:topLinePunct w:val="0"/>
              <w:bidi w:val="0"/>
              <w:adjustRightInd w:val="0"/>
              <w:spacing w:before="245"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5</w:t>
            </w:r>
          </w:p>
        </w:tc>
        <w:tc>
          <w:tcPr>
            <w:tcW w:w="2655" w:type="dxa"/>
            <w:gridSpan w:val="2"/>
            <w:vAlign w:val="center"/>
          </w:tcPr>
          <w:p>
            <w:pPr>
              <w:pStyle w:val="222"/>
              <w:keepNext w:val="0"/>
              <w:keepLines w:val="0"/>
              <w:pageBreakBefore w:val="0"/>
              <w:kinsoku/>
              <w:wordWrap/>
              <w:topLinePunct w:val="0"/>
              <w:bidi w:val="0"/>
              <w:adjustRightInd w:val="0"/>
              <w:spacing w:before="210" w:line="360" w:lineRule="auto"/>
              <w:ind w:left="66"/>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驱动系统</w:t>
            </w:r>
          </w:p>
        </w:tc>
        <w:tc>
          <w:tcPr>
            <w:tcW w:w="5174" w:type="dxa"/>
            <w:vAlign w:val="center"/>
          </w:tcPr>
          <w:p>
            <w:pPr>
              <w:pStyle w:val="222"/>
              <w:keepNext w:val="0"/>
              <w:keepLines w:val="0"/>
              <w:pageBreakBefore w:val="0"/>
              <w:kinsoku/>
              <w:wordWrap/>
              <w:topLinePunct w:val="0"/>
              <w:bidi w:val="0"/>
              <w:adjustRightInd w:val="0"/>
              <w:spacing w:before="61" w:line="360" w:lineRule="auto"/>
              <w:ind w:left="74" w:right="422" w:hanging="2"/>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交流变频变压控制系统 （VVVF）</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61" w:type="dxa"/>
            <w:vAlign w:val="center"/>
          </w:tcPr>
          <w:p>
            <w:pPr>
              <w:pStyle w:val="222"/>
              <w:keepNext w:val="0"/>
              <w:keepLines w:val="0"/>
              <w:pageBreakBefore w:val="0"/>
              <w:kinsoku/>
              <w:wordWrap/>
              <w:topLinePunct w:val="0"/>
              <w:bidi w:val="0"/>
              <w:adjustRightInd w:val="0"/>
              <w:spacing w:before="68"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6</w:t>
            </w:r>
          </w:p>
        </w:tc>
        <w:tc>
          <w:tcPr>
            <w:tcW w:w="2655" w:type="dxa"/>
            <w:gridSpan w:val="2"/>
            <w:vAlign w:val="center"/>
          </w:tcPr>
          <w:p>
            <w:pPr>
              <w:pStyle w:val="222"/>
              <w:keepNext w:val="0"/>
              <w:keepLines w:val="0"/>
              <w:pageBreakBefore w:val="0"/>
              <w:kinsoku/>
              <w:wordWrap/>
              <w:topLinePunct w:val="0"/>
              <w:bidi w:val="0"/>
              <w:adjustRightInd w:val="0"/>
              <w:spacing w:before="68" w:line="360" w:lineRule="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开门机系统</w:t>
            </w:r>
          </w:p>
        </w:tc>
        <w:tc>
          <w:tcPr>
            <w:tcW w:w="5174" w:type="dxa"/>
            <w:vAlign w:val="center"/>
          </w:tcPr>
          <w:p>
            <w:pPr>
              <w:pStyle w:val="222"/>
              <w:keepNext w:val="0"/>
              <w:keepLines w:val="0"/>
              <w:pageBreakBefore w:val="0"/>
              <w:kinsoku/>
              <w:wordWrap/>
              <w:topLinePunct w:val="0"/>
              <w:bidi w:val="0"/>
              <w:adjustRightInd w:val="0"/>
              <w:spacing w:before="61" w:line="360" w:lineRule="auto"/>
              <w:ind w:left="68" w:right="72" w:hanging="1"/>
              <w:jc w:val="both"/>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采用 VVVF 永磁同步门机控制系统，采用红外线光幕保护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61" w:type="dxa"/>
            <w:vAlign w:val="center"/>
          </w:tcPr>
          <w:p>
            <w:pPr>
              <w:pStyle w:val="222"/>
              <w:keepNext w:val="0"/>
              <w:keepLines w:val="0"/>
              <w:pageBreakBefore w:val="0"/>
              <w:kinsoku/>
              <w:wordWrap/>
              <w:topLinePunct w:val="0"/>
              <w:bidi w:val="0"/>
              <w:adjustRightInd w:val="0"/>
              <w:spacing w:before="97"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7</w:t>
            </w:r>
          </w:p>
        </w:tc>
        <w:tc>
          <w:tcPr>
            <w:tcW w:w="2655" w:type="dxa"/>
            <w:gridSpan w:val="2"/>
            <w:vAlign w:val="center"/>
          </w:tcPr>
          <w:p>
            <w:pPr>
              <w:pStyle w:val="222"/>
              <w:keepNext w:val="0"/>
              <w:keepLines w:val="0"/>
              <w:pageBreakBefore w:val="0"/>
              <w:kinsoku/>
              <w:wordWrap/>
              <w:topLinePunct w:val="0"/>
              <w:bidi w:val="0"/>
              <w:adjustRightInd w:val="0"/>
              <w:spacing w:before="61" w:line="360" w:lineRule="auto"/>
              <w:ind w:left="62"/>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控制系统</w:t>
            </w:r>
          </w:p>
        </w:tc>
        <w:tc>
          <w:tcPr>
            <w:tcW w:w="5174" w:type="dxa"/>
            <w:vAlign w:val="center"/>
          </w:tcPr>
          <w:p>
            <w:pPr>
              <w:pStyle w:val="222"/>
              <w:keepNext w:val="0"/>
              <w:keepLines w:val="0"/>
              <w:pageBreakBefore w:val="0"/>
              <w:kinsoku/>
              <w:wordWrap/>
              <w:topLinePunct w:val="0"/>
              <w:bidi w:val="0"/>
              <w:adjustRightInd w:val="0"/>
              <w:spacing w:before="61" w:line="360" w:lineRule="auto"/>
              <w:ind w:left="72"/>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32 位微机网络控制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61" w:type="dxa"/>
            <w:vAlign w:val="center"/>
          </w:tcPr>
          <w:p>
            <w:pPr>
              <w:pStyle w:val="222"/>
              <w:keepNext w:val="0"/>
              <w:keepLines w:val="0"/>
              <w:pageBreakBefore w:val="0"/>
              <w:kinsoku/>
              <w:wordWrap/>
              <w:topLinePunct w:val="0"/>
              <w:bidi w:val="0"/>
              <w:adjustRightInd w:val="0"/>
              <w:spacing w:before="98"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8</w:t>
            </w:r>
          </w:p>
        </w:tc>
        <w:tc>
          <w:tcPr>
            <w:tcW w:w="2655" w:type="dxa"/>
            <w:gridSpan w:val="2"/>
            <w:vAlign w:val="center"/>
          </w:tcPr>
          <w:p>
            <w:pPr>
              <w:pStyle w:val="222"/>
              <w:keepNext w:val="0"/>
              <w:keepLines w:val="0"/>
              <w:pageBreakBefore w:val="0"/>
              <w:kinsoku/>
              <w:wordWrap/>
              <w:topLinePunct w:val="0"/>
              <w:bidi w:val="0"/>
              <w:adjustRightInd w:val="0"/>
              <w:spacing w:before="63" w:line="360" w:lineRule="auto"/>
              <w:ind w:left="63"/>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额定载重</w:t>
            </w:r>
          </w:p>
        </w:tc>
        <w:tc>
          <w:tcPr>
            <w:tcW w:w="5174" w:type="dxa"/>
            <w:vAlign w:val="center"/>
          </w:tcPr>
          <w:p>
            <w:pPr>
              <w:pStyle w:val="222"/>
              <w:keepNext w:val="0"/>
              <w:keepLines w:val="0"/>
              <w:pageBreakBefore w:val="0"/>
              <w:kinsoku/>
              <w:wordWrap/>
              <w:topLinePunct w:val="0"/>
              <w:bidi w:val="0"/>
              <w:adjustRightInd w:val="0"/>
              <w:spacing w:before="98" w:line="360" w:lineRule="auto"/>
              <w:ind w:left="7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630KG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61" w:type="dxa"/>
            <w:vAlign w:val="center"/>
          </w:tcPr>
          <w:p>
            <w:pPr>
              <w:pStyle w:val="222"/>
              <w:keepNext w:val="0"/>
              <w:keepLines w:val="0"/>
              <w:pageBreakBefore w:val="0"/>
              <w:kinsoku/>
              <w:wordWrap/>
              <w:topLinePunct w:val="0"/>
              <w:bidi w:val="0"/>
              <w:adjustRightInd w:val="0"/>
              <w:spacing w:before="99"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9</w:t>
            </w:r>
          </w:p>
        </w:tc>
        <w:tc>
          <w:tcPr>
            <w:tcW w:w="2655" w:type="dxa"/>
            <w:gridSpan w:val="2"/>
            <w:vAlign w:val="center"/>
          </w:tcPr>
          <w:p>
            <w:pPr>
              <w:pStyle w:val="222"/>
              <w:keepNext w:val="0"/>
              <w:keepLines w:val="0"/>
              <w:pageBreakBefore w:val="0"/>
              <w:kinsoku/>
              <w:wordWrap/>
              <w:topLinePunct w:val="0"/>
              <w:bidi w:val="0"/>
              <w:adjustRightInd w:val="0"/>
              <w:spacing w:before="64" w:line="360" w:lineRule="auto"/>
              <w:ind w:left="63"/>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额定速度</w:t>
            </w:r>
          </w:p>
        </w:tc>
        <w:tc>
          <w:tcPr>
            <w:tcW w:w="5174" w:type="dxa"/>
            <w:vAlign w:val="center"/>
          </w:tcPr>
          <w:p>
            <w:pPr>
              <w:pStyle w:val="222"/>
              <w:keepNext w:val="0"/>
              <w:keepLines w:val="0"/>
              <w:pageBreakBefore w:val="0"/>
              <w:kinsoku/>
              <w:wordWrap/>
              <w:topLinePunct w:val="0"/>
              <w:bidi w:val="0"/>
              <w:adjustRightInd w:val="0"/>
              <w:spacing w:before="64" w:line="360" w:lineRule="auto"/>
              <w:ind w:left="89"/>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≥1.0m/s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61" w:type="dxa"/>
            <w:vAlign w:val="center"/>
          </w:tcPr>
          <w:p>
            <w:pPr>
              <w:pStyle w:val="222"/>
              <w:keepNext w:val="0"/>
              <w:keepLines w:val="0"/>
              <w:pageBreakBefore w:val="0"/>
              <w:kinsoku/>
              <w:wordWrap/>
              <w:topLinePunct w:val="0"/>
              <w:bidi w:val="0"/>
              <w:adjustRightInd w:val="0"/>
              <w:spacing w:before="100"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10</w:t>
            </w:r>
          </w:p>
        </w:tc>
        <w:tc>
          <w:tcPr>
            <w:tcW w:w="2655" w:type="dxa"/>
            <w:gridSpan w:val="2"/>
            <w:vAlign w:val="center"/>
          </w:tcPr>
          <w:p>
            <w:pPr>
              <w:pStyle w:val="222"/>
              <w:keepNext w:val="0"/>
              <w:keepLines w:val="0"/>
              <w:pageBreakBefore w:val="0"/>
              <w:kinsoku/>
              <w:wordWrap/>
              <w:topLinePunct w:val="0"/>
              <w:bidi w:val="0"/>
              <w:adjustRightInd w:val="0"/>
              <w:spacing w:before="66" w:line="360" w:lineRule="auto"/>
              <w:ind w:left="63"/>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层/站/门</w:t>
            </w:r>
          </w:p>
        </w:tc>
        <w:tc>
          <w:tcPr>
            <w:tcW w:w="5174" w:type="dxa"/>
            <w:vAlign w:val="center"/>
          </w:tcPr>
          <w:p>
            <w:pPr>
              <w:pStyle w:val="222"/>
              <w:keepNext w:val="0"/>
              <w:keepLines w:val="0"/>
              <w:pageBreakBefore w:val="0"/>
              <w:kinsoku/>
              <w:wordWrap/>
              <w:topLinePunct w:val="0"/>
              <w:bidi w:val="0"/>
              <w:adjustRightInd w:val="0"/>
              <w:spacing w:before="66" w:line="360" w:lineRule="auto"/>
              <w:ind w:left="69"/>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6层/6 站/6 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61" w:type="dxa"/>
            <w:vAlign w:val="center"/>
          </w:tcPr>
          <w:p>
            <w:pPr>
              <w:pStyle w:val="222"/>
              <w:keepNext w:val="0"/>
              <w:keepLines w:val="0"/>
              <w:pageBreakBefore w:val="0"/>
              <w:kinsoku/>
              <w:wordWrap/>
              <w:topLinePunct w:val="0"/>
              <w:bidi w:val="0"/>
              <w:adjustRightInd w:val="0"/>
              <w:spacing w:before="98"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11</w:t>
            </w:r>
          </w:p>
        </w:tc>
        <w:tc>
          <w:tcPr>
            <w:tcW w:w="2655" w:type="dxa"/>
            <w:gridSpan w:val="2"/>
            <w:vAlign w:val="center"/>
          </w:tcPr>
          <w:p>
            <w:pPr>
              <w:pStyle w:val="222"/>
              <w:keepNext w:val="0"/>
              <w:keepLines w:val="0"/>
              <w:pageBreakBefore w:val="0"/>
              <w:kinsoku/>
              <w:wordWrap/>
              <w:topLinePunct w:val="0"/>
              <w:bidi w:val="0"/>
              <w:adjustRightInd w:val="0"/>
              <w:spacing w:before="63" w:line="360" w:lineRule="auto"/>
              <w:ind w:left="63"/>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井道尺寸： 宽 mm*深 mm</w:t>
            </w:r>
          </w:p>
        </w:tc>
        <w:tc>
          <w:tcPr>
            <w:tcW w:w="5174" w:type="dxa"/>
            <w:vAlign w:val="center"/>
          </w:tcPr>
          <w:p>
            <w:pPr>
              <w:pStyle w:val="222"/>
              <w:keepNext w:val="0"/>
              <w:keepLines w:val="0"/>
              <w:pageBreakBefore w:val="0"/>
              <w:kinsoku/>
              <w:wordWrap/>
              <w:topLinePunct w:val="0"/>
              <w:bidi w:val="0"/>
              <w:adjustRightInd w:val="0"/>
              <w:spacing w:before="98" w:line="360" w:lineRule="auto"/>
              <w:ind w:left="71"/>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2100*1300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61" w:type="dxa"/>
            <w:vAlign w:val="center"/>
          </w:tcPr>
          <w:p>
            <w:pPr>
              <w:pStyle w:val="222"/>
              <w:keepNext w:val="0"/>
              <w:keepLines w:val="0"/>
              <w:pageBreakBefore w:val="0"/>
              <w:kinsoku/>
              <w:wordWrap/>
              <w:topLinePunct w:val="0"/>
              <w:bidi w:val="0"/>
              <w:adjustRightInd w:val="0"/>
              <w:spacing w:before="99"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12</w:t>
            </w:r>
          </w:p>
        </w:tc>
        <w:tc>
          <w:tcPr>
            <w:tcW w:w="2655" w:type="dxa"/>
            <w:gridSpan w:val="2"/>
            <w:vAlign w:val="center"/>
          </w:tcPr>
          <w:p>
            <w:pPr>
              <w:pStyle w:val="222"/>
              <w:keepNext w:val="0"/>
              <w:keepLines w:val="0"/>
              <w:pageBreakBefore w:val="0"/>
              <w:kinsoku/>
              <w:wordWrap/>
              <w:topLinePunct w:val="0"/>
              <w:bidi w:val="0"/>
              <w:adjustRightInd w:val="0"/>
              <w:spacing w:before="64" w:line="360" w:lineRule="auto"/>
              <w:ind w:left="63"/>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井道结构：</w:t>
            </w:r>
          </w:p>
        </w:tc>
        <w:tc>
          <w:tcPr>
            <w:tcW w:w="5174" w:type="dxa"/>
            <w:vAlign w:val="center"/>
          </w:tcPr>
          <w:p>
            <w:pPr>
              <w:pStyle w:val="222"/>
              <w:keepNext w:val="0"/>
              <w:keepLines w:val="0"/>
              <w:pageBreakBefore w:val="0"/>
              <w:kinsoku/>
              <w:wordWrap/>
              <w:topLinePunct w:val="0"/>
              <w:bidi w:val="0"/>
              <w:adjustRightInd w:val="0"/>
              <w:spacing w:before="64" w:line="360" w:lineRule="auto"/>
              <w:ind w:left="66"/>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钢结构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1" w:type="dxa"/>
            <w:vAlign w:val="center"/>
          </w:tcPr>
          <w:p>
            <w:pPr>
              <w:pStyle w:val="222"/>
              <w:keepNext w:val="0"/>
              <w:keepLines w:val="0"/>
              <w:pageBreakBefore w:val="0"/>
              <w:kinsoku/>
              <w:wordWrap/>
              <w:topLinePunct w:val="0"/>
              <w:bidi w:val="0"/>
              <w:adjustRightInd w:val="0"/>
              <w:spacing w:before="98"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13</w:t>
            </w:r>
          </w:p>
        </w:tc>
        <w:tc>
          <w:tcPr>
            <w:tcW w:w="2655" w:type="dxa"/>
            <w:gridSpan w:val="2"/>
            <w:vAlign w:val="center"/>
          </w:tcPr>
          <w:p>
            <w:pPr>
              <w:pStyle w:val="222"/>
              <w:keepNext w:val="0"/>
              <w:keepLines w:val="0"/>
              <w:pageBreakBefore w:val="0"/>
              <w:kinsoku/>
              <w:wordWrap/>
              <w:topLinePunct w:val="0"/>
              <w:bidi w:val="0"/>
              <w:adjustRightInd w:val="0"/>
              <w:spacing w:before="64" w:line="360" w:lineRule="auto"/>
              <w:ind w:left="62"/>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底坑深度：</w:t>
            </w:r>
          </w:p>
        </w:tc>
        <w:tc>
          <w:tcPr>
            <w:tcW w:w="5174" w:type="dxa"/>
            <w:vAlign w:val="center"/>
          </w:tcPr>
          <w:p>
            <w:pPr>
              <w:pStyle w:val="222"/>
              <w:keepNext w:val="0"/>
              <w:keepLines w:val="0"/>
              <w:pageBreakBefore w:val="0"/>
              <w:kinsoku/>
              <w:wordWrap/>
              <w:topLinePunct w:val="0"/>
              <w:bidi w:val="0"/>
              <w:adjustRightInd w:val="0"/>
              <w:spacing w:before="98" w:line="360" w:lineRule="auto"/>
              <w:ind w:left="84"/>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1200mm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61" w:type="dxa"/>
            <w:vAlign w:val="center"/>
          </w:tcPr>
          <w:p>
            <w:pPr>
              <w:pStyle w:val="222"/>
              <w:keepNext w:val="0"/>
              <w:keepLines w:val="0"/>
              <w:pageBreakBefore w:val="0"/>
              <w:kinsoku/>
              <w:wordWrap/>
              <w:topLinePunct w:val="0"/>
              <w:bidi w:val="0"/>
              <w:adjustRightInd w:val="0"/>
              <w:spacing w:before="99"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14</w:t>
            </w:r>
          </w:p>
        </w:tc>
        <w:tc>
          <w:tcPr>
            <w:tcW w:w="2655" w:type="dxa"/>
            <w:gridSpan w:val="2"/>
            <w:vAlign w:val="center"/>
          </w:tcPr>
          <w:p>
            <w:pPr>
              <w:pStyle w:val="222"/>
              <w:keepNext w:val="0"/>
              <w:keepLines w:val="0"/>
              <w:pageBreakBefore w:val="0"/>
              <w:kinsoku/>
              <w:wordWrap/>
              <w:topLinePunct w:val="0"/>
              <w:bidi w:val="0"/>
              <w:adjustRightInd w:val="0"/>
              <w:spacing w:before="64" w:line="360" w:lineRule="auto"/>
              <w:ind w:left="63"/>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顶层高度：</w:t>
            </w:r>
          </w:p>
        </w:tc>
        <w:tc>
          <w:tcPr>
            <w:tcW w:w="5174" w:type="dxa"/>
            <w:vAlign w:val="center"/>
          </w:tcPr>
          <w:p>
            <w:pPr>
              <w:pStyle w:val="222"/>
              <w:keepNext w:val="0"/>
              <w:keepLines w:val="0"/>
              <w:pageBreakBefore w:val="0"/>
              <w:kinsoku/>
              <w:wordWrap/>
              <w:topLinePunct w:val="0"/>
              <w:bidi w:val="0"/>
              <w:adjustRightInd w:val="0"/>
              <w:spacing w:before="64" w:line="360" w:lineRule="auto"/>
              <w:ind w:left="67"/>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3850mm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61" w:type="dxa"/>
            <w:vAlign w:val="center"/>
          </w:tcPr>
          <w:p>
            <w:pPr>
              <w:pStyle w:val="222"/>
              <w:keepNext w:val="0"/>
              <w:keepLines w:val="0"/>
              <w:pageBreakBefore w:val="0"/>
              <w:kinsoku/>
              <w:wordWrap/>
              <w:topLinePunct w:val="0"/>
              <w:bidi w:val="0"/>
              <w:adjustRightInd w:val="0"/>
              <w:spacing w:before="99"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15</w:t>
            </w:r>
          </w:p>
        </w:tc>
        <w:tc>
          <w:tcPr>
            <w:tcW w:w="2655" w:type="dxa"/>
            <w:gridSpan w:val="2"/>
            <w:vAlign w:val="center"/>
          </w:tcPr>
          <w:p>
            <w:pPr>
              <w:pStyle w:val="222"/>
              <w:keepNext w:val="0"/>
              <w:keepLines w:val="0"/>
              <w:pageBreakBefore w:val="0"/>
              <w:kinsoku/>
              <w:wordWrap/>
              <w:topLinePunct w:val="0"/>
              <w:bidi w:val="0"/>
              <w:adjustRightInd w:val="0"/>
              <w:spacing w:before="65" w:line="360" w:lineRule="auto"/>
              <w:ind w:left="63"/>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轿厢尺寸：</w:t>
            </w:r>
          </w:p>
        </w:tc>
        <w:tc>
          <w:tcPr>
            <w:tcW w:w="5174" w:type="dxa"/>
            <w:vAlign w:val="center"/>
          </w:tcPr>
          <w:p>
            <w:pPr>
              <w:keepNext w:val="0"/>
              <w:keepLines w:val="0"/>
              <w:pageBreakBefore w:val="0"/>
              <w:kinsoku/>
              <w:wordWrap/>
              <w:topLinePunct w:val="0"/>
              <w:bidi w:val="0"/>
              <w:adjustRightInd w:val="0"/>
              <w:spacing w:line="360" w:lineRule="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1500mm*950mm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61" w:type="dxa"/>
            <w:vAlign w:val="center"/>
          </w:tcPr>
          <w:p>
            <w:pPr>
              <w:pStyle w:val="222"/>
              <w:keepNext w:val="0"/>
              <w:keepLines w:val="0"/>
              <w:pageBreakBefore w:val="0"/>
              <w:kinsoku/>
              <w:wordWrap/>
              <w:topLinePunct w:val="0"/>
              <w:bidi w:val="0"/>
              <w:adjustRightInd w:val="0"/>
              <w:spacing w:before="102"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16</w:t>
            </w:r>
          </w:p>
        </w:tc>
        <w:tc>
          <w:tcPr>
            <w:tcW w:w="2655" w:type="dxa"/>
            <w:gridSpan w:val="2"/>
            <w:vAlign w:val="center"/>
          </w:tcPr>
          <w:p>
            <w:pPr>
              <w:pStyle w:val="222"/>
              <w:keepNext w:val="0"/>
              <w:keepLines w:val="0"/>
              <w:pageBreakBefore w:val="0"/>
              <w:kinsoku/>
              <w:wordWrap/>
              <w:topLinePunct w:val="0"/>
              <w:bidi w:val="0"/>
              <w:adjustRightInd w:val="0"/>
              <w:spacing w:before="67" w:line="360" w:lineRule="auto"/>
              <w:ind w:left="69"/>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总提升高度</w:t>
            </w:r>
          </w:p>
        </w:tc>
        <w:tc>
          <w:tcPr>
            <w:tcW w:w="5174" w:type="dxa"/>
            <w:vAlign w:val="center"/>
          </w:tcPr>
          <w:p>
            <w:pPr>
              <w:pStyle w:val="222"/>
              <w:keepNext w:val="0"/>
              <w:keepLines w:val="0"/>
              <w:pageBreakBefore w:val="0"/>
              <w:kinsoku/>
              <w:wordWrap/>
              <w:topLinePunct w:val="0"/>
              <w:bidi w:val="0"/>
              <w:adjustRightInd w:val="0"/>
              <w:spacing w:before="102" w:line="360" w:lineRule="auto"/>
              <w:ind w:left="71"/>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15m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61" w:type="dxa"/>
            <w:vAlign w:val="center"/>
          </w:tcPr>
          <w:p>
            <w:pPr>
              <w:pStyle w:val="222"/>
              <w:keepNext w:val="0"/>
              <w:keepLines w:val="0"/>
              <w:pageBreakBefore w:val="0"/>
              <w:kinsoku/>
              <w:wordWrap/>
              <w:topLinePunct w:val="0"/>
              <w:bidi w:val="0"/>
              <w:adjustRightInd w:val="0"/>
              <w:spacing w:before="97"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17</w:t>
            </w:r>
          </w:p>
        </w:tc>
        <w:tc>
          <w:tcPr>
            <w:tcW w:w="2655" w:type="dxa"/>
            <w:gridSpan w:val="2"/>
            <w:vAlign w:val="center"/>
          </w:tcPr>
          <w:p>
            <w:pPr>
              <w:pStyle w:val="222"/>
              <w:keepNext w:val="0"/>
              <w:keepLines w:val="0"/>
              <w:pageBreakBefore w:val="0"/>
              <w:kinsoku/>
              <w:wordWrap/>
              <w:topLinePunct w:val="0"/>
              <w:bidi w:val="0"/>
              <w:adjustRightInd w:val="0"/>
              <w:spacing w:before="63" w:line="360" w:lineRule="auto"/>
              <w:ind w:left="64" w:leftChars="0"/>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开门方式</w:t>
            </w:r>
          </w:p>
        </w:tc>
        <w:tc>
          <w:tcPr>
            <w:tcW w:w="5174" w:type="dxa"/>
            <w:vAlign w:val="center"/>
          </w:tcPr>
          <w:p>
            <w:pPr>
              <w:pStyle w:val="222"/>
              <w:keepNext w:val="0"/>
              <w:keepLines w:val="0"/>
              <w:pageBreakBefore w:val="0"/>
              <w:kinsoku/>
              <w:wordWrap/>
              <w:topLinePunct w:val="0"/>
              <w:bidi w:val="0"/>
              <w:adjustRightInd w:val="0"/>
              <w:spacing w:before="63" w:line="360" w:lineRule="auto"/>
              <w:ind w:left="88"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中分式门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2"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18</w:t>
            </w:r>
          </w:p>
        </w:tc>
        <w:tc>
          <w:tcPr>
            <w:tcW w:w="0" w:type="auto"/>
            <w:gridSpan w:val="2"/>
            <w:vAlign w:val="center"/>
          </w:tcPr>
          <w:p>
            <w:pPr>
              <w:pStyle w:val="222"/>
              <w:keepNext w:val="0"/>
              <w:keepLines w:val="0"/>
              <w:pageBreakBefore w:val="0"/>
              <w:kinsoku/>
              <w:wordWrap/>
              <w:topLinePunct w:val="0"/>
              <w:bidi w:val="0"/>
              <w:adjustRightInd w:val="0"/>
              <w:spacing w:before="58" w:line="360" w:lineRule="auto"/>
              <w:ind w:left="64" w:leftChars="0"/>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开门尺寸： 宽 mm*高 mm</w:t>
            </w:r>
          </w:p>
        </w:tc>
        <w:tc>
          <w:tcPr>
            <w:tcW w:w="5174" w:type="dxa"/>
            <w:vAlign w:val="center"/>
          </w:tcPr>
          <w:p>
            <w:pPr>
              <w:pStyle w:val="222"/>
              <w:keepNext w:val="0"/>
              <w:keepLines w:val="0"/>
              <w:pageBreakBefore w:val="0"/>
              <w:kinsoku/>
              <w:wordWrap/>
              <w:topLinePunct w:val="0"/>
              <w:bidi w:val="0"/>
              <w:adjustRightInd w:val="0"/>
              <w:spacing w:before="92" w:line="360" w:lineRule="auto"/>
              <w:ind w:left="69"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800*2100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5"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19</w:t>
            </w:r>
          </w:p>
        </w:tc>
        <w:tc>
          <w:tcPr>
            <w:tcW w:w="0" w:type="auto"/>
            <w:gridSpan w:val="2"/>
            <w:vAlign w:val="center"/>
          </w:tcPr>
          <w:p>
            <w:pPr>
              <w:pStyle w:val="222"/>
              <w:keepNext w:val="0"/>
              <w:keepLines w:val="0"/>
              <w:pageBreakBefore w:val="0"/>
              <w:kinsoku/>
              <w:wordWrap/>
              <w:topLinePunct w:val="0"/>
              <w:bidi w:val="0"/>
              <w:adjustRightInd w:val="0"/>
              <w:spacing w:before="61" w:line="360" w:lineRule="auto"/>
              <w:ind w:left="87" w:leftChars="0"/>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门洞尺寸： 宽 mm*高 mm</w:t>
            </w:r>
          </w:p>
        </w:tc>
        <w:tc>
          <w:tcPr>
            <w:tcW w:w="5174" w:type="dxa"/>
            <w:vAlign w:val="center"/>
          </w:tcPr>
          <w:p>
            <w:pPr>
              <w:pStyle w:val="222"/>
              <w:keepNext w:val="0"/>
              <w:keepLines w:val="0"/>
              <w:pageBreakBefore w:val="0"/>
              <w:kinsoku/>
              <w:wordWrap/>
              <w:topLinePunct w:val="0"/>
              <w:bidi w:val="0"/>
              <w:adjustRightInd w:val="0"/>
              <w:spacing w:before="95" w:line="360" w:lineRule="auto"/>
              <w:ind w:left="84"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1000*2200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3"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20</w:t>
            </w:r>
          </w:p>
        </w:tc>
        <w:tc>
          <w:tcPr>
            <w:tcW w:w="0" w:type="auto"/>
            <w:gridSpan w:val="2"/>
            <w:vAlign w:val="center"/>
          </w:tcPr>
          <w:p>
            <w:pPr>
              <w:pStyle w:val="222"/>
              <w:keepNext w:val="0"/>
              <w:keepLines w:val="0"/>
              <w:pageBreakBefore w:val="0"/>
              <w:kinsoku/>
              <w:wordWrap/>
              <w:topLinePunct w:val="0"/>
              <w:bidi w:val="0"/>
              <w:adjustRightInd w:val="0"/>
              <w:spacing w:before="58" w:line="360" w:lineRule="auto"/>
              <w:ind w:left="63" w:leftChars="0"/>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轿厢净高度</w:t>
            </w:r>
          </w:p>
        </w:tc>
        <w:tc>
          <w:tcPr>
            <w:tcW w:w="5174" w:type="dxa"/>
            <w:vAlign w:val="center"/>
          </w:tcPr>
          <w:p>
            <w:pPr>
              <w:pStyle w:val="222"/>
              <w:keepNext w:val="0"/>
              <w:keepLines w:val="0"/>
              <w:pageBreakBefore w:val="0"/>
              <w:kinsoku/>
              <w:wordWrap/>
              <w:topLinePunct w:val="0"/>
              <w:bidi w:val="0"/>
              <w:adjustRightInd w:val="0"/>
              <w:spacing w:before="58" w:line="360" w:lineRule="auto"/>
              <w:ind w:left="89"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≥2300mm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3"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21</w:t>
            </w:r>
          </w:p>
        </w:tc>
        <w:tc>
          <w:tcPr>
            <w:tcW w:w="0" w:type="auto"/>
            <w:gridSpan w:val="2"/>
            <w:vAlign w:val="center"/>
          </w:tcPr>
          <w:p>
            <w:pPr>
              <w:pStyle w:val="222"/>
              <w:keepNext w:val="0"/>
              <w:keepLines w:val="0"/>
              <w:pageBreakBefore w:val="0"/>
              <w:kinsoku/>
              <w:wordWrap/>
              <w:topLinePunct w:val="0"/>
              <w:bidi w:val="0"/>
              <w:adjustRightInd w:val="0"/>
              <w:spacing w:before="59" w:line="360" w:lineRule="auto"/>
              <w:ind w:left="87" w:leftChars="0"/>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门机保护系统</w:t>
            </w:r>
          </w:p>
        </w:tc>
        <w:tc>
          <w:tcPr>
            <w:tcW w:w="5174" w:type="dxa"/>
            <w:vAlign w:val="center"/>
          </w:tcPr>
          <w:p>
            <w:pPr>
              <w:pStyle w:val="222"/>
              <w:keepNext w:val="0"/>
              <w:keepLines w:val="0"/>
              <w:pageBreakBefore w:val="0"/>
              <w:kinsoku/>
              <w:wordWrap/>
              <w:topLinePunct w:val="0"/>
              <w:bidi w:val="0"/>
              <w:adjustRightInd w:val="0"/>
              <w:spacing w:before="59" w:line="360" w:lineRule="auto"/>
              <w:ind w:left="73"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红外线光幕保护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4"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22</w:t>
            </w:r>
          </w:p>
        </w:tc>
        <w:tc>
          <w:tcPr>
            <w:tcW w:w="1327" w:type="dxa"/>
            <w:vMerge w:val="restart"/>
            <w:vAlign w:val="center"/>
          </w:tcPr>
          <w:p>
            <w:pPr>
              <w:pStyle w:val="222"/>
              <w:keepNext w:val="0"/>
              <w:keepLines w:val="0"/>
              <w:pageBreakBefore w:val="0"/>
              <w:kinsoku/>
              <w:wordWrap/>
              <w:topLinePunct w:val="0"/>
              <w:bidi w:val="0"/>
              <w:adjustRightInd w:val="0"/>
              <w:spacing w:before="68" w:line="360" w:lineRule="auto"/>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轿厢装潢</w:t>
            </w:r>
          </w:p>
        </w:tc>
        <w:tc>
          <w:tcPr>
            <w:tcW w:w="1328" w:type="dxa"/>
            <w:vAlign w:val="center"/>
          </w:tcPr>
          <w:p>
            <w:pPr>
              <w:pStyle w:val="222"/>
              <w:keepNext w:val="0"/>
              <w:keepLines w:val="0"/>
              <w:pageBreakBefore w:val="0"/>
              <w:kinsoku/>
              <w:wordWrap/>
              <w:topLinePunct w:val="0"/>
              <w:bidi w:val="0"/>
              <w:adjustRightInd w:val="0"/>
              <w:spacing w:before="59" w:line="360" w:lineRule="auto"/>
              <w:ind w:left="64"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三侧壁</w:t>
            </w:r>
          </w:p>
        </w:tc>
        <w:tc>
          <w:tcPr>
            <w:tcW w:w="5174" w:type="dxa"/>
            <w:vAlign w:val="center"/>
          </w:tcPr>
          <w:p>
            <w:pPr>
              <w:pStyle w:val="222"/>
              <w:keepNext w:val="0"/>
              <w:keepLines w:val="0"/>
              <w:pageBreakBefore w:val="0"/>
              <w:tabs>
                <w:tab w:val="left" w:pos="1464"/>
              </w:tabs>
              <w:kinsoku/>
              <w:wordWrap/>
              <w:topLinePunct w:val="0"/>
              <w:bidi w:val="0"/>
              <w:adjustRightInd w:val="0"/>
              <w:spacing w:before="59" w:line="360" w:lineRule="auto"/>
              <w:ind w:left="64"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左右侧壁发纹不锈钢，后壁中间镜面不锈钢，两侧发纹不锈钢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5"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23</w:t>
            </w:r>
          </w:p>
        </w:tc>
        <w:tc>
          <w:tcPr>
            <w:tcW w:w="1327" w:type="dxa"/>
            <w:vMerge w:val="continue"/>
            <w:vAlign w:val="center"/>
          </w:tcPr>
          <w:p>
            <w:pPr>
              <w:keepNext w:val="0"/>
              <w:keepLines w:val="0"/>
              <w:pageBreakBefore w:val="0"/>
              <w:kinsoku/>
              <w:wordWrap/>
              <w:topLinePunct w:val="0"/>
              <w:bidi w:val="0"/>
              <w:adjustRightInd w:val="0"/>
              <w:spacing w:line="360" w:lineRule="auto"/>
              <w:rPr>
                <w:rFonts w:hint="eastAsia" w:ascii="仿宋" w:hAnsi="仿宋" w:eastAsia="仿宋" w:cs="仿宋"/>
                <w:color w:val="auto"/>
                <w:spacing w:val="-10"/>
                <w:kern w:val="2"/>
                <w:sz w:val="24"/>
                <w:szCs w:val="24"/>
                <w:highlight w:val="none"/>
                <w:lang w:val="en-US" w:eastAsia="zh-CN" w:bidi="ar-SA"/>
              </w:rPr>
            </w:pPr>
          </w:p>
        </w:tc>
        <w:tc>
          <w:tcPr>
            <w:tcW w:w="1328" w:type="dxa"/>
            <w:vAlign w:val="center"/>
          </w:tcPr>
          <w:p>
            <w:pPr>
              <w:pStyle w:val="222"/>
              <w:keepNext w:val="0"/>
              <w:keepLines w:val="0"/>
              <w:pageBreakBefore w:val="0"/>
              <w:kinsoku/>
              <w:wordWrap/>
              <w:topLinePunct w:val="0"/>
              <w:bidi w:val="0"/>
              <w:adjustRightInd w:val="0"/>
              <w:spacing w:before="60" w:line="360" w:lineRule="auto"/>
              <w:ind w:left="67"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前围壁</w:t>
            </w:r>
          </w:p>
        </w:tc>
        <w:tc>
          <w:tcPr>
            <w:tcW w:w="5174" w:type="dxa"/>
            <w:vAlign w:val="center"/>
          </w:tcPr>
          <w:p>
            <w:pPr>
              <w:pStyle w:val="222"/>
              <w:keepNext w:val="0"/>
              <w:keepLines w:val="0"/>
              <w:pageBreakBefore w:val="0"/>
              <w:kinsoku/>
              <w:wordWrap/>
              <w:topLinePunct w:val="0"/>
              <w:bidi w:val="0"/>
              <w:adjustRightInd w:val="0"/>
              <w:spacing w:before="60" w:line="360" w:lineRule="auto"/>
              <w:ind w:left="67"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6"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24</w:t>
            </w:r>
          </w:p>
        </w:tc>
        <w:tc>
          <w:tcPr>
            <w:tcW w:w="1327" w:type="dxa"/>
            <w:vMerge w:val="continue"/>
            <w:vAlign w:val="center"/>
          </w:tcPr>
          <w:p>
            <w:pPr>
              <w:keepNext w:val="0"/>
              <w:keepLines w:val="0"/>
              <w:pageBreakBefore w:val="0"/>
              <w:kinsoku/>
              <w:wordWrap/>
              <w:topLinePunct w:val="0"/>
              <w:bidi w:val="0"/>
              <w:adjustRightInd w:val="0"/>
              <w:spacing w:line="360" w:lineRule="auto"/>
              <w:rPr>
                <w:rFonts w:hint="eastAsia" w:ascii="仿宋" w:hAnsi="仿宋" w:eastAsia="仿宋" w:cs="仿宋"/>
                <w:color w:val="auto"/>
                <w:spacing w:val="-10"/>
                <w:kern w:val="2"/>
                <w:sz w:val="24"/>
                <w:szCs w:val="24"/>
                <w:highlight w:val="none"/>
                <w:lang w:val="en-US" w:eastAsia="zh-CN" w:bidi="ar-SA"/>
              </w:rPr>
            </w:pPr>
          </w:p>
        </w:tc>
        <w:tc>
          <w:tcPr>
            <w:tcW w:w="1328" w:type="dxa"/>
            <w:vAlign w:val="center"/>
          </w:tcPr>
          <w:p>
            <w:pPr>
              <w:pStyle w:val="222"/>
              <w:keepNext w:val="0"/>
              <w:keepLines w:val="0"/>
              <w:pageBreakBefore w:val="0"/>
              <w:kinsoku/>
              <w:wordWrap/>
              <w:topLinePunct w:val="0"/>
              <w:bidi w:val="0"/>
              <w:adjustRightInd w:val="0"/>
              <w:spacing w:before="59" w:line="360" w:lineRule="auto"/>
              <w:ind w:left="64"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轿门</w:t>
            </w:r>
          </w:p>
        </w:tc>
        <w:tc>
          <w:tcPr>
            <w:tcW w:w="5174" w:type="dxa"/>
            <w:vAlign w:val="center"/>
          </w:tcPr>
          <w:p>
            <w:pPr>
              <w:pStyle w:val="222"/>
              <w:keepNext w:val="0"/>
              <w:keepLines w:val="0"/>
              <w:pageBreakBefore w:val="0"/>
              <w:kinsoku/>
              <w:wordWrap/>
              <w:topLinePunct w:val="0"/>
              <w:bidi w:val="0"/>
              <w:adjustRightInd w:val="0"/>
              <w:spacing w:before="59" w:line="360" w:lineRule="auto"/>
              <w:ind w:left="64"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9"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25</w:t>
            </w:r>
          </w:p>
        </w:tc>
        <w:tc>
          <w:tcPr>
            <w:tcW w:w="1327" w:type="dxa"/>
            <w:vMerge w:val="continue"/>
            <w:vAlign w:val="center"/>
          </w:tcPr>
          <w:p>
            <w:pPr>
              <w:keepNext w:val="0"/>
              <w:keepLines w:val="0"/>
              <w:pageBreakBefore w:val="0"/>
              <w:kinsoku/>
              <w:wordWrap/>
              <w:topLinePunct w:val="0"/>
              <w:bidi w:val="0"/>
              <w:adjustRightInd w:val="0"/>
              <w:spacing w:line="360" w:lineRule="auto"/>
              <w:rPr>
                <w:rFonts w:hint="eastAsia" w:ascii="仿宋" w:hAnsi="仿宋" w:eastAsia="仿宋" w:cs="仿宋"/>
                <w:color w:val="auto"/>
                <w:spacing w:val="-10"/>
                <w:kern w:val="2"/>
                <w:sz w:val="24"/>
                <w:szCs w:val="24"/>
                <w:highlight w:val="none"/>
                <w:lang w:val="en-US" w:eastAsia="zh-CN" w:bidi="ar-SA"/>
              </w:rPr>
            </w:pPr>
          </w:p>
        </w:tc>
        <w:tc>
          <w:tcPr>
            <w:tcW w:w="1328" w:type="dxa"/>
            <w:vAlign w:val="center"/>
          </w:tcPr>
          <w:p>
            <w:pPr>
              <w:pStyle w:val="222"/>
              <w:keepNext w:val="0"/>
              <w:keepLines w:val="0"/>
              <w:pageBreakBefore w:val="0"/>
              <w:kinsoku/>
              <w:wordWrap/>
              <w:topLinePunct w:val="0"/>
              <w:bidi w:val="0"/>
              <w:adjustRightInd w:val="0"/>
              <w:spacing w:before="62" w:line="360" w:lineRule="auto"/>
              <w:ind w:left="64"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轿顶</w:t>
            </w:r>
          </w:p>
        </w:tc>
        <w:tc>
          <w:tcPr>
            <w:tcW w:w="5174" w:type="dxa"/>
            <w:vAlign w:val="center"/>
          </w:tcPr>
          <w:p>
            <w:pPr>
              <w:pStyle w:val="222"/>
              <w:keepNext w:val="0"/>
              <w:keepLines w:val="0"/>
              <w:pageBreakBefore w:val="0"/>
              <w:kinsoku/>
              <w:wordWrap/>
              <w:topLinePunct w:val="0"/>
              <w:bidi w:val="0"/>
              <w:adjustRightInd w:val="0"/>
              <w:spacing w:before="62" w:line="360" w:lineRule="auto"/>
              <w:ind w:left="64"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6"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26</w:t>
            </w:r>
          </w:p>
        </w:tc>
        <w:tc>
          <w:tcPr>
            <w:tcW w:w="1327" w:type="dxa"/>
            <w:vMerge w:val="continue"/>
            <w:vAlign w:val="center"/>
          </w:tcPr>
          <w:p>
            <w:pPr>
              <w:keepNext w:val="0"/>
              <w:keepLines w:val="0"/>
              <w:pageBreakBefore w:val="0"/>
              <w:kinsoku/>
              <w:wordWrap/>
              <w:topLinePunct w:val="0"/>
              <w:bidi w:val="0"/>
              <w:adjustRightInd w:val="0"/>
              <w:spacing w:line="360" w:lineRule="auto"/>
              <w:rPr>
                <w:rFonts w:hint="eastAsia" w:ascii="仿宋" w:hAnsi="仿宋" w:eastAsia="仿宋" w:cs="仿宋"/>
                <w:color w:val="auto"/>
                <w:spacing w:val="-10"/>
                <w:kern w:val="2"/>
                <w:sz w:val="24"/>
                <w:szCs w:val="24"/>
                <w:highlight w:val="none"/>
                <w:lang w:val="en-US" w:eastAsia="zh-CN" w:bidi="ar-SA"/>
              </w:rPr>
            </w:pPr>
          </w:p>
        </w:tc>
        <w:tc>
          <w:tcPr>
            <w:tcW w:w="1328" w:type="dxa"/>
            <w:vAlign w:val="center"/>
          </w:tcPr>
          <w:p>
            <w:pPr>
              <w:pStyle w:val="222"/>
              <w:keepNext w:val="0"/>
              <w:keepLines w:val="0"/>
              <w:pageBreakBefore w:val="0"/>
              <w:kinsoku/>
              <w:wordWrap/>
              <w:topLinePunct w:val="0"/>
              <w:bidi w:val="0"/>
              <w:adjustRightInd w:val="0"/>
              <w:spacing w:before="60" w:line="360" w:lineRule="auto"/>
              <w:ind w:left="64"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地板</w:t>
            </w:r>
          </w:p>
        </w:tc>
        <w:tc>
          <w:tcPr>
            <w:tcW w:w="5174" w:type="dxa"/>
            <w:vAlign w:val="center"/>
          </w:tcPr>
          <w:p>
            <w:pPr>
              <w:pStyle w:val="222"/>
              <w:keepNext w:val="0"/>
              <w:keepLines w:val="0"/>
              <w:pageBreakBefore w:val="0"/>
              <w:kinsoku/>
              <w:wordWrap/>
              <w:topLinePunct w:val="0"/>
              <w:bidi w:val="0"/>
              <w:adjustRightInd w:val="0"/>
              <w:spacing w:before="60" w:line="360" w:lineRule="auto"/>
              <w:ind w:left="64"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大理石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7"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27</w:t>
            </w:r>
          </w:p>
        </w:tc>
        <w:tc>
          <w:tcPr>
            <w:tcW w:w="1327" w:type="dxa"/>
            <w:vMerge w:val="restart"/>
            <w:vAlign w:val="center"/>
          </w:tcPr>
          <w:p>
            <w:pPr>
              <w:pStyle w:val="222"/>
              <w:keepNext w:val="0"/>
              <w:keepLines w:val="0"/>
              <w:pageBreakBefore w:val="0"/>
              <w:kinsoku/>
              <w:wordWrap/>
              <w:topLinePunct w:val="0"/>
              <w:bidi w:val="0"/>
              <w:adjustRightInd w:val="0"/>
              <w:spacing w:before="60" w:line="360" w:lineRule="auto"/>
              <w:ind w:left="63" w:leftChars="0"/>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操纵箱面板</w:t>
            </w:r>
          </w:p>
        </w:tc>
        <w:tc>
          <w:tcPr>
            <w:tcW w:w="1328" w:type="dxa"/>
            <w:vAlign w:val="center"/>
          </w:tcPr>
          <w:p>
            <w:pPr>
              <w:pStyle w:val="222"/>
              <w:keepNext w:val="0"/>
              <w:keepLines w:val="0"/>
              <w:pageBreakBefore w:val="0"/>
              <w:kinsoku/>
              <w:wordWrap/>
              <w:topLinePunct w:val="0"/>
              <w:bidi w:val="0"/>
              <w:adjustRightInd w:val="0"/>
              <w:spacing w:before="60" w:line="360" w:lineRule="auto"/>
              <w:ind w:left="63"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操纵箱面板</w:t>
            </w:r>
          </w:p>
        </w:tc>
        <w:tc>
          <w:tcPr>
            <w:tcW w:w="5174" w:type="dxa"/>
            <w:vAlign w:val="center"/>
          </w:tcPr>
          <w:p>
            <w:pPr>
              <w:pStyle w:val="222"/>
              <w:keepNext w:val="0"/>
              <w:keepLines w:val="0"/>
              <w:pageBreakBefore w:val="0"/>
              <w:kinsoku/>
              <w:wordWrap/>
              <w:topLinePunct w:val="0"/>
              <w:bidi w:val="0"/>
              <w:adjustRightInd w:val="0"/>
              <w:spacing w:before="60" w:line="360" w:lineRule="auto"/>
              <w:ind w:left="72"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304 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248"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28</w:t>
            </w:r>
          </w:p>
        </w:tc>
        <w:tc>
          <w:tcPr>
            <w:tcW w:w="1327" w:type="dxa"/>
            <w:vMerge w:val="continue"/>
            <w:vAlign w:val="center"/>
          </w:tcPr>
          <w:p>
            <w:pPr>
              <w:pStyle w:val="222"/>
              <w:keepNext w:val="0"/>
              <w:keepLines w:val="0"/>
              <w:pageBreakBefore w:val="0"/>
              <w:kinsoku/>
              <w:wordWrap/>
              <w:topLinePunct w:val="0"/>
              <w:bidi w:val="0"/>
              <w:adjustRightInd w:val="0"/>
              <w:spacing w:before="67" w:line="360" w:lineRule="auto"/>
              <w:ind w:left="69"/>
              <w:rPr>
                <w:rFonts w:hint="eastAsia" w:ascii="仿宋" w:hAnsi="仿宋" w:eastAsia="仿宋" w:cs="仿宋"/>
                <w:color w:val="auto"/>
                <w:spacing w:val="-10"/>
                <w:kern w:val="2"/>
                <w:sz w:val="24"/>
                <w:szCs w:val="24"/>
                <w:highlight w:val="none"/>
                <w:lang w:val="en-US" w:eastAsia="zh-CN" w:bidi="ar-SA"/>
              </w:rPr>
            </w:pPr>
          </w:p>
        </w:tc>
        <w:tc>
          <w:tcPr>
            <w:tcW w:w="1328" w:type="dxa"/>
            <w:vAlign w:val="center"/>
          </w:tcPr>
          <w:p>
            <w:pPr>
              <w:pStyle w:val="222"/>
              <w:keepNext w:val="0"/>
              <w:keepLines w:val="0"/>
              <w:pageBreakBefore w:val="0"/>
              <w:kinsoku/>
              <w:wordWrap/>
              <w:topLinePunct w:val="0"/>
              <w:bidi w:val="0"/>
              <w:adjustRightInd w:val="0"/>
              <w:spacing w:before="213" w:line="360" w:lineRule="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轿厢显示</w:t>
            </w:r>
          </w:p>
        </w:tc>
        <w:tc>
          <w:tcPr>
            <w:tcW w:w="5174" w:type="dxa"/>
            <w:vAlign w:val="center"/>
          </w:tcPr>
          <w:p>
            <w:pPr>
              <w:pStyle w:val="222"/>
              <w:keepNext w:val="0"/>
              <w:keepLines w:val="0"/>
              <w:pageBreakBefore w:val="0"/>
              <w:kinsoku/>
              <w:wordWrap/>
              <w:topLinePunct w:val="0"/>
              <w:bidi w:val="0"/>
              <w:adjustRightInd w:val="0"/>
              <w:spacing w:before="212" w:line="360" w:lineRule="auto"/>
              <w:ind w:left="70"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液晶楼层显示及方向指示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7"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29</w:t>
            </w:r>
          </w:p>
        </w:tc>
        <w:tc>
          <w:tcPr>
            <w:tcW w:w="1327" w:type="dxa"/>
            <w:vMerge w:val="continue"/>
            <w:vAlign w:val="center"/>
          </w:tcPr>
          <w:p>
            <w:pPr>
              <w:keepNext w:val="0"/>
              <w:keepLines w:val="0"/>
              <w:pageBreakBefore w:val="0"/>
              <w:kinsoku/>
              <w:wordWrap/>
              <w:topLinePunct w:val="0"/>
              <w:bidi w:val="0"/>
              <w:adjustRightInd w:val="0"/>
              <w:spacing w:line="360" w:lineRule="auto"/>
              <w:rPr>
                <w:rFonts w:hint="eastAsia" w:ascii="仿宋" w:hAnsi="仿宋" w:eastAsia="仿宋" w:cs="仿宋"/>
                <w:color w:val="auto"/>
                <w:spacing w:val="-10"/>
                <w:kern w:val="2"/>
                <w:sz w:val="24"/>
                <w:szCs w:val="24"/>
                <w:highlight w:val="none"/>
                <w:lang w:val="en-US" w:eastAsia="zh-CN" w:bidi="ar-SA"/>
              </w:rPr>
            </w:pPr>
          </w:p>
        </w:tc>
        <w:tc>
          <w:tcPr>
            <w:tcW w:w="1328" w:type="dxa"/>
            <w:vAlign w:val="center"/>
          </w:tcPr>
          <w:p>
            <w:pPr>
              <w:pStyle w:val="222"/>
              <w:keepNext w:val="0"/>
              <w:keepLines w:val="0"/>
              <w:pageBreakBefore w:val="0"/>
              <w:kinsoku/>
              <w:wordWrap/>
              <w:topLinePunct w:val="0"/>
              <w:bidi w:val="0"/>
              <w:adjustRightInd w:val="0"/>
              <w:spacing w:before="61" w:line="360" w:lineRule="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按钮</w:t>
            </w:r>
          </w:p>
        </w:tc>
        <w:tc>
          <w:tcPr>
            <w:tcW w:w="5174" w:type="dxa"/>
            <w:vAlign w:val="center"/>
          </w:tcPr>
          <w:p>
            <w:pPr>
              <w:pStyle w:val="222"/>
              <w:keepNext w:val="0"/>
              <w:keepLines w:val="0"/>
              <w:pageBreakBefore w:val="0"/>
              <w:kinsoku/>
              <w:wordWrap/>
              <w:topLinePunct w:val="0"/>
              <w:bidi w:val="0"/>
              <w:adjustRightInd w:val="0"/>
              <w:spacing w:before="61" w:line="360" w:lineRule="auto"/>
              <w:ind w:left="71"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发光微动按钮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8"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30</w:t>
            </w:r>
          </w:p>
        </w:tc>
        <w:tc>
          <w:tcPr>
            <w:tcW w:w="0" w:type="auto"/>
            <w:gridSpan w:val="2"/>
            <w:vAlign w:val="center"/>
          </w:tcPr>
          <w:p>
            <w:pPr>
              <w:pStyle w:val="222"/>
              <w:keepNext w:val="0"/>
              <w:keepLines w:val="0"/>
              <w:pageBreakBefore w:val="0"/>
              <w:kinsoku/>
              <w:wordWrap/>
              <w:topLinePunct w:val="0"/>
              <w:bidi w:val="0"/>
              <w:adjustRightInd w:val="0"/>
              <w:spacing w:before="63" w:line="360" w:lineRule="auto"/>
              <w:ind w:left="67" w:leftChars="0"/>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厅门</w:t>
            </w:r>
          </w:p>
        </w:tc>
        <w:tc>
          <w:tcPr>
            <w:tcW w:w="5174" w:type="dxa"/>
            <w:vAlign w:val="center"/>
          </w:tcPr>
          <w:p>
            <w:pPr>
              <w:pStyle w:val="222"/>
              <w:keepNext w:val="0"/>
              <w:keepLines w:val="0"/>
              <w:pageBreakBefore w:val="0"/>
              <w:kinsoku/>
              <w:wordWrap/>
              <w:topLinePunct w:val="0"/>
              <w:bidi w:val="0"/>
              <w:adjustRightInd w:val="0"/>
              <w:spacing w:before="63" w:line="360" w:lineRule="auto"/>
              <w:ind w:left="76"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100"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31</w:t>
            </w:r>
          </w:p>
        </w:tc>
        <w:tc>
          <w:tcPr>
            <w:tcW w:w="0" w:type="auto"/>
            <w:gridSpan w:val="2"/>
            <w:vAlign w:val="center"/>
          </w:tcPr>
          <w:p>
            <w:pPr>
              <w:pStyle w:val="222"/>
              <w:keepNext w:val="0"/>
              <w:keepLines w:val="0"/>
              <w:pageBreakBefore w:val="0"/>
              <w:kinsoku/>
              <w:wordWrap/>
              <w:topLinePunct w:val="0"/>
              <w:bidi w:val="0"/>
              <w:adjustRightInd w:val="0"/>
              <w:spacing w:before="66" w:line="360" w:lineRule="auto"/>
              <w:ind w:left="66" w:leftChars="0"/>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大门套</w:t>
            </w:r>
          </w:p>
        </w:tc>
        <w:tc>
          <w:tcPr>
            <w:tcW w:w="5174" w:type="dxa"/>
            <w:vAlign w:val="center"/>
          </w:tcPr>
          <w:p>
            <w:pPr>
              <w:pStyle w:val="222"/>
              <w:keepNext w:val="0"/>
              <w:keepLines w:val="0"/>
              <w:pageBreakBefore w:val="0"/>
              <w:kinsoku/>
              <w:wordWrap/>
              <w:topLinePunct w:val="0"/>
              <w:bidi w:val="0"/>
              <w:adjustRightInd w:val="0"/>
              <w:spacing w:before="66" w:line="360" w:lineRule="auto"/>
              <w:ind w:left="76"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发纹不锈钢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9"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32</w:t>
            </w:r>
          </w:p>
        </w:tc>
        <w:tc>
          <w:tcPr>
            <w:tcW w:w="0" w:type="auto"/>
            <w:gridSpan w:val="2"/>
            <w:vAlign w:val="center"/>
          </w:tcPr>
          <w:p>
            <w:pPr>
              <w:pStyle w:val="222"/>
              <w:keepNext w:val="0"/>
              <w:keepLines w:val="0"/>
              <w:pageBreakBefore w:val="0"/>
              <w:kinsoku/>
              <w:wordWrap/>
              <w:topLinePunct w:val="0"/>
              <w:bidi w:val="0"/>
              <w:adjustRightInd w:val="0"/>
              <w:spacing w:before="62" w:line="360" w:lineRule="auto"/>
              <w:ind w:left="67" w:leftChars="0"/>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安全门</w:t>
            </w:r>
          </w:p>
        </w:tc>
        <w:tc>
          <w:tcPr>
            <w:tcW w:w="5174" w:type="dxa"/>
            <w:vAlign w:val="center"/>
          </w:tcPr>
          <w:p>
            <w:pPr>
              <w:pStyle w:val="222"/>
              <w:keepNext w:val="0"/>
              <w:keepLines w:val="0"/>
              <w:pageBreakBefore w:val="0"/>
              <w:kinsoku/>
              <w:wordWrap/>
              <w:topLinePunct w:val="0"/>
              <w:bidi w:val="0"/>
              <w:adjustRightInd w:val="0"/>
              <w:spacing w:before="62" w:line="360" w:lineRule="auto"/>
              <w:ind w:left="70"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8"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33</w:t>
            </w:r>
          </w:p>
        </w:tc>
        <w:tc>
          <w:tcPr>
            <w:tcW w:w="1327" w:type="dxa"/>
            <w:vMerge w:val="restart"/>
            <w:vAlign w:val="center"/>
          </w:tcPr>
          <w:p>
            <w:pPr>
              <w:keepNext w:val="0"/>
              <w:keepLines w:val="0"/>
              <w:pageBreakBefore w:val="0"/>
              <w:kinsoku/>
              <w:wordWrap/>
              <w:topLinePunct w:val="0"/>
              <w:bidi w:val="0"/>
              <w:adjustRightInd w:val="0"/>
              <w:spacing w:line="360" w:lineRule="auto"/>
              <w:rPr>
                <w:rFonts w:hint="eastAsia" w:ascii="仿宋" w:hAnsi="仿宋" w:eastAsia="仿宋" w:cs="仿宋"/>
                <w:color w:val="auto"/>
                <w:spacing w:val="-10"/>
                <w:kern w:val="2"/>
                <w:sz w:val="24"/>
                <w:szCs w:val="24"/>
                <w:highlight w:val="none"/>
                <w:lang w:val="en-US" w:eastAsia="zh-CN" w:bidi="ar-SA"/>
              </w:rPr>
            </w:pPr>
          </w:p>
          <w:p>
            <w:pPr>
              <w:pStyle w:val="222"/>
              <w:keepNext w:val="0"/>
              <w:keepLines w:val="0"/>
              <w:pageBreakBefore w:val="0"/>
              <w:kinsoku/>
              <w:wordWrap/>
              <w:topLinePunct w:val="0"/>
              <w:bidi w:val="0"/>
              <w:adjustRightInd w:val="0"/>
              <w:spacing w:before="68" w:line="360" w:lineRule="auto"/>
              <w:ind w:left="62" w:leftChars="0" w:right="212" w:rightChars="0" w:firstLine="5" w:firstLineChars="0"/>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厅门通讯装置</w:t>
            </w:r>
          </w:p>
        </w:tc>
        <w:tc>
          <w:tcPr>
            <w:tcW w:w="1328" w:type="dxa"/>
            <w:vAlign w:val="center"/>
          </w:tcPr>
          <w:p>
            <w:pPr>
              <w:pStyle w:val="222"/>
              <w:keepNext w:val="0"/>
              <w:keepLines w:val="0"/>
              <w:pageBreakBefore w:val="0"/>
              <w:kinsoku/>
              <w:wordWrap/>
              <w:topLinePunct w:val="0"/>
              <w:bidi w:val="0"/>
              <w:adjustRightInd w:val="0"/>
              <w:spacing w:before="63" w:line="360" w:lineRule="auto"/>
              <w:ind w:left="76"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呼梯面板</w:t>
            </w:r>
          </w:p>
        </w:tc>
        <w:tc>
          <w:tcPr>
            <w:tcW w:w="5174" w:type="dxa"/>
            <w:vAlign w:val="center"/>
          </w:tcPr>
          <w:p>
            <w:pPr>
              <w:pStyle w:val="222"/>
              <w:keepNext w:val="0"/>
              <w:keepLines w:val="0"/>
              <w:pageBreakBefore w:val="0"/>
              <w:kinsoku/>
              <w:wordWrap/>
              <w:topLinePunct w:val="0"/>
              <w:bidi w:val="0"/>
              <w:adjustRightInd w:val="0"/>
              <w:spacing w:before="63" w:line="360" w:lineRule="auto"/>
              <w:ind w:left="71"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发纹不锈钢（SUS304）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250"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34</w:t>
            </w:r>
          </w:p>
        </w:tc>
        <w:tc>
          <w:tcPr>
            <w:tcW w:w="1327" w:type="dxa"/>
            <w:vMerge w:val="continue"/>
            <w:vAlign w:val="center"/>
          </w:tcPr>
          <w:p>
            <w:pPr>
              <w:pStyle w:val="222"/>
              <w:keepNext w:val="0"/>
              <w:keepLines w:val="0"/>
              <w:pageBreakBefore w:val="0"/>
              <w:kinsoku/>
              <w:wordWrap/>
              <w:topLinePunct w:val="0"/>
              <w:bidi w:val="0"/>
              <w:adjustRightInd w:val="0"/>
              <w:spacing w:before="67" w:line="360" w:lineRule="auto"/>
              <w:ind w:left="69"/>
              <w:rPr>
                <w:rFonts w:hint="eastAsia" w:ascii="仿宋" w:hAnsi="仿宋" w:eastAsia="仿宋" w:cs="仿宋"/>
                <w:color w:val="auto"/>
                <w:spacing w:val="-10"/>
                <w:kern w:val="2"/>
                <w:sz w:val="24"/>
                <w:szCs w:val="24"/>
                <w:highlight w:val="none"/>
                <w:lang w:val="en-US" w:eastAsia="zh-CN" w:bidi="ar-SA"/>
              </w:rPr>
            </w:pPr>
          </w:p>
        </w:tc>
        <w:tc>
          <w:tcPr>
            <w:tcW w:w="1328" w:type="dxa"/>
            <w:vAlign w:val="center"/>
          </w:tcPr>
          <w:p>
            <w:pPr>
              <w:pStyle w:val="222"/>
              <w:keepNext w:val="0"/>
              <w:keepLines w:val="0"/>
              <w:pageBreakBefore w:val="0"/>
              <w:kinsoku/>
              <w:wordWrap/>
              <w:topLinePunct w:val="0"/>
              <w:bidi w:val="0"/>
              <w:adjustRightInd w:val="0"/>
              <w:spacing w:before="215" w:line="360" w:lineRule="auto"/>
              <w:ind w:left="67"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厅外显示</w:t>
            </w:r>
          </w:p>
        </w:tc>
        <w:tc>
          <w:tcPr>
            <w:tcW w:w="5174" w:type="dxa"/>
            <w:vAlign w:val="center"/>
          </w:tcPr>
          <w:p>
            <w:pPr>
              <w:pStyle w:val="222"/>
              <w:keepNext w:val="0"/>
              <w:keepLines w:val="0"/>
              <w:pageBreakBefore w:val="0"/>
              <w:kinsoku/>
              <w:wordWrap/>
              <w:topLinePunct w:val="0"/>
              <w:bidi w:val="0"/>
              <w:adjustRightInd w:val="0"/>
              <w:spacing w:before="214" w:line="360" w:lineRule="auto"/>
              <w:ind w:left="70"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液晶楼层显示及方向指示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9"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35</w:t>
            </w:r>
          </w:p>
        </w:tc>
        <w:tc>
          <w:tcPr>
            <w:tcW w:w="1327" w:type="dxa"/>
            <w:vMerge w:val="continue"/>
            <w:vAlign w:val="center"/>
          </w:tcPr>
          <w:p>
            <w:pPr>
              <w:pStyle w:val="222"/>
              <w:keepNext w:val="0"/>
              <w:keepLines w:val="0"/>
              <w:pageBreakBefore w:val="0"/>
              <w:kinsoku/>
              <w:wordWrap/>
              <w:topLinePunct w:val="0"/>
              <w:bidi w:val="0"/>
              <w:adjustRightInd w:val="0"/>
              <w:spacing w:before="67" w:line="360" w:lineRule="auto"/>
              <w:ind w:left="69"/>
              <w:rPr>
                <w:rFonts w:hint="eastAsia" w:ascii="仿宋" w:hAnsi="仿宋" w:eastAsia="仿宋" w:cs="仿宋"/>
                <w:color w:val="auto"/>
                <w:spacing w:val="-10"/>
                <w:kern w:val="2"/>
                <w:sz w:val="24"/>
                <w:szCs w:val="24"/>
                <w:highlight w:val="none"/>
                <w:lang w:val="en-US" w:eastAsia="zh-CN" w:bidi="ar-SA"/>
              </w:rPr>
            </w:pPr>
          </w:p>
        </w:tc>
        <w:tc>
          <w:tcPr>
            <w:tcW w:w="1328" w:type="dxa"/>
            <w:vAlign w:val="center"/>
          </w:tcPr>
          <w:p>
            <w:pPr>
              <w:pStyle w:val="222"/>
              <w:keepNext w:val="0"/>
              <w:keepLines w:val="0"/>
              <w:pageBreakBefore w:val="0"/>
              <w:kinsoku/>
              <w:wordWrap/>
              <w:topLinePunct w:val="0"/>
              <w:bidi w:val="0"/>
              <w:adjustRightInd w:val="0"/>
              <w:spacing w:before="64" w:line="360" w:lineRule="auto"/>
              <w:ind w:left="66"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按钮</w:t>
            </w:r>
          </w:p>
        </w:tc>
        <w:tc>
          <w:tcPr>
            <w:tcW w:w="5174" w:type="dxa"/>
            <w:vAlign w:val="center"/>
          </w:tcPr>
          <w:p>
            <w:pPr>
              <w:pStyle w:val="222"/>
              <w:keepNext w:val="0"/>
              <w:keepLines w:val="0"/>
              <w:pageBreakBefore w:val="0"/>
              <w:kinsoku/>
              <w:wordWrap/>
              <w:topLinePunct w:val="0"/>
              <w:bidi w:val="0"/>
              <w:adjustRightInd w:val="0"/>
              <w:spacing w:before="64" w:line="360" w:lineRule="auto"/>
              <w:ind w:left="71"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发光微动按钮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99"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36</w:t>
            </w:r>
          </w:p>
        </w:tc>
        <w:tc>
          <w:tcPr>
            <w:tcW w:w="1327" w:type="dxa"/>
            <w:vMerge w:val="restart"/>
            <w:vAlign w:val="center"/>
          </w:tcPr>
          <w:p>
            <w:pPr>
              <w:pStyle w:val="222"/>
              <w:keepNext w:val="0"/>
              <w:keepLines w:val="0"/>
              <w:pageBreakBefore w:val="0"/>
              <w:kinsoku/>
              <w:wordWrap/>
              <w:topLinePunct w:val="0"/>
              <w:bidi w:val="0"/>
              <w:adjustRightInd w:val="0"/>
              <w:spacing w:before="219" w:line="360" w:lineRule="auto"/>
              <w:ind w:left="63" w:leftChars="0"/>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地坎</w:t>
            </w:r>
          </w:p>
        </w:tc>
        <w:tc>
          <w:tcPr>
            <w:tcW w:w="1328" w:type="dxa"/>
            <w:vAlign w:val="center"/>
          </w:tcPr>
          <w:p>
            <w:pPr>
              <w:pStyle w:val="222"/>
              <w:keepNext w:val="0"/>
              <w:keepLines w:val="0"/>
              <w:pageBreakBefore w:val="0"/>
              <w:kinsoku/>
              <w:wordWrap/>
              <w:topLinePunct w:val="0"/>
              <w:bidi w:val="0"/>
              <w:adjustRightInd w:val="0"/>
              <w:spacing w:before="64" w:line="360" w:lineRule="auto"/>
              <w:ind w:left="64"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轿厢地坎</w:t>
            </w:r>
          </w:p>
        </w:tc>
        <w:tc>
          <w:tcPr>
            <w:tcW w:w="5174" w:type="dxa"/>
            <w:vAlign w:val="center"/>
          </w:tcPr>
          <w:p>
            <w:pPr>
              <w:pStyle w:val="222"/>
              <w:keepNext w:val="0"/>
              <w:keepLines w:val="0"/>
              <w:pageBreakBefore w:val="0"/>
              <w:kinsoku/>
              <w:wordWrap/>
              <w:topLinePunct w:val="0"/>
              <w:bidi w:val="0"/>
              <w:adjustRightInd w:val="0"/>
              <w:spacing w:before="64" w:line="360" w:lineRule="auto"/>
              <w:ind w:left="69"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铝合金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37</w:t>
            </w:r>
          </w:p>
        </w:tc>
        <w:tc>
          <w:tcPr>
            <w:tcW w:w="1327" w:type="dxa"/>
            <w:vMerge w:val="continue"/>
            <w:vAlign w:val="center"/>
          </w:tcPr>
          <w:p>
            <w:pPr>
              <w:keepNext w:val="0"/>
              <w:keepLines w:val="0"/>
              <w:pageBreakBefore w:val="0"/>
              <w:kinsoku/>
              <w:wordWrap/>
              <w:topLinePunct w:val="0"/>
              <w:bidi w:val="0"/>
              <w:adjustRightInd w:val="0"/>
              <w:spacing w:line="360" w:lineRule="auto"/>
              <w:rPr>
                <w:rFonts w:hint="eastAsia" w:ascii="仿宋" w:hAnsi="仿宋" w:eastAsia="仿宋" w:cs="仿宋"/>
                <w:color w:val="auto"/>
                <w:spacing w:val="-10"/>
                <w:kern w:val="2"/>
                <w:sz w:val="24"/>
                <w:szCs w:val="24"/>
                <w:highlight w:val="none"/>
                <w:lang w:val="en-US" w:eastAsia="zh-CN" w:bidi="ar-SA"/>
              </w:rPr>
            </w:pPr>
          </w:p>
        </w:tc>
        <w:tc>
          <w:tcPr>
            <w:tcW w:w="1328" w:type="dxa"/>
            <w:vAlign w:val="center"/>
          </w:tcPr>
          <w:p>
            <w:pPr>
              <w:pStyle w:val="222"/>
              <w:keepNext w:val="0"/>
              <w:keepLines w:val="0"/>
              <w:pageBreakBefore w:val="0"/>
              <w:kinsoku/>
              <w:wordWrap/>
              <w:topLinePunct w:val="0"/>
              <w:bidi w:val="0"/>
              <w:adjustRightInd w:val="0"/>
              <w:spacing w:before="66" w:line="360" w:lineRule="auto"/>
              <w:ind w:left="67"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厅门地坎</w:t>
            </w:r>
          </w:p>
        </w:tc>
        <w:tc>
          <w:tcPr>
            <w:tcW w:w="5174" w:type="dxa"/>
            <w:vAlign w:val="center"/>
          </w:tcPr>
          <w:p>
            <w:pPr>
              <w:pStyle w:val="222"/>
              <w:keepNext w:val="0"/>
              <w:keepLines w:val="0"/>
              <w:pageBreakBefore w:val="0"/>
              <w:kinsoku/>
              <w:wordWrap/>
              <w:topLinePunct w:val="0"/>
              <w:bidi w:val="0"/>
              <w:adjustRightInd w:val="0"/>
              <w:spacing w:before="66" w:line="360" w:lineRule="auto"/>
              <w:ind w:left="69" w:leftChars="0"/>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铝合金</w:t>
            </w:r>
          </w:p>
        </w:tc>
      </w:tr>
    </w:tbl>
    <w:p>
      <w:pPr>
        <w:keepNext w:val="0"/>
        <w:keepLines w:val="0"/>
        <w:pageBreakBefore w:val="0"/>
        <w:kinsoku/>
        <w:wordWrap/>
        <w:topLinePunct w:val="0"/>
        <w:bidi w:val="0"/>
        <w:adjustRightInd w:val="0"/>
        <w:spacing w:line="360" w:lineRule="auto"/>
        <w:rPr>
          <w:rFonts w:hint="eastAsia" w:ascii="仿宋" w:hAnsi="仿宋" w:eastAsia="仿宋" w:cs="仿宋"/>
          <w:b/>
          <w:bCs/>
          <w:color w:val="auto"/>
          <w:sz w:val="24"/>
          <w:szCs w:val="24"/>
          <w:highlight w:val="none"/>
          <w:shd w:val="clear" w:color="auto" w:fill="FFFFFF"/>
        </w:rPr>
      </w:pPr>
    </w:p>
    <w:p>
      <w:pPr>
        <w:pStyle w:val="56"/>
        <w:keepNext w:val="0"/>
        <w:keepLines w:val="0"/>
        <w:pageBreakBefore w:val="0"/>
        <w:kinsoku/>
        <w:wordWrap/>
        <w:topLinePunct w:val="0"/>
        <w:bidi w:val="0"/>
        <w:adjustRightIn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三、采购电梯功能要求</w:t>
      </w:r>
    </w:p>
    <w:tbl>
      <w:tblPr>
        <w:tblStyle w:val="650"/>
        <w:tblW w:w="87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78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856" w:type="dxa"/>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w:t>
            </w:r>
          </w:p>
        </w:tc>
        <w:tc>
          <w:tcPr>
            <w:tcW w:w="7869" w:type="dxa"/>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安全停靠： 电梯因故停在门区外，且位置未丢失时，控制系统进行安全检测， 若符合启动要求，则电梯就近停层开门或完成本次运行指令。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6" w:type="dxa"/>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w:t>
            </w:r>
          </w:p>
        </w:tc>
        <w:tc>
          <w:tcPr>
            <w:tcW w:w="7869" w:type="dxa"/>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自动再平层：当由于进出人员等原因引起负载变化使轿厢地坎与层门地坎的误差超过一定值时，电梯将会自动执行再平层，使轿厢回到准确平层位置。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3</w:t>
            </w:r>
          </w:p>
        </w:tc>
        <w:tc>
          <w:tcPr>
            <w:tcW w:w="7869" w:type="dxa"/>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开关门按钮灯： 按下开、关门按钮的同时将点亮按钮灯以提示成功应答。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4</w:t>
            </w:r>
          </w:p>
        </w:tc>
        <w:tc>
          <w:tcPr>
            <w:tcW w:w="7869" w:type="dxa"/>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轿顶检修：电梯轿顶设有检修箱，使检修维护更为安全快捷。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56" w:type="dxa"/>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5</w:t>
            </w:r>
          </w:p>
        </w:tc>
        <w:tc>
          <w:tcPr>
            <w:tcW w:w="7869" w:type="dxa"/>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超载保护： 当轿厢的载重量超出额定允许的载重时， 超载蜂鸣器会鸣响以提示超载。此时显示超载，轿厢不关门，电梯不能起动。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56" w:type="dxa"/>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6</w:t>
            </w:r>
          </w:p>
        </w:tc>
        <w:tc>
          <w:tcPr>
            <w:tcW w:w="7869" w:type="dxa"/>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内部通话装置： 用于在特殊情况下通过设置在轿厢操纵面板、轿顶、轿底上的对讲装置保持与机房及监控中心的语音联系。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7</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警铃： 供在特殊情况下乘客通过按动轿厢内报警按钮，及时通知外界。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8</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反向指令自动消除： 在向上或向下运行时，对于与当前运行方向相反的指令可自动消除。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9</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错误指令取消： 当轿厢指令登记后，在电梯未起动前可通过连续点按此按钮以取消已登记的指令。电梯起动后，为保证乘客的人身安全，系统不允许取消已登记信号。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10</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终端楼层保护： 当电梯运行到终端楼层时，运行速度没有减至预设值时，系统将强迫减速，保护电梯的安全运行。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11</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轿内风扇开关： 通过 COP 中的专用开关用于独立控制轿内风扇的关闭和开启。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12</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恢复运行： 当电梯因非安全故障丢失位置时，在平层装置允许进行平层的前提下，先救援运行至最近的服务楼层，再复位运行至端站进行位置恢复。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13</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故障就近平层操作： 在非电源故障或安全回路故障情况下，设备就近平层，并开门疏散。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14</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重新初始化运行：当电源因中断而恢复后，电梯位置信号未能保留或不能确定轿厢位置时，电梯将驶向端站重新定位。定位后位置显示器显示电梯所在的层楼位置， 并恢复正常运行。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15</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电梯接入物联网。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16</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紧急照明：在轿内设置的紧急照明装置，停电时启用。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17</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开门动车保护： 当电梯处于平层位置且门打开时， 如果电梯出现意外移动，UCM 安全装置马上启动保护，停止电梯运行。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18</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光幕门保护：专用光幕门保护系统增强了电梯的安全性，系统可在电梯门口形成密集的红外光幕， 对于任何进入其探测区域的人或物体都能做出敏锐的反应，提供最大程度的安全保护。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19</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本层厅外开门：在正常关门过程中， 厅外与电梯同向的召唤按钮被按下时，电梯将重新开门。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20</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关门等待取消： 自动状态下，在门保持全开状态并且处于开门延时阶段时，按关门按钮可立即执行提前关门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21</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关门力矩保护： 当关门时受到反向阻力， 超过预设的力矩值时， 电梯将重新开门。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22</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厅外及轿内方向指示：为方便了解电梯的运行方向，在轿内操纵面板和厅外召唤面板上有箭头状指示灯提示运行方向。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23</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大厅、轿内位置显示：为方便了解电梯的运行方向，在轿内操纵面板和厅外召唤面板上有箭头状指示灯提示运行位置。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24</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防捣乱保护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25</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消防迫降功能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0" w:type="auto"/>
            <w:vAlign w:val="center"/>
          </w:tcPr>
          <w:p>
            <w:pPr>
              <w:pStyle w:val="222"/>
              <w:keepNext w:val="0"/>
              <w:keepLines w:val="0"/>
              <w:pageBreakBefore w:val="0"/>
              <w:kinsoku/>
              <w:wordWrap/>
              <w:topLinePunct w:val="0"/>
              <w:bidi w:val="0"/>
              <w:adjustRightInd w:val="0"/>
              <w:spacing w:before="101" w:line="360" w:lineRule="auto"/>
              <w:jc w:val="center"/>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26</w:t>
            </w:r>
          </w:p>
        </w:tc>
        <w:tc>
          <w:tcPr>
            <w:tcW w:w="0" w:type="auto"/>
            <w:vAlign w:val="center"/>
          </w:tcPr>
          <w:p>
            <w:pPr>
              <w:pStyle w:val="222"/>
              <w:keepNext w:val="0"/>
              <w:keepLines w:val="0"/>
              <w:pageBreakBefore w:val="0"/>
              <w:kinsoku/>
              <w:wordWrap/>
              <w:topLinePunct w:val="0"/>
              <w:bidi w:val="0"/>
              <w:adjustRightInd w:val="0"/>
              <w:spacing w:before="101" w:line="360" w:lineRule="auto"/>
              <w:jc w:val="left"/>
              <w:rPr>
                <w:rFonts w:hint="eastAsia" w:ascii="仿宋" w:hAnsi="仿宋" w:eastAsia="仿宋" w:cs="仿宋"/>
                <w:color w:val="auto"/>
                <w:spacing w:val="-10"/>
                <w:kern w:val="2"/>
                <w:sz w:val="24"/>
                <w:szCs w:val="24"/>
                <w:highlight w:val="none"/>
                <w:lang w:val="en-US" w:eastAsia="en-US" w:bidi="ar-SA"/>
              </w:rPr>
            </w:pPr>
            <w:r>
              <w:rPr>
                <w:rFonts w:hint="eastAsia" w:ascii="仿宋" w:hAnsi="仿宋" w:eastAsia="仿宋" w:cs="仿宋"/>
                <w:color w:val="auto"/>
                <w:spacing w:val="-10"/>
                <w:kern w:val="2"/>
                <w:sz w:val="24"/>
                <w:szCs w:val="24"/>
                <w:highlight w:val="none"/>
                <w:lang w:val="en-US" w:eastAsia="zh-CN" w:bidi="ar-SA"/>
              </w:rPr>
              <w:t>主操纵盘司机操作</w:t>
            </w:r>
          </w:p>
        </w:tc>
      </w:tr>
    </w:tbl>
    <w:p>
      <w:pPr>
        <w:keepNext w:val="0"/>
        <w:keepLines w:val="0"/>
        <w:pageBreakBefore w:val="0"/>
        <w:kinsoku/>
        <w:wordWrap/>
        <w:topLinePunct w:val="0"/>
        <w:bidi w:val="0"/>
        <w:adjustRightIn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 xml:space="preserve"> </w:t>
      </w:r>
    </w:p>
    <w:p>
      <w:pPr>
        <w:keepNext w:val="0"/>
        <w:keepLines w:val="0"/>
        <w:pageBreakBefore w:val="0"/>
        <w:kinsoku/>
        <w:wordWrap/>
        <w:topLinePunct w:val="0"/>
        <w:bidi w:val="0"/>
        <w:adjustRightInd w:val="0"/>
        <w:snapToGrid w:val="0"/>
        <w:spacing w:line="360" w:lineRule="auto"/>
        <w:outlineLvl w:val="1"/>
        <w:rPr>
          <w:rFonts w:ascii="Calibri" w:hAnsi="Calibri" w:eastAsia="仿宋"/>
          <w:b/>
          <w:color w:val="auto"/>
          <w:sz w:val="30"/>
          <w:szCs w:val="30"/>
          <w:highlight w:val="none"/>
        </w:rPr>
      </w:pPr>
      <w:r>
        <w:rPr>
          <w:rFonts w:hint="eastAsia" w:ascii="仿宋" w:hAnsi="仿宋" w:eastAsia="仿宋"/>
          <w:b/>
          <w:color w:val="auto"/>
          <w:sz w:val="30"/>
          <w:szCs w:val="30"/>
          <w:highlight w:val="none"/>
          <w:lang w:val="en-US" w:eastAsia="zh-CN"/>
        </w:rPr>
        <w:t>四</w:t>
      </w:r>
      <w:r>
        <w:rPr>
          <w:rFonts w:hint="eastAsia" w:ascii="仿宋" w:hAnsi="仿宋" w:eastAsia="仿宋"/>
          <w:b/>
          <w:color w:val="auto"/>
          <w:sz w:val="30"/>
          <w:szCs w:val="30"/>
          <w:highlight w:val="none"/>
        </w:rPr>
        <w:t>、付款方式</w:t>
      </w:r>
    </w:p>
    <w:p>
      <w:pPr>
        <w:keepNext w:val="0"/>
        <w:keepLines w:val="0"/>
        <w:pageBreakBefore w:val="0"/>
        <w:widowControl/>
        <w:kinsoku/>
        <w:wordWrap/>
        <w:topLinePunct w:val="0"/>
        <w:autoSpaceDE w:val="0"/>
        <w:autoSpaceDN w:val="0"/>
        <w:bidi w:val="0"/>
        <w:adjustRightInd w:val="0"/>
        <w:snapToGrid w:val="0"/>
        <w:spacing w:line="360" w:lineRule="auto"/>
        <w:ind w:firstLine="480" w:firstLineChars="200"/>
        <w:textAlignment w:val="bottom"/>
        <w:rPr>
          <w:rFonts w:hint="eastAsia" w:ascii="Calibri" w:hAnsi="Calibri" w:eastAsia="仿宋" w:cs="Calibri"/>
          <w:color w:val="auto"/>
          <w:kern w:val="0"/>
          <w:sz w:val="24"/>
          <w:highlight w:val="none"/>
        </w:rPr>
      </w:pPr>
      <w:r>
        <w:rPr>
          <w:rFonts w:hint="eastAsia" w:ascii="Calibri" w:hAnsi="Calibri" w:eastAsia="仿宋" w:cs="Calibri"/>
          <w:color w:val="auto"/>
          <w:kern w:val="0"/>
          <w:sz w:val="24"/>
          <w:highlight w:val="none"/>
          <w:lang w:val="en-US" w:eastAsia="zh-CN"/>
        </w:rPr>
        <w:t>1、合同签订后</w:t>
      </w:r>
      <w:r>
        <w:rPr>
          <w:rFonts w:hint="eastAsia" w:ascii="Calibri" w:hAnsi="Calibri" w:eastAsia="仿宋" w:cs="Calibri"/>
          <w:color w:val="auto"/>
          <w:kern w:val="0"/>
          <w:sz w:val="24"/>
          <w:highlight w:val="none"/>
        </w:rPr>
        <w:t>，</w:t>
      </w:r>
      <w:r>
        <w:rPr>
          <w:rFonts w:hint="eastAsia" w:ascii="Calibri" w:hAnsi="Calibri" w:eastAsia="仿宋" w:cs="Calibri"/>
          <w:color w:val="auto"/>
          <w:kern w:val="0"/>
          <w:sz w:val="24"/>
          <w:highlight w:val="none"/>
          <w:lang w:val="en-US" w:eastAsia="zh-CN"/>
        </w:rPr>
        <w:t>采购人</w:t>
      </w:r>
      <w:r>
        <w:rPr>
          <w:rFonts w:hint="eastAsia" w:ascii="Calibri" w:hAnsi="Calibri" w:eastAsia="仿宋" w:cs="Calibri"/>
          <w:color w:val="auto"/>
          <w:kern w:val="0"/>
          <w:sz w:val="24"/>
          <w:highlight w:val="none"/>
        </w:rPr>
        <w:t>向</w:t>
      </w:r>
      <w:r>
        <w:rPr>
          <w:rFonts w:hint="eastAsia" w:ascii="Calibri" w:hAnsi="Calibri" w:eastAsia="仿宋" w:cs="Calibri"/>
          <w:color w:val="auto"/>
          <w:kern w:val="0"/>
          <w:sz w:val="24"/>
          <w:highlight w:val="none"/>
          <w:lang w:val="en-US" w:eastAsia="zh-CN"/>
        </w:rPr>
        <w:t>中标供应商</w:t>
      </w:r>
      <w:r>
        <w:rPr>
          <w:rFonts w:hint="eastAsia" w:ascii="Calibri" w:hAnsi="Calibri" w:eastAsia="仿宋" w:cs="Calibri"/>
          <w:color w:val="auto"/>
          <w:kern w:val="0"/>
          <w:sz w:val="24"/>
          <w:highlight w:val="none"/>
        </w:rPr>
        <w:t>支付合同金额</w:t>
      </w:r>
      <w:r>
        <w:rPr>
          <w:rFonts w:hint="eastAsia" w:ascii="Calibri" w:hAnsi="Calibri" w:eastAsia="仿宋" w:cs="Calibri"/>
          <w:color w:val="auto"/>
          <w:kern w:val="0"/>
          <w:sz w:val="24"/>
          <w:highlight w:val="none"/>
          <w:lang w:val="en-US" w:eastAsia="zh-CN"/>
        </w:rPr>
        <w:t>的40%为预付款。</w:t>
      </w:r>
    </w:p>
    <w:p>
      <w:pPr>
        <w:keepNext w:val="0"/>
        <w:keepLines w:val="0"/>
        <w:pageBreakBefore w:val="0"/>
        <w:widowControl/>
        <w:kinsoku/>
        <w:wordWrap/>
        <w:topLinePunct w:val="0"/>
        <w:autoSpaceDE w:val="0"/>
        <w:autoSpaceDN w:val="0"/>
        <w:bidi w:val="0"/>
        <w:adjustRightInd w:val="0"/>
        <w:snapToGrid w:val="0"/>
        <w:spacing w:line="360" w:lineRule="auto"/>
        <w:ind w:firstLine="480" w:firstLineChars="200"/>
        <w:textAlignment w:val="bottom"/>
        <w:rPr>
          <w:rFonts w:hint="eastAsia" w:ascii="Calibri" w:hAnsi="Calibri" w:eastAsia="仿宋" w:cs="Calibri"/>
          <w:color w:val="auto"/>
          <w:kern w:val="0"/>
          <w:sz w:val="24"/>
          <w:highlight w:val="none"/>
        </w:rPr>
      </w:pPr>
      <w:r>
        <w:rPr>
          <w:rFonts w:hint="eastAsia" w:ascii="Calibri" w:hAnsi="Calibri" w:eastAsia="仿宋" w:cs="Calibri"/>
          <w:color w:val="auto"/>
          <w:kern w:val="0"/>
          <w:sz w:val="24"/>
          <w:highlight w:val="none"/>
          <w:lang w:val="en-US" w:eastAsia="zh-CN"/>
        </w:rPr>
        <w:t>2、</w:t>
      </w:r>
      <w:r>
        <w:rPr>
          <w:rFonts w:hint="eastAsia" w:ascii="Calibri" w:hAnsi="Calibri" w:eastAsia="仿宋" w:cs="Calibri"/>
          <w:color w:val="auto"/>
          <w:kern w:val="0"/>
          <w:sz w:val="24"/>
          <w:highlight w:val="none"/>
        </w:rPr>
        <w:t>交付验收后，</w:t>
      </w:r>
      <w:r>
        <w:rPr>
          <w:rFonts w:hint="eastAsia" w:ascii="Calibri" w:hAnsi="Calibri" w:eastAsia="仿宋" w:cs="Calibri"/>
          <w:color w:val="auto"/>
          <w:kern w:val="0"/>
          <w:sz w:val="24"/>
          <w:highlight w:val="none"/>
          <w:lang w:val="en-US" w:eastAsia="zh-CN"/>
        </w:rPr>
        <w:t>采购人</w:t>
      </w:r>
      <w:r>
        <w:rPr>
          <w:rFonts w:hint="eastAsia" w:ascii="Calibri" w:hAnsi="Calibri" w:eastAsia="仿宋" w:cs="Calibri"/>
          <w:color w:val="auto"/>
          <w:kern w:val="0"/>
          <w:sz w:val="24"/>
          <w:highlight w:val="none"/>
        </w:rPr>
        <w:t>向</w:t>
      </w:r>
      <w:r>
        <w:rPr>
          <w:rFonts w:hint="eastAsia" w:ascii="Calibri" w:hAnsi="Calibri" w:eastAsia="仿宋" w:cs="Calibri"/>
          <w:color w:val="auto"/>
          <w:kern w:val="0"/>
          <w:sz w:val="24"/>
          <w:highlight w:val="none"/>
          <w:lang w:val="en-US" w:eastAsia="zh-CN"/>
        </w:rPr>
        <w:t>中标供应商</w:t>
      </w:r>
      <w:r>
        <w:rPr>
          <w:rFonts w:hint="eastAsia" w:ascii="Calibri" w:hAnsi="Calibri" w:eastAsia="仿宋" w:cs="Calibri"/>
          <w:color w:val="auto"/>
          <w:kern w:val="0"/>
          <w:sz w:val="24"/>
          <w:highlight w:val="none"/>
        </w:rPr>
        <w:t>支付合同金额</w:t>
      </w:r>
      <w:r>
        <w:rPr>
          <w:rFonts w:hint="eastAsia" w:ascii="Calibri" w:hAnsi="Calibri" w:eastAsia="仿宋" w:cs="Calibri"/>
          <w:color w:val="auto"/>
          <w:kern w:val="0"/>
          <w:sz w:val="24"/>
          <w:highlight w:val="none"/>
          <w:lang w:val="en-US" w:eastAsia="zh-CN"/>
        </w:rPr>
        <w:t>剩余</w:t>
      </w:r>
      <w:r>
        <w:rPr>
          <w:rFonts w:hint="eastAsia" w:ascii="Calibri" w:hAnsi="Calibri" w:eastAsia="仿宋" w:cs="Calibri"/>
          <w:color w:val="auto"/>
          <w:kern w:val="0"/>
          <w:sz w:val="24"/>
          <w:highlight w:val="none"/>
        </w:rPr>
        <w:t>全部款项。</w:t>
      </w:r>
    </w:p>
    <w:p>
      <w:pPr>
        <w:keepNext w:val="0"/>
        <w:keepLines w:val="0"/>
        <w:pageBreakBefore w:val="0"/>
        <w:kinsoku/>
        <w:wordWrap/>
        <w:topLinePunct w:val="0"/>
        <w:bidi w:val="0"/>
        <w:adjustRightInd w:val="0"/>
        <w:snapToGrid w:val="0"/>
        <w:spacing w:line="360" w:lineRule="auto"/>
        <w:outlineLvl w:val="1"/>
        <w:rPr>
          <w:rFonts w:ascii="Calibri" w:hAnsi="Calibri" w:eastAsia="仿宋"/>
          <w:b/>
          <w:color w:val="auto"/>
          <w:sz w:val="30"/>
          <w:szCs w:val="30"/>
          <w:highlight w:val="none"/>
        </w:rPr>
      </w:pPr>
      <w:r>
        <w:rPr>
          <w:rFonts w:hint="eastAsia" w:ascii="仿宋" w:hAnsi="仿宋" w:eastAsia="仿宋"/>
          <w:b/>
          <w:color w:val="auto"/>
          <w:sz w:val="30"/>
          <w:szCs w:val="30"/>
          <w:highlight w:val="none"/>
          <w:lang w:val="en-US" w:eastAsia="zh-CN"/>
        </w:rPr>
        <w:t>五</w:t>
      </w:r>
      <w:r>
        <w:rPr>
          <w:rFonts w:hint="eastAsia" w:ascii="仿宋" w:hAnsi="仿宋" w:eastAsia="仿宋"/>
          <w:b/>
          <w:color w:val="auto"/>
          <w:sz w:val="30"/>
          <w:szCs w:val="30"/>
          <w:highlight w:val="none"/>
        </w:rPr>
        <w:t>、特别提示</w:t>
      </w:r>
    </w:p>
    <w:p>
      <w:pPr>
        <w:keepNext w:val="0"/>
        <w:keepLines w:val="0"/>
        <w:pageBreakBefore w:val="0"/>
        <w:widowControl/>
        <w:kinsoku/>
        <w:wordWrap/>
        <w:topLinePunct w:val="0"/>
        <w:autoSpaceDE w:val="0"/>
        <w:autoSpaceDN w:val="0"/>
        <w:bidi w:val="0"/>
        <w:adjustRightInd w:val="0"/>
        <w:snapToGrid w:val="0"/>
        <w:spacing w:line="360" w:lineRule="auto"/>
        <w:ind w:firstLine="480" w:firstLineChars="200"/>
        <w:textAlignment w:val="bottom"/>
        <w:rPr>
          <w:rFonts w:ascii="仿宋_GB2312" w:hAnsi="仿宋" w:eastAsia="仿宋_GB2312"/>
          <w:b/>
          <w:bCs/>
          <w:color w:val="auto"/>
          <w:sz w:val="32"/>
          <w:szCs w:val="32"/>
          <w:highlight w:val="none"/>
        </w:rPr>
      </w:pPr>
      <w:r>
        <w:rPr>
          <w:rFonts w:hint="eastAsia" w:ascii="Calibri" w:hAnsi="Calibri" w:eastAsia="仿宋" w:cs="Calibri"/>
          <w:color w:val="auto"/>
          <w:kern w:val="0"/>
          <w:sz w:val="24"/>
          <w:highlight w:val="none"/>
        </w:rPr>
        <w:t>如采购文件中遗漏了必须具备的内容或服务，请供应商在响应文件中补充，并提出解决方案供采购人参考；成交供应商有义务保证采购人采购项目的完整性。</w:t>
      </w:r>
    </w:p>
    <w:p>
      <w:pPr>
        <w:adjustRightInd/>
        <w:spacing w:line="240" w:lineRule="auto"/>
        <w:jc w:val="left"/>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60"/>
      <w:bookmarkEnd w:id="61"/>
      <w:bookmarkStart w:id="62" w:name="第四部分"/>
      <w:r>
        <w:rPr>
          <w:rFonts w:hint="eastAsia" w:ascii="仿宋" w:hAnsi="仿宋" w:eastAsia="仿宋" w:cs="仿宋"/>
          <w:b/>
          <w:color w:val="auto"/>
          <w:sz w:val="36"/>
          <w:szCs w:val="36"/>
          <w:highlight w:val="none"/>
        </w:rPr>
        <w:t>评审方法及评审标准</w:t>
      </w:r>
    </w:p>
    <w:p>
      <w:pPr>
        <w:pStyle w:val="392"/>
        <w:spacing w:before="0"/>
        <w:ind w:firstLine="643"/>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1"/>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5757"/>
        <w:gridCol w:w="764"/>
        <w:gridCol w:w="992"/>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5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主观分/客观分属性</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商务分（</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或电梯制造单位</w:t>
            </w: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年1月1日以来（以合同签订时间为准），成功承担过类似项目的，每提供一份合同得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【证明材料：1）</w:t>
            </w:r>
            <w:r>
              <w:rPr>
                <w:rFonts w:hint="eastAsia" w:ascii="仿宋" w:hAnsi="仿宋" w:eastAsia="仿宋" w:cs="仿宋"/>
                <w:b/>
                <w:bCs/>
                <w:color w:val="auto"/>
                <w:kern w:val="0"/>
                <w:sz w:val="24"/>
                <w:szCs w:val="24"/>
                <w:highlight w:val="none"/>
              </w:rPr>
              <w:t>须提供合同复印件（至少包括首页、盖章页，并须能体现相关评审因素）并加盖供应商公章；2）不提供或无法提供有效证明材料的不得分。</w:t>
            </w:r>
            <w:r>
              <w:rPr>
                <w:rFonts w:hint="eastAsia" w:ascii="仿宋" w:hAnsi="仿宋" w:eastAsia="仿宋" w:cs="仿宋"/>
                <w:b/>
                <w:bCs/>
                <w:color w:val="auto"/>
                <w:sz w:val="24"/>
                <w:szCs w:val="24"/>
                <w:highlight w:val="none"/>
              </w:rPr>
              <w:t>】</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客观分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类似业绩</w:t>
            </w:r>
          </w:p>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sz w:val="24"/>
                <w:szCs w:val="24"/>
                <w:highlight w:val="none"/>
                <w:lang w:val="en-US" w:eastAsia="zh-CN"/>
              </w:rPr>
              <w:t>或电梯制造单位</w:t>
            </w:r>
            <w:r>
              <w:rPr>
                <w:rFonts w:hint="eastAsia" w:ascii="仿宋" w:hAnsi="仿宋" w:eastAsia="仿宋" w:cs="仿宋"/>
                <w:color w:val="auto"/>
                <w:kern w:val="2"/>
                <w:sz w:val="24"/>
                <w:szCs w:val="24"/>
                <w:highlight w:val="none"/>
                <w:lang w:val="en-US" w:eastAsia="zh-CN" w:bidi="ar-SA"/>
              </w:rPr>
              <w:t>具有质量管理体系认证、环境管理体系认证、职业健康安全管理体系认证，在有效期内的每具有一个的得1分，最高得3分。</w:t>
            </w:r>
          </w:p>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bCs/>
                <w:color w:val="auto"/>
                <w:sz w:val="24"/>
                <w:szCs w:val="24"/>
                <w:highlight w:val="none"/>
              </w:rPr>
              <w:t>证明材料：</w:t>
            </w:r>
            <w:r>
              <w:rPr>
                <w:rFonts w:hint="eastAsia" w:ascii="仿宋" w:hAnsi="仿宋" w:eastAsia="仿宋" w:cs="仿宋"/>
                <w:b/>
                <w:bCs/>
                <w:color w:val="auto"/>
                <w:kern w:val="2"/>
                <w:sz w:val="24"/>
                <w:szCs w:val="24"/>
                <w:highlight w:val="none"/>
                <w:lang w:val="en-US" w:eastAsia="zh-CN" w:bidi="ar-SA"/>
              </w:rPr>
              <w:t>须提供认证证书复印件加盖公章</w:t>
            </w:r>
            <w:r>
              <w:rPr>
                <w:rFonts w:hint="eastAsia" w:ascii="仿宋" w:hAnsi="仿宋" w:eastAsia="仿宋" w:cs="仿宋"/>
                <w:color w:val="auto"/>
                <w:kern w:val="2"/>
                <w:sz w:val="24"/>
                <w:szCs w:val="24"/>
                <w:highlight w:val="none"/>
                <w:lang w:val="en-US" w:eastAsia="zh-CN" w:bidi="ar-SA"/>
              </w:rPr>
              <w:t>】</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客观分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客观分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技术分（</w:t>
            </w:r>
            <w:r>
              <w:rPr>
                <w:rFonts w:hint="eastAsia" w:ascii="仿宋" w:hAnsi="仿宋" w:eastAsia="仿宋" w:cs="仿宋"/>
                <w:b/>
                <w:bCs/>
                <w:color w:val="auto"/>
                <w:sz w:val="24"/>
                <w:szCs w:val="24"/>
                <w:highlight w:val="none"/>
                <w:lang w:val="en-US" w:eastAsia="zh-CN"/>
              </w:rPr>
              <w:t>63</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pStyle w:val="56"/>
              <w:keepNext w:val="0"/>
              <w:keepLines w:val="0"/>
              <w:pageBreakBefore w:val="0"/>
              <w:kinsoku/>
              <w:wordWrap/>
              <w:topLinePunct w:val="0"/>
              <w:bidi w:val="0"/>
              <w:adjustRightInd w:val="0"/>
              <w:spacing w:line="360" w:lineRule="auto"/>
              <w:jc w:val="both"/>
              <w:rPr>
                <w:rFonts w:hint="eastAsia" w:ascii="仿宋" w:hAnsi="仿宋" w:eastAsia="仿宋" w:cs="仿宋"/>
                <w:b w:val="0"/>
                <w:color w:val="auto"/>
                <w:spacing w:val="-10"/>
                <w:kern w:val="2"/>
                <w:sz w:val="24"/>
                <w:szCs w:val="24"/>
                <w:highlight w:val="none"/>
                <w:lang w:val="en-US" w:eastAsia="zh-CN" w:bidi="ar-SA"/>
              </w:rPr>
            </w:pPr>
            <w:r>
              <w:rPr>
                <w:rFonts w:hint="eastAsia" w:ascii="仿宋" w:hAnsi="仿宋" w:eastAsia="仿宋" w:cs="仿宋"/>
                <w:b w:val="0"/>
                <w:color w:val="auto"/>
                <w:spacing w:val="-10"/>
                <w:kern w:val="2"/>
                <w:sz w:val="24"/>
                <w:szCs w:val="24"/>
                <w:highlight w:val="none"/>
                <w:lang w:val="en-US" w:eastAsia="zh-CN" w:bidi="ar-SA"/>
              </w:rPr>
              <w:t>满足招标文件第四部分、采购需求中二、采购电梯技术规格和三、采购电梯功能要求，明确的全部条款要求的该项得满分；</w:t>
            </w:r>
          </w:p>
          <w:p>
            <w:pPr>
              <w:adjustRightInd w:val="0"/>
              <w:snapToGrid w:val="0"/>
              <w:spacing w:line="288" w:lineRule="auto"/>
              <w:jc w:val="both"/>
              <w:rPr>
                <w:rFonts w:hint="eastAsia" w:ascii="仿宋" w:hAnsi="仿宋" w:eastAsia="仿宋" w:cs="仿宋"/>
                <w:b w:val="0"/>
                <w:color w:val="auto"/>
                <w:spacing w:val="-10"/>
                <w:kern w:val="2"/>
                <w:sz w:val="24"/>
                <w:szCs w:val="24"/>
                <w:highlight w:val="none"/>
                <w:lang w:val="en-US" w:eastAsia="zh-CN" w:bidi="ar-SA"/>
              </w:rPr>
            </w:pPr>
            <w:r>
              <w:rPr>
                <w:rFonts w:hint="eastAsia" w:ascii="仿宋" w:hAnsi="仿宋" w:eastAsia="仿宋" w:cs="仿宋"/>
                <w:b w:val="0"/>
                <w:color w:val="auto"/>
                <w:spacing w:val="-10"/>
                <w:kern w:val="2"/>
                <w:sz w:val="24"/>
                <w:szCs w:val="24"/>
                <w:highlight w:val="none"/>
                <w:lang w:val="en-US" w:eastAsia="zh-CN" w:bidi="ar-SA"/>
              </w:rPr>
              <w:t>技术条款低于技术要求（负偏离）的每项扣2分；</w:t>
            </w:r>
          </w:p>
          <w:p>
            <w:pPr>
              <w:pStyle w:val="222"/>
              <w:keepNext w:val="0"/>
              <w:keepLines w:val="0"/>
              <w:pageBreakBefore w:val="0"/>
              <w:widowControl/>
              <w:kinsoku/>
              <w:wordWrap/>
              <w:overflowPunct/>
              <w:topLinePunct w:val="0"/>
              <w:autoSpaceDE/>
              <w:autoSpaceDN/>
              <w:bidi w:val="0"/>
              <w:adjustRightInd w:val="0"/>
              <w:snapToGrid/>
              <w:spacing w:before="0" w:after="0" w:line="360" w:lineRule="auto"/>
              <w:jc w:val="both"/>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b w:val="0"/>
                <w:color w:val="auto"/>
                <w:spacing w:val="-10"/>
                <w:kern w:val="2"/>
                <w:sz w:val="24"/>
                <w:szCs w:val="24"/>
                <w:highlight w:val="none"/>
                <w:lang w:val="en-US" w:eastAsia="zh-CN" w:bidi="ar-SA"/>
              </w:rPr>
              <w:t>负偏离10项及以上的，视为采购人不能接受的附加条件，投标无效。</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客观分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宋体" w:hAnsi="宋体" w:cs="宋体"/>
                <w:b/>
                <w:bCs/>
                <w:color w:val="auto"/>
                <w:sz w:val="21"/>
                <w:szCs w:val="21"/>
                <w:highlight w:val="none"/>
              </w:rPr>
              <w:t>技术响应程度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根据供应商对本项目的需求分析情况，对总体实施方案、指导思想、实现的主要功能和主要特点阐述情况进行综合打分。</w:t>
            </w:r>
          </w:p>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方案内容详细完整，可操作性强的得5分；方案较完整，基本符合相应规程制度，较科学合理，针对性较强的得3分；方案基本完整，维保内容未能完全体现的得1分；未提供或不详细、不完善的或不可行的不得分。</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需求理解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zh-CN" w:eastAsia="zh-CN" w:bidi="ar-SA"/>
              </w:rPr>
              <w:t>根据</w:t>
            </w:r>
            <w:r>
              <w:rPr>
                <w:rFonts w:hint="eastAsia" w:ascii="仿宋" w:hAnsi="仿宋" w:eastAsia="仿宋" w:cs="仿宋"/>
                <w:color w:val="auto"/>
                <w:spacing w:val="-10"/>
                <w:kern w:val="2"/>
                <w:sz w:val="24"/>
                <w:szCs w:val="24"/>
                <w:highlight w:val="none"/>
                <w:lang w:val="en-US" w:eastAsia="zh-CN" w:bidi="ar-SA"/>
              </w:rPr>
              <w:t>供应商</w:t>
            </w:r>
            <w:r>
              <w:rPr>
                <w:rFonts w:hint="eastAsia" w:ascii="仿宋" w:hAnsi="仿宋" w:eastAsia="仿宋" w:cs="仿宋"/>
                <w:color w:val="auto"/>
                <w:spacing w:val="-10"/>
                <w:kern w:val="2"/>
                <w:sz w:val="24"/>
                <w:szCs w:val="24"/>
                <w:highlight w:val="none"/>
                <w:lang w:val="zh-CN" w:eastAsia="zh-CN" w:bidi="ar-SA"/>
              </w:rPr>
              <w:t>安装施工组织设计中的设备交货期、工期承诺、设备供应、安装进度计划和质量安全保证措施、调试及技术培训方案完整性、针对性、可操作性等方面</w:t>
            </w:r>
            <w:r>
              <w:rPr>
                <w:rFonts w:hint="eastAsia" w:ascii="仿宋" w:hAnsi="仿宋" w:eastAsia="仿宋" w:cs="仿宋"/>
                <w:color w:val="auto"/>
                <w:spacing w:val="-10"/>
                <w:kern w:val="2"/>
                <w:sz w:val="24"/>
                <w:szCs w:val="24"/>
                <w:highlight w:val="none"/>
                <w:lang w:val="en-US" w:eastAsia="zh-CN" w:bidi="ar-SA"/>
              </w:rPr>
              <w:t>进行综合打分。</w:t>
            </w:r>
          </w:p>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b/>
                <w:bCs/>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方案完整针对性强可操作性强的得5分，方案较完整针对性较强可操作性较强的得3分，方案较完整针对性可操作性一般的得1分，未提供方案或者方案有明显缺陷或不合理的不得分。</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施工组织方案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供应商</w:t>
            </w:r>
            <w:r>
              <w:rPr>
                <w:rFonts w:hint="eastAsia" w:ascii="仿宋" w:hAnsi="仿宋" w:eastAsia="仿宋" w:cs="仿宋"/>
                <w:color w:val="auto"/>
                <w:sz w:val="24"/>
                <w:szCs w:val="24"/>
                <w:highlight w:val="none"/>
                <w:lang w:val="en-US" w:eastAsia="zh-CN"/>
              </w:rPr>
              <w:t>或电梯制造单位</w:t>
            </w:r>
            <w:r>
              <w:rPr>
                <w:rFonts w:hint="eastAsia" w:ascii="仿宋" w:hAnsi="仿宋" w:eastAsia="仿宋" w:cs="仿宋"/>
                <w:color w:val="auto"/>
                <w:spacing w:val="-10"/>
                <w:kern w:val="2"/>
                <w:sz w:val="24"/>
                <w:szCs w:val="24"/>
                <w:highlight w:val="none"/>
                <w:lang w:val="en-US" w:eastAsia="zh-CN" w:bidi="ar-SA"/>
              </w:rPr>
              <w:t>具有完善的安全组织架构和管理流程、有效的安全保障体系，制订突发事件应急预案，主要针对商场大型活动、安全知识培训制度完善等相关内容进行综合打分。</w:t>
            </w:r>
          </w:p>
          <w:p>
            <w:pPr>
              <w:keepNext w:val="0"/>
              <w:keepLines w:val="0"/>
              <w:pageBreakBefore w:val="0"/>
              <w:kinsoku/>
              <w:wordWrap/>
              <w:overflowPunct/>
              <w:topLinePunct w:val="0"/>
              <w:autoSpaceDE/>
              <w:autoSpaceDN/>
              <w:bidi w:val="0"/>
              <w:adjustRightInd w:val="0"/>
              <w:snapToGrid w:val="0"/>
              <w:spacing w:line="360" w:lineRule="auto"/>
              <w:ind w:right="105" w:rightChars="5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安全保障体系详细、应急预案及制度全面的得5分；安全保障体系较简单、应急预案及制度较粗略的得3分；安全保障体系简单、应急预案及制度粗略的得1分；未提供安全保障体系或实施内容有明显缺陷或不合理的不得分。</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主观分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安全保障体系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供应商或电梯制造单位熟悉项目特点进行综合打分。</w:t>
            </w:r>
          </w:p>
          <w:p>
            <w:pPr>
              <w:keepNext w:val="0"/>
              <w:keepLines w:val="0"/>
              <w:pageBreakBefore w:val="0"/>
              <w:kinsoku/>
              <w:wordWrap/>
              <w:overflowPunct/>
              <w:topLinePunct w:val="0"/>
              <w:autoSpaceDE/>
              <w:autoSpaceDN/>
              <w:bidi w:val="0"/>
              <w:adjustRightInd w:val="0"/>
              <w:snapToGrid w:val="0"/>
              <w:spacing w:line="360" w:lineRule="auto"/>
              <w:ind w:right="105" w:rightChars="5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有针对性的制定维保质量保障体系和措施，措施可行、可靠、具体，能切实保障优质服务的得5分；质量保障体系和措施较简单、实施性较弱的得3分；质量保障体系和措施简单、实施性弱的得1分；未提供安全保障体系或措施有明显缺陷或不合理的不得分。</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主观分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质量保障体系及措施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right="105" w:rightChars="50"/>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供应商</w:t>
            </w:r>
            <w:r>
              <w:rPr>
                <w:rFonts w:hint="eastAsia" w:ascii="仿宋" w:hAnsi="仿宋" w:eastAsia="仿宋" w:cs="仿宋"/>
                <w:color w:val="auto"/>
                <w:sz w:val="24"/>
                <w:szCs w:val="24"/>
                <w:highlight w:val="none"/>
                <w:lang w:val="en-US" w:eastAsia="zh-CN"/>
              </w:rPr>
              <w:t>或电梯制造单位</w:t>
            </w:r>
            <w:r>
              <w:rPr>
                <w:rFonts w:hint="eastAsia" w:ascii="仿宋" w:hAnsi="仿宋" w:eastAsia="仿宋" w:cs="仿宋"/>
                <w:color w:val="auto"/>
                <w:spacing w:val="-10"/>
                <w:kern w:val="2"/>
                <w:sz w:val="24"/>
                <w:szCs w:val="24"/>
                <w:highlight w:val="none"/>
                <w:lang w:val="en-US" w:eastAsia="zh-CN" w:bidi="ar-SA"/>
              </w:rPr>
              <w:t>提供进度计划方案及保障措施，根据方案及措施的合理性、是否能满足采购需求进行评分。</w:t>
            </w:r>
          </w:p>
          <w:p>
            <w:pPr>
              <w:keepNext w:val="0"/>
              <w:keepLines w:val="0"/>
              <w:pageBreakBefore w:val="0"/>
              <w:kinsoku/>
              <w:wordWrap/>
              <w:overflowPunct/>
              <w:topLinePunct w:val="0"/>
              <w:autoSpaceDE/>
              <w:autoSpaceDN/>
              <w:bidi w:val="0"/>
              <w:adjustRightInd w:val="0"/>
              <w:snapToGrid w:val="0"/>
              <w:spacing w:line="360" w:lineRule="auto"/>
              <w:ind w:right="105" w:rightChars="50"/>
              <w:textAlignment w:val="auto"/>
              <w:rPr>
                <w:rFonts w:hint="eastAsia"/>
                <w:color w:val="auto"/>
                <w:highlight w:val="none"/>
                <w:lang w:val="en-US" w:eastAsia="zh-CN"/>
              </w:rPr>
            </w:pPr>
            <w:r>
              <w:rPr>
                <w:rFonts w:hint="eastAsia" w:ascii="仿宋" w:hAnsi="仿宋" w:eastAsia="仿宋" w:cs="仿宋"/>
                <w:color w:val="auto"/>
                <w:spacing w:val="-10"/>
                <w:kern w:val="2"/>
                <w:sz w:val="24"/>
                <w:szCs w:val="24"/>
                <w:highlight w:val="none"/>
                <w:lang w:val="en-US" w:eastAsia="zh-CN" w:bidi="ar-SA"/>
              </w:rPr>
              <w:t>方案合理能满足需求的得5分，方案较合理能满足大部分需求的得3分，方案不合理不满足需求的得1分，未提供方案或者方案有明显缺陷或不合理的不得分。</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进度计划方案及保障措施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或电梯制造单位</w:t>
            </w:r>
            <w:r>
              <w:rPr>
                <w:rFonts w:hint="eastAsia" w:ascii="仿宋" w:hAnsi="仿宋" w:eastAsia="仿宋" w:cs="仿宋"/>
                <w:b w:val="0"/>
                <w:bCs w:val="0"/>
                <w:color w:val="auto"/>
                <w:sz w:val="24"/>
                <w:szCs w:val="24"/>
                <w:highlight w:val="none"/>
              </w:rPr>
              <w:t>具有电、扶梯和货梯维保的服务能力：能满足速度≤2.5m/s得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分；能满足速度≤1.75m/s得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b/>
                <w:bCs/>
                <w:color w:val="auto"/>
                <w:sz w:val="24"/>
                <w:szCs w:val="24"/>
                <w:highlight w:val="none"/>
              </w:rPr>
              <w:t>须提供相关证书复印件加盖公章】</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客观分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设备维保服务能力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762" w:type="dxa"/>
            <w:vMerge w:val="restart"/>
            <w:tcBorders>
              <w:top w:val="single" w:color="auto" w:sz="4" w:space="0"/>
              <w:left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pStyle w:val="222"/>
              <w:keepNext w:val="0"/>
              <w:keepLines w:val="0"/>
              <w:pageBreakBefore w:val="0"/>
              <w:widowControl/>
              <w:numPr>
                <w:ilvl w:val="0"/>
                <w:numId w:val="12"/>
              </w:numPr>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为确保设备更换及时性，在项目所在地设有备品备件和工具库，提供库存清单，照片等证明资料的得3分，否则不得分。</w:t>
            </w:r>
          </w:p>
          <w:p>
            <w:pPr>
              <w:pStyle w:val="222"/>
              <w:keepNext w:val="0"/>
              <w:keepLines w:val="0"/>
              <w:pageBreakBefore w:val="0"/>
              <w:widowControl/>
              <w:numPr>
                <w:ilvl w:val="0"/>
                <w:numId w:val="0"/>
              </w:numPr>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b/>
                <w:bCs/>
                <w:color w:val="auto"/>
                <w:spacing w:val="-10"/>
                <w:kern w:val="2"/>
                <w:sz w:val="24"/>
                <w:szCs w:val="24"/>
                <w:highlight w:val="none"/>
                <w:lang w:val="en-US" w:eastAsia="zh-CN" w:bidi="ar-SA"/>
              </w:rPr>
              <w:t>【</w:t>
            </w: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b/>
                <w:bCs/>
                <w:color w:val="auto"/>
                <w:spacing w:val="-10"/>
                <w:kern w:val="2"/>
                <w:sz w:val="24"/>
                <w:szCs w:val="24"/>
                <w:highlight w:val="none"/>
                <w:lang w:val="en-US" w:eastAsia="zh-CN" w:bidi="ar-SA"/>
              </w:rPr>
              <w:t>提供备件及工具库房产证，若场地为租赁的，提供租赁合同和房产证（若为长期合作厂家需提供合作协议）】</w:t>
            </w:r>
          </w:p>
        </w:tc>
        <w:tc>
          <w:tcPr>
            <w:tcW w:w="76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99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客观分</w:t>
            </w:r>
          </w:p>
        </w:tc>
        <w:tc>
          <w:tcPr>
            <w:tcW w:w="118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备品备件仓库和工具设备资源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762" w:type="dxa"/>
            <w:vMerge w:val="continue"/>
            <w:tcBorders>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（2）针对本项目特点预留一定的设备、设备材料备用量方案合理、可实施性等进行综合打分。</w:t>
            </w:r>
          </w:p>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方案合理可实施性强的得3分，方案较合理可实施性较强的得2分，方案较合理但实施性不强的得1分，未提供方案或者方案有明显缺陷或不合理的不得分。</w:t>
            </w:r>
          </w:p>
        </w:tc>
        <w:tc>
          <w:tcPr>
            <w:tcW w:w="764" w:type="dxa"/>
            <w:tcBorders>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center"/>
              <w:textAlignment w:val="auto"/>
              <w:rPr>
                <w:rFonts w:hint="eastAsia" w:ascii="仿宋" w:hAnsi="仿宋" w:eastAsia="仿宋" w:cs="仿宋"/>
                <w:b w:val="0"/>
                <w:bCs w:val="0"/>
                <w:color w:val="auto"/>
                <w:spacing w:val="-10"/>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992" w:type="dxa"/>
            <w:tcBorders>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b w:val="0"/>
                <w:bCs w:val="0"/>
                <w:color w:val="auto"/>
                <w:spacing w:val="-10"/>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主观分</w:t>
            </w:r>
          </w:p>
        </w:tc>
        <w:tc>
          <w:tcPr>
            <w:tcW w:w="1185" w:type="dxa"/>
            <w:vMerge w:val="continue"/>
            <w:tcBorders>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62" w:type="dxa"/>
            <w:vMerge w:val="restart"/>
            <w:tcBorders>
              <w:top w:val="nil"/>
              <w:left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zh-CN" w:eastAsia="zh-CN" w:bidi="ar-SA"/>
              </w:rPr>
            </w:pPr>
            <w:r>
              <w:rPr>
                <w:rFonts w:hint="eastAsia" w:ascii="仿宋" w:hAnsi="仿宋" w:eastAsia="仿宋" w:cs="仿宋"/>
                <w:color w:val="auto"/>
                <w:spacing w:val="-10"/>
                <w:kern w:val="2"/>
                <w:sz w:val="24"/>
                <w:szCs w:val="24"/>
                <w:highlight w:val="none"/>
                <w:lang w:val="zh-CN" w:eastAsia="zh-CN" w:bidi="ar-SA"/>
              </w:rPr>
              <w:t>根据</w:t>
            </w:r>
            <w:r>
              <w:rPr>
                <w:rFonts w:hint="eastAsia" w:ascii="仿宋" w:hAnsi="仿宋" w:eastAsia="仿宋" w:cs="仿宋"/>
                <w:color w:val="auto"/>
                <w:spacing w:val="-10"/>
                <w:kern w:val="2"/>
                <w:sz w:val="24"/>
                <w:szCs w:val="24"/>
                <w:highlight w:val="none"/>
                <w:lang w:val="en-US" w:eastAsia="zh-CN" w:bidi="ar-SA"/>
              </w:rPr>
              <w:t>供应商</w:t>
            </w:r>
            <w:r>
              <w:rPr>
                <w:rFonts w:hint="eastAsia" w:ascii="仿宋" w:hAnsi="仿宋" w:eastAsia="仿宋" w:cs="仿宋"/>
                <w:color w:val="auto"/>
                <w:sz w:val="24"/>
                <w:szCs w:val="24"/>
                <w:highlight w:val="none"/>
                <w:lang w:val="en-US" w:eastAsia="zh-CN"/>
              </w:rPr>
              <w:t>或电梯制造单位</w:t>
            </w:r>
            <w:r>
              <w:rPr>
                <w:rFonts w:hint="eastAsia" w:ascii="仿宋" w:hAnsi="仿宋" w:eastAsia="仿宋" w:cs="仿宋"/>
                <w:color w:val="auto"/>
                <w:spacing w:val="-10"/>
                <w:kern w:val="2"/>
                <w:sz w:val="24"/>
                <w:szCs w:val="24"/>
                <w:highlight w:val="none"/>
                <w:lang w:val="zh-CN" w:eastAsia="zh-CN" w:bidi="ar-SA"/>
              </w:rPr>
              <w:t>提供的售后服务方案、维护人员配备、售后服务机构设置和应急保障措施、有关技术人员的培训方案的完整性、针对性、可操作性等方面</w:t>
            </w:r>
            <w:r>
              <w:rPr>
                <w:rFonts w:hint="eastAsia" w:ascii="仿宋" w:hAnsi="仿宋" w:eastAsia="仿宋" w:cs="仿宋"/>
                <w:color w:val="auto"/>
                <w:spacing w:val="-10"/>
                <w:kern w:val="2"/>
                <w:sz w:val="24"/>
                <w:szCs w:val="24"/>
                <w:highlight w:val="none"/>
                <w:lang w:val="en-US" w:eastAsia="zh-CN" w:bidi="ar-SA"/>
              </w:rPr>
              <w:t>进行综合打分。</w:t>
            </w:r>
          </w:p>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方案完整针对性强可操作性强的得5分，方案较完整针对性较强可操作性较强的得3分，方案较完整针对性可操作性一般的得1分，未提供方案或者方案有明显缺陷或不合理的不得分。</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主观分</w:t>
            </w:r>
          </w:p>
        </w:tc>
        <w:tc>
          <w:tcPr>
            <w:tcW w:w="118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62" w:type="dxa"/>
            <w:vMerge w:val="continue"/>
            <w:tcBorders>
              <w:left w:val="single" w:color="auto" w:sz="4" w:space="0"/>
              <w:right w:val="single" w:color="auto" w:sz="4" w:space="0"/>
            </w:tcBorders>
            <w:vAlign w:val="center"/>
          </w:tcPr>
          <w:p>
            <w:pPr>
              <w:pStyle w:val="633"/>
              <w:keepNext w:val="0"/>
              <w:keepLines w:val="0"/>
              <w:pageBreakBefore w:val="0"/>
              <w:numPr>
                <w:ilvl w:val="0"/>
                <w:numId w:val="0"/>
              </w:numPr>
              <w:kinsoku/>
              <w:wordWrap/>
              <w:overflowPunct/>
              <w:topLinePunct w:val="0"/>
              <w:autoSpaceDE/>
              <w:autoSpaceDN/>
              <w:bidi w:val="0"/>
              <w:adjustRightInd w:val="0"/>
              <w:snapToGrid w:val="0"/>
              <w:spacing w:after="120" w:line="360" w:lineRule="auto"/>
              <w:ind w:leftChars="0"/>
              <w:jc w:val="both"/>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vAlign w:val="center"/>
          </w:tcPr>
          <w:p>
            <w:pPr>
              <w:pStyle w:val="222"/>
              <w:keepNext w:val="0"/>
              <w:keepLines w:val="0"/>
              <w:pageBreakBefore w:val="0"/>
              <w:widowControl/>
              <w:kinsoku/>
              <w:wordWrap/>
              <w:overflowPunct/>
              <w:topLinePunct w:val="0"/>
              <w:autoSpaceDE/>
              <w:autoSpaceDN/>
              <w:bidi w:val="0"/>
              <w:adjustRightInd w:val="0"/>
              <w:snapToGrid/>
              <w:spacing w:before="0" w:after="0" w:line="360" w:lineRule="auto"/>
              <w:jc w:val="left"/>
              <w:textAlignment w:val="auto"/>
              <w:rPr>
                <w:rFonts w:hint="eastAsia" w:ascii="仿宋" w:hAnsi="仿宋" w:eastAsia="仿宋" w:cs="仿宋"/>
                <w:color w:val="auto"/>
                <w:spacing w:val="-10"/>
                <w:kern w:val="2"/>
                <w:sz w:val="24"/>
                <w:szCs w:val="24"/>
                <w:highlight w:val="none"/>
                <w:lang w:val="en-US" w:eastAsia="zh-CN" w:bidi="ar-SA"/>
              </w:rPr>
            </w:pPr>
            <w:r>
              <w:rPr>
                <w:rFonts w:hint="eastAsia" w:ascii="仿宋" w:hAnsi="仿宋" w:eastAsia="仿宋" w:cs="仿宋"/>
                <w:color w:val="auto"/>
                <w:spacing w:val="-10"/>
                <w:kern w:val="2"/>
                <w:sz w:val="24"/>
                <w:szCs w:val="24"/>
                <w:highlight w:val="none"/>
                <w:lang w:val="en-US" w:eastAsia="zh-CN" w:bidi="ar-SA"/>
              </w:rPr>
              <w:t>供应商</w:t>
            </w:r>
            <w:r>
              <w:rPr>
                <w:rFonts w:hint="eastAsia" w:ascii="仿宋" w:hAnsi="仿宋" w:eastAsia="仿宋" w:cs="仿宋"/>
                <w:color w:val="auto"/>
                <w:sz w:val="24"/>
                <w:szCs w:val="24"/>
                <w:highlight w:val="none"/>
                <w:lang w:val="en-US" w:eastAsia="zh-CN"/>
              </w:rPr>
              <w:t>或电梯制造单位</w:t>
            </w:r>
            <w:r>
              <w:rPr>
                <w:rFonts w:hint="eastAsia" w:ascii="仿宋" w:hAnsi="仿宋" w:eastAsia="仿宋" w:cs="仿宋"/>
                <w:color w:val="auto"/>
                <w:spacing w:val="-10"/>
                <w:kern w:val="2"/>
                <w:sz w:val="24"/>
                <w:szCs w:val="24"/>
                <w:highlight w:val="none"/>
                <w:lang w:val="en-US" w:eastAsia="zh-CN" w:bidi="ar-SA"/>
              </w:rPr>
              <w:t>承诺在15分钟内做出应急响应，0.5小时内到达现场，24小时内解决应急相关事宜的得3分，不提供承诺不得分。</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客观分</w:t>
            </w:r>
          </w:p>
        </w:tc>
        <w:tc>
          <w:tcPr>
            <w:tcW w:w="118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报价部分（</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633"/>
              <w:keepNext w:val="0"/>
              <w:keepLines w:val="0"/>
              <w:pageBreakBefore w:val="0"/>
              <w:numPr>
                <w:ilvl w:val="0"/>
                <w:numId w:val="11"/>
              </w:numPr>
              <w:kinsoku/>
              <w:wordWrap/>
              <w:overflowPunct/>
              <w:topLinePunct w:val="0"/>
              <w:autoSpaceDE/>
              <w:autoSpaceDN/>
              <w:bidi w:val="0"/>
              <w:adjustRightInd w:val="0"/>
              <w:snapToGrid w:val="0"/>
              <w:spacing w:after="120" w:line="360" w:lineRule="auto"/>
              <w:ind w:firstLineChars="0"/>
              <w:jc w:val="center"/>
              <w:textAlignment w:val="auto"/>
              <w:rPr>
                <w:rFonts w:hint="eastAsia" w:ascii="仿宋" w:hAnsi="仿宋" w:eastAsia="仿宋" w:cs="仿宋"/>
                <w:b/>
                <w:bCs/>
                <w:color w:val="auto"/>
                <w:sz w:val="24"/>
                <w:szCs w:val="24"/>
                <w:highlight w:val="none"/>
              </w:rPr>
            </w:pPr>
          </w:p>
        </w:tc>
        <w:tc>
          <w:tcPr>
            <w:tcW w:w="57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有效最后报价的最低价作为评审基准价，其最低报价为满分；按［最后报价得分=（评审基准价/最后报价）*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0］的计算公式计算。</w:t>
            </w:r>
          </w:p>
          <w:p>
            <w:pPr>
              <w:keepNext w:val="0"/>
              <w:keepLines w:val="0"/>
              <w:pageBreakBefore w:val="0"/>
              <w:kinsoku/>
              <w:wordWrap/>
              <w:overflowPunct/>
              <w:topLinePunct w:val="0"/>
              <w:autoSpaceDE/>
              <w:autoSpaceDN/>
              <w:bidi w:val="0"/>
              <w:adjustRightInd w:val="0"/>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0</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客观分</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p>
        </w:tc>
      </w:tr>
    </w:tbl>
    <w:p>
      <w:pPr>
        <w:adjustRightInd/>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 “*”备注：供应商编制响应文件时，建议按此目录（序号和内容）提供评审标准相应的商务技术资料。</w:t>
      </w:r>
    </w:p>
    <w:p>
      <w:pPr>
        <w:pStyle w:val="392"/>
        <w:spacing w:before="0"/>
        <w:ind w:firstLine="643"/>
        <w:jc w:val="center"/>
        <w:rPr>
          <w:rFonts w:ascii="仿宋" w:hAnsi="仿宋" w:eastAsia="仿宋" w:cs="仿宋"/>
          <w:b/>
          <w:color w:val="auto"/>
          <w:highlight w:val="none"/>
        </w:rPr>
      </w:pPr>
      <w:r>
        <w:rPr>
          <w:rFonts w:hint="eastAsia" w:ascii="仿宋" w:hAnsi="仿宋" w:eastAsia="仿宋" w:cs="仿宋"/>
          <w:b/>
          <w:color w:val="auto"/>
          <w:sz w:val="32"/>
          <w:highlight w:val="none"/>
        </w:rPr>
        <w:t>一、评审方法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ascii="仿宋" w:hAnsi="仿宋" w:eastAsia="仿宋" w:cs="仿宋"/>
          <w:color w:val="auto"/>
          <w:kern w:val="0"/>
          <w:sz w:val="24"/>
          <w:highlight w:val="none"/>
        </w:rPr>
      </w:pPr>
    </w:p>
    <w:p>
      <w:pPr>
        <w:snapToGrid w:val="0"/>
        <w:spacing w:line="360" w:lineRule="auto"/>
        <w:ind w:left="120" w:leftChars="57" w:firstLine="422" w:firstLineChars="150"/>
        <w:jc w:val="center"/>
        <w:rPr>
          <w:rFonts w:ascii="仿宋" w:hAnsi="仿宋" w:eastAsia="仿宋" w:cs="仿宋"/>
          <w:b/>
          <w:color w:val="auto"/>
          <w:sz w:val="32"/>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32"/>
          <w:highlight w:val="none"/>
        </w:rPr>
        <w:t>二、磋商小组的组成</w:t>
      </w:r>
    </w:p>
    <w:p>
      <w:pPr>
        <w:pStyle w:val="392"/>
        <w:spacing w:before="0"/>
        <w:ind w:firstLine="0"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pPr>
        <w:pStyle w:val="392"/>
        <w:spacing w:before="0"/>
        <w:ind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　　2.1参加采购活动前3年内与供应商存在劳动关系；</w:t>
      </w:r>
    </w:p>
    <w:p>
      <w:pPr>
        <w:pStyle w:val="392"/>
        <w:spacing w:before="0"/>
        <w:ind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　　2.2参加采购活动前3年内担任供应商的董事、监事；</w:t>
      </w:r>
    </w:p>
    <w:p>
      <w:pPr>
        <w:pStyle w:val="392"/>
        <w:spacing w:before="0"/>
        <w:ind w:firstLine="0" w:firstLineChars="0"/>
        <w:rPr>
          <w:rFonts w:ascii="仿宋" w:hAnsi="仿宋" w:eastAsia="仿宋" w:cs="仿宋"/>
          <w:color w:val="auto"/>
          <w:kern w:val="0"/>
          <w:highlight w:val="none"/>
        </w:rPr>
      </w:pPr>
      <w:r>
        <w:rPr>
          <w:rFonts w:hint="eastAsia" w:ascii="仿宋" w:hAnsi="仿宋" w:eastAsia="仿宋" w:cs="仿宋"/>
          <w:color w:val="auto"/>
          <w:kern w:val="0"/>
          <w:highlight w:val="none"/>
        </w:rPr>
        <w:t>　　2.3参加采购活动前3年内是供应商的控股股东或者实际控制人；</w:t>
      </w:r>
    </w:p>
    <w:p>
      <w:pPr>
        <w:pStyle w:val="392"/>
        <w:spacing w:before="0"/>
        <w:ind w:firstLine="48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pPr>
        <w:pStyle w:val="392"/>
        <w:spacing w:before="0"/>
        <w:ind w:firstLine="48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ascii="仿宋" w:hAnsi="仿宋" w:eastAsia="仿宋" w:cs="仿宋"/>
          <w:b/>
          <w:color w:val="auto"/>
          <w:sz w:val="32"/>
          <w:highlight w:val="none"/>
        </w:rPr>
      </w:pPr>
    </w:p>
    <w:p>
      <w:pPr>
        <w:snapToGrid w:val="0"/>
        <w:spacing w:line="360" w:lineRule="auto"/>
        <w:ind w:left="120" w:leftChars="57" w:firstLine="482" w:firstLineChars="150"/>
        <w:jc w:val="center"/>
        <w:rPr>
          <w:rFonts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pPr>
        <w:pStyle w:val="392"/>
        <w:spacing w:before="0"/>
        <w:ind w:firstLine="0" w:firstLineChars="0"/>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1.8向采购人、采购代理机构或者有关部门报告评审中发现的违法行为；</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pPr>
        <w:pStyle w:val="392"/>
        <w:spacing w:before="0"/>
        <w:ind w:firstLine="0" w:firstLineChars="0"/>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2.7其他不遵守评审纪律的行为。</w:t>
      </w:r>
    </w:p>
    <w:p>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pPr>
        <w:pStyle w:val="392"/>
        <w:spacing w:before="0"/>
        <w:ind w:firstLine="0" w:firstLineChars="0"/>
        <w:rPr>
          <w:rFonts w:ascii="仿宋" w:hAnsi="仿宋" w:eastAsia="仿宋" w:cs="仿宋"/>
          <w:b/>
          <w:color w:val="auto"/>
          <w:highlight w:val="none"/>
        </w:rPr>
      </w:pPr>
    </w:p>
    <w:p>
      <w:pPr>
        <w:pStyle w:val="392"/>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pPr>
        <w:pStyle w:val="392"/>
        <w:spacing w:before="0"/>
        <w:ind w:firstLine="472" w:firstLineChars="196"/>
        <w:rPr>
          <w:rFonts w:ascii="仿宋" w:hAnsi="仿宋" w:eastAsia="仿宋" w:cs="仿宋"/>
          <w:b/>
          <w:color w:val="auto"/>
          <w:highlight w:val="none"/>
        </w:rPr>
      </w:pPr>
      <w:r>
        <w:rPr>
          <w:rFonts w:hint="eastAsia" w:ascii="仿宋" w:hAnsi="仿宋" w:eastAsia="仿宋" w:cs="仿宋"/>
          <w:b/>
          <w:color w:val="auto"/>
          <w:highlight w:val="none"/>
        </w:rPr>
        <w:t>详见磋商文件“第二部分 竞争性磋商流程”。</w:t>
      </w:r>
    </w:p>
    <w:p>
      <w:pPr>
        <w:pStyle w:val="392"/>
        <w:spacing w:before="0"/>
        <w:ind w:firstLine="0" w:firstLineChars="0"/>
        <w:rPr>
          <w:rFonts w:ascii="仿宋" w:hAnsi="仿宋" w:eastAsia="仿宋" w:cs="仿宋"/>
          <w:b/>
          <w:color w:val="auto"/>
          <w:highlight w:val="none"/>
        </w:rPr>
      </w:pPr>
    </w:p>
    <w:p>
      <w:pPr>
        <w:pStyle w:val="392"/>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 响应文件的澄清</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pPr>
        <w:spacing w:line="360" w:lineRule="auto"/>
        <w:rPr>
          <w:rFonts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pPr>
        <w:pStyle w:val="23"/>
        <w:spacing w:line="360" w:lineRule="auto"/>
        <w:ind w:firstLine="600"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pPr>
        <w:pStyle w:val="104"/>
        <w:numPr>
          <w:ilvl w:val="0"/>
          <w:numId w:val="13"/>
        </w:numPr>
        <w:ind w:firstLineChars="0"/>
        <w:rPr>
          <w:rFonts w:ascii="仿宋" w:hAnsi="仿宋" w:eastAsia="仿宋" w:cs="仿宋"/>
          <w:color w:val="auto"/>
          <w:highlight w:val="none"/>
        </w:rPr>
      </w:pPr>
      <w:r>
        <w:rPr>
          <w:rFonts w:hint="eastAsia" w:ascii="仿宋" w:hAnsi="仿宋" w:eastAsia="仿宋" w:cs="仿宋"/>
          <w:color w:val="auto"/>
          <w:highlight w:val="none"/>
        </w:rPr>
        <w:t>使用伪造、变造的许可证件；</w:t>
      </w:r>
    </w:p>
    <w:p>
      <w:pPr>
        <w:pStyle w:val="104"/>
        <w:numPr>
          <w:ilvl w:val="0"/>
          <w:numId w:val="13"/>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提供虚假的财务状况或者业绩；</w:t>
      </w:r>
    </w:p>
    <w:p>
      <w:pPr>
        <w:pStyle w:val="104"/>
        <w:numPr>
          <w:ilvl w:val="0"/>
          <w:numId w:val="13"/>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pPr>
        <w:pStyle w:val="104"/>
        <w:numPr>
          <w:ilvl w:val="0"/>
          <w:numId w:val="13"/>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提供虚假的信用状况；</w:t>
      </w:r>
    </w:p>
    <w:p>
      <w:pPr>
        <w:pStyle w:val="104"/>
        <w:numPr>
          <w:ilvl w:val="0"/>
          <w:numId w:val="13"/>
        </w:numPr>
        <w:ind w:firstLineChars="0"/>
        <w:rPr>
          <w:rFonts w:ascii="仿宋" w:hAnsi="仿宋" w:eastAsia="仿宋" w:cs="仿宋"/>
          <w:color w:val="auto"/>
          <w:highlight w:val="none"/>
        </w:rPr>
      </w:pPr>
      <w:r>
        <w:rPr>
          <w:rFonts w:hint="eastAsia" w:ascii="仿宋" w:hAnsi="仿宋" w:eastAsia="仿宋" w:cs="仿宋"/>
          <w:color w:val="auto"/>
          <w:highlight w:val="none"/>
        </w:rPr>
        <w:t>其他弄虚作假的行为。</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供应商直接或者间接从采购人或者采购代理机构处获得其他供应商的相关情况并修改其响应文件；</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供应商按照采购人或者采购代理机构的授意撤换、修改投标文件或者响应文件；</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供应商与采购人或者采购代理机构之间、供应商相互之间，为谋求特定供应商中标、成交或者排斥其他供应商的其他串通行为。</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pPr>
        <w:pStyle w:val="104"/>
        <w:numPr>
          <w:ilvl w:val="0"/>
          <w:numId w:val="14"/>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不同供应商的响应文件相互混装。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3.21法律、法规、规章（适用本省的）及省级以上规范性文件（适用本省的）规定的其他无效情形。</w:t>
      </w:r>
    </w:p>
    <w:p>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4. 重新开展采购活动</w:t>
      </w:r>
    </w:p>
    <w:p>
      <w:pPr>
        <w:spacing w:line="360" w:lineRule="auto"/>
        <w:ind w:firstLine="407" w:firstLineChars="194"/>
        <w:rPr>
          <w:rFonts w:ascii="仿宋" w:hAnsi="仿宋" w:eastAsia="仿宋" w:cs="仿宋"/>
          <w:color w:val="auto"/>
          <w:sz w:val="24"/>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5. 终止采购活动</w:t>
      </w:r>
    </w:p>
    <w:p>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6. 采购代理机构有权对磋商小组各成员的评分情况和评审意见进行合理性和合规性审查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2"/>
        <w:spacing w:before="0"/>
        <w:ind w:firstLine="0" w:firstLineChars="0"/>
        <w:rPr>
          <w:rFonts w:ascii="仿宋" w:hAnsi="仿宋" w:eastAsia="仿宋" w:cs="仿宋"/>
          <w:b/>
          <w:color w:val="auto"/>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pPr>
        <w:widowControl/>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pPr>
        <w:widowControl/>
        <w:adjustRightInd/>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62"/>
      <w:r>
        <w:rPr>
          <w:rFonts w:hint="eastAsia" w:ascii="仿宋" w:hAnsi="仿宋" w:eastAsia="仿宋" w:cs="仿宋"/>
          <w:b/>
          <w:color w:val="auto"/>
          <w:sz w:val="36"/>
          <w:szCs w:val="36"/>
          <w:highlight w:val="none"/>
        </w:rPr>
        <w:t xml:space="preserve">  拟签订的合同文本</w:t>
      </w:r>
    </w:p>
    <w:p>
      <w:pPr>
        <w:snapToGrid w:val="0"/>
        <w:spacing w:line="360" w:lineRule="auto"/>
        <w:ind w:firstLine="420" w:firstLineChars="200"/>
        <w:jc w:val="center"/>
        <w:rPr>
          <w:rFonts w:ascii="仿宋" w:hAnsi="仿宋" w:eastAsia="仿宋"/>
          <w:color w:val="auto"/>
          <w:highlight w:val="none"/>
        </w:rPr>
      </w:pPr>
      <w:bookmarkStart w:id="63" w:name="第五部分"/>
      <w:bookmarkStart w:id="64" w:name="_Toc86217003"/>
      <w:r>
        <w:rPr>
          <w:rFonts w:hint="eastAsia" w:ascii="仿宋" w:hAnsi="仿宋" w:eastAsia="仿宋"/>
          <w:color w:val="auto"/>
          <w:highlight w:val="none"/>
        </w:rPr>
        <w:t>（供参考，最终以甲乙双方协商签订的合同条款为准）</w:t>
      </w:r>
    </w:p>
    <w:p>
      <w:pPr>
        <w:snapToGrid w:val="0"/>
        <w:spacing w:line="360" w:lineRule="auto"/>
        <w:ind w:firstLine="602" w:firstLineChars="200"/>
        <w:jc w:val="center"/>
        <w:rPr>
          <w:rFonts w:ascii="仿宋" w:hAnsi="仿宋" w:eastAsia="仿宋" w:cs="仿宋"/>
          <w:b/>
          <w:color w:val="auto"/>
          <w:sz w:val="30"/>
          <w:szCs w:val="30"/>
          <w:highlight w:val="none"/>
        </w:rPr>
      </w:pPr>
      <w:r>
        <w:rPr>
          <w:rFonts w:hint="eastAsia" w:ascii="仿宋" w:hAnsi="仿宋" w:eastAsia="仿宋"/>
          <w:b/>
          <w:color w:val="auto"/>
          <w:sz w:val="30"/>
          <w:szCs w:val="30"/>
          <w:highlight w:val="none"/>
          <w:lang w:eastAsia="zh-CN"/>
        </w:rPr>
        <w:t>浙江省中小企业综合楼电梯更新改造项目</w:t>
      </w:r>
      <w:r>
        <w:rPr>
          <w:rFonts w:hint="eastAsia" w:ascii="仿宋" w:hAnsi="仿宋" w:eastAsia="仿宋"/>
          <w:b/>
          <w:color w:val="auto"/>
          <w:sz w:val="30"/>
          <w:szCs w:val="30"/>
          <w:highlight w:val="none"/>
        </w:rPr>
        <w:t>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甲方（</w:t>
      </w:r>
      <w:r>
        <w:rPr>
          <w:rFonts w:hint="eastAsia" w:ascii="仿宋" w:hAnsi="仿宋" w:eastAsia="仿宋"/>
          <w:color w:val="auto"/>
          <w:sz w:val="24"/>
          <w:highlight w:val="none"/>
        </w:rPr>
        <w:t>采购人</w:t>
      </w:r>
      <w:r>
        <w:rPr>
          <w:rFonts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乙方（</w:t>
      </w:r>
      <w:r>
        <w:rPr>
          <w:rFonts w:hint="eastAsia" w:ascii="仿宋" w:hAnsi="仿宋" w:eastAsia="仿宋"/>
          <w:color w:val="auto"/>
          <w:sz w:val="24"/>
          <w:highlight w:val="none"/>
        </w:rPr>
        <w:t>中标人</w:t>
      </w:r>
      <w:r>
        <w:rPr>
          <w:rFonts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合同签约地：</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依照《中华人民共和国</w:t>
      </w:r>
      <w:r>
        <w:rPr>
          <w:rFonts w:hint="eastAsia" w:ascii="仿宋" w:hAnsi="仿宋" w:eastAsia="仿宋"/>
          <w:color w:val="auto"/>
          <w:sz w:val="24"/>
          <w:highlight w:val="none"/>
        </w:rPr>
        <w:t>民法典</w:t>
      </w:r>
      <w:r>
        <w:rPr>
          <w:rFonts w:ascii="仿宋" w:hAnsi="仿宋" w:eastAsia="仿宋"/>
          <w:color w:val="auto"/>
          <w:sz w:val="24"/>
          <w:highlight w:val="none"/>
        </w:rPr>
        <w:t>》及其他</w:t>
      </w:r>
      <w:r>
        <w:rPr>
          <w:rFonts w:hint="eastAsia" w:ascii="仿宋" w:hAnsi="仿宋" w:eastAsia="仿宋"/>
          <w:color w:val="auto"/>
          <w:sz w:val="24"/>
          <w:highlight w:val="none"/>
        </w:rPr>
        <w:t>相关</w:t>
      </w:r>
      <w:r>
        <w:rPr>
          <w:rFonts w:ascii="仿宋" w:hAnsi="仿宋" w:eastAsia="仿宋"/>
          <w:color w:val="auto"/>
          <w:sz w:val="24"/>
          <w:highlight w:val="none"/>
        </w:rPr>
        <w:t>法律、法规的规定，根据</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日</w:t>
      </w:r>
      <w:r>
        <w:rPr>
          <w:rFonts w:hint="eastAsia" w:ascii="仿宋" w:hAnsi="仿宋" w:eastAsia="仿宋"/>
          <w:color w:val="auto"/>
          <w:sz w:val="24"/>
          <w:highlight w:val="none"/>
        </w:rPr>
        <w:t>竞争性磋商采购的结果</w:t>
      </w:r>
      <w:r>
        <w:rPr>
          <w:rFonts w:ascii="仿宋" w:hAnsi="仿宋" w:eastAsia="仿宋"/>
          <w:color w:val="auto"/>
          <w:sz w:val="24"/>
          <w:highlight w:val="none"/>
        </w:rPr>
        <w:t>，遵循平等、自愿和诚实信用的原则，</w:t>
      </w:r>
      <w:r>
        <w:rPr>
          <w:rFonts w:hint="eastAsia" w:ascii="仿宋" w:hAnsi="仿宋" w:eastAsia="仿宋"/>
          <w:color w:val="auto"/>
          <w:sz w:val="24"/>
          <w:highlight w:val="none"/>
        </w:rPr>
        <w:t>确定</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单位为</w:t>
      </w:r>
      <w:r>
        <w:rPr>
          <w:rFonts w:hint="eastAsia" w:ascii="仿宋" w:hAnsi="仿宋" w:eastAsia="仿宋"/>
          <w:color w:val="auto"/>
          <w:sz w:val="24"/>
          <w:highlight w:val="none"/>
          <w:lang w:eastAsia="zh-CN"/>
        </w:rPr>
        <w:t>浙江省中小企业综合楼电梯更新改造项目</w:t>
      </w:r>
      <w:r>
        <w:rPr>
          <w:rFonts w:hint="eastAsia" w:ascii="仿宋" w:hAnsi="仿宋" w:eastAsia="仿宋"/>
          <w:color w:val="auto"/>
          <w:sz w:val="24"/>
          <w:highlight w:val="none"/>
        </w:rPr>
        <w:t>中标人。</w:t>
      </w:r>
      <w:r>
        <w:rPr>
          <w:rFonts w:ascii="仿宋" w:hAnsi="仿宋" w:eastAsia="仿宋"/>
          <w:color w:val="auto"/>
          <w:sz w:val="24"/>
          <w:highlight w:val="none"/>
        </w:rPr>
        <w:t>甲、乙双方就</w:t>
      </w:r>
      <w:r>
        <w:rPr>
          <w:rFonts w:hint="eastAsia" w:ascii="仿宋" w:hAnsi="仿宋" w:eastAsia="仿宋"/>
          <w:color w:val="auto"/>
          <w:sz w:val="24"/>
          <w:highlight w:val="none"/>
        </w:rPr>
        <w:t>本项目事宜</w:t>
      </w:r>
      <w:r>
        <w:rPr>
          <w:rFonts w:ascii="仿宋" w:hAnsi="仿宋" w:eastAsia="仿宋"/>
          <w:color w:val="auto"/>
          <w:sz w:val="24"/>
          <w:highlight w:val="none"/>
        </w:rPr>
        <w:t>订立如下条款：</w:t>
      </w:r>
    </w:p>
    <w:p>
      <w:pPr>
        <w:spacing w:line="360" w:lineRule="auto"/>
        <w:ind w:firstLine="458" w:firstLineChars="200"/>
        <w:outlineLvl w:val="2"/>
        <w:rPr>
          <w:rFonts w:ascii="仿宋" w:hAnsi="仿宋" w:eastAsia="仿宋"/>
          <w:color w:val="auto"/>
          <w:sz w:val="24"/>
          <w:highlight w:val="none"/>
        </w:rPr>
      </w:pPr>
      <w:r>
        <w:rPr>
          <w:rFonts w:hint="eastAsia" w:ascii="仿宋" w:hAnsi="仿宋" w:eastAsia="仿宋"/>
          <w:b/>
          <w:color w:val="auto"/>
          <w:spacing w:val="-6"/>
          <w:sz w:val="24"/>
          <w:highlight w:val="none"/>
        </w:rPr>
        <w:t>第一条：适用范围</w:t>
      </w:r>
    </w:p>
    <w:p>
      <w:pPr>
        <w:snapToGrid w:val="0"/>
        <w:spacing w:line="360" w:lineRule="auto"/>
        <w:ind w:firstLine="456" w:firstLineChars="200"/>
        <w:rPr>
          <w:rFonts w:ascii="仿宋" w:hAnsi="仿宋" w:eastAsia="仿宋"/>
          <w:color w:val="auto"/>
          <w:sz w:val="24"/>
          <w:highlight w:val="none"/>
        </w:rPr>
      </w:pPr>
      <w:r>
        <w:rPr>
          <w:rFonts w:hint="eastAsia" w:ascii="仿宋" w:hAnsi="仿宋" w:eastAsia="仿宋"/>
          <w:color w:val="auto"/>
          <w:spacing w:val="-6"/>
          <w:sz w:val="24"/>
          <w:highlight w:val="none"/>
        </w:rPr>
        <w:t>本合同条款适用与本次采购活动。项目实施范围详见附件——采购文件</w:t>
      </w:r>
      <w:r>
        <w:rPr>
          <w:rFonts w:hint="eastAsia" w:ascii="仿宋" w:hAnsi="仿宋" w:eastAsia="仿宋" w:cs="仿宋_GB2312"/>
          <w:color w:val="auto"/>
          <w:sz w:val="24"/>
          <w:highlight w:val="none"/>
        </w:rPr>
        <w:t>及其补充文件</w:t>
      </w:r>
      <w:r>
        <w:rPr>
          <w:rFonts w:hint="eastAsia" w:ascii="仿宋" w:hAnsi="仿宋" w:eastAsia="仿宋"/>
          <w:color w:val="auto"/>
          <w:spacing w:val="-6"/>
          <w:sz w:val="24"/>
          <w:highlight w:val="none"/>
        </w:rPr>
        <w:t>、投标文件、中标通知书等</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解释顺序为：本合同以及补充协议</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中标通知书</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采购文件及其补充文件</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投标文件。</w:t>
      </w:r>
    </w:p>
    <w:p>
      <w:pPr>
        <w:spacing w:line="360" w:lineRule="auto"/>
        <w:ind w:firstLine="458" w:firstLineChars="200"/>
        <w:outlineLvl w:val="2"/>
        <w:rPr>
          <w:rFonts w:ascii="仿宋" w:hAnsi="仿宋" w:eastAsia="仿宋"/>
          <w:b/>
          <w:color w:val="auto"/>
          <w:spacing w:val="-6"/>
          <w:sz w:val="24"/>
          <w:highlight w:val="none"/>
        </w:rPr>
      </w:pPr>
      <w:r>
        <w:rPr>
          <w:rFonts w:hint="eastAsia" w:ascii="仿宋" w:hAnsi="仿宋" w:eastAsia="仿宋"/>
          <w:b/>
          <w:color w:val="auto"/>
          <w:spacing w:val="-6"/>
          <w:sz w:val="24"/>
          <w:highlight w:val="none"/>
        </w:rPr>
        <w:t>第二条：项目服务期和地点</w:t>
      </w:r>
    </w:p>
    <w:p>
      <w:pPr>
        <w:spacing w:line="360" w:lineRule="auto"/>
        <w:ind w:firstLine="456" w:firstLineChars="200"/>
        <w:rPr>
          <w:rFonts w:ascii="仿宋" w:hAnsi="仿宋" w:eastAsia="仿宋"/>
          <w:color w:val="auto"/>
          <w:spacing w:val="-6"/>
          <w:sz w:val="24"/>
          <w:highlight w:val="none"/>
        </w:rPr>
      </w:pPr>
      <w:r>
        <w:rPr>
          <w:rFonts w:hint="eastAsia" w:ascii="仿宋" w:hAnsi="仿宋" w:eastAsia="仿宋" w:cs="Calibri"/>
          <w:color w:val="auto"/>
          <w:spacing w:val="-6"/>
          <w:sz w:val="24"/>
          <w:highlight w:val="none"/>
        </w:rPr>
        <w:t>1.</w:t>
      </w:r>
      <w:r>
        <w:rPr>
          <w:rFonts w:hint="eastAsia" w:ascii="仿宋" w:hAnsi="仿宋" w:eastAsia="仿宋"/>
          <w:color w:val="auto"/>
          <w:spacing w:val="-6"/>
          <w:sz w:val="24"/>
          <w:highlight w:val="none"/>
        </w:rPr>
        <w:t>服务期：自合同签订之日起1年完成整体项目开发建设，实现系统上线试运行。</w:t>
      </w:r>
    </w:p>
    <w:p>
      <w:pPr>
        <w:spacing w:line="360" w:lineRule="auto"/>
        <w:ind w:firstLine="456" w:firstLineChars="200"/>
        <w:rPr>
          <w:rFonts w:ascii="仿宋" w:hAnsi="仿宋" w:eastAsia="仿宋"/>
          <w:color w:val="auto"/>
          <w:sz w:val="24"/>
          <w:highlight w:val="none"/>
          <w:shd w:val="clear" w:color="auto" w:fill="FFFFFF"/>
        </w:rPr>
      </w:pPr>
      <w:r>
        <w:rPr>
          <w:rFonts w:hint="eastAsia" w:ascii="仿宋" w:hAnsi="仿宋" w:eastAsia="仿宋" w:cs="Calibri"/>
          <w:color w:val="auto"/>
          <w:spacing w:val="-6"/>
          <w:sz w:val="24"/>
          <w:highlight w:val="none"/>
        </w:rPr>
        <w:t>2.</w:t>
      </w:r>
      <w:r>
        <w:rPr>
          <w:rFonts w:hint="eastAsia" w:ascii="仿宋" w:hAnsi="仿宋" w:eastAsia="仿宋"/>
          <w:color w:val="auto"/>
          <w:spacing w:val="-6"/>
          <w:sz w:val="24"/>
          <w:highlight w:val="none"/>
        </w:rPr>
        <w:t>服务地点：甲方</w:t>
      </w:r>
      <w:r>
        <w:rPr>
          <w:rFonts w:ascii="仿宋" w:hAnsi="仿宋" w:eastAsia="仿宋"/>
          <w:color w:val="auto"/>
          <w:spacing w:val="-6"/>
          <w:sz w:val="24"/>
          <w:highlight w:val="none"/>
        </w:rPr>
        <w:t>指定地点</w:t>
      </w:r>
      <w:r>
        <w:rPr>
          <w:rFonts w:hint="eastAsia" w:ascii="仿宋" w:hAnsi="仿宋" w:eastAsia="仿宋"/>
          <w:color w:val="auto"/>
          <w:spacing w:val="-6"/>
          <w:sz w:val="24"/>
          <w:highlight w:val="none"/>
        </w:rPr>
        <w:t>。</w:t>
      </w:r>
    </w:p>
    <w:p>
      <w:pPr>
        <w:spacing w:line="360" w:lineRule="auto"/>
        <w:ind w:firstLine="458" w:firstLineChars="200"/>
        <w:outlineLvl w:val="2"/>
        <w:rPr>
          <w:rFonts w:ascii="仿宋" w:hAnsi="仿宋" w:eastAsia="仿宋"/>
          <w:b/>
          <w:color w:val="auto"/>
          <w:spacing w:val="-6"/>
          <w:sz w:val="24"/>
          <w:highlight w:val="none"/>
        </w:rPr>
      </w:pPr>
      <w:r>
        <w:rPr>
          <w:rFonts w:hint="eastAsia" w:ascii="仿宋" w:hAnsi="仿宋" w:eastAsia="仿宋"/>
          <w:b/>
          <w:color w:val="auto"/>
          <w:spacing w:val="-6"/>
          <w:sz w:val="24"/>
          <w:highlight w:val="none"/>
        </w:rPr>
        <w:t>第三条：采购内容</w:t>
      </w:r>
    </w:p>
    <w:tbl>
      <w:tblPr>
        <w:tblStyle w:val="60"/>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41"/>
        <w:gridCol w:w="708"/>
        <w:gridCol w:w="1560"/>
        <w:gridCol w:w="1134"/>
        <w:gridCol w:w="157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274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服务名称</w:t>
            </w:r>
          </w:p>
        </w:tc>
        <w:tc>
          <w:tcPr>
            <w:tcW w:w="156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数量</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单位</w:t>
            </w:r>
          </w:p>
        </w:tc>
        <w:tc>
          <w:tcPr>
            <w:tcW w:w="1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单价（元）</w:t>
            </w:r>
          </w:p>
        </w:tc>
        <w:tc>
          <w:tcPr>
            <w:tcW w:w="162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4"/>
                <w:highlight w:val="none"/>
              </w:rPr>
            </w:pPr>
            <w:r>
              <w:rPr>
                <w:rFonts w:hint="eastAsia" w:ascii="仿宋" w:hAnsi="仿宋" w:eastAsia="仿宋" w:cs="Calibri"/>
                <w:color w:val="auto"/>
                <w:sz w:val="24"/>
                <w:highlight w:val="none"/>
              </w:rPr>
              <w:t>1</w:t>
            </w:r>
          </w:p>
        </w:tc>
        <w:tc>
          <w:tcPr>
            <w:tcW w:w="274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sz w:val="24"/>
                <w:highlight w:val="none"/>
              </w:rPr>
            </w:pPr>
          </w:p>
        </w:tc>
        <w:tc>
          <w:tcPr>
            <w:tcW w:w="156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sz w:val="24"/>
                <w:highlight w:val="none"/>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sz w:val="24"/>
                <w:highlight w:val="none"/>
              </w:rPr>
            </w:pPr>
          </w:p>
        </w:tc>
        <w:tc>
          <w:tcPr>
            <w:tcW w:w="1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sz w:val="24"/>
                <w:highlight w:val="none"/>
              </w:rPr>
            </w:pPr>
          </w:p>
        </w:tc>
        <w:tc>
          <w:tcPr>
            <w:tcW w:w="162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7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78" w:leftChars="85"/>
              <w:jc w:val="center"/>
              <w:rPr>
                <w:rFonts w:ascii="仿宋" w:hAnsi="仿宋" w:eastAsia="仿宋"/>
                <w:color w:val="auto"/>
                <w:sz w:val="24"/>
                <w:highlight w:val="none"/>
              </w:rPr>
            </w:pPr>
            <w:r>
              <w:rPr>
                <w:rFonts w:hint="eastAsia" w:ascii="仿宋" w:hAnsi="仿宋" w:eastAsia="仿宋"/>
                <w:color w:val="auto"/>
                <w:sz w:val="24"/>
                <w:highlight w:val="none"/>
              </w:rPr>
              <w:t>合同总价（人民币）</w:t>
            </w:r>
          </w:p>
        </w:tc>
        <w:tc>
          <w:tcPr>
            <w:tcW w:w="6599"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小写：</w:t>
            </w:r>
            <w:r>
              <w:rPr>
                <w:rFonts w:ascii="仿宋" w:hAnsi="仿宋" w:eastAsia="仿宋" w:cs="Calibri"/>
                <w:color w:val="auto"/>
                <w:sz w:val="24"/>
                <w:highlight w:val="none"/>
              </w:rPr>
              <w:t xml:space="preserve"> </w:t>
            </w:r>
            <w:r>
              <w:rPr>
                <w:rFonts w:ascii="仿宋" w:hAnsi="仿宋" w:eastAsia="仿宋"/>
                <w:color w:val="auto"/>
                <w:sz w:val="24"/>
                <w:highlight w:val="none"/>
              </w:rPr>
              <w:t xml:space="preserve">            大写：</w:t>
            </w:r>
          </w:p>
        </w:tc>
      </w:tr>
    </w:tbl>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注：合同总价应包括人员工资、交通、住宿、税金、保险报审过程中以及在履行本合同时的资料收集、调查等的全部费用。</w:t>
      </w:r>
    </w:p>
    <w:p>
      <w:pPr>
        <w:spacing w:line="360" w:lineRule="auto"/>
        <w:ind w:firstLine="482" w:firstLineChars="200"/>
        <w:outlineLvl w:val="2"/>
        <w:rPr>
          <w:rFonts w:ascii="仿宋" w:hAnsi="仿宋" w:eastAsia="仿宋"/>
          <w:b/>
          <w:color w:val="auto"/>
          <w:sz w:val="24"/>
          <w:highlight w:val="none"/>
        </w:rPr>
      </w:pPr>
      <w:r>
        <w:rPr>
          <w:rFonts w:hint="eastAsia" w:ascii="仿宋" w:hAnsi="仿宋" w:eastAsia="仿宋"/>
          <w:b/>
          <w:color w:val="auto"/>
          <w:sz w:val="24"/>
          <w:highlight w:val="none"/>
        </w:rPr>
        <w:t>第四条：采购内容和要求</w:t>
      </w:r>
    </w:p>
    <w:p>
      <w:pPr>
        <w:spacing w:line="360" w:lineRule="auto"/>
        <w:ind w:firstLine="480" w:firstLineChars="200"/>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、采购内容：详见采购文件第四部分《采购需求》。</w:t>
      </w:r>
    </w:p>
    <w:p>
      <w:pPr>
        <w:widowControl/>
        <w:autoSpaceDE w:val="0"/>
        <w:autoSpaceDN w:val="0"/>
        <w:snapToGrid w:val="0"/>
        <w:spacing w:line="360" w:lineRule="auto"/>
        <w:ind w:firstLine="482" w:firstLineChars="200"/>
        <w:textAlignment w:val="bottom"/>
        <w:rPr>
          <w:rFonts w:ascii="仿宋" w:hAnsi="仿宋" w:eastAsia="仿宋"/>
          <w:b/>
          <w:bCs/>
          <w:color w:val="auto"/>
          <w:kern w:val="0"/>
          <w:sz w:val="24"/>
          <w:highlight w:val="none"/>
        </w:rPr>
      </w:pPr>
      <w:r>
        <w:rPr>
          <w:rFonts w:hint="eastAsia" w:ascii="仿宋" w:hAnsi="仿宋" w:eastAsia="仿宋" w:cs="Calibri"/>
          <w:b/>
          <w:bCs/>
          <w:color w:val="auto"/>
          <w:kern w:val="0"/>
          <w:sz w:val="24"/>
          <w:highlight w:val="none"/>
        </w:rPr>
        <w:t>2</w:t>
      </w:r>
      <w:r>
        <w:rPr>
          <w:rFonts w:hint="eastAsia" w:ascii="仿宋" w:hAnsi="仿宋" w:eastAsia="仿宋"/>
          <w:b/>
          <w:bCs/>
          <w:color w:val="auto"/>
          <w:kern w:val="0"/>
          <w:sz w:val="24"/>
          <w:highlight w:val="none"/>
        </w:rPr>
        <w:t>、验收</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验收合格条件</w:t>
      </w:r>
      <w:r>
        <w:rPr>
          <w:rFonts w:hint="eastAsia" w:ascii="仿宋" w:hAnsi="仿宋" w:eastAsia="仿宋" w:cs="仿宋"/>
          <w:b/>
          <w:color w:val="auto"/>
          <w:sz w:val="24"/>
          <w:szCs w:val="24"/>
          <w:highlight w:val="none"/>
        </w:rPr>
        <w:t xml:space="preserve"> </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.1.1运行结果符合产品标准和技术规格书及合同要求。底坑</w:t>
      </w:r>
      <w:r>
        <w:rPr>
          <w:rFonts w:hint="eastAsia" w:ascii="仿宋" w:hAnsi="仿宋" w:eastAsia="仿宋" w:cs="仿宋"/>
          <w:bCs/>
          <w:color w:val="auto"/>
          <w:sz w:val="24"/>
          <w:szCs w:val="24"/>
          <w:highlight w:val="none"/>
        </w:rPr>
        <w:t>须满足GB7588-2003标准中的5.7.3.3条款要求。</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.1.2在进行测试和验收运行过程中发生的故障已被消除并得到</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的认可。</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.1.3所有合同中规定的货物和材料都已提交。</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.1.4工程竣工后，通过当地质量技术监督局验收合格并签发合格证书及整个项目通过当地有关部门的综合验收后，移交建设单位或建设单位确定的物业公司。</w:t>
      </w:r>
    </w:p>
    <w:p>
      <w:pPr>
        <w:keepNext w:val="0"/>
        <w:keepLines w:val="0"/>
        <w:pageBreakBefore w:val="0"/>
        <w:kinsoku/>
        <w:wordWrap/>
        <w:topLinePunct w:val="0"/>
        <w:bidi w:val="0"/>
        <w:adjustRightInd w:val="0"/>
        <w:spacing w:line="360" w:lineRule="auto"/>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.1.5整套设备图纸及技术文件都已提交并得到接受。</w:t>
      </w:r>
    </w:p>
    <w:p>
      <w:pPr>
        <w:spacing w:line="360" w:lineRule="auto"/>
        <w:ind w:firstLine="458" w:firstLineChars="200"/>
        <w:outlineLvl w:val="2"/>
        <w:rPr>
          <w:rFonts w:ascii="仿宋" w:hAnsi="仿宋" w:eastAsia="仿宋"/>
          <w:b/>
          <w:color w:val="auto"/>
          <w:spacing w:val="-6"/>
          <w:sz w:val="24"/>
          <w:highlight w:val="none"/>
        </w:rPr>
      </w:pPr>
      <w:r>
        <w:rPr>
          <w:rFonts w:hint="eastAsia" w:ascii="仿宋" w:hAnsi="仿宋" w:eastAsia="仿宋"/>
          <w:b/>
          <w:color w:val="auto"/>
          <w:spacing w:val="-6"/>
          <w:sz w:val="24"/>
          <w:highlight w:val="none"/>
        </w:rPr>
        <w:t>第</w:t>
      </w:r>
      <w:r>
        <w:rPr>
          <w:rFonts w:hint="eastAsia" w:ascii="仿宋" w:hAnsi="仿宋" w:eastAsia="仿宋"/>
          <w:b/>
          <w:color w:val="auto"/>
          <w:spacing w:val="-6"/>
          <w:sz w:val="24"/>
          <w:highlight w:val="none"/>
          <w:lang w:val="en-US" w:eastAsia="zh-CN"/>
        </w:rPr>
        <w:t>五</w:t>
      </w:r>
      <w:r>
        <w:rPr>
          <w:rFonts w:hint="eastAsia" w:ascii="仿宋" w:hAnsi="仿宋" w:eastAsia="仿宋"/>
          <w:b/>
          <w:color w:val="auto"/>
          <w:spacing w:val="-6"/>
          <w:sz w:val="24"/>
          <w:highlight w:val="none"/>
        </w:rPr>
        <w:t>条：转包或分包</w:t>
      </w:r>
    </w:p>
    <w:p>
      <w:pPr>
        <w:snapToGrid w:val="0"/>
        <w:spacing w:line="360" w:lineRule="auto"/>
        <w:ind w:firstLine="485" w:firstLineChars="213"/>
        <w:rPr>
          <w:rFonts w:ascii="仿宋" w:hAnsi="仿宋" w:eastAsia="仿宋"/>
          <w:bCs/>
          <w:color w:val="auto"/>
          <w:spacing w:val="-6"/>
          <w:sz w:val="24"/>
          <w:highlight w:val="none"/>
        </w:rPr>
      </w:pPr>
      <w:r>
        <w:rPr>
          <w:rFonts w:hint="eastAsia" w:ascii="仿宋" w:hAnsi="仿宋" w:eastAsia="仿宋"/>
          <w:bCs/>
          <w:color w:val="auto"/>
          <w:spacing w:val="-6"/>
          <w:sz w:val="24"/>
          <w:highlight w:val="none"/>
        </w:rPr>
        <w:t>不允许转包。</w:t>
      </w:r>
    </w:p>
    <w:p>
      <w:pPr>
        <w:pStyle w:val="4"/>
        <w:numPr>
          <w:ilvl w:val="0"/>
          <w:numId w:val="0"/>
        </w:numPr>
        <w:ind w:left="431"/>
        <w:rPr>
          <w:rFonts w:ascii="仿宋" w:eastAsia="仿宋"/>
          <w:b w:val="0"/>
          <w:color w:val="auto"/>
          <w:highlight w:val="none"/>
          <w:lang w:val="en-US"/>
        </w:rPr>
      </w:pPr>
      <w:r>
        <w:rPr>
          <w:rFonts w:hint="eastAsia" w:ascii="仿宋" w:eastAsia="仿宋"/>
          <w:b w:val="0"/>
          <w:color w:val="auto"/>
          <w:spacing w:val="-6"/>
          <w:sz w:val="24"/>
          <w:szCs w:val="24"/>
          <w:highlight w:val="none"/>
        </w:rPr>
        <w:t>允许分包部分：无</w:t>
      </w:r>
    </w:p>
    <w:p>
      <w:pPr>
        <w:spacing w:line="360" w:lineRule="auto"/>
        <w:ind w:firstLine="458" w:firstLineChars="200"/>
        <w:outlineLvl w:val="2"/>
        <w:rPr>
          <w:rFonts w:ascii="仿宋" w:hAnsi="仿宋" w:eastAsia="仿宋"/>
          <w:b/>
          <w:color w:val="auto"/>
          <w:spacing w:val="-6"/>
          <w:sz w:val="24"/>
          <w:highlight w:val="none"/>
        </w:rPr>
      </w:pPr>
      <w:r>
        <w:rPr>
          <w:rFonts w:hint="eastAsia" w:ascii="仿宋" w:hAnsi="仿宋" w:eastAsia="仿宋"/>
          <w:b/>
          <w:color w:val="auto"/>
          <w:spacing w:val="-6"/>
          <w:sz w:val="24"/>
          <w:highlight w:val="none"/>
        </w:rPr>
        <w:t>第六条：付款方式</w:t>
      </w:r>
    </w:p>
    <w:p>
      <w:pPr>
        <w:keepNext w:val="0"/>
        <w:keepLines w:val="0"/>
        <w:pageBreakBefore w:val="0"/>
        <w:widowControl/>
        <w:kinsoku/>
        <w:wordWrap/>
        <w:topLinePunct w:val="0"/>
        <w:autoSpaceDE w:val="0"/>
        <w:autoSpaceDN w:val="0"/>
        <w:bidi w:val="0"/>
        <w:adjustRightInd w:val="0"/>
        <w:snapToGrid w:val="0"/>
        <w:spacing w:line="360" w:lineRule="auto"/>
        <w:ind w:firstLine="482" w:firstLineChars="200"/>
        <w:textAlignment w:val="bottom"/>
        <w:rPr>
          <w:rFonts w:ascii="Calibri" w:hAnsi="Calibri" w:eastAsia="仿宋" w:cs="Arial"/>
          <w:color w:val="auto"/>
          <w:sz w:val="24"/>
          <w:highlight w:val="none"/>
        </w:rPr>
      </w:pPr>
      <w:r>
        <w:rPr>
          <w:rFonts w:hint="eastAsia" w:ascii="仿宋" w:hAnsi="仿宋" w:eastAsia="仿宋" w:cs="Arial"/>
          <w:b/>
          <w:bCs/>
          <w:color w:val="auto"/>
          <w:sz w:val="24"/>
          <w:highlight w:val="none"/>
        </w:rPr>
        <w:t>第一笔付款为预付款：</w:t>
      </w:r>
      <w:r>
        <w:rPr>
          <w:rFonts w:hint="eastAsia" w:ascii="仿宋" w:hAnsi="仿宋" w:eastAsia="仿宋" w:cs="Arial"/>
          <w:color w:val="auto"/>
          <w:sz w:val="24"/>
          <w:highlight w:val="none"/>
        </w:rPr>
        <w:t>合同签订后，</w:t>
      </w:r>
      <w:r>
        <w:rPr>
          <w:rFonts w:hint="eastAsia" w:ascii="仿宋" w:hAnsi="仿宋" w:eastAsia="仿宋" w:cs="Arial"/>
          <w:color w:val="auto"/>
          <w:sz w:val="24"/>
          <w:highlight w:val="none"/>
          <w:lang w:val="en-US" w:eastAsia="zh-CN"/>
        </w:rPr>
        <w:t>甲方</w:t>
      </w:r>
      <w:r>
        <w:rPr>
          <w:rFonts w:hint="eastAsia" w:ascii="仿宋" w:hAnsi="仿宋" w:eastAsia="仿宋" w:cs="Arial"/>
          <w:color w:val="auto"/>
          <w:sz w:val="24"/>
          <w:highlight w:val="none"/>
        </w:rPr>
        <w:t>向</w:t>
      </w:r>
      <w:r>
        <w:rPr>
          <w:rFonts w:hint="eastAsia" w:ascii="仿宋" w:hAnsi="仿宋" w:eastAsia="仿宋" w:cs="Arial"/>
          <w:color w:val="auto"/>
          <w:sz w:val="24"/>
          <w:highlight w:val="none"/>
          <w:lang w:val="en-US" w:eastAsia="zh-CN"/>
        </w:rPr>
        <w:t>乙方</w:t>
      </w:r>
      <w:r>
        <w:rPr>
          <w:rFonts w:hint="eastAsia" w:ascii="仿宋" w:hAnsi="仿宋" w:eastAsia="仿宋" w:cs="Arial"/>
          <w:color w:val="auto"/>
          <w:sz w:val="24"/>
          <w:highlight w:val="none"/>
        </w:rPr>
        <w:t>支付合同金额的40%为预付款。</w:t>
      </w:r>
    </w:p>
    <w:p>
      <w:pPr>
        <w:spacing w:line="360" w:lineRule="auto"/>
        <w:ind w:firstLine="482" w:firstLineChars="200"/>
        <w:rPr>
          <w:rFonts w:ascii="Calibri" w:hAnsi="Calibri" w:eastAsia="仿宋" w:cs="Arial"/>
          <w:color w:val="auto"/>
          <w:sz w:val="24"/>
          <w:highlight w:val="none"/>
        </w:rPr>
      </w:pPr>
      <w:r>
        <w:rPr>
          <w:rFonts w:hint="eastAsia" w:ascii="仿宋" w:hAnsi="仿宋" w:eastAsia="仿宋" w:cs="Arial"/>
          <w:b/>
          <w:bCs/>
          <w:color w:val="auto"/>
          <w:sz w:val="24"/>
          <w:highlight w:val="none"/>
        </w:rPr>
        <w:t>第二笔付款为验收付款：</w:t>
      </w:r>
      <w:r>
        <w:rPr>
          <w:rFonts w:hint="eastAsia" w:ascii="仿宋" w:hAnsi="仿宋" w:eastAsia="仿宋" w:cs="Arial"/>
          <w:color w:val="auto"/>
          <w:sz w:val="24"/>
          <w:highlight w:val="none"/>
        </w:rPr>
        <w:t>交付验收后，</w:t>
      </w:r>
      <w:r>
        <w:rPr>
          <w:rFonts w:hint="eastAsia" w:ascii="仿宋" w:hAnsi="仿宋" w:eastAsia="仿宋" w:cs="Arial"/>
          <w:color w:val="auto"/>
          <w:sz w:val="24"/>
          <w:highlight w:val="none"/>
          <w:lang w:val="en-US" w:eastAsia="zh-CN"/>
        </w:rPr>
        <w:t>甲方</w:t>
      </w:r>
      <w:r>
        <w:rPr>
          <w:rFonts w:hint="eastAsia" w:ascii="仿宋" w:hAnsi="仿宋" w:eastAsia="仿宋" w:cs="Arial"/>
          <w:color w:val="auto"/>
          <w:sz w:val="24"/>
          <w:highlight w:val="none"/>
        </w:rPr>
        <w:t>向</w:t>
      </w:r>
      <w:r>
        <w:rPr>
          <w:rFonts w:hint="eastAsia" w:ascii="仿宋" w:hAnsi="仿宋" w:eastAsia="仿宋" w:cs="Arial"/>
          <w:color w:val="auto"/>
          <w:sz w:val="24"/>
          <w:highlight w:val="none"/>
          <w:lang w:val="en-US" w:eastAsia="zh-CN"/>
        </w:rPr>
        <w:t>乙方</w:t>
      </w:r>
      <w:r>
        <w:rPr>
          <w:rFonts w:hint="eastAsia" w:ascii="仿宋" w:hAnsi="仿宋" w:eastAsia="仿宋" w:cs="Arial"/>
          <w:color w:val="auto"/>
          <w:sz w:val="24"/>
          <w:highlight w:val="none"/>
        </w:rPr>
        <w:t>支付合同金额剩余全部款项。</w:t>
      </w:r>
    </w:p>
    <w:p>
      <w:pPr>
        <w:spacing w:line="360" w:lineRule="auto"/>
        <w:ind w:firstLine="458" w:firstLineChars="200"/>
        <w:rPr>
          <w:rFonts w:ascii="仿宋" w:hAnsi="仿宋" w:eastAsia="仿宋" w:cs="仿宋"/>
          <w:color w:val="auto"/>
          <w:sz w:val="24"/>
          <w:highlight w:val="none"/>
        </w:rPr>
      </w:pPr>
      <w:r>
        <w:rPr>
          <w:rFonts w:ascii="仿宋" w:hAnsi="仿宋" w:eastAsia="仿宋"/>
          <w:b/>
          <w:bCs/>
          <w:color w:val="auto"/>
          <w:spacing w:val="-6"/>
          <w:sz w:val="24"/>
          <w:highlight w:val="none"/>
        </w:rPr>
        <w:t>2</w:t>
      </w:r>
      <w:r>
        <w:rPr>
          <w:rFonts w:hint="eastAsia" w:ascii="仿宋" w:hAnsi="仿宋" w:eastAsia="仿宋"/>
          <w:b/>
          <w:bCs/>
          <w:color w:val="auto"/>
          <w:spacing w:val="-6"/>
          <w:sz w:val="24"/>
          <w:highlight w:val="none"/>
        </w:rPr>
        <w:t>、甲方付款前，乙方须提供正规合法的等额发票，否则甲方有权拒绝付款，且不因此承担任何违约责任。</w:t>
      </w:r>
    </w:p>
    <w:p>
      <w:pPr>
        <w:spacing w:line="360" w:lineRule="auto"/>
        <w:ind w:firstLine="458" w:firstLineChars="200"/>
        <w:rPr>
          <w:rFonts w:ascii="仿宋" w:hAnsi="仿宋" w:eastAsia="仿宋" w:cs="仿宋"/>
          <w:color w:val="auto"/>
          <w:sz w:val="24"/>
          <w:highlight w:val="none"/>
        </w:rPr>
      </w:pPr>
      <w:r>
        <w:rPr>
          <w:rFonts w:ascii="仿宋" w:hAnsi="仿宋" w:eastAsia="仿宋"/>
          <w:b/>
          <w:bCs/>
          <w:color w:val="auto"/>
          <w:spacing w:val="-6"/>
          <w:sz w:val="24"/>
          <w:highlight w:val="none"/>
        </w:rPr>
        <w:t>3</w:t>
      </w:r>
      <w:r>
        <w:rPr>
          <w:rFonts w:hint="eastAsia" w:ascii="仿宋" w:hAnsi="仿宋" w:eastAsia="仿宋"/>
          <w:b/>
          <w:bCs/>
          <w:color w:val="auto"/>
          <w:spacing w:val="-6"/>
          <w:sz w:val="24"/>
          <w:highlight w:val="none"/>
        </w:rPr>
        <w:t>、</w:t>
      </w:r>
      <w:r>
        <w:rPr>
          <w:rFonts w:hint="eastAsia" w:ascii="仿宋" w:hAnsi="仿宋" w:eastAsia="仿宋"/>
          <w:bCs/>
          <w:color w:val="auto"/>
          <w:sz w:val="24"/>
          <w:highlight w:val="none"/>
        </w:rPr>
        <w:t>付款方式为【银行转账】，乙方银行账户信息：</w:t>
      </w:r>
    </w:p>
    <w:p>
      <w:pPr>
        <w:spacing w:line="360" w:lineRule="auto"/>
        <w:ind w:left="480"/>
        <w:rPr>
          <w:rFonts w:ascii="仿宋" w:hAnsi="仿宋" w:eastAsia="仿宋" w:cs="仿宋"/>
          <w:bCs/>
          <w:color w:val="auto"/>
          <w:sz w:val="24"/>
          <w:highlight w:val="none"/>
        </w:rPr>
      </w:pPr>
      <w:r>
        <w:rPr>
          <w:rFonts w:hint="eastAsia" w:ascii="仿宋" w:hAnsi="仿宋" w:eastAsia="仿宋"/>
          <w:bCs/>
          <w:color w:val="auto"/>
          <w:sz w:val="24"/>
          <w:highlight w:val="none"/>
        </w:rPr>
        <w:t>开户银行：</w:t>
      </w:r>
    </w:p>
    <w:p>
      <w:pPr>
        <w:spacing w:line="360" w:lineRule="auto"/>
        <w:ind w:left="480"/>
        <w:rPr>
          <w:rFonts w:ascii="仿宋" w:hAnsi="仿宋" w:eastAsia="仿宋" w:cs="仿宋"/>
          <w:bCs/>
          <w:color w:val="auto"/>
          <w:sz w:val="24"/>
          <w:highlight w:val="none"/>
        </w:rPr>
      </w:pPr>
      <w:r>
        <w:rPr>
          <w:rFonts w:hint="eastAsia" w:ascii="仿宋" w:hAnsi="仿宋" w:eastAsia="仿宋"/>
          <w:bCs/>
          <w:color w:val="auto"/>
          <w:sz w:val="24"/>
          <w:highlight w:val="none"/>
        </w:rPr>
        <w:t>开 户 名：</w:t>
      </w:r>
    </w:p>
    <w:p>
      <w:pPr>
        <w:spacing w:line="360" w:lineRule="auto"/>
        <w:ind w:left="480"/>
        <w:rPr>
          <w:rFonts w:ascii="仿宋" w:hAnsi="仿宋" w:eastAsia="仿宋" w:cs="仿宋"/>
          <w:bCs/>
          <w:color w:val="auto"/>
          <w:sz w:val="24"/>
          <w:highlight w:val="none"/>
        </w:rPr>
      </w:pPr>
      <w:r>
        <w:rPr>
          <w:rFonts w:hint="eastAsia" w:ascii="仿宋" w:hAnsi="仿宋" w:eastAsia="仿宋"/>
          <w:bCs/>
          <w:color w:val="auto"/>
          <w:sz w:val="24"/>
          <w:highlight w:val="none"/>
        </w:rPr>
        <w:t>账    号：</w:t>
      </w:r>
    </w:p>
    <w:p>
      <w:pPr>
        <w:spacing w:line="360" w:lineRule="auto"/>
        <w:ind w:firstLine="458" w:firstLineChars="200"/>
        <w:outlineLvl w:val="2"/>
        <w:rPr>
          <w:rFonts w:ascii="仿宋" w:hAnsi="仿宋" w:eastAsia="仿宋"/>
          <w:b/>
          <w:color w:val="auto"/>
          <w:spacing w:val="-6"/>
          <w:sz w:val="24"/>
          <w:highlight w:val="none"/>
        </w:rPr>
      </w:pPr>
      <w:r>
        <w:rPr>
          <w:rFonts w:hint="eastAsia" w:ascii="仿宋" w:hAnsi="仿宋" w:eastAsia="仿宋"/>
          <w:b/>
          <w:color w:val="auto"/>
          <w:spacing w:val="-6"/>
          <w:sz w:val="24"/>
          <w:highlight w:val="none"/>
        </w:rPr>
        <w:t>第七条：违约责任</w:t>
      </w:r>
    </w:p>
    <w:p>
      <w:pPr>
        <w:spacing w:line="360" w:lineRule="auto"/>
        <w:ind w:firstLine="456" w:firstLineChars="200"/>
        <w:rPr>
          <w:rFonts w:ascii="仿宋" w:hAnsi="仿宋" w:eastAsia="仿宋"/>
          <w:color w:val="auto"/>
          <w:spacing w:val="-6"/>
          <w:sz w:val="24"/>
          <w:highlight w:val="none"/>
        </w:rPr>
      </w:pPr>
      <w:r>
        <w:rPr>
          <w:rFonts w:hint="eastAsia" w:ascii="仿宋" w:hAnsi="仿宋" w:eastAsia="仿宋" w:cs="Calibri"/>
          <w:color w:val="auto"/>
          <w:spacing w:val="-6"/>
          <w:sz w:val="24"/>
          <w:highlight w:val="none"/>
        </w:rPr>
        <w:t>1</w:t>
      </w:r>
      <w:r>
        <w:rPr>
          <w:rFonts w:hint="eastAsia" w:ascii="仿宋" w:hAnsi="仿宋" w:eastAsia="仿宋"/>
          <w:color w:val="auto"/>
          <w:spacing w:val="-6"/>
          <w:sz w:val="24"/>
          <w:highlight w:val="none"/>
        </w:rPr>
        <w:t>、由于乙方原因</w:t>
      </w:r>
      <w:r>
        <w:rPr>
          <w:rFonts w:hint="eastAsia" w:ascii="仿宋" w:hAnsi="仿宋" w:eastAsia="仿宋" w:cs="Calibri"/>
          <w:color w:val="auto"/>
          <w:spacing w:val="-6"/>
          <w:sz w:val="24"/>
          <w:highlight w:val="none"/>
        </w:rPr>
        <w:t>(</w:t>
      </w:r>
      <w:r>
        <w:rPr>
          <w:rFonts w:hint="eastAsia" w:ascii="仿宋" w:hAnsi="仿宋" w:eastAsia="仿宋"/>
          <w:color w:val="auto"/>
          <w:spacing w:val="-6"/>
          <w:sz w:val="24"/>
          <w:highlight w:val="none"/>
        </w:rPr>
        <w:t>除不可抗力外</w:t>
      </w:r>
      <w:r>
        <w:rPr>
          <w:rFonts w:hint="eastAsia" w:ascii="仿宋" w:hAnsi="仿宋" w:eastAsia="仿宋" w:cs="Calibri"/>
          <w:color w:val="auto"/>
          <w:spacing w:val="-6"/>
          <w:sz w:val="24"/>
          <w:highlight w:val="none"/>
        </w:rPr>
        <w:t>)</w:t>
      </w:r>
      <w:r>
        <w:rPr>
          <w:rFonts w:hint="eastAsia" w:ascii="仿宋" w:hAnsi="仿宋" w:eastAsia="仿宋"/>
          <w:color w:val="auto"/>
          <w:spacing w:val="-6"/>
          <w:sz w:val="24"/>
          <w:highlight w:val="none"/>
        </w:rPr>
        <w:t>不能按期交付合同标的，对超出交付期的每一天，乙方应按合同总价款的千分之三承担违约金，在合同款支付时一次性扣除。若超出交付期十天</w:t>
      </w:r>
      <w:r>
        <w:rPr>
          <w:rFonts w:hint="eastAsia" w:ascii="仿宋" w:hAnsi="仿宋" w:eastAsia="仿宋" w:cs="Calibri"/>
          <w:color w:val="auto"/>
          <w:spacing w:val="-6"/>
          <w:sz w:val="24"/>
          <w:highlight w:val="none"/>
        </w:rPr>
        <w:t>(</w:t>
      </w:r>
      <w:r>
        <w:rPr>
          <w:rFonts w:hint="eastAsia" w:ascii="仿宋" w:hAnsi="仿宋" w:eastAsia="仿宋"/>
          <w:color w:val="auto"/>
          <w:spacing w:val="-6"/>
          <w:sz w:val="24"/>
          <w:highlight w:val="none"/>
        </w:rPr>
        <w:t>含十天</w:t>
      </w:r>
      <w:r>
        <w:rPr>
          <w:rFonts w:hint="eastAsia" w:ascii="仿宋" w:hAnsi="仿宋" w:eastAsia="仿宋" w:cs="Calibri"/>
          <w:color w:val="auto"/>
          <w:spacing w:val="-6"/>
          <w:sz w:val="24"/>
          <w:highlight w:val="none"/>
        </w:rPr>
        <w:t>)</w:t>
      </w:r>
      <w:r>
        <w:rPr>
          <w:rFonts w:hint="eastAsia" w:ascii="仿宋" w:hAnsi="仿宋" w:eastAsia="仿宋"/>
          <w:color w:val="auto"/>
          <w:spacing w:val="-6"/>
          <w:sz w:val="24"/>
          <w:highlight w:val="none"/>
        </w:rPr>
        <w:t>以上的，甲方有权终止合同，履约保证金（如有）不予退还。</w:t>
      </w:r>
    </w:p>
    <w:p>
      <w:pPr>
        <w:spacing w:line="360" w:lineRule="auto"/>
        <w:ind w:firstLine="456" w:firstLineChars="200"/>
        <w:rPr>
          <w:rFonts w:ascii="仿宋" w:hAnsi="仿宋" w:eastAsia="仿宋"/>
          <w:color w:val="auto"/>
          <w:spacing w:val="-6"/>
          <w:sz w:val="24"/>
          <w:highlight w:val="none"/>
        </w:rPr>
      </w:pPr>
      <w:r>
        <w:rPr>
          <w:rFonts w:hint="eastAsia" w:ascii="仿宋" w:hAnsi="仿宋" w:eastAsia="仿宋" w:cs="Calibri"/>
          <w:color w:val="auto"/>
          <w:spacing w:val="-6"/>
          <w:sz w:val="24"/>
          <w:highlight w:val="none"/>
        </w:rPr>
        <w:t>2</w:t>
      </w:r>
      <w:r>
        <w:rPr>
          <w:rFonts w:hint="eastAsia" w:ascii="仿宋" w:hAnsi="仿宋" w:eastAsia="仿宋"/>
          <w:color w:val="auto"/>
          <w:spacing w:val="-6"/>
          <w:sz w:val="24"/>
          <w:highlight w:val="none"/>
        </w:rPr>
        <w:t>、乙方按合同要求将成果送达甲方后，经验收合格后，甲方超出付款期支付项目款的，每逾一天，甲方应向乙方支付预算金额的千分之三的滞纳金。甲方无正当理由拒收合同标的、拒付项目款的，应向乙方偿付合同总价千分之五的违约金。</w:t>
      </w:r>
    </w:p>
    <w:p>
      <w:pPr>
        <w:spacing w:line="360" w:lineRule="auto"/>
        <w:ind w:firstLine="456" w:firstLineChars="200"/>
        <w:rPr>
          <w:rFonts w:ascii="仿宋" w:hAnsi="仿宋" w:eastAsia="仿宋"/>
          <w:color w:val="auto"/>
          <w:spacing w:val="-6"/>
          <w:sz w:val="24"/>
          <w:highlight w:val="none"/>
        </w:rPr>
      </w:pPr>
      <w:r>
        <w:rPr>
          <w:rFonts w:hint="eastAsia" w:ascii="仿宋" w:hAnsi="仿宋" w:eastAsia="仿宋" w:cs="Calibri"/>
          <w:color w:val="auto"/>
          <w:spacing w:val="-6"/>
          <w:sz w:val="24"/>
          <w:highlight w:val="none"/>
        </w:rPr>
        <w:t>3</w:t>
      </w:r>
      <w:r>
        <w:rPr>
          <w:rFonts w:hint="eastAsia" w:ascii="仿宋" w:hAnsi="仿宋" w:eastAsia="仿宋"/>
          <w:color w:val="auto"/>
          <w:spacing w:val="-6"/>
          <w:sz w:val="24"/>
          <w:highlight w:val="none"/>
        </w:rPr>
        <w:t>、由于乙方原因导致甲方有重大损失的，责任由乙方承担，并依法追究其经济责任和法律责任。</w:t>
      </w:r>
    </w:p>
    <w:p>
      <w:pPr>
        <w:spacing w:line="360" w:lineRule="auto"/>
        <w:ind w:firstLine="458" w:firstLineChars="200"/>
        <w:outlineLvl w:val="2"/>
        <w:rPr>
          <w:rFonts w:ascii="仿宋" w:hAnsi="仿宋" w:eastAsia="仿宋" w:cs="宋体"/>
          <w:b/>
          <w:color w:val="auto"/>
          <w:spacing w:val="-6"/>
          <w:sz w:val="24"/>
          <w:highlight w:val="none"/>
        </w:rPr>
      </w:pPr>
      <w:r>
        <w:rPr>
          <w:rFonts w:hint="eastAsia" w:ascii="仿宋" w:hAnsi="仿宋" w:eastAsia="仿宋" w:cs="宋体"/>
          <w:b/>
          <w:color w:val="auto"/>
          <w:spacing w:val="-6"/>
          <w:sz w:val="24"/>
          <w:highlight w:val="none"/>
        </w:rPr>
        <w:t>第八条：</w:t>
      </w:r>
      <w:r>
        <w:rPr>
          <w:rFonts w:hint="eastAsia" w:ascii="仿宋" w:hAnsi="仿宋" w:eastAsia="仿宋"/>
          <w:b/>
          <w:color w:val="auto"/>
          <w:spacing w:val="-6"/>
          <w:sz w:val="24"/>
          <w:highlight w:val="none"/>
        </w:rPr>
        <w:t>不可抗力</w:t>
      </w:r>
      <w:r>
        <w:rPr>
          <w:rFonts w:hint="eastAsia" w:ascii="仿宋" w:hAnsi="仿宋" w:eastAsia="仿宋" w:cs="宋体"/>
          <w:b/>
          <w:color w:val="auto"/>
          <w:spacing w:val="-6"/>
          <w:sz w:val="24"/>
          <w:highlight w:val="none"/>
        </w:rPr>
        <w:t>事件处理</w:t>
      </w:r>
    </w:p>
    <w:p>
      <w:pPr>
        <w:spacing w:line="360" w:lineRule="auto"/>
        <w:ind w:firstLine="456" w:firstLineChars="200"/>
        <w:rPr>
          <w:rFonts w:ascii="仿宋" w:hAnsi="仿宋" w:eastAsia="仿宋"/>
          <w:color w:val="auto"/>
          <w:spacing w:val="-6"/>
          <w:sz w:val="24"/>
          <w:highlight w:val="none"/>
        </w:rPr>
      </w:pPr>
      <w:r>
        <w:rPr>
          <w:rFonts w:hint="eastAsia" w:ascii="仿宋" w:hAnsi="仿宋" w:eastAsia="仿宋" w:cs="Calibri"/>
          <w:color w:val="auto"/>
          <w:spacing w:val="-6"/>
          <w:sz w:val="24"/>
          <w:highlight w:val="none"/>
        </w:rPr>
        <w:t>1</w:t>
      </w:r>
      <w:r>
        <w:rPr>
          <w:rFonts w:hint="eastAsia" w:ascii="仿宋" w:hAnsi="仿宋" w:eastAsia="仿宋"/>
          <w:color w:val="auto"/>
          <w:spacing w:val="-6"/>
          <w:sz w:val="24"/>
          <w:highlight w:val="none"/>
        </w:rPr>
        <w:t>、在合同有效期内，任何一方因不可抗力事件导致不能履行合同，则合同履行期可延长，其延长期与不可抗力影响期相同。</w:t>
      </w:r>
    </w:p>
    <w:p>
      <w:pPr>
        <w:spacing w:line="360" w:lineRule="auto"/>
        <w:ind w:firstLine="456" w:firstLineChars="200"/>
        <w:rPr>
          <w:rFonts w:ascii="仿宋" w:hAnsi="仿宋" w:eastAsia="仿宋"/>
          <w:color w:val="auto"/>
          <w:spacing w:val="-6"/>
          <w:sz w:val="24"/>
          <w:highlight w:val="none"/>
        </w:rPr>
      </w:pPr>
      <w:r>
        <w:rPr>
          <w:rFonts w:hint="eastAsia" w:ascii="仿宋" w:hAnsi="仿宋" w:eastAsia="仿宋" w:cs="Calibri"/>
          <w:color w:val="auto"/>
          <w:spacing w:val="-6"/>
          <w:sz w:val="24"/>
          <w:highlight w:val="none"/>
        </w:rPr>
        <w:t>2</w:t>
      </w:r>
      <w:r>
        <w:rPr>
          <w:rFonts w:hint="eastAsia" w:ascii="仿宋" w:hAnsi="仿宋" w:eastAsia="仿宋"/>
          <w:color w:val="auto"/>
          <w:spacing w:val="-6"/>
          <w:sz w:val="24"/>
          <w:highlight w:val="none"/>
        </w:rPr>
        <w:t>、不可抗力事件发生后，应立即通知对方，并寄送有关权威机构出具的证明。</w:t>
      </w:r>
    </w:p>
    <w:p>
      <w:pPr>
        <w:spacing w:line="360" w:lineRule="auto"/>
        <w:ind w:firstLine="456" w:firstLineChars="200"/>
        <w:rPr>
          <w:rFonts w:ascii="仿宋" w:hAnsi="仿宋" w:eastAsia="仿宋"/>
          <w:color w:val="auto"/>
          <w:spacing w:val="-6"/>
          <w:sz w:val="24"/>
          <w:highlight w:val="none"/>
        </w:rPr>
      </w:pPr>
      <w:r>
        <w:rPr>
          <w:rFonts w:hint="eastAsia" w:ascii="仿宋" w:hAnsi="仿宋" w:eastAsia="仿宋" w:cs="Calibri"/>
          <w:color w:val="auto"/>
          <w:spacing w:val="-6"/>
          <w:sz w:val="24"/>
          <w:highlight w:val="none"/>
        </w:rPr>
        <w:t>3</w:t>
      </w:r>
      <w:r>
        <w:rPr>
          <w:rFonts w:hint="eastAsia" w:ascii="仿宋" w:hAnsi="仿宋" w:eastAsia="仿宋"/>
          <w:color w:val="auto"/>
          <w:spacing w:val="-6"/>
          <w:sz w:val="24"/>
          <w:highlight w:val="none"/>
        </w:rPr>
        <w:t>、不可抗力事件延续</w:t>
      </w:r>
      <w:r>
        <w:rPr>
          <w:rFonts w:hint="eastAsia" w:ascii="仿宋" w:hAnsi="仿宋" w:eastAsia="仿宋" w:cs="Calibri"/>
          <w:color w:val="auto"/>
          <w:spacing w:val="-6"/>
          <w:sz w:val="24"/>
          <w:highlight w:val="none"/>
        </w:rPr>
        <w:t>120</w:t>
      </w:r>
      <w:r>
        <w:rPr>
          <w:rFonts w:hint="eastAsia" w:ascii="仿宋" w:hAnsi="仿宋" w:eastAsia="仿宋"/>
          <w:color w:val="auto"/>
          <w:spacing w:val="-6"/>
          <w:sz w:val="24"/>
          <w:highlight w:val="none"/>
        </w:rPr>
        <w:t>天以上，双方应通过友好协商，确定是否继续履行合同。</w:t>
      </w:r>
    </w:p>
    <w:p>
      <w:pPr>
        <w:spacing w:line="360" w:lineRule="auto"/>
        <w:ind w:firstLine="458" w:firstLineChars="200"/>
        <w:outlineLvl w:val="2"/>
        <w:rPr>
          <w:rFonts w:ascii="仿宋" w:hAnsi="仿宋" w:eastAsia="仿宋" w:cs="宋体"/>
          <w:b/>
          <w:color w:val="auto"/>
          <w:spacing w:val="-6"/>
          <w:sz w:val="24"/>
          <w:highlight w:val="none"/>
        </w:rPr>
      </w:pPr>
      <w:r>
        <w:rPr>
          <w:rFonts w:hint="eastAsia" w:ascii="仿宋" w:hAnsi="仿宋" w:eastAsia="仿宋" w:cs="宋体"/>
          <w:b/>
          <w:color w:val="auto"/>
          <w:spacing w:val="-6"/>
          <w:sz w:val="24"/>
          <w:highlight w:val="none"/>
        </w:rPr>
        <w:t>第九条：争议解决</w:t>
      </w:r>
    </w:p>
    <w:p>
      <w:pPr>
        <w:spacing w:line="360" w:lineRule="auto"/>
        <w:ind w:firstLine="456" w:firstLineChars="200"/>
        <w:rPr>
          <w:rFonts w:ascii="仿宋" w:hAnsi="仿宋" w:eastAsia="仿宋"/>
          <w:color w:val="auto"/>
          <w:spacing w:val="-6"/>
          <w:sz w:val="24"/>
          <w:highlight w:val="none"/>
        </w:rPr>
      </w:pPr>
      <w:r>
        <w:rPr>
          <w:rFonts w:hint="eastAsia" w:ascii="仿宋" w:hAnsi="仿宋" w:eastAsia="仿宋"/>
          <w:color w:val="auto"/>
          <w:spacing w:val="-6"/>
          <w:sz w:val="24"/>
          <w:highlight w:val="none"/>
        </w:rPr>
        <w:t>本合同未尽事宜由双方协商解决，并签订必要的书面协议。如协商不成，双方同意将本合同引起的争议提交杭州仲裁委员会仲裁解决，仲裁为终局。</w:t>
      </w:r>
    </w:p>
    <w:p>
      <w:pPr>
        <w:spacing w:line="360" w:lineRule="auto"/>
        <w:ind w:firstLine="458" w:firstLineChars="200"/>
        <w:outlineLvl w:val="2"/>
        <w:rPr>
          <w:rFonts w:ascii="仿宋" w:hAnsi="仿宋" w:eastAsia="仿宋" w:cs="宋体"/>
          <w:b/>
          <w:color w:val="auto"/>
          <w:spacing w:val="-6"/>
          <w:sz w:val="24"/>
          <w:highlight w:val="none"/>
        </w:rPr>
      </w:pPr>
      <w:r>
        <w:rPr>
          <w:rFonts w:hint="eastAsia" w:ascii="仿宋" w:hAnsi="仿宋" w:eastAsia="仿宋" w:cs="宋体"/>
          <w:b/>
          <w:color w:val="auto"/>
          <w:spacing w:val="-6"/>
          <w:sz w:val="24"/>
          <w:highlight w:val="none"/>
        </w:rPr>
        <w:t>第十条：</w:t>
      </w:r>
      <w:r>
        <w:rPr>
          <w:rFonts w:hint="eastAsia" w:ascii="仿宋" w:hAnsi="仿宋" w:eastAsia="仿宋"/>
          <w:b/>
          <w:color w:val="auto"/>
          <w:spacing w:val="-6"/>
          <w:sz w:val="24"/>
          <w:highlight w:val="none"/>
        </w:rPr>
        <w:t>合同</w:t>
      </w:r>
      <w:r>
        <w:rPr>
          <w:rFonts w:hint="eastAsia" w:ascii="仿宋" w:hAnsi="仿宋" w:eastAsia="仿宋" w:cs="宋体"/>
          <w:b/>
          <w:color w:val="auto"/>
          <w:spacing w:val="-6"/>
          <w:sz w:val="24"/>
          <w:highlight w:val="none"/>
        </w:rPr>
        <w:t>生效</w:t>
      </w:r>
    </w:p>
    <w:p>
      <w:pPr>
        <w:spacing w:line="360" w:lineRule="auto"/>
        <w:ind w:firstLine="456" w:firstLineChars="200"/>
        <w:rPr>
          <w:rFonts w:ascii="仿宋" w:hAnsi="仿宋" w:eastAsia="仿宋"/>
          <w:color w:val="auto"/>
          <w:spacing w:val="-6"/>
          <w:sz w:val="24"/>
          <w:highlight w:val="none"/>
        </w:rPr>
      </w:pPr>
      <w:r>
        <w:rPr>
          <w:rFonts w:hint="eastAsia" w:ascii="仿宋" w:hAnsi="仿宋" w:eastAsia="仿宋" w:cs="Calibri"/>
          <w:color w:val="auto"/>
          <w:spacing w:val="-6"/>
          <w:sz w:val="24"/>
          <w:highlight w:val="none"/>
        </w:rPr>
        <w:t>1</w:t>
      </w:r>
      <w:r>
        <w:rPr>
          <w:rFonts w:hint="eastAsia" w:ascii="仿宋" w:hAnsi="仿宋" w:eastAsia="仿宋"/>
          <w:color w:val="auto"/>
          <w:spacing w:val="-6"/>
          <w:sz w:val="24"/>
          <w:highlight w:val="none"/>
        </w:rPr>
        <w:t>、合同经甲方、乙方法定代表人或授权代表签字并加盖双方单位公章后生效。</w:t>
      </w:r>
    </w:p>
    <w:p>
      <w:pPr>
        <w:spacing w:line="360" w:lineRule="auto"/>
        <w:ind w:firstLine="456" w:firstLineChars="200"/>
        <w:rPr>
          <w:rFonts w:ascii="仿宋" w:hAnsi="仿宋" w:eastAsia="仿宋"/>
          <w:color w:val="auto"/>
          <w:spacing w:val="-6"/>
          <w:sz w:val="24"/>
          <w:highlight w:val="none"/>
        </w:rPr>
      </w:pPr>
      <w:r>
        <w:rPr>
          <w:rFonts w:hint="eastAsia" w:ascii="仿宋" w:hAnsi="仿宋" w:eastAsia="仿宋" w:cs="Calibri"/>
          <w:color w:val="auto"/>
          <w:spacing w:val="-6"/>
          <w:sz w:val="24"/>
          <w:highlight w:val="none"/>
        </w:rPr>
        <w:t>2</w:t>
      </w:r>
      <w:r>
        <w:rPr>
          <w:rFonts w:hint="eastAsia" w:ascii="仿宋" w:hAnsi="仿宋" w:eastAsia="仿宋"/>
          <w:color w:val="auto"/>
          <w:spacing w:val="-6"/>
          <w:sz w:val="24"/>
          <w:highlight w:val="none"/>
        </w:rPr>
        <w:t>、合同执行中涉及采购资金和采购内容修改或补充的，须经财政部门审批，并签书面补充协议报政府采购监督管理部门备案，方可作为主合同不可分割的一部分。</w:t>
      </w:r>
    </w:p>
    <w:p>
      <w:pPr>
        <w:spacing w:line="360" w:lineRule="auto"/>
        <w:ind w:firstLine="456" w:firstLineChars="200"/>
        <w:rPr>
          <w:rFonts w:ascii="仿宋" w:hAnsi="仿宋" w:eastAsia="仿宋"/>
          <w:color w:val="auto"/>
          <w:spacing w:val="-6"/>
          <w:sz w:val="24"/>
          <w:highlight w:val="none"/>
        </w:rPr>
      </w:pPr>
      <w:r>
        <w:rPr>
          <w:rFonts w:hint="eastAsia" w:ascii="仿宋" w:hAnsi="仿宋" w:eastAsia="仿宋" w:cs="Calibri"/>
          <w:color w:val="auto"/>
          <w:spacing w:val="-6"/>
          <w:sz w:val="24"/>
          <w:highlight w:val="none"/>
        </w:rPr>
        <w:t>3</w:t>
      </w:r>
      <w:r>
        <w:rPr>
          <w:rFonts w:hint="eastAsia" w:ascii="仿宋" w:hAnsi="仿宋" w:eastAsia="仿宋"/>
          <w:color w:val="auto"/>
          <w:spacing w:val="-6"/>
          <w:sz w:val="24"/>
          <w:highlight w:val="none"/>
        </w:rPr>
        <w:t>、本合同未尽事宜，遵照《中华人民共和国民法典》有关条文执行。</w:t>
      </w:r>
    </w:p>
    <w:p>
      <w:pPr>
        <w:snapToGrid w:val="0"/>
        <w:spacing w:line="360" w:lineRule="auto"/>
        <w:ind w:firstLine="456" w:firstLineChars="200"/>
        <w:rPr>
          <w:rFonts w:ascii="仿宋" w:hAnsi="仿宋" w:eastAsia="仿宋"/>
          <w:color w:val="auto"/>
          <w:spacing w:val="-6"/>
          <w:sz w:val="24"/>
          <w:highlight w:val="none"/>
        </w:rPr>
      </w:pPr>
      <w:r>
        <w:rPr>
          <w:rFonts w:hint="eastAsia" w:ascii="仿宋" w:hAnsi="仿宋" w:eastAsia="仿宋" w:cs="Calibri"/>
          <w:color w:val="auto"/>
          <w:spacing w:val="-6"/>
          <w:sz w:val="24"/>
          <w:highlight w:val="none"/>
        </w:rPr>
        <w:t>4</w:t>
      </w:r>
      <w:r>
        <w:rPr>
          <w:rFonts w:hint="eastAsia" w:ascii="仿宋" w:hAnsi="仿宋" w:eastAsia="仿宋"/>
          <w:color w:val="auto"/>
          <w:spacing w:val="-6"/>
          <w:sz w:val="24"/>
          <w:highlight w:val="none"/>
        </w:rPr>
        <w:t>、本合同一式</w:t>
      </w:r>
      <w:r>
        <w:rPr>
          <w:rFonts w:hint="eastAsia" w:ascii="仿宋" w:hAnsi="仿宋" w:eastAsia="仿宋"/>
          <w:color w:val="auto"/>
          <w:spacing w:val="-6"/>
          <w:sz w:val="24"/>
          <w:highlight w:val="none"/>
          <w:u w:val="single"/>
        </w:rPr>
        <w:t xml:space="preserve"> </w:t>
      </w:r>
      <w:r>
        <w:rPr>
          <w:rFonts w:ascii="仿宋" w:hAnsi="仿宋" w:eastAsia="仿宋"/>
          <w:color w:val="auto"/>
          <w:spacing w:val="-6"/>
          <w:sz w:val="24"/>
          <w:highlight w:val="none"/>
          <w:u w:val="single"/>
        </w:rPr>
        <w:t xml:space="preserve">  </w:t>
      </w:r>
      <w:r>
        <w:rPr>
          <w:rFonts w:hint="eastAsia" w:ascii="仿宋" w:hAnsi="仿宋" w:eastAsia="仿宋"/>
          <w:color w:val="auto"/>
          <w:spacing w:val="-6"/>
          <w:sz w:val="24"/>
          <w:highlight w:val="none"/>
        </w:rPr>
        <w:t>份，甲、乙双方各执</w:t>
      </w:r>
      <w:r>
        <w:rPr>
          <w:rFonts w:hint="eastAsia" w:ascii="仿宋" w:hAnsi="仿宋" w:eastAsia="仿宋"/>
          <w:color w:val="auto"/>
          <w:spacing w:val="-6"/>
          <w:sz w:val="24"/>
          <w:highlight w:val="none"/>
          <w:u w:val="single"/>
        </w:rPr>
        <w:t xml:space="preserve"> </w:t>
      </w:r>
      <w:r>
        <w:rPr>
          <w:rFonts w:ascii="仿宋" w:hAnsi="仿宋" w:eastAsia="仿宋"/>
          <w:color w:val="auto"/>
          <w:spacing w:val="-6"/>
          <w:sz w:val="24"/>
          <w:highlight w:val="none"/>
          <w:u w:val="single"/>
        </w:rPr>
        <w:t xml:space="preserve">  </w:t>
      </w:r>
      <w:r>
        <w:rPr>
          <w:rFonts w:hint="eastAsia" w:ascii="仿宋" w:hAnsi="仿宋" w:eastAsia="仿宋"/>
          <w:color w:val="auto"/>
          <w:spacing w:val="-6"/>
          <w:sz w:val="24"/>
          <w:highlight w:val="none"/>
        </w:rPr>
        <w:t>份，各份具有同等法律效力。</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（以下无正文）</w:t>
      </w:r>
    </w:p>
    <w:p>
      <w:pPr>
        <w:snapToGrid w:val="0"/>
        <w:spacing w:line="360" w:lineRule="auto"/>
        <w:ind w:firstLine="480" w:firstLineChars="200"/>
        <w:rPr>
          <w:rFonts w:hint="eastAsia" w:ascii="仿宋" w:hAnsi="仿宋" w:eastAsia="仿宋" w:cs="仿宋_GB2312"/>
          <w:color w:val="auto"/>
          <w:sz w:val="24"/>
          <w:highlight w:val="none"/>
        </w:rPr>
      </w:pPr>
    </w:p>
    <w:p>
      <w:pPr>
        <w:snapToGrid w:val="0"/>
        <w:spacing w:line="360" w:lineRule="auto"/>
        <w:ind w:firstLine="480" w:firstLineChars="200"/>
        <w:rPr>
          <w:rFonts w:ascii="仿宋" w:hAnsi="仿宋" w:eastAsia="仿宋"/>
          <w:color w:val="auto"/>
          <w:kern w:val="0"/>
          <w:sz w:val="24"/>
          <w:highlight w:val="none"/>
        </w:rPr>
      </w:pPr>
      <w:r>
        <w:rPr>
          <w:rFonts w:hint="eastAsia" w:ascii="仿宋" w:hAnsi="仿宋" w:eastAsia="仿宋" w:cs="仿宋_GB2312"/>
          <w:color w:val="auto"/>
          <w:sz w:val="24"/>
          <w:highlight w:val="none"/>
        </w:rPr>
        <w:t>（本页无正文，为本合同签署页）</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9"/>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47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ascii="仿宋" w:hAnsi="仿宋" w:eastAsia="仿宋"/>
                <w:color w:val="auto"/>
                <w:highlight w:val="none"/>
              </w:rPr>
              <w:br w:type="page"/>
            </w:r>
            <w:r>
              <w:rPr>
                <w:rFonts w:hint="eastAsia" w:ascii="仿宋" w:hAnsi="仿宋" w:eastAsia="仿宋" w:cs="宋体"/>
                <w:color w:val="auto"/>
                <w:spacing w:val="-6"/>
                <w:sz w:val="24"/>
                <w:highlight w:val="none"/>
              </w:rPr>
              <w:t>甲方（需方）：公章（或合同专用章）</w:t>
            </w:r>
          </w:p>
        </w:tc>
        <w:tc>
          <w:tcPr>
            <w:tcW w:w="453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乙方（供方）：公章（或合同专用章）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甲方法定代表人或受委托人（签字）：</w:t>
            </w:r>
          </w:p>
          <w:p>
            <w:pPr>
              <w:spacing w:after="120"/>
              <w:ind w:firstLine="240" w:firstLineChars="100"/>
              <w:rPr>
                <w:rFonts w:ascii="仿宋" w:hAnsi="仿宋" w:eastAsia="仿宋"/>
                <w:color w:val="auto"/>
                <w:sz w:val="24"/>
                <w:highlight w:val="none"/>
              </w:rPr>
            </w:pPr>
          </w:p>
        </w:tc>
        <w:tc>
          <w:tcPr>
            <w:tcW w:w="453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乙方法定代表人或受委托人（签字）：</w:t>
            </w:r>
          </w:p>
          <w:p>
            <w:pPr>
              <w:spacing w:line="288" w:lineRule="auto"/>
              <w:rPr>
                <w:rFonts w:ascii="仿宋" w:hAnsi="仿宋" w:eastAsia="仿宋"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地址：</w:t>
            </w:r>
          </w:p>
        </w:tc>
        <w:tc>
          <w:tcPr>
            <w:tcW w:w="453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邮编：</w:t>
            </w:r>
          </w:p>
        </w:tc>
        <w:tc>
          <w:tcPr>
            <w:tcW w:w="453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电话：</w:t>
            </w:r>
          </w:p>
        </w:tc>
        <w:tc>
          <w:tcPr>
            <w:tcW w:w="453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传真：</w:t>
            </w:r>
          </w:p>
        </w:tc>
        <w:tc>
          <w:tcPr>
            <w:tcW w:w="453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开户银行：</w:t>
            </w:r>
          </w:p>
        </w:tc>
        <w:tc>
          <w:tcPr>
            <w:tcW w:w="453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账号：</w:t>
            </w:r>
          </w:p>
        </w:tc>
        <w:tc>
          <w:tcPr>
            <w:tcW w:w="453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7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签字日期：</w:t>
            </w:r>
            <w:r>
              <w:rPr>
                <w:rFonts w:ascii="仿宋" w:hAnsi="仿宋" w:eastAsia="仿宋" w:cs="宋体"/>
                <w:color w:val="auto"/>
                <w:spacing w:val="-6"/>
                <w:sz w:val="24"/>
                <w:highlight w:val="none"/>
              </w:rPr>
              <w:t xml:space="preserve">    </w:t>
            </w:r>
            <w:r>
              <w:rPr>
                <w:rFonts w:hint="eastAsia" w:ascii="仿宋" w:hAnsi="仿宋" w:eastAsia="仿宋" w:cs="宋体"/>
                <w:color w:val="auto"/>
                <w:spacing w:val="-6"/>
                <w:sz w:val="24"/>
                <w:highlight w:val="none"/>
              </w:rPr>
              <w:t xml:space="preserve">年 </w:t>
            </w:r>
            <w:r>
              <w:rPr>
                <w:rFonts w:ascii="仿宋" w:hAnsi="仿宋" w:eastAsia="仿宋" w:cs="Calibri"/>
                <w:color w:val="auto"/>
                <w:spacing w:val="-6"/>
                <w:sz w:val="24"/>
                <w:highlight w:val="none"/>
              </w:rPr>
              <w:t xml:space="preserve"> </w:t>
            </w:r>
            <w:r>
              <w:rPr>
                <w:rFonts w:ascii="仿宋" w:hAnsi="仿宋" w:eastAsia="仿宋" w:cs="宋体"/>
                <w:color w:val="auto"/>
                <w:spacing w:val="-6"/>
                <w:sz w:val="24"/>
                <w:highlight w:val="none"/>
              </w:rPr>
              <w:t xml:space="preserve"> </w:t>
            </w:r>
            <w:r>
              <w:rPr>
                <w:rFonts w:ascii="仿宋" w:hAnsi="仿宋" w:eastAsia="仿宋" w:cs="Calibri"/>
                <w:color w:val="auto"/>
                <w:spacing w:val="-6"/>
                <w:sz w:val="24"/>
                <w:highlight w:val="none"/>
              </w:rPr>
              <w:t xml:space="preserve"> </w:t>
            </w:r>
            <w:r>
              <w:rPr>
                <w:rFonts w:hint="eastAsia" w:ascii="仿宋" w:hAnsi="仿宋" w:eastAsia="仿宋" w:cs="宋体"/>
                <w:color w:val="auto"/>
                <w:spacing w:val="-6"/>
                <w:sz w:val="24"/>
                <w:highlight w:val="none"/>
              </w:rPr>
              <w:t xml:space="preserve">月 </w:t>
            </w:r>
            <w:r>
              <w:rPr>
                <w:rFonts w:ascii="仿宋" w:hAnsi="仿宋" w:eastAsia="仿宋" w:cs="宋体"/>
                <w:color w:val="auto"/>
                <w:spacing w:val="-6"/>
                <w:sz w:val="24"/>
                <w:highlight w:val="none"/>
              </w:rPr>
              <w:t xml:space="preserve">  </w:t>
            </w:r>
            <w:r>
              <w:rPr>
                <w:rFonts w:ascii="仿宋" w:hAnsi="仿宋" w:eastAsia="仿宋" w:cs="Calibri"/>
                <w:color w:val="auto"/>
                <w:spacing w:val="-6"/>
                <w:sz w:val="24"/>
                <w:highlight w:val="none"/>
              </w:rPr>
              <w:t xml:space="preserve"> </w:t>
            </w:r>
            <w:r>
              <w:rPr>
                <w:rFonts w:hint="eastAsia" w:ascii="仿宋" w:hAnsi="仿宋" w:eastAsia="仿宋" w:cs="宋体"/>
                <w:color w:val="auto"/>
                <w:spacing w:val="-6"/>
                <w:sz w:val="24"/>
                <w:highlight w:val="none"/>
              </w:rPr>
              <w:t>日</w:t>
            </w:r>
          </w:p>
        </w:tc>
        <w:tc>
          <w:tcPr>
            <w:tcW w:w="453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签字日期：</w:t>
            </w:r>
            <w:r>
              <w:rPr>
                <w:rFonts w:ascii="仿宋" w:hAnsi="仿宋" w:eastAsia="仿宋" w:cs="宋体"/>
                <w:color w:val="auto"/>
                <w:spacing w:val="-6"/>
                <w:sz w:val="24"/>
                <w:highlight w:val="none"/>
              </w:rPr>
              <w:t xml:space="preserve">    </w:t>
            </w:r>
            <w:r>
              <w:rPr>
                <w:rFonts w:hint="eastAsia" w:ascii="仿宋" w:hAnsi="仿宋" w:eastAsia="仿宋" w:cs="宋体"/>
                <w:color w:val="auto"/>
                <w:spacing w:val="-6"/>
                <w:sz w:val="24"/>
                <w:highlight w:val="none"/>
              </w:rPr>
              <w:t xml:space="preserve">年 </w:t>
            </w:r>
            <w:r>
              <w:rPr>
                <w:rFonts w:ascii="仿宋" w:hAnsi="仿宋" w:eastAsia="仿宋" w:cs="Calibri"/>
                <w:color w:val="auto"/>
                <w:spacing w:val="-6"/>
                <w:sz w:val="24"/>
                <w:highlight w:val="none"/>
              </w:rPr>
              <w:t xml:space="preserve"> </w:t>
            </w:r>
            <w:r>
              <w:rPr>
                <w:rFonts w:ascii="仿宋" w:hAnsi="仿宋" w:eastAsia="仿宋" w:cs="宋体"/>
                <w:color w:val="auto"/>
                <w:spacing w:val="-6"/>
                <w:sz w:val="24"/>
                <w:highlight w:val="none"/>
              </w:rPr>
              <w:t xml:space="preserve"> </w:t>
            </w:r>
            <w:r>
              <w:rPr>
                <w:rFonts w:ascii="仿宋" w:hAnsi="仿宋" w:eastAsia="仿宋" w:cs="Calibri"/>
                <w:color w:val="auto"/>
                <w:spacing w:val="-6"/>
                <w:sz w:val="24"/>
                <w:highlight w:val="none"/>
              </w:rPr>
              <w:t xml:space="preserve"> </w:t>
            </w:r>
            <w:r>
              <w:rPr>
                <w:rFonts w:hint="eastAsia" w:ascii="仿宋" w:hAnsi="仿宋" w:eastAsia="仿宋" w:cs="宋体"/>
                <w:color w:val="auto"/>
                <w:spacing w:val="-6"/>
                <w:sz w:val="24"/>
                <w:highlight w:val="none"/>
              </w:rPr>
              <w:t xml:space="preserve">月 </w:t>
            </w:r>
            <w:r>
              <w:rPr>
                <w:rFonts w:ascii="仿宋" w:hAnsi="仿宋" w:eastAsia="仿宋" w:cs="宋体"/>
                <w:color w:val="auto"/>
                <w:spacing w:val="-6"/>
                <w:sz w:val="24"/>
                <w:highlight w:val="none"/>
              </w:rPr>
              <w:t xml:space="preserve">  </w:t>
            </w:r>
            <w:r>
              <w:rPr>
                <w:rFonts w:ascii="仿宋" w:hAnsi="仿宋" w:eastAsia="仿宋" w:cs="Calibri"/>
                <w:color w:val="auto"/>
                <w:spacing w:val="-6"/>
                <w:sz w:val="24"/>
                <w:highlight w:val="none"/>
              </w:rPr>
              <w:t xml:space="preserve"> </w:t>
            </w:r>
            <w:r>
              <w:rPr>
                <w:rFonts w:hint="eastAsia" w:ascii="仿宋" w:hAnsi="仿宋" w:eastAsia="仿宋" w:cs="宋体"/>
                <w:color w:val="auto"/>
                <w:spacing w:val="-6"/>
                <w:sz w:val="24"/>
                <w:highlight w:val="none"/>
              </w:rPr>
              <w:t>日</w:t>
            </w:r>
          </w:p>
        </w:tc>
      </w:tr>
    </w:tbl>
    <w:p>
      <w:pPr>
        <w:rPr>
          <w:rFonts w:ascii="仿宋" w:hAnsi="仿宋" w:eastAsia="仿宋" w:cs="宋体"/>
          <w:b/>
          <w:bCs/>
          <w:color w:val="auto"/>
          <w:sz w:val="24"/>
          <w:highlight w:val="none"/>
        </w:rPr>
      </w:pPr>
      <w:r>
        <w:rPr>
          <w:rFonts w:ascii="仿宋" w:hAnsi="仿宋" w:eastAsia="仿宋" w:cs="宋体"/>
          <w:b/>
          <w:bCs/>
          <w:color w:val="auto"/>
          <w:sz w:val="24"/>
          <w:highlight w:val="none"/>
        </w:rPr>
        <w:t xml:space="preserve"> </w:t>
      </w:r>
    </w:p>
    <w:p>
      <w:pPr>
        <w:widowControl/>
        <w:adjustRightInd/>
        <w:jc w:val="left"/>
        <w:rPr>
          <w:rFonts w:ascii="仿宋" w:hAnsi="仿宋" w:eastAsia="仿宋" w:cs="仿宋"/>
          <w:b/>
          <w:color w:val="auto"/>
          <w:sz w:val="36"/>
          <w:szCs w:val="20"/>
          <w:highlight w:val="none"/>
        </w:rPr>
      </w:pPr>
      <w:r>
        <w:rPr>
          <w:rFonts w:ascii="仿宋" w:hAnsi="仿宋" w:eastAsia="仿宋" w:cs="仿宋"/>
          <w:b/>
          <w:color w:val="auto"/>
          <w:sz w:val="36"/>
          <w:szCs w:val="20"/>
          <w:highlight w:val="none"/>
        </w:rPr>
        <w:br w:type="page"/>
      </w:r>
    </w:p>
    <w:p>
      <w:pPr>
        <w:snapToGrid w:val="0"/>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63"/>
      <w:r>
        <w:rPr>
          <w:rFonts w:hint="eastAsia" w:ascii="仿宋" w:hAnsi="仿宋" w:eastAsia="仿宋" w:cs="仿宋"/>
          <w:b/>
          <w:color w:val="auto"/>
          <w:sz w:val="36"/>
          <w:szCs w:val="20"/>
          <w:highlight w:val="none"/>
        </w:rPr>
        <w:t xml:space="preserve">  </w:t>
      </w:r>
      <w:bookmarkEnd w:id="64"/>
      <w:r>
        <w:rPr>
          <w:rFonts w:hint="eastAsia" w:ascii="仿宋" w:hAnsi="仿宋" w:eastAsia="仿宋" w:cs="仿宋"/>
          <w:b/>
          <w:color w:val="auto"/>
          <w:sz w:val="36"/>
          <w:szCs w:val="20"/>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pStyle w:val="183"/>
        <w:spacing w:line="360" w:lineRule="auto"/>
        <w:rPr>
          <w:rFonts w:ascii="仿宋" w:eastAsia="仿宋" w:cs="仿宋"/>
          <w:color w:val="auto"/>
          <w:highlight w:val="none"/>
        </w:rPr>
      </w:pPr>
      <w:r>
        <w:rPr>
          <w:rFonts w:hint="eastAsia" w:ascii="仿宋" w:eastAsia="仿宋" w:cs="仿宋"/>
          <w:color w:val="auto"/>
          <w:highlight w:val="none"/>
        </w:rPr>
        <w:t>（1）响应函………………………………………………………………………（页码）</w:t>
      </w:r>
    </w:p>
    <w:p>
      <w:pPr>
        <w:pStyle w:val="183"/>
        <w:spacing w:line="360" w:lineRule="auto"/>
        <w:rPr>
          <w:rFonts w:ascii="仿宋" w:eastAsia="仿宋" w:cs="仿宋"/>
          <w:color w:val="auto"/>
          <w:highlight w:val="none"/>
        </w:rPr>
      </w:pPr>
      <w:r>
        <w:rPr>
          <w:rFonts w:hint="eastAsia" w:ascii="仿宋" w:eastAsia="仿宋" w:cs="仿宋"/>
          <w:color w:val="auto"/>
          <w:highlight w:val="none"/>
        </w:rPr>
        <w:t>（2）资格文件……………………………………………………………………（页码）</w:t>
      </w:r>
    </w:p>
    <w:p>
      <w:pPr>
        <w:pStyle w:val="183"/>
        <w:spacing w:line="360" w:lineRule="auto"/>
        <w:rPr>
          <w:rFonts w:ascii="仿宋" w:eastAsia="仿宋" w:cs="仿宋"/>
          <w:color w:val="auto"/>
          <w:highlight w:val="none"/>
        </w:rPr>
      </w:pPr>
      <w:r>
        <w:rPr>
          <w:rFonts w:hint="eastAsia" w:ascii="仿宋" w:eastAsia="仿宋" w:cs="仿宋"/>
          <w:color w:val="auto"/>
          <w:highlight w:val="none"/>
        </w:rPr>
        <w:t>（3）法人授权书</w:t>
      </w:r>
      <w:r>
        <w:rPr>
          <w:rFonts w:hint="eastAsia" w:ascii="仿宋" w:eastAsia="仿宋" w:cs="仿宋"/>
          <w:color w:val="auto"/>
          <w:highlight w:val="none"/>
          <w:lang w:val="zh-CN"/>
        </w:rPr>
        <w:t>…………………………………………</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pStyle w:val="183"/>
        <w:spacing w:line="360" w:lineRule="auto"/>
        <w:rPr>
          <w:rFonts w:ascii="仿宋" w:eastAsia="仿宋" w:cs="仿宋"/>
          <w:color w:val="auto"/>
          <w:highlight w:val="none"/>
        </w:rPr>
      </w:pPr>
      <w:r>
        <w:rPr>
          <w:rFonts w:hint="eastAsia" w:ascii="仿宋" w:eastAsia="仿宋" w:cs="仿宋"/>
          <w:color w:val="auto"/>
          <w:highlight w:val="none"/>
        </w:rPr>
        <w:t>（5）所有资信文件（复印件）…………………………………………………（页码）</w:t>
      </w:r>
    </w:p>
    <w:p>
      <w:pPr>
        <w:pStyle w:val="183"/>
        <w:spacing w:line="360" w:lineRule="auto"/>
        <w:rPr>
          <w:rFonts w:ascii="仿宋" w:eastAsia="仿宋" w:cs="仿宋"/>
          <w:color w:val="auto"/>
          <w:highlight w:val="none"/>
        </w:rPr>
      </w:pPr>
      <w:r>
        <w:rPr>
          <w:rFonts w:hint="eastAsia" w:ascii="仿宋" w:eastAsia="仿宋" w:cs="仿宋"/>
          <w:color w:val="auto"/>
          <w:highlight w:val="none"/>
        </w:rPr>
        <w:t>（6）主要业绩证明</w:t>
      </w:r>
      <w:r>
        <w:rPr>
          <w:rFonts w:hint="eastAsia" w:ascii="仿宋" w:eastAsia="仿宋" w:cs="仿宋"/>
          <w:color w:val="auto"/>
          <w:highlight w:val="none"/>
          <w:lang w:val="zh-CN"/>
        </w:rPr>
        <w:t>…………………………………………</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pPr>
        <w:pStyle w:val="183"/>
        <w:spacing w:line="360" w:lineRule="auto"/>
        <w:rPr>
          <w:rFonts w:ascii="仿宋" w:eastAsia="仿宋" w:cs="仿宋"/>
          <w:color w:val="auto"/>
          <w:highlight w:val="none"/>
        </w:rPr>
      </w:pPr>
      <w:r>
        <w:rPr>
          <w:rFonts w:hint="eastAsia" w:ascii="仿宋" w:eastAsia="仿宋" w:cs="仿宋"/>
          <w:color w:val="auto"/>
          <w:highlight w:val="none"/>
        </w:rPr>
        <w:t>（7）</w:t>
      </w:r>
      <w:r>
        <w:rPr>
          <w:rFonts w:hint="eastAsia" w:ascii="仿宋" w:eastAsia="仿宋" w:cs="仿宋"/>
          <w:color w:val="auto"/>
          <w:highlight w:val="none"/>
          <w:lang w:val="zh-CN"/>
        </w:rPr>
        <w:t>关于对磋商文件中有关条款的拒绝声明……………</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pPr>
        <w:pStyle w:val="183"/>
        <w:spacing w:line="360" w:lineRule="auto"/>
        <w:rPr>
          <w:rFonts w:ascii="仿宋" w:eastAsia="仿宋" w:cs="仿宋"/>
          <w:color w:val="auto"/>
          <w:highlight w:val="none"/>
        </w:rPr>
      </w:pPr>
      <w:r>
        <w:rPr>
          <w:rFonts w:hint="eastAsia" w:ascii="仿宋" w:eastAsia="仿宋" w:cs="仿宋"/>
          <w:color w:val="auto"/>
          <w:highlight w:val="none"/>
        </w:rPr>
        <w:t>（8）认为需要的其他商务文件或说明…………………………………………（页码）</w:t>
      </w:r>
    </w:p>
    <w:p>
      <w:pPr>
        <w:pStyle w:val="183"/>
        <w:spacing w:line="360" w:lineRule="auto"/>
        <w:rPr>
          <w:rFonts w:ascii="仿宋" w:eastAsia="仿宋" w:cs="仿宋"/>
          <w:color w:val="auto"/>
          <w:highlight w:val="none"/>
        </w:rPr>
      </w:pPr>
      <w:r>
        <w:rPr>
          <w:rFonts w:hint="eastAsia" w:ascii="仿宋" w:eastAsia="仿宋" w:cs="仿宋"/>
          <w:color w:val="auto"/>
          <w:highlight w:val="none"/>
        </w:rPr>
        <w:t>（</w:t>
      </w:r>
      <w:r>
        <w:rPr>
          <w:rFonts w:hint="eastAsia" w:ascii="仿宋" w:eastAsia="仿宋" w:cs="仿宋"/>
          <w:color w:val="auto"/>
          <w:highlight w:val="none"/>
          <w:lang w:val="en-US" w:eastAsia="zh-CN"/>
        </w:rPr>
        <w:t>9</w:t>
      </w:r>
      <w:r>
        <w:rPr>
          <w:rFonts w:hint="eastAsia" w:ascii="仿宋" w:eastAsia="仿宋" w:cs="仿宋"/>
          <w:color w:val="auto"/>
          <w:highlight w:val="none"/>
        </w:rPr>
        <w:t>）技术响应程度………………………………………………………………（页码）</w:t>
      </w:r>
    </w:p>
    <w:p>
      <w:pPr>
        <w:pStyle w:val="183"/>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eastAsia="仿宋" w:cs="仿宋"/>
          <w:color w:val="auto"/>
          <w:kern w:val="0"/>
          <w:sz w:val="24"/>
          <w:highlight w:val="none"/>
          <w:lang w:val="en-US" w:eastAsia="zh-CN"/>
        </w:rPr>
        <w:t>10</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lang w:val="zh-CN"/>
        </w:rPr>
        <w:t>需求理解</w:t>
      </w:r>
      <w:r>
        <w:rPr>
          <w:rFonts w:hint="eastAsia" w:ascii="仿宋" w:eastAsia="仿宋" w:cs="仿宋"/>
          <w:color w:val="auto"/>
          <w:highlight w:val="none"/>
        </w:rPr>
        <w:t>……………………………………………………………………（页码）</w:t>
      </w:r>
    </w:p>
    <w:p>
      <w:pPr>
        <w:pStyle w:val="183"/>
        <w:spacing w:line="360" w:lineRule="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w:t>
      </w:r>
      <w:r>
        <w:rPr>
          <w:rFonts w:hint="eastAsia" w:asci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）施工组织方案</w:t>
      </w:r>
      <w:r>
        <w:rPr>
          <w:rFonts w:hint="eastAsia" w:ascii="仿宋" w:eastAsia="仿宋" w:cs="仿宋"/>
          <w:color w:val="auto"/>
          <w:highlight w:val="none"/>
        </w:rPr>
        <w:t>………………………………………………………………（页码）</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（12）安全保障体系</w:t>
      </w:r>
      <w:r>
        <w:rPr>
          <w:rFonts w:hint="eastAsia" w:ascii="仿宋" w:eastAsia="仿宋" w:cs="仿宋"/>
          <w:color w:val="auto"/>
          <w:highlight w:val="none"/>
        </w:rPr>
        <w:t>………………………………………………………………………（页码）</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（13）质量保障体系及措施</w:t>
      </w:r>
      <w:r>
        <w:rPr>
          <w:rFonts w:hint="eastAsia" w:ascii="仿宋" w:eastAsia="仿宋" w:cs="仿宋"/>
          <w:color w:val="auto"/>
          <w:highlight w:val="none"/>
        </w:rPr>
        <w:t>………………………………………………………………（页码）</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进度计划方案及保障措施</w:t>
      </w:r>
      <w:r>
        <w:rPr>
          <w:rFonts w:hint="eastAsia" w:ascii="仿宋" w:eastAsia="仿宋" w:cs="仿宋"/>
          <w:color w:val="auto"/>
          <w:highlight w:val="none"/>
        </w:rPr>
        <w:t>…………………………………………………………（页码）</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设备维保服务能力</w:t>
      </w:r>
      <w:r>
        <w:rPr>
          <w:rFonts w:hint="eastAsia" w:ascii="仿宋" w:eastAsia="仿宋" w:cs="仿宋"/>
          <w:color w:val="auto"/>
          <w:highlight w:val="none"/>
        </w:rPr>
        <w:t>…………………………………………………………………（页码）</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）备品备件仓库和工具设备资源</w:t>
      </w:r>
      <w:r>
        <w:rPr>
          <w:rFonts w:hint="eastAsia" w:ascii="仿宋" w:hAnsi="仿宋" w:eastAsia="仿宋" w:cs="仿宋"/>
          <w:color w:val="auto"/>
          <w:kern w:val="0"/>
          <w:sz w:val="24"/>
          <w:highlight w:val="none"/>
          <w:lang w:val="zh-CN"/>
        </w:rPr>
        <w:t>（含随机自带的备品备件和质保期后供采购人选择的备品备件及配套零部件，明细备品备件及价格，且供货价格不高于成交价格；成交货物设备应提供易损部件的备件和整机备品）（如果有）</w:t>
      </w:r>
      <w:r>
        <w:rPr>
          <w:rFonts w:hint="eastAsia" w:ascii="仿宋" w:eastAsia="仿宋" w:cs="仿宋"/>
          <w:color w:val="auto"/>
          <w:highlight w:val="none"/>
        </w:rPr>
        <w:t>…………………………（页码）</w:t>
      </w:r>
    </w:p>
    <w:p>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售后服务方案</w:t>
      </w:r>
      <w:r>
        <w:rPr>
          <w:rFonts w:hint="eastAsia" w:ascii="仿宋" w:eastAsia="仿宋" w:cs="仿宋"/>
          <w:color w:val="auto"/>
          <w:highlight w:val="none"/>
        </w:rPr>
        <w:t>………………………………………………………………………（页码）</w:t>
      </w:r>
    </w:p>
    <w:p>
      <w:pPr>
        <w:pStyle w:val="31"/>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供应商认为需要的其他技术文件或说明（如果有）</w:t>
      </w:r>
      <w:r>
        <w:rPr>
          <w:rFonts w:hint="eastAsia" w:ascii="仿宋" w:eastAsia="仿宋" w:cs="仿宋"/>
          <w:color w:val="auto"/>
          <w:highlight w:val="none"/>
        </w:rPr>
        <w:t>………………………（页码）</w:t>
      </w:r>
    </w:p>
    <w:p>
      <w:pPr>
        <w:pStyle w:val="31"/>
        <w:spacing w:line="360" w:lineRule="auto"/>
        <w:ind w:firstLine="480" w:firstLineChars="200"/>
        <w:rPr>
          <w:color w:val="auto"/>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highlight w:val="none"/>
          <w:lang w:val="zh-CN"/>
        </w:rPr>
        <w:t>政府采购供应商廉洁自律承诺书</w:t>
      </w:r>
      <w:r>
        <w:rPr>
          <w:rFonts w:hint="eastAsia" w:ascii="仿宋" w:eastAsia="仿宋" w:cs="仿宋"/>
          <w:color w:val="auto"/>
          <w:highlight w:val="none"/>
        </w:rPr>
        <w:t>………………………………………………（页码）</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浙江省中小企业发展促进中心</w:t>
      </w:r>
      <w:r>
        <w:rPr>
          <w:rFonts w:hint="eastAsia" w:ascii="仿宋" w:hAnsi="仿宋" w:eastAsia="仿宋" w:cs="仿宋"/>
          <w:color w:val="auto"/>
          <w:sz w:val="24"/>
          <w:highlight w:val="none"/>
        </w:rPr>
        <w:t>、浙江省成套工程有限公司：</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w:t>
      </w:r>
      <w:r>
        <w:rPr>
          <w:rFonts w:hint="eastAsia" w:ascii="仿宋" w:hAnsi="仿宋" w:eastAsia="仿宋" w:cs="仿宋"/>
          <w:color w:val="auto"/>
          <w:sz w:val="24"/>
          <w:highlight w:val="none"/>
          <w:lang w:eastAsia="zh-CN"/>
        </w:rPr>
        <w:t>浙江省中小企业综合楼电梯更新改造项目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ZJCT8-ZXZX202401</w:t>
      </w:r>
      <w:r>
        <w:rPr>
          <w:rFonts w:hint="eastAsia" w:ascii="仿宋" w:hAnsi="仿宋" w:eastAsia="仿宋" w:cs="仿宋"/>
          <w:color w:val="auto"/>
          <w:sz w:val="24"/>
          <w:highlight w:val="none"/>
        </w:rPr>
        <w:t>】的有关活动，并对此项目进行响应。为此：</w:t>
      </w:r>
    </w:p>
    <w:p>
      <w:pPr>
        <w:pStyle w:val="104"/>
        <w:numPr>
          <w:ilvl w:val="0"/>
          <w:numId w:val="15"/>
        </w:numPr>
        <w:snapToGrid w:val="0"/>
        <w:ind w:firstLineChars="0"/>
        <w:rPr>
          <w:rFonts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pPr>
        <w:numPr>
          <w:ilvl w:val="0"/>
          <w:numId w:val="15"/>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pPr>
        <w:numPr>
          <w:ilvl w:val="0"/>
          <w:numId w:val="15"/>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我方承诺除响应文件列出的偏离外，我方响应磋商文件的全部要求。</w:t>
      </w:r>
    </w:p>
    <w:p>
      <w:pPr>
        <w:numPr>
          <w:ilvl w:val="0"/>
          <w:numId w:val="15"/>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pPr>
        <w:numPr>
          <w:ilvl w:val="0"/>
          <w:numId w:val="15"/>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pPr>
        <w:numPr>
          <w:ilvl w:val="0"/>
          <w:numId w:val="15"/>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10、我方已详细阅读全部磋商文件，包括磋商文件“更正（延期）公告”（如果有）、参考资料及有关附件，确认无误。</w:t>
      </w:r>
    </w:p>
    <w:p>
      <w:pPr>
        <w:numPr>
          <w:ilvl w:val="0"/>
          <w:numId w:val="15"/>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4.3按照磋商文件要求提交履约保证金；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numPr>
          <w:ilvl w:val="0"/>
          <w:numId w:val="15"/>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其他补充说明:                                        。</w:t>
      </w:r>
    </w:p>
    <w:p>
      <w:pPr>
        <w:autoSpaceDE w:val="0"/>
        <w:autoSpaceDN w:val="0"/>
        <w:spacing w:line="360" w:lineRule="auto"/>
        <w:ind w:firstLine="3960" w:firstLineChars="1650"/>
        <w:rPr>
          <w:rFonts w:ascii="仿宋" w:hAnsi="仿宋" w:eastAsia="仿宋" w:cs="仿宋"/>
          <w:color w:val="auto"/>
          <w:kern w:val="0"/>
          <w:sz w:val="24"/>
          <w:highlight w:val="none"/>
          <w:lang w:val="zh-CN"/>
        </w:rPr>
      </w:pP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spacing w:line="360" w:lineRule="auto"/>
        <w:rPr>
          <w:rFonts w:ascii="仿宋" w:hAnsi="仿宋" w:eastAsia="仿宋" w:cs="仿宋"/>
          <w:color w:val="auto"/>
          <w:kern w:val="0"/>
          <w:sz w:val="24"/>
          <w:highlight w:val="none"/>
        </w:rPr>
      </w:pPr>
    </w:p>
    <w:p>
      <w:pPr>
        <w:pStyle w:val="3"/>
        <w:numPr>
          <w:ilvl w:val="0"/>
          <w:numId w:val="0"/>
        </w:numPr>
        <w:ind w:leftChars="0"/>
        <w:rPr>
          <w:color w:val="auto"/>
          <w:highlight w:val="none"/>
        </w:rPr>
      </w:pPr>
    </w:p>
    <w:p>
      <w:pPr>
        <w:widowControl/>
        <w:adjustRightInd/>
        <w:jc w:val="left"/>
        <w:rPr>
          <w:rFonts w:ascii="仿宋" w:hAnsi="仿宋" w:eastAsia="仿宋" w:cs="仿宋"/>
          <w:b/>
          <w:color w:val="auto"/>
          <w:kern w:val="0"/>
          <w:sz w:val="32"/>
          <w:szCs w:val="32"/>
          <w:highlight w:val="none"/>
        </w:rPr>
      </w:pPr>
    </w:p>
    <w:p>
      <w:pPr>
        <w:widowControl/>
        <w:tabs>
          <w:tab w:val="left" w:pos="1200"/>
        </w:tabs>
        <w:adjustRightInd/>
        <w:ind w:left="84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pPr>
        <w:pStyle w:val="104"/>
        <w:widowControl/>
        <w:tabs>
          <w:tab w:val="left" w:pos="1200"/>
          <w:tab w:val="left" w:pos="1560"/>
        </w:tabs>
        <w:adjustRightInd/>
        <w:ind w:left="1560" w:firstLine="0" w:firstLineChars="0"/>
        <w:jc w:val="left"/>
        <w:rPr>
          <w:rFonts w:ascii="仿宋" w:hAnsi="仿宋" w:eastAsia="仿宋" w:cs="仿宋"/>
          <w:b/>
          <w:color w:val="auto"/>
          <w:sz w:val="30"/>
          <w:szCs w:val="30"/>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浙江省中小企业发展促进中心</w:t>
      </w:r>
      <w:r>
        <w:rPr>
          <w:rFonts w:hint="eastAsia" w:ascii="仿宋" w:hAnsi="仿宋" w:eastAsia="仿宋" w:cs="仿宋"/>
          <w:color w:val="auto"/>
          <w:sz w:val="24"/>
          <w:highlight w:val="none"/>
        </w:rPr>
        <w:t>、浙江省成套工程有限公司：</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浙江省中小企业综合楼电梯更新改造项目</w:t>
      </w:r>
      <w:r>
        <w:rPr>
          <w:rFonts w:hint="eastAsia" w:ascii="仿宋" w:hAnsi="仿宋" w:eastAsia="仿宋" w:cs="仿宋"/>
          <w:color w:val="auto"/>
          <w:kern w:val="0"/>
          <w:sz w:val="24"/>
          <w:highlight w:val="none"/>
          <w:lang w:val="zh-CN"/>
        </w:rPr>
        <w:t>【项目编号：ZJCT8-ZXZX202401】</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浙江省中小企业综合楼电梯更新改造项目</w:t>
      </w:r>
      <w:r>
        <w:rPr>
          <w:rFonts w:hint="eastAsia" w:ascii="仿宋" w:hAnsi="仿宋" w:eastAsia="仿宋" w:cs="仿宋"/>
          <w:color w:val="auto"/>
          <w:kern w:val="0"/>
          <w:sz w:val="24"/>
          <w:highlight w:val="none"/>
          <w:lang w:val="zh-CN"/>
        </w:rPr>
        <w:t xml:space="preserve">【项目编号：ZJCT8-ZXZX202401】响应。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65" w:name="_Hlk101131882"/>
      <w:r>
        <w:rPr>
          <w:rFonts w:hint="eastAsia" w:ascii="仿宋" w:hAnsi="仿宋" w:eastAsia="仿宋" w:cs="仿宋"/>
          <w:color w:val="auto"/>
          <w:kern w:val="0"/>
          <w:sz w:val="24"/>
          <w:highlight w:val="none"/>
          <w:u w:val="single"/>
        </w:rPr>
        <w:t>联合体成员X,……</w:t>
      </w:r>
      <w:bookmarkEnd w:id="6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66"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66"/>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6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67"/>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right="480"/>
        <w:jc w:val="center"/>
        <w:rPr>
          <w:rFonts w:ascii="仿宋" w:hAnsi="仿宋" w:eastAsia="仿宋" w:cs="仿宋"/>
          <w:b/>
          <w:color w:val="auto"/>
          <w:sz w:val="32"/>
          <w:szCs w:val="32"/>
          <w:highlight w:val="none"/>
        </w:rPr>
      </w:pPr>
    </w:p>
    <w:p>
      <w:pPr>
        <w:widowControl/>
        <w:adjustRightInd/>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pPr>
        <w:widowControl/>
        <w:spacing w:line="360" w:lineRule="auto"/>
        <w:ind w:firstLine="480"/>
        <w:jc w:val="left"/>
        <w:rPr>
          <w:rFonts w:ascii="仿宋" w:hAnsi="仿宋" w:eastAsia="仿宋" w:cs="仿宋"/>
          <w:color w:val="auto"/>
          <w:sz w:val="24"/>
          <w:highlight w:val="none"/>
        </w:rPr>
      </w:pP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ascii="仿宋" w:hAnsi="仿宋" w:eastAsia="仿宋" w:cs="仿宋"/>
          <w:color w:val="auto"/>
          <w:sz w:val="24"/>
          <w:highlight w:val="none"/>
        </w:rPr>
      </w:pPr>
    </w:p>
    <w:p>
      <w:pPr>
        <w:snapToGrid w:val="0"/>
        <w:spacing w:line="360" w:lineRule="auto"/>
        <w:ind w:firstLine="5880" w:firstLineChars="24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kern w:val="0"/>
          <w:sz w:val="24"/>
          <w:highlight w:val="none"/>
          <w:lang w:val="zh-CN"/>
        </w:rPr>
      </w:pPr>
    </w:p>
    <w:p>
      <w:pPr>
        <w:snapToGrid w:val="0"/>
        <w:spacing w:line="360" w:lineRule="auto"/>
        <w:ind w:right="480"/>
        <w:jc w:val="center"/>
        <w:rPr>
          <w:rFonts w:ascii="仿宋" w:hAnsi="仿宋" w:eastAsia="仿宋" w:cs="仿宋"/>
          <w:b/>
          <w:color w:val="auto"/>
          <w:kern w:val="0"/>
          <w:sz w:val="32"/>
          <w:szCs w:val="32"/>
          <w:highlight w:val="none"/>
          <w:lang w:val="zh-CN"/>
        </w:rPr>
        <w:sectPr>
          <w:footerReference r:id="rId6" w:type="first"/>
          <w:headerReference r:id="rId3" w:type="default"/>
          <w:footerReference r:id="rId4" w:type="default"/>
          <w:footerReference r:id="rId5" w:type="even"/>
          <w:pgSz w:w="11906" w:h="16838"/>
          <w:pgMar w:top="1247" w:right="1418" w:bottom="1276" w:left="1418" w:header="851" w:footer="992" w:gutter="0"/>
          <w:pgNumType w:start="0"/>
          <w:cols w:space="720" w:num="1"/>
          <w:titlePg/>
          <w:docGrid w:linePitch="312" w:charSpace="0"/>
        </w:sectPr>
      </w:pPr>
    </w:p>
    <w:p>
      <w:pPr>
        <w:widowControl/>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浙江省中小企业发展促进中心</w:t>
      </w:r>
      <w:r>
        <w:rPr>
          <w:rFonts w:hint="eastAsia" w:ascii="仿宋" w:hAnsi="仿宋" w:eastAsia="仿宋" w:cs="仿宋"/>
          <w:color w:val="auto"/>
          <w:sz w:val="24"/>
          <w:highlight w:val="none"/>
        </w:rPr>
        <w:t>、浙江省成套工程有限公司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sz w:val="24"/>
          <w:highlight w:val="none"/>
          <w:lang w:eastAsia="zh-CN"/>
        </w:rPr>
        <w:t>浙江省中小企业综合楼电梯更新改造项目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ZJCT8-ZXZX202401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本委托书有效期：自    年 月  日起至    年  月  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kern w:val="0"/>
          <w:sz w:val="24"/>
          <w:highlight w:val="none"/>
          <w:lang w:val="zh-CN"/>
        </w:rPr>
      </w:pPr>
    </w:p>
    <w:p>
      <w:pPr>
        <w:widowControl/>
        <w:adjustRightInd/>
        <w:jc w:val="left"/>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napToGrid w:val="0"/>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pPr>
        <w:snapToGrid w:val="0"/>
        <w:spacing w:line="360" w:lineRule="auto"/>
        <w:jc w:val="center"/>
        <w:rPr>
          <w:rFonts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浙江省中小企业发展促进中心</w:t>
      </w:r>
      <w:r>
        <w:rPr>
          <w:rFonts w:hint="eastAsia" w:ascii="仿宋" w:hAnsi="仿宋" w:eastAsia="仿宋" w:cs="仿宋"/>
          <w:color w:val="auto"/>
          <w:sz w:val="24"/>
          <w:highlight w:val="none"/>
        </w:rPr>
        <w:t>、浙江省成套工程有限公司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浙江省中小企业综合楼电梯更新改造项目</w:t>
      </w:r>
      <w:r>
        <w:rPr>
          <w:rFonts w:hint="eastAsia" w:ascii="仿宋" w:hAnsi="仿宋" w:eastAsia="仿宋" w:cs="仿宋"/>
          <w:color w:val="auto"/>
          <w:kern w:val="0"/>
          <w:sz w:val="24"/>
          <w:highlight w:val="none"/>
          <w:lang w:val="zh-CN"/>
        </w:rPr>
        <w:t>【项目编号：ZJCT8-ZXZX202401】政府采购响应的一切事项，其法律后果由我方承担。。</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本授权书有效期：自   年 月  日起至  年  月  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pPr>
        <w:pStyle w:val="61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618"/>
              <w:spacing w:line="360" w:lineRule="auto"/>
              <w:rPr>
                <w:rFonts w:ascii="仿宋" w:hAnsi="仿宋" w:eastAsia="仿宋" w:cs="仿宋"/>
                <w:bCs/>
                <w:color w:val="auto"/>
                <w:sz w:val="24"/>
                <w:highlight w:val="none"/>
              </w:rPr>
            </w:pPr>
          </w:p>
        </w:tc>
      </w:tr>
    </w:tbl>
    <w:p>
      <w:pPr>
        <w:snapToGrid w:val="0"/>
        <w:spacing w:line="360" w:lineRule="auto"/>
        <w:ind w:firstLine="576"/>
        <w:jc w:val="right"/>
        <w:rPr>
          <w:rFonts w:ascii="仿宋" w:hAnsi="仿宋" w:eastAsia="仿宋" w:cs="仿宋"/>
          <w:color w:val="auto"/>
          <w:kern w:val="0"/>
          <w:sz w:val="24"/>
          <w:highlight w:val="none"/>
          <w:lang w:val="zh-CN"/>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pPr>
        <w:snapToGrid w:val="0"/>
        <w:spacing w:line="360" w:lineRule="auto"/>
        <w:ind w:firstLine="576"/>
        <w:jc w:val="center"/>
        <w:rPr>
          <w:rFonts w:ascii="仿宋" w:hAnsi="仿宋" w:eastAsia="仿宋" w:cs="仿宋"/>
          <w:color w:val="auto"/>
          <w:sz w:val="28"/>
          <w:szCs w:val="28"/>
          <w:highlight w:val="none"/>
        </w:rPr>
      </w:pPr>
    </w:p>
    <w:p>
      <w:pPr>
        <w:widowControl/>
        <w:adjustRightInd/>
        <w:jc w:val="left"/>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浙江省中小企业综合楼电梯更新改造项目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ZJCT8-ZXZX202401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rPr>
          <w:rFonts w:ascii="仿宋" w:hAnsi="仿宋" w:eastAsia="仿宋"/>
          <w:b/>
          <w:bCs/>
          <w:color w:val="auto"/>
          <w:sz w:val="24"/>
          <w:highlight w:val="none"/>
        </w:rPr>
      </w:pPr>
      <w:r>
        <w:rPr>
          <w:rFonts w:hint="eastAsia" w:ascii="仿宋" w:hAnsi="仿宋" w:eastAsia="仿宋"/>
          <w:b/>
          <w:bCs/>
          <w:color w:val="auto"/>
          <w:sz w:val="24"/>
          <w:highlight w:val="none"/>
        </w:rPr>
        <w:t>……</w:t>
      </w:r>
    </w:p>
    <w:p>
      <w:pPr>
        <w:ind w:firstLine="305"/>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pPr>
        <w:spacing w:line="360" w:lineRule="auto"/>
        <w:jc w:val="center"/>
        <w:rPr>
          <w:rFonts w:ascii="仿宋" w:hAnsi="仿宋" w:eastAsia="仿宋" w:cs="仿宋"/>
          <w:b/>
          <w:color w:val="auto"/>
          <w:sz w:val="30"/>
          <w:szCs w:val="30"/>
          <w:highlight w:val="none"/>
        </w:rPr>
      </w:pPr>
    </w:p>
    <w:p>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ind w:firstLine="5160" w:firstLineChars="21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pPr>
        <w:autoSpaceDE w:val="0"/>
        <w:autoSpaceDN w:val="0"/>
        <w:spacing w:line="360" w:lineRule="auto"/>
        <w:ind w:firstLine="120"/>
        <w:rPr>
          <w:rFonts w:ascii="仿宋" w:hAnsi="仿宋" w:eastAsia="仿宋" w:cs="仿宋"/>
          <w:b/>
          <w:color w:val="auto"/>
          <w:sz w:val="24"/>
          <w:highlight w:val="none"/>
        </w:rPr>
      </w:pPr>
      <w:r>
        <w:rPr>
          <w:rFonts w:hint="eastAsia" w:ascii="仿宋" w:hAnsi="仿宋" w:eastAsia="仿宋" w:cs="仿宋"/>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投资</w:t>
            </w:r>
          </w:p>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color w:val="auto"/>
                <w:sz w:val="24"/>
                <w:highlight w:val="none"/>
              </w:rPr>
            </w:pPr>
          </w:p>
        </w:tc>
      </w:tr>
    </w:tbl>
    <w:p>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pPr>
        <w:autoSpaceDE w:val="0"/>
        <w:autoSpaceDN w:val="0"/>
        <w:spacing w:line="360" w:lineRule="auto"/>
        <w:rPr>
          <w:rFonts w:ascii="仿宋" w:hAnsi="仿宋" w:eastAsia="仿宋" w:cs="仿宋"/>
          <w:color w:val="auto"/>
          <w:sz w:val="24"/>
          <w:highlight w:val="none"/>
        </w:rPr>
      </w:pPr>
    </w:p>
    <w:p>
      <w:pPr>
        <w:autoSpaceDE w:val="0"/>
        <w:autoSpaceDN w:val="0"/>
        <w:spacing w:line="360" w:lineRule="auto"/>
        <w:ind w:firstLine="5280" w:firstLineChars="2200"/>
        <w:rPr>
          <w:rFonts w:ascii="仿宋" w:hAnsi="仿宋" w:eastAsia="仿宋" w:cs="仿宋"/>
          <w:color w:val="auto"/>
          <w:kern w:val="0"/>
          <w:sz w:val="24"/>
          <w:highlight w:val="none"/>
        </w:rPr>
      </w:pPr>
    </w:p>
    <w:p>
      <w:pPr>
        <w:autoSpaceDE w:val="0"/>
        <w:autoSpaceDN w:val="0"/>
        <w:spacing w:line="360" w:lineRule="auto"/>
        <w:ind w:firstLine="5280" w:firstLineChars="2200"/>
        <w:rPr>
          <w:rFonts w:ascii="仿宋" w:hAnsi="仿宋" w:eastAsia="仿宋" w:cs="仿宋"/>
          <w:color w:val="auto"/>
          <w:kern w:val="0"/>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ascii="仿宋" w:hAnsi="仿宋" w:eastAsia="仿宋" w:cs="仿宋"/>
          <w:b/>
          <w:bCs/>
          <w:color w:val="auto"/>
          <w:sz w:val="32"/>
          <w:szCs w:val="32"/>
          <w:highlight w:val="none"/>
        </w:rPr>
      </w:pPr>
    </w:p>
    <w:p>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pPr>
        <w:spacing w:line="360" w:lineRule="auto"/>
        <w:rPr>
          <w:rFonts w:ascii="仿宋" w:hAnsi="仿宋" w:eastAsia="仿宋" w:cs="仿宋"/>
          <w:color w:val="auto"/>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ascii="仿宋" w:hAnsi="仿宋" w:eastAsia="仿宋" w:cs="仿宋"/>
          <w:b/>
          <w:bCs/>
          <w:color w:val="auto"/>
          <w:sz w:val="32"/>
          <w:szCs w:val="32"/>
          <w:highlight w:val="none"/>
        </w:rPr>
      </w:pPr>
    </w:p>
    <w:p>
      <w:pPr>
        <w:spacing w:line="360" w:lineRule="auto"/>
        <w:jc w:val="center"/>
        <w:rPr>
          <w:rFonts w:ascii="仿宋" w:hAnsi="仿宋" w:eastAsia="仿宋" w:cs="仿宋"/>
          <w:b/>
          <w:bCs/>
          <w:color w:val="auto"/>
          <w:sz w:val="32"/>
          <w:szCs w:val="32"/>
          <w:highlight w:val="none"/>
        </w:rPr>
      </w:pPr>
    </w:p>
    <w:p>
      <w:pPr>
        <w:spacing w:line="360" w:lineRule="auto"/>
        <w:jc w:val="center"/>
        <w:rPr>
          <w:rFonts w:ascii="仿宋" w:hAnsi="仿宋" w:eastAsia="仿宋" w:cs="仿宋"/>
          <w:b/>
          <w:bCs/>
          <w:color w:val="auto"/>
          <w:sz w:val="32"/>
          <w:szCs w:val="32"/>
          <w:highlight w:val="none"/>
        </w:rPr>
      </w:pPr>
    </w:p>
    <w:p>
      <w:pPr>
        <w:spacing w:line="360" w:lineRule="auto"/>
        <w:jc w:val="center"/>
        <w:rPr>
          <w:rFonts w:ascii="仿宋" w:hAnsi="仿宋" w:eastAsia="仿宋" w:cs="仿宋"/>
          <w:b/>
          <w:bCs/>
          <w:color w:val="auto"/>
          <w:sz w:val="32"/>
          <w:szCs w:val="32"/>
          <w:highlight w:val="none"/>
        </w:rPr>
      </w:pPr>
    </w:p>
    <w:p>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pPr>
        <w:spacing w:line="360" w:lineRule="auto"/>
        <w:jc w:val="center"/>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ascii="仿宋" w:hAnsi="仿宋" w:eastAsia="仿宋" w:cs="仿宋"/>
          <w:b/>
          <w:bCs/>
          <w:color w:val="auto"/>
          <w:sz w:val="32"/>
          <w:szCs w:val="32"/>
          <w:highlight w:val="none"/>
        </w:rPr>
      </w:pPr>
    </w:p>
    <w:p>
      <w:pPr>
        <w:spacing w:line="360" w:lineRule="auto"/>
        <w:rPr>
          <w:rFonts w:ascii="仿宋" w:hAnsi="仿宋" w:eastAsia="仿宋" w:cs="仿宋"/>
          <w:b/>
          <w:bCs/>
          <w:color w:val="auto"/>
          <w:kern w:val="0"/>
          <w:sz w:val="24"/>
          <w:highlight w:val="none"/>
        </w:rPr>
      </w:pPr>
    </w:p>
    <w:p>
      <w:pPr>
        <w:widowControl/>
        <w:adjustRightInd/>
        <w:jc w:val="left"/>
        <w:rPr>
          <w:rFonts w:ascii="仿宋" w:hAnsi="仿宋" w:eastAsia="仿宋" w:cs="仿宋"/>
          <w:b/>
          <w:color w:val="auto"/>
          <w:sz w:val="32"/>
          <w:szCs w:val="32"/>
          <w:highlight w:val="none"/>
        </w:rPr>
      </w:pPr>
      <w:r>
        <w:rPr>
          <w:rFonts w:hint="eastAsia" w:ascii="仿宋" w:hAnsi="仿宋" w:eastAsia="仿宋" w:cs="仿宋"/>
          <w:color w:val="auto"/>
          <w:highlight w:val="none"/>
        </w:rPr>
        <w:br w:type="page"/>
      </w:r>
    </w:p>
    <w:p>
      <w:pPr>
        <w:spacing w:line="360" w:lineRule="auto"/>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九、</w:t>
      </w:r>
      <w:r>
        <w:rPr>
          <w:rFonts w:hint="eastAsia" w:ascii="仿宋" w:hAnsi="仿宋" w:eastAsia="仿宋" w:cs="仿宋"/>
          <w:b/>
          <w:bCs/>
          <w:color w:val="auto"/>
          <w:sz w:val="32"/>
          <w:szCs w:val="32"/>
          <w:highlight w:val="none"/>
          <w:lang w:val="en-US" w:eastAsia="zh-CN"/>
        </w:rPr>
        <w:t>技术响应程度</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pPr>
        <w:spacing w:line="360" w:lineRule="auto"/>
        <w:jc w:val="center"/>
        <w:rPr>
          <w:rFonts w:ascii="仿宋" w:hAnsi="仿宋" w:eastAsia="仿宋" w:cs="仿宋"/>
          <w:color w:val="auto"/>
          <w:sz w:val="24"/>
          <w:highlight w:val="none"/>
        </w:rPr>
      </w:pPr>
    </w:p>
    <w:p>
      <w:pPr>
        <w:autoSpaceDE w:val="0"/>
        <w:autoSpaceDN w:val="0"/>
        <w:spacing w:line="360" w:lineRule="auto"/>
        <w:rPr>
          <w:rFonts w:ascii="仿宋" w:hAnsi="仿宋" w:eastAsia="仿宋" w:cs="仿宋"/>
          <w:color w:val="auto"/>
          <w:kern w:val="0"/>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、需求理解</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pPr>
        <w:spacing w:line="360" w:lineRule="auto"/>
        <w:jc w:val="center"/>
        <w:rPr>
          <w:rFonts w:ascii="仿宋" w:hAnsi="仿宋" w:eastAsia="仿宋" w:cs="仿宋"/>
          <w:color w:val="auto"/>
          <w:sz w:val="24"/>
          <w:highlight w:val="none"/>
        </w:rPr>
      </w:pPr>
    </w:p>
    <w:p>
      <w:pPr>
        <w:autoSpaceDE w:val="0"/>
        <w:autoSpaceDN w:val="0"/>
        <w:spacing w:line="360" w:lineRule="auto"/>
        <w:rPr>
          <w:rFonts w:ascii="仿宋" w:hAnsi="仿宋" w:eastAsia="仿宋" w:cs="仿宋"/>
          <w:color w:val="auto"/>
          <w:kern w:val="0"/>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ascii="仿宋" w:hAnsi="仿宋" w:eastAsia="仿宋" w:cs="仿宋"/>
          <w:b/>
          <w:bCs/>
          <w:color w:val="auto"/>
          <w:sz w:val="32"/>
          <w:szCs w:val="32"/>
          <w:highlight w:val="none"/>
        </w:rPr>
      </w:pPr>
    </w:p>
    <w:p>
      <w:pPr>
        <w:tabs>
          <w:tab w:val="left" w:pos="2790"/>
          <w:tab w:val="left" w:pos="4230"/>
        </w:tabs>
        <w:autoSpaceDE w:val="0"/>
        <w:autoSpaceDN w:val="0"/>
        <w:spacing w:line="360" w:lineRule="auto"/>
        <w:ind w:right="1400"/>
        <w:jc w:val="center"/>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pPr>
              <w:snapToGrid w:val="0"/>
              <w:spacing w:line="360" w:lineRule="auto"/>
              <w:jc w:val="center"/>
              <w:rPr>
                <w:rFonts w:ascii="仿宋" w:hAnsi="仿宋" w:eastAsia="仿宋" w:cs="仿宋"/>
                <w:color w:val="auto"/>
                <w:sz w:val="24"/>
                <w:highlight w:val="none"/>
              </w:rPr>
            </w:pPr>
          </w:p>
        </w:tc>
        <w:tc>
          <w:tcPr>
            <w:tcW w:w="2160" w:type="dxa"/>
            <w:vAlign w:val="center"/>
          </w:tcPr>
          <w:p>
            <w:pPr>
              <w:snapToGrid w:val="0"/>
              <w:spacing w:line="360" w:lineRule="auto"/>
              <w:jc w:val="center"/>
              <w:rPr>
                <w:rFonts w:ascii="仿宋" w:hAnsi="仿宋" w:eastAsia="仿宋" w:cs="仿宋"/>
                <w:color w:val="auto"/>
                <w:sz w:val="24"/>
                <w:highlight w:val="none"/>
              </w:rPr>
            </w:pPr>
          </w:p>
        </w:tc>
        <w:tc>
          <w:tcPr>
            <w:tcW w:w="2340" w:type="dxa"/>
            <w:vAlign w:val="center"/>
          </w:tcPr>
          <w:p>
            <w:pPr>
              <w:spacing w:line="360" w:lineRule="auto"/>
              <w:jc w:val="center"/>
              <w:rPr>
                <w:rFonts w:ascii="仿宋" w:hAnsi="仿宋" w:eastAsia="仿宋" w:cs="仿宋"/>
                <w:color w:val="auto"/>
                <w:sz w:val="24"/>
                <w:highlight w:val="none"/>
              </w:rPr>
            </w:pPr>
          </w:p>
        </w:tc>
        <w:tc>
          <w:tcPr>
            <w:tcW w:w="1080" w:type="dxa"/>
            <w:vAlign w:val="center"/>
          </w:tcPr>
          <w:p>
            <w:pPr>
              <w:spacing w:line="360" w:lineRule="auto"/>
              <w:jc w:val="center"/>
              <w:rPr>
                <w:rFonts w:ascii="仿宋" w:hAnsi="仿宋" w:eastAsia="仿宋" w:cs="仿宋"/>
                <w:color w:val="auto"/>
                <w:sz w:val="24"/>
                <w:highlight w:val="none"/>
              </w:rPr>
            </w:pPr>
          </w:p>
        </w:tc>
        <w:tc>
          <w:tcPr>
            <w:tcW w:w="133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pPr>
              <w:snapToGrid w:val="0"/>
              <w:spacing w:line="360" w:lineRule="auto"/>
              <w:jc w:val="center"/>
              <w:rPr>
                <w:rFonts w:ascii="仿宋" w:hAnsi="仿宋" w:eastAsia="仿宋" w:cs="仿宋"/>
                <w:color w:val="auto"/>
                <w:sz w:val="24"/>
                <w:highlight w:val="none"/>
              </w:rPr>
            </w:pPr>
          </w:p>
        </w:tc>
        <w:tc>
          <w:tcPr>
            <w:tcW w:w="2160" w:type="dxa"/>
            <w:vAlign w:val="center"/>
          </w:tcPr>
          <w:p>
            <w:pPr>
              <w:snapToGrid w:val="0"/>
              <w:spacing w:line="360" w:lineRule="auto"/>
              <w:jc w:val="center"/>
              <w:rPr>
                <w:rFonts w:ascii="仿宋" w:hAnsi="仿宋" w:eastAsia="仿宋" w:cs="仿宋"/>
                <w:color w:val="auto"/>
                <w:sz w:val="24"/>
                <w:highlight w:val="none"/>
              </w:rPr>
            </w:pPr>
          </w:p>
        </w:tc>
        <w:tc>
          <w:tcPr>
            <w:tcW w:w="2340" w:type="dxa"/>
            <w:vAlign w:val="center"/>
          </w:tcPr>
          <w:p>
            <w:pPr>
              <w:spacing w:line="360" w:lineRule="auto"/>
              <w:jc w:val="center"/>
              <w:rPr>
                <w:rFonts w:ascii="仿宋" w:hAnsi="仿宋" w:eastAsia="仿宋" w:cs="仿宋"/>
                <w:color w:val="auto"/>
                <w:sz w:val="24"/>
                <w:highlight w:val="none"/>
              </w:rPr>
            </w:pPr>
          </w:p>
        </w:tc>
        <w:tc>
          <w:tcPr>
            <w:tcW w:w="1080" w:type="dxa"/>
            <w:vAlign w:val="center"/>
          </w:tcPr>
          <w:p>
            <w:pPr>
              <w:spacing w:line="360" w:lineRule="auto"/>
              <w:jc w:val="center"/>
              <w:rPr>
                <w:rFonts w:ascii="仿宋" w:hAnsi="仿宋" w:eastAsia="仿宋" w:cs="仿宋"/>
                <w:color w:val="auto"/>
                <w:sz w:val="24"/>
                <w:highlight w:val="none"/>
              </w:rPr>
            </w:pPr>
          </w:p>
        </w:tc>
        <w:tc>
          <w:tcPr>
            <w:tcW w:w="133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pPr>
              <w:snapToGrid w:val="0"/>
              <w:spacing w:line="360" w:lineRule="auto"/>
              <w:jc w:val="center"/>
              <w:rPr>
                <w:rFonts w:ascii="仿宋" w:hAnsi="仿宋" w:eastAsia="仿宋" w:cs="仿宋"/>
                <w:color w:val="auto"/>
                <w:sz w:val="24"/>
                <w:highlight w:val="none"/>
              </w:rPr>
            </w:pPr>
          </w:p>
        </w:tc>
        <w:tc>
          <w:tcPr>
            <w:tcW w:w="2160" w:type="dxa"/>
            <w:vAlign w:val="center"/>
          </w:tcPr>
          <w:p>
            <w:pPr>
              <w:snapToGrid w:val="0"/>
              <w:spacing w:line="360" w:lineRule="auto"/>
              <w:jc w:val="center"/>
              <w:rPr>
                <w:rFonts w:ascii="仿宋" w:hAnsi="仿宋" w:eastAsia="仿宋" w:cs="仿宋"/>
                <w:color w:val="auto"/>
                <w:sz w:val="24"/>
                <w:highlight w:val="none"/>
              </w:rPr>
            </w:pPr>
          </w:p>
        </w:tc>
        <w:tc>
          <w:tcPr>
            <w:tcW w:w="2340" w:type="dxa"/>
            <w:vAlign w:val="center"/>
          </w:tcPr>
          <w:p>
            <w:pPr>
              <w:spacing w:line="360" w:lineRule="auto"/>
              <w:jc w:val="center"/>
              <w:rPr>
                <w:rFonts w:ascii="仿宋" w:hAnsi="仿宋" w:eastAsia="仿宋" w:cs="仿宋"/>
                <w:color w:val="auto"/>
                <w:sz w:val="24"/>
                <w:highlight w:val="none"/>
              </w:rPr>
            </w:pPr>
          </w:p>
        </w:tc>
        <w:tc>
          <w:tcPr>
            <w:tcW w:w="1080" w:type="dxa"/>
            <w:vAlign w:val="center"/>
          </w:tcPr>
          <w:p>
            <w:pPr>
              <w:spacing w:line="360" w:lineRule="auto"/>
              <w:jc w:val="center"/>
              <w:rPr>
                <w:rFonts w:ascii="仿宋" w:hAnsi="仿宋" w:eastAsia="仿宋" w:cs="仿宋"/>
                <w:color w:val="auto"/>
                <w:sz w:val="24"/>
                <w:highlight w:val="none"/>
              </w:rPr>
            </w:pPr>
          </w:p>
        </w:tc>
        <w:tc>
          <w:tcPr>
            <w:tcW w:w="133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pPr>
              <w:snapToGrid w:val="0"/>
              <w:spacing w:line="360" w:lineRule="auto"/>
              <w:jc w:val="center"/>
              <w:rPr>
                <w:rFonts w:ascii="仿宋" w:hAnsi="仿宋" w:eastAsia="仿宋" w:cs="仿宋"/>
                <w:color w:val="auto"/>
                <w:sz w:val="24"/>
                <w:highlight w:val="none"/>
              </w:rPr>
            </w:pPr>
          </w:p>
        </w:tc>
        <w:tc>
          <w:tcPr>
            <w:tcW w:w="2160" w:type="dxa"/>
            <w:vAlign w:val="center"/>
          </w:tcPr>
          <w:p>
            <w:pPr>
              <w:snapToGrid w:val="0"/>
              <w:spacing w:line="360" w:lineRule="auto"/>
              <w:jc w:val="center"/>
              <w:rPr>
                <w:rFonts w:ascii="仿宋" w:hAnsi="仿宋" w:eastAsia="仿宋" w:cs="仿宋"/>
                <w:color w:val="auto"/>
                <w:sz w:val="24"/>
                <w:highlight w:val="none"/>
              </w:rPr>
            </w:pPr>
          </w:p>
        </w:tc>
        <w:tc>
          <w:tcPr>
            <w:tcW w:w="2340" w:type="dxa"/>
            <w:vAlign w:val="center"/>
          </w:tcPr>
          <w:p>
            <w:pPr>
              <w:spacing w:line="360" w:lineRule="auto"/>
              <w:jc w:val="center"/>
              <w:rPr>
                <w:rFonts w:ascii="仿宋" w:hAnsi="仿宋" w:eastAsia="仿宋" w:cs="仿宋"/>
                <w:color w:val="auto"/>
                <w:sz w:val="24"/>
                <w:highlight w:val="none"/>
              </w:rPr>
            </w:pPr>
          </w:p>
        </w:tc>
        <w:tc>
          <w:tcPr>
            <w:tcW w:w="1080" w:type="dxa"/>
            <w:vAlign w:val="center"/>
          </w:tcPr>
          <w:p>
            <w:pPr>
              <w:spacing w:line="360" w:lineRule="auto"/>
              <w:jc w:val="center"/>
              <w:rPr>
                <w:rFonts w:ascii="仿宋" w:hAnsi="仿宋" w:eastAsia="仿宋" w:cs="仿宋"/>
                <w:color w:val="auto"/>
                <w:sz w:val="24"/>
                <w:highlight w:val="none"/>
              </w:rPr>
            </w:pPr>
          </w:p>
        </w:tc>
        <w:tc>
          <w:tcPr>
            <w:tcW w:w="1332"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pPr>
              <w:snapToGrid w:val="0"/>
              <w:spacing w:line="360" w:lineRule="auto"/>
              <w:jc w:val="center"/>
              <w:rPr>
                <w:rFonts w:ascii="仿宋" w:hAnsi="仿宋" w:eastAsia="仿宋" w:cs="仿宋"/>
                <w:color w:val="auto"/>
                <w:sz w:val="24"/>
                <w:highlight w:val="none"/>
              </w:rPr>
            </w:pPr>
          </w:p>
        </w:tc>
        <w:tc>
          <w:tcPr>
            <w:tcW w:w="2160" w:type="dxa"/>
            <w:vAlign w:val="center"/>
          </w:tcPr>
          <w:p>
            <w:pPr>
              <w:snapToGrid w:val="0"/>
              <w:spacing w:line="360" w:lineRule="auto"/>
              <w:jc w:val="center"/>
              <w:rPr>
                <w:rFonts w:ascii="仿宋" w:hAnsi="仿宋" w:eastAsia="仿宋" w:cs="仿宋"/>
                <w:color w:val="auto"/>
                <w:sz w:val="24"/>
                <w:highlight w:val="none"/>
              </w:rPr>
            </w:pPr>
          </w:p>
        </w:tc>
        <w:tc>
          <w:tcPr>
            <w:tcW w:w="2340" w:type="dxa"/>
            <w:vAlign w:val="center"/>
          </w:tcPr>
          <w:p>
            <w:pPr>
              <w:spacing w:line="360" w:lineRule="auto"/>
              <w:jc w:val="center"/>
              <w:rPr>
                <w:rFonts w:ascii="仿宋" w:hAnsi="仿宋" w:eastAsia="仿宋" w:cs="仿宋"/>
                <w:color w:val="auto"/>
                <w:sz w:val="24"/>
                <w:highlight w:val="none"/>
              </w:rPr>
            </w:pPr>
          </w:p>
        </w:tc>
        <w:tc>
          <w:tcPr>
            <w:tcW w:w="1080" w:type="dxa"/>
            <w:vAlign w:val="center"/>
          </w:tcPr>
          <w:p>
            <w:pPr>
              <w:spacing w:line="360" w:lineRule="auto"/>
              <w:jc w:val="center"/>
              <w:rPr>
                <w:rFonts w:ascii="仿宋" w:hAnsi="仿宋" w:eastAsia="仿宋" w:cs="仿宋"/>
                <w:color w:val="auto"/>
                <w:sz w:val="24"/>
                <w:highlight w:val="none"/>
              </w:rPr>
            </w:pPr>
          </w:p>
        </w:tc>
        <w:tc>
          <w:tcPr>
            <w:tcW w:w="1332" w:type="dxa"/>
            <w:vAlign w:val="center"/>
          </w:tcPr>
          <w:p>
            <w:pPr>
              <w:spacing w:line="360" w:lineRule="auto"/>
              <w:jc w:val="center"/>
              <w:rPr>
                <w:rFonts w:ascii="仿宋" w:hAnsi="仿宋" w:eastAsia="仿宋" w:cs="仿宋"/>
                <w:color w:val="auto"/>
                <w:sz w:val="24"/>
                <w:highlight w:val="none"/>
              </w:rPr>
            </w:pPr>
          </w:p>
        </w:tc>
      </w:tr>
    </w:tbl>
    <w:p>
      <w:pPr>
        <w:autoSpaceDE w:val="0"/>
        <w:autoSpaceDN w:val="0"/>
        <w:spacing w:line="360" w:lineRule="auto"/>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pPr>
        <w:spacing w:line="360" w:lineRule="auto"/>
        <w:ind w:firstLine="1333" w:firstLineChars="400"/>
        <w:jc w:val="left"/>
        <w:rPr>
          <w:rFonts w:ascii="仿宋" w:hAnsi="仿宋" w:eastAsia="仿宋" w:cs="仿宋"/>
          <w:b/>
          <w:color w:val="auto"/>
          <w:spacing w:val="6"/>
          <w:sz w:val="32"/>
          <w:szCs w:val="32"/>
          <w:highlight w:val="none"/>
        </w:rPr>
      </w:pPr>
    </w:p>
    <w:p>
      <w:pPr>
        <w:spacing w:line="360" w:lineRule="auto"/>
        <w:ind w:firstLine="1333" w:firstLineChars="400"/>
        <w:jc w:val="left"/>
        <w:rPr>
          <w:rFonts w:ascii="仿宋" w:hAnsi="仿宋" w:eastAsia="仿宋" w:cs="仿宋"/>
          <w:b/>
          <w:color w:val="auto"/>
          <w:spacing w:val="6"/>
          <w:sz w:val="32"/>
          <w:szCs w:val="32"/>
          <w:highlight w:val="none"/>
        </w:rPr>
      </w:pPr>
    </w:p>
    <w:p>
      <w:pPr>
        <w:spacing w:line="360" w:lineRule="auto"/>
        <w:ind w:firstLine="1333" w:firstLineChars="400"/>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pPr>
        <w:spacing w:line="360" w:lineRule="auto"/>
        <w:ind w:firstLine="1333" w:firstLineChars="400"/>
        <w:jc w:val="left"/>
        <w:rPr>
          <w:rFonts w:ascii="仿宋" w:hAnsi="仿宋" w:eastAsia="仿宋" w:cs="仿宋"/>
          <w:b/>
          <w:color w:val="auto"/>
          <w:spacing w:val="6"/>
          <w:sz w:val="32"/>
          <w:szCs w:val="32"/>
          <w:highlight w:val="none"/>
        </w:rPr>
      </w:pP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spacing w:line="360" w:lineRule="auto"/>
        <w:ind w:firstLine="1000" w:firstLineChars="300"/>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pPr>
        <w:autoSpaceDE w:val="0"/>
        <w:autoSpaceDN w:val="0"/>
        <w:spacing w:line="360" w:lineRule="auto"/>
        <w:rPr>
          <w:rFonts w:ascii="仿宋" w:hAnsi="仿宋" w:eastAsia="仿宋" w:cs="仿宋"/>
          <w:b/>
          <w:color w:val="auto"/>
          <w:kern w:val="0"/>
          <w:sz w:val="28"/>
          <w:szCs w:val="28"/>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rPr>
        <w:t>、施工组织方案</w:t>
      </w:r>
    </w:p>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pPr>
        <w:autoSpaceDE w:val="0"/>
        <w:autoSpaceDN w:val="0"/>
        <w:spacing w:line="360" w:lineRule="auto"/>
        <w:rPr>
          <w:rFonts w:ascii="仿宋" w:hAnsi="仿宋" w:eastAsia="仿宋" w:cs="仿宋"/>
          <w:color w:val="auto"/>
          <w:kern w:val="0"/>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、安全保障体系</w:t>
      </w:r>
    </w:p>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pPr>
        <w:autoSpaceDE w:val="0"/>
        <w:autoSpaceDN w:val="0"/>
        <w:spacing w:line="360" w:lineRule="auto"/>
        <w:rPr>
          <w:rFonts w:ascii="仿宋" w:hAnsi="仿宋" w:eastAsia="仿宋" w:cs="仿宋"/>
          <w:color w:val="auto"/>
          <w:kern w:val="0"/>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、质量保障体系及措施</w:t>
      </w:r>
    </w:p>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pPr>
        <w:autoSpaceDE w:val="0"/>
        <w:autoSpaceDN w:val="0"/>
        <w:spacing w:line="360" w:lineRule="auto"/>
        <w:rPr>
          <w:rFonts w:ascii="仿宋" w:hAnsi="仿宋" w:eastAsia="仿宋" w:cs="仿宋"/>
          <w:color w:val="auto"/>
          <w:kern w:val="0"/>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jc w:val="center"/>
        <w:rPr>
          <w:color w:val="auto"/>
          <w:highlight w:val="none"/>
        </w:rPr>
      </w:pPr>
      <w:r>
        <w:rPr>
          <w:rFonts w:hint="eastAsia" w:ascii="仿宋" w:hAnsi="仿宋" w:eastAsia="仿宋" w:cs="仿宋"/>
          <w:color w:val="auto"/>
          <w:kern w:val="0"/>
          <w:sz w:val="24"/>
          <w:highlight w:val="none"/>
        </w:rPr>
        <w:t xml:space="preserve">                                      日期：  年  月   日</w:t>
      </w:r>
    </w:p>
    <w:p>
      <w:pPr>
        <w:tabs>
          <w:tab w:val="left" w:pos="2790"/>
          <w:tab w:val="left" w:pos="4230"/>
        </w:tabs>
        <w:autoSpaceDE w:val="0"/>
        <w:autoSpaceDN w:val="0"/>
        <w:spacing w:line="360" w:lineRule="auto"/>
        <w:ind w:right="1400"/>
        <w:jc w:val="both"/>
        <w:rPr>
          <w:rFonts w:ascii="仿宋" w:hAnsi="仿宋" w:eastAsia="仿宋"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rPr>
          <w:rFonts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
          <w:bCs/>
          <w:color w:val="auto"/>
          <w:kern w:val="0"/>
          <w:sz w:val="32"/>
          <w:szCs w:val="32"/>
          <w:highlight w:val="none"/>
          <w:lang w:val="zh-CN"/>
        </w:rPr>
        <w:t>十</w:t>
      </w:r>
      <w:r>
        <w:rPr>
          <w:rFonts w:hint="eastAsia" w:ascii="仿宋" w:hAnsi="仿宋" w:eastAsia="仿宋" w:cs="仿宋"/>
          <w:b/>
          <w:bCs/>
          <w:color w:val="auto"/>
          <w:kern w:val="0"/>
          <w:sz w:val="32"/>
          <w:szCs w:val="32"/>
          <w:highlight w:val="none"/>
          <w:lang w:val="en-US" w:eastAsia="zh-CN"/>
        </w:rPr>
        <w:t>四</w:t>
      </w:r>
      <w:r>
        <w:rPr>
          <w:rFonts w:hint="eastAsia" w:ascii="仿宋" w:hAnsi="仿宋" w:eastAsia="仿宋" w:cs="仿宋"/>
          <w:b/>
          <w:bCs/>
          <w:color w:val="auto"/>
          <w:kern w:val="0"/>
          <w:sz w:val="32"/>
          <w:szCs w:val="32"/>
          <w:highlight w:val="none"/>
          <w:lang w:val="zh-CN"/>
        </w:rPr>
        <w:t>、进度计划方案及保障措施</w:t>
      </w:r>
    </w:p>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pPr>
        <w:tabs>
          <w:tab w:val="left" w:pos="2790"/>
          <w:tab w:val="left" w:pos="4230"/>
        </w:tabs>
        <w:autoSpaceDE w:val="0"/>
        <w:autoSpaceDN w:val="0"/>
        <w:spacing w:line="360" w:lineRule="auto"/>
        <w:ind w:right="1400"/>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6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11"/>
        <w:gridCol w:w="511"/>
        <w:gridCol w:w="511"/>
        <w:gridCol w:w="511"/>
        <w:gridCol w:w="511"/>
        <w:gridCol w:w="511"/>
        <w:gridCol w:w="511"/>
        <w:gridCol w:w="511"/>
        <w:gridCol w:w="511"/>
        <w:gridCol w:w="511"/>
        <w:gridCol w:w="511"/>
        <w:gridCol w:w="511"/>
        <w:gridCol w:w="511"/>
        <w:gridCol w:w="511"/>
        <w:gridCol w:w="511"/>
        <w:gridCol w:w="511"/>
      </w:tblGrid>
      <w:tr>
        <w:tblPrEx>
          <w:tblCellMar>
            <w:top w:w="0" w:type="dxa"/>
            <w:left w:w="108" w:type="dxa"/>
            <w:bottom w:w="0" w:type="dxa"/>
            <w:right w:w="108" w:type="dxa"/>
          </w:tblCellMar>
        </w:tblPrEx>
        <w:trPr>
          <w:trHeight w:val="1860" w:hRule="atLeast"/>
        </w:trPr>
        <w:tc>
          <w:tcPr>
            <w:tcW w:w="592"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275" w:type="pct"/>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c>
          <w:tcPr>
            <w:tcW w:w="275" w:type="pct"/>
          </w:tcPr>
          <w:p>
            <w:pPr>
              <w:spacing w:line="360" w:lineRule="auto"/>
              <w:rPr>
                <w:rFonts w:ascii="仿宋" w:hAnsi="仿宋" w:eastAsia="仿宋" w:cs="仿宋"/>
                <w:color w:val="auto"/>
                <w:sz w:val="24"/>
                <w:highlight w:val="none"/>
              </w:rPr>
            </w:pPr>
          </w:p>
        </w:tc>
      </w:tr>
    </w:tbl>
    <w:p>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pPr>
        <w:autoSpaceDE w:val="0"/>
        <w:autoSpaceDN w:val="0"/>
        <w:spacing w:line="360" w:lineRule="auto"/>
        <w:ind w:firstLine="4560" w:firstLineChars="1900"/>
        <w:rPr>
          <w:rFonts w:ascii="仿宋" w:hAnsi="仿宋" w:eastAsia="仿宋" w:cs="仿宋"/>
          <w:color w:val="auto"/>
          <w:kern w:val="0"/>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jc w:val="left"/>
        <w:rPr>
          <w:rFonts w:ascii="仿宋" w:hAnsi="仿宋" w:eastAsia="仿宋" w:cs="仿宋"/>
          <w:b/>
          <w:bCs/>
          <w:color w:val="auto"/>
          <w:sz w:val="32"/>
          <w:szCs w:val="32"/>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ascii="仿宋" w:hAnsi="仿宋" w:eastAsia="仿宋" w:cs="仿宋"/>
          <w:b/>
          <w:bCs/>
          <w:color w:val="auto"/>
          <w:sz w:val="24"/>
          <w:highlight w:val="none"/>
        </w:rPr>
      </w:pPr>
    </w:p>
    <w:p>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设备维保服务能力</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pPr>
        <w:spacing w:line="360" w:lineRule="auto"/>
        <w:jc w:val="center"/>
        <w:rPr>
          <w:rFonts w:ascii="仿宋" w:hAnsi="仿宋" w:eastAsia="仿宋" w:cs="仿宋"/>
          <w:color w:val="auto"/>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both"/>
        <w:rPr>
          <w:rFonts w:ascii="仿宋" w:hAnsi="仿宋" w:eastAsia="仿宋" w:cs="仿宋"/>
          <w:b/>
          <w:bCs/>
          <w:color w:val="auto"/>
          <w:sz w:val="32"/>
          <w:szCs w:val="32"/>
          <w:highlight w:val="none"/>
        </w:rPr>
      </w:pPr>
    </w:p>
    <w:p>
      <w:pPr>
        <w:spacing w:line="360" w:lineRule="auto"/>
        <w:jc w:val="center"/>
        <w:rPr>
          <w:rFonts w:ascii="仿宋" w:hAnsi="仿宋" w:eastAsia="仿宋" w:cs="仿宋"/>
          <w:color w:val="auto"/>
          <w:kern w:val="0"/>
          <w:sz w:val="24"/>
          <w:highlight w:val="non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w:t>
      </w: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、备品备件仓库和工具设备资源</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仿宋"/>
                <w:color w:val="auto"/>
                <w:sz w:val="24"/>
                <w:highlight w:val="none"/>
              </w:rPr>
            </w:pPr>
          </w:p>
        </w:tc>
        <w:tc>
          <w:tcPr>
            <w:tcW w:w="1900" w:type="dxa"/>
          </w:tcPr>
          <w:p>
            <w:pPr>
              <w:pStyle w:val="31"/>
              <w:spacing w:line="360" w:lineRule="auto"/>
              <w:jc w:val="center"/>
              <w:rPr>
                <w:rFonts w:ascii="仿宋" w:hAnsi="仿宋" w:eastAsia="仿宋" w:cs="仿宋"/>
                <w:color w:val="auto"/>
                <w:sz w:val="24"/>
                <w:highlight w:val="none"/>
              </w:rPr>
            </w:pPr>
          </w:p>
        </w:tc>
        <w:tc>
          <w:tcPr>
            <w:tcW w:w="1800" w:type="dxa"/>
          </w:tcPr>
          <w:p>
            <w:pPr>
              <w:pStyle w:val="31"/>
              <w:spacing w:line="360" w:lineRule="auto"/>
              <w:jc w:val="center"/>
              <w:rPr>
                <w:rFonts w:ascii="仿宋" w:hAnsi="仿宋" w:eastAsia="仿宋" w:cs="仿宋"/>
                <w:color w:val="auto"/>
                <w:sz w:val="24"/>
                <w:highlight w:val="none"/>
              </w:rPr>
            </w:pPr>
          </w:p>
        </w:tc>
        <w:tc>
          <w:tcPr>
            <w:tcW w:w="2880" w:type="dxa"/>
          </w:tcPr>
          <w:p>
            <w:pPr>
              <w:pStyle w:val="31"/>
              <w:spacing w:line="360" w:lineRule="auto"/>
              <w:jc w:val="center"/>
              <w:rPr>
                <w:rFonts w:ascii="仿宋" w:hAnsi="仿宋" w:eastAsia="仿宋" w:cs="仿宋"/>
                <w:color w:val="auto"/>
                <w:sz w:val="24"/>
                <w:highlight w:val="none"/>
              </w:rPr>
            </w:pPr>
          </w:p>
        </w:tc>
        <w:tc>
          <w:tcPr>
            <w:tcW w:w="1332" w:type="dxa"/>
          </w:tcPr>
          <w:p>
            <w:pPr>
              <w:pStyle w:val="31"/>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仿宋"/>
                <w:color w:val="auto"/>
                <w:sz w:val="24"/>
                <w:highlight w:val="none"/>
              </w:rPr>
            </w:pPr>
          </w:p>
        </w:tc>
        <w:tc>
          <w:tcPr>
            <w:tcW w:w="1900" w:type="dxa"/>
          </w:tcPr>
          <w:p>
            <w:pPr>
              <w:pStyle w:val="31"/>
              <w:spacing w:line="360" w:lineRule="auto"/>
              <w:jc w:val="center"/>
              <w:rPr>
                <w:rFonts w:ascii="仿宋" w:hAnsi="仿宋" w:eastAsia="仿宋" w:cs="仿宋"/>
                <w:color w:val="auto"/>
                <w:sz w:val="24"/>
                <w:highlight w:val="none"/>
              </w:rPr>
            </w:pPr>
          </w:p>
        </w:tc>
        <w:tc>
          <w:tcPr>
            <w:tcW w:w="1800" w:type="dxa"/>
          </w:tcPr>
          <w:p>
            <w:pPr>
              <w:pStyle w:val="31"/>
              <w:spacing w:line="360" w:lineRule="auto"/>
              <w:jc w:val="center"/>
              <w:rPr>
                <w:rFonts w:ascii="仿宋" w:hAnsi="仿宋" w:eastAsia="仿宋" w:cs="仿宋"/>
                <w:color w:val="auto"/>
                <w:sz w:val="24"/>
                <w:highlight w:val="none"/>
              </w:rPr>
            </w:pPr>
          </w:p>
        </w:tc>
        <w:tc>
          <w:tcPr>
            <w:tcW w:w="2880" w:type="dxa"/>
          </w:tcPr>
          <w:p>
            <w:pPr>
              <w:pStyle w:val="31"/>
              <w:spacing w:line="360" w:lineRule="auto"/>
              <w:jc w:val="center"/>
              <w:rPr>
                <w:rFonts w:ascii="仿宋" w:hAnsi="仿宋" w:eastAsia="仿宋" w:cs="仿宋"/>
                <w:color w:val="auto"/>
                <w:sz w:val="24"/>
                <w:highlight w:val="none"/>
              </w:rPr>
            </w:pPr>
          </w:p>
        </w:tc>
        <w:tc>
          <w:tcPr>
            <w:tcW w:w="1332" w:type="dxa"/>
          </w:tcPr>
          <w:p>
            <w:pPr>
              <w:pStyle w:val="31"/>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仿宋"/>
                <w:color w:val="auto"/>
                <w:sz w:val="24"/>
                <w:highlight w:val="none"/>
              </w:rPr>
            </w:pPr>
          </w:p>
        </w:tc>
        <w:tc>
          <w:tcPr>
            <w:tcW w:w="1900" w:type="dxa"/>
          </w:tcPr>
          <w:p>
            <w:pPr>
              <w:pStyle w:val="31"/>
              <w:spacing w:line="360" w:lineRule="auto"/>
              <w:jc w:val="center"/>
              <w:rPr>
                <w:rFonts w:ascii="仿宋" w:hAnsi="仿宋" w:eastAsia="仿宋" w:cs="仿宋"/>
                <w:color w:val="auto"/>
                <w:sz w:val="24"/>
                <w:highlight w:val="none"/>
              </w:rPr>
            </w:pPr>
          </w:p>
        </w:tc>
        <w:tc>
          <w:tcPr>
            <w:tcW w:w="1800" w:type="dxa"/>
          </w:tcPr>
          <w:p>
            <w:pPr>
              <w:pStyle w:val="31"/>
              <w:spacing w:line="360" w:lineRule="auto"/>
              <w:jc w:val="center"/>
              <w:rPr>
                <w:rFonts w:ascii="仿宋" w:hAnsi="仿宋" w:eastAsia="仿宋" w:cs="仿宋"/>
                <w:color w:val="auto"/>
                <w:sz w:val="24"/>
                <w:highlight w:val="none"/>
              </w:rPr>
            </w:pPr>
          </w:p>
        </w:tc>
        <w:tc>
          <w:tcPr>
            <w:tcW w:w="2880" w:type="dxa"/>
          </w:tcPr>
          <w:p>
            <w:pPr>
              <w:pStyle w:val="31"/>
              <w:spacing w:line="360" w:lineRule="auto"/>
              <w:jc w:val="center"/>
              <w:rPr>
                <w:rFonts w:ascii="仿宋" w:hAnsi="仿宋" w:eastAsia="仿宋" w:cs="仿宋"/>
                <w:color w:val="auto"/>
                <w:sz w:val="24"/>
                <w:highlight w:val="none"/>
              </w:rPr>
            </w:pPr>
          </w:p>
        </w:tc>
        <w:tc>
          <w:tcPr>
            <w:tcW w:w="1332" w:type="dxa"/>
          </w:tcPr>
          <w:p>
            <w:pPr>
              <w:pStyle w:val="31"/>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仿宋"/>
                <w:color w:val="auto"/>
                <w:sz w:val="24"/>
                <w:highlight w:val="none"/>
              </w:rPr>
            </w:pPr>
          </w:p>
        </w:tc>
        <w:tc>
          <w:tcPr>
            <w:tcW w:w="1900" w:type="dxa"/>
          </w:tcPr>
          <w:p>
            <w:pPr>
              <w:pStyle w:val="31"/>
              <w:spacing w:line="360" w:lineRule="auto"/>
              <w:jc w:val="center"/>
              <w:rPr>
                <w:rFonts w:ascii="仿宋" w:hAnsi="仿宋" w:eastAsia="仿宋" w:cs="仿宋"/>
                <w:color w:val="auto"/>
                <w:sz w:val="24"/>
                <w:highlight w:val="none"/>
              </w:rPr>
            </w:pPr>
          </w:p>
        </w:tc>
        <w:tc>
          <w:tcPr>
            <w:tcW w:w="1800" w:type="dxa"/>
          </w:tcPr>
          <w:p>
            <w:pPr>
              <w:pStyle w:val="31"/>
              <w:spacing w:line="360" w:lineRule="auto"/>
              <w:jc w:val="center"/>
              <w:rPr>
                <w:rFonts w:ascii="仿宋" w:hAnsi="仿宋" w:eastAsia="仿宋" w:cs="仿宋"/>
                <w:color w:val="auto"/>
                <w:sz w:val="24"/>
                <w:highlight w:val="none"/>
              </w:rPr>
            </w:pPr>
          </w:p>
        </w:tc>
        <w:tc>
          <w:tcPr>
            <w:tcW w:w="2880" w:type="dxa"/>
          </w:tcPr>
          <w:p>
            <w:pPr>
              <w:pStyle w:val="31"/>
              <w:spacing w:line="360" w:lineRule="auto"/>
              <w:jc w:val="center"/>
              <w:rPr>
                <w:rFonts w:ascii="仿宋" w:hAnsi="仿宋" w:eastAsia="仿宋" w:cs="仿宋"/>
                <w:color w:val="auto"/>
                <w:sz w:val="24"/>
                <w:highlight w:val="none"/>
              </w:rPr>
            </w:pPr>
          </w:p>
        </w:tc>
        <w:tc>
          <w:tcPr>
            <w:tcW w:w="1332" w:type="dxa"/>
          </w:tcPr>
          <w:p>
            <w:pPr>
              <w:pStyle w:val="31"/>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仿宋"/>
                <w:color w:val="auto"/>
                <w:sz w:val="24"/>
                <w:highlight w:val="none"/>
              </w:rPr>
            </w:pPr>
          </w:p>
        </w:tc>
        <w:tc>
          <w:tcPr>
            <w:tcW w:w="1900" w:type="dxa"/>
          </w:tcPr>
          <w:p>
            <w:pPr>
              <w:pStyle w:val="31"/>
              <w:spacing w:line="360" w:lineRule="auto"/>
              <w:jc w:val="center"/>
              <w:rPr>
                <w:rFonts w:ascii="仿宋" w:hAnsi="仿宋" w:eastAsia="仿宋" w:cs="仿宋"/>
                <w:color w:val="auto"/>
                <w:sz w:val="24"/>
                <w:highlight w:val="none"/>
              </w:rPr>
            </w:pPr>
          </w:p>
        </w:tc>
        <w:tc>
          <w:tcPr>
            <w:tcW w:w="1800" w:type="dxa"/>
          </w:tcPr>
          <w:p>
            <w:pPr>
              <w:pStyle w:val="31"/>
              <w:spacing w:line="360" w:lineRule="auto"/>
              <w:jc w:val="center"/>
              <w:rPr>
                <w:rFonts w:ascii="仿宋" w:hAnsi="仿宋" w:eastAsia="仿宋" w:cs="仿宋"/>
                <w:color w:val="auto"/>
                <w:sz w:val="24"/>
                <w:highlight w:val="none"/>
              </w:rPr>
            </w:pPr>
          </w:p>
        </w:tc>
        <w:tc>
          <w:tcPr>
            <w:tcW w:w="2880" w:type="dxa"/>
          </w:tcPr>
          <w:p>
            <w:pPr>
              <w:pStyle w:val="31"/>
              <w:spacing w:line="360" w:lineRule="auto"/>
              <w:jc w:val="center"/>
              <w:rPr>
                <w:rFonts w:ascii="仿宋" w:hAnsi="仿宋" w:eastAsia="仿宋" w:cs="仿宋"/>
                <w:color w:val="auto"/>
                <w:sz w:val="24"/>
                <w:highlight w:val="none"/>
              </w:rPr>
            </w:pPr>
          </w:p>
        </w:tc>
        <w:tc>
          <w:tcPr>
            <w:tcW w:w="1332" w:type="dxa"/>
          </w:tcPr>
          <w:p>
            <w:pPr>
              <w:pStyle w:val="31"/>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rPr>
                <w:rFonts w:ascii="仿宋" w:hAnsi="仿宋" w:eastAsia="仿宋" w:cs="仿宋"/>
                <w:color w:val="auto"/>
                <w:sz w:val="24"/>
                <w:highlight w:val="none"/>
              </w:rPr>
            </w:pPr>
          </w:p>
        </w:tc>
        <w:tc>
          <w:tcPr>
            <w:tcW w:w="1900" w:type="dxa"/>
          </w:tcPr>
          <w:p>
            <w:pPr>
              <w:pStyle w:val="31"/>
              <w:spacing w:line="360" w:lineRule="auto"/>
              <w:jc w:val="center"/>
              <w:rPr>
                <w:rFonts w:ascii="仿宋" w:hAnsi="仿宋" w:eastAsia="仿宋" w:cs="仿宋"/>
                <w:color w:val="auto"/>
                <w:sz w:val="24"/>
                <w:highlight w:val="none"/>
              </w:rPr>
            </w:pPr>
          </w:p>
        </w:tc>
        <w:tc>
          <w:tcPr>
            <w:tcW w:w="1800" w:type="dxa"/>
          </w:tcPr>
          <w:p>
            <w:pPr>
              <w:pStyle w:val="31"/>
              <w:spacing w:line="360" w:lineRule="auto"/>
              <w:jc w:val="center"/>
              <w:rPr>
                <w:rFonts w:ascii="仿宋" w:hAnsi="仿宋" w:eastAsia="仿宋" w:cs="仿宋"/>
                <w:color w:val="auto"/>
                <w:sz w:val="24"/>
                <w:highlight w:val="none"/>
              </w:rPr>
            </w:pPr>
          </w:p>
        </w:tc>
        <w:tc>
          <w:tcPr>
            <w:tcW w:w="2880" w:type="dxa"/>
          </w:tcPr>
          <w:p>
            <w:pPr>
              <w:pStyle w:val="31"/>
              <w:spacing w:line="360" w:lineRule="auto"/>
              <w:jc w:val="center"/>
              <w:rPr>
                <w:rFonts w:ascii="仿宋" w:hAnsi="仿宋" w:eastAsia="仿宋" w:cs="仿宋"/>
                <w:color w:val="auto"/>
                <w:sz w:val="24"/>
                <w:highlight w:val="none"/>
              </w:rPr>
            </w:pPr>
          </w:p>
        </w:tc>
        <w:tc>
          <w:tcPr>
            <w:tcW w:w="1332" w:type="dxa"/>
          </w:tcPr>
          <w:p>
            <w:pPr>
              <w:pStyle w:val="31"/>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ascii="仿宋" w:hAnsi="仿宋" w:eastAsia="仿宋" w:cs="仿宋"/>
                <w:color w:val="auto"/>
                <w:sz w:val="24"/>
                <w:highlight w:val="none"/>
              </w:rPr>
            </w:pPr>
          </w:p>
        </w:tc>
        <w:tc>
          <w:tcPr>
            <w:tcW w:w="1900" w:type="dxa"/>
          </w:tcPr>
          <w:p>
            <w:pPr>
              <w:pStyle w:val="31"/>
              <w:spacing w:line="360" w:lineRule="auto"/>
              <w:jc w:val="center"/>
              <w:rPr>
                <w:rFonts w:ascii="仿宋" w:hAnsi="仿宋" w:eastAsia="仿宋" w:cs="仿宋"/>
                <w:color w:val="auto"/>
                <w:sz w:val="24"/>
                <w:highlight w:val="none"/>
              </w:rPr>
            </w:pPr>
          </w:p>
        </w:tc>
        <w:tc>
          <w:tcPr>
            <w:tcW w:w="1800" w:type="dxa"/>
          </w:tcPr>
          <w:p>
            <w:pPr>
              <w:pStyle w:val="31"/>
              <w:spacing w:line="360" w:lineRule="auto"/>
              <w:jc w:val="center"/>
              <w:rPr>
                <w:rFonts w:ascii="仿宋" w:hAnsi="仿宋" w:eastAsia="仿宋" w:cs="仿宋"/>
                <w:color w:val="auto"/>
                <w:sz w:val="24"/>
                <w:highlight w:val="none"/>
              </w:rPr>
            </w:pPr>
          </w:p>
        </w:tc>
        <w:tc>
          <w:tcPr>
            <w:tcW w:w="2880" w:type="dxa"/>
          </w:tcPr>
          <w:p>
            <w:pPr>
              <w:pStyle w:val="31"/>
              <w:spacing w:line="360" w:lineRule="auto"/>
              <w:jc w:val="center"/>
              <w:rPr>
                <w:rFonts w:ascii="仿宋" w:hAnsi="仿宋" w:eastAsia="仿宋" w:cs="仿宋"/>
                <w:color w:val="auto"/>
                <w:sz w:val="24"/>
                <w:highlight w:val="none"/>
              </w:rPr>
            </w:pPr>
          </w:p>
        </w:tc>
        <w:tc>
          <w:tcPr>
            <w:tcW w:w="1332" w:type="dxa"/>
          </w:tcPr>
          <w:p>
            <w:pPr>
              <w:pStyle w:val="31"/>
              <w:spacing w:line="360" w:lineRule="auto"/>
              <w:jc w:val="center"/>
              <w:rPr>
                <w:rFonts w:ascii="仿宋" w:hAnsi="仿宋" w:eastAsia="仿宋" w:cs="仿宋"/>
                <w:color w:val="auto"/>
                <w:sz w:val="24"/>
                <w:highlight w:val="none"/>
              </w:rPr>
            </w:pPr>
          </w:p>
        </w:tc>
      </w:tr>
    </w:tbl>
    <w:p>
      <w:pPr>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pPr>
        <w:spacing w:line="360" w:lineRule="auto"/>
        <w:ind w:firstLine="480" w:firstLineChars="200"/>
        <w:rPr>
          <w:rFonts w:ascii="仿宋" w:hAnsi="仿宋" w:eastAsia="仿宋" w:cs="仿宋"/>
          <w:color w:val="auto"/>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ascii="仿宋" w:hAnsi="仿宋" w:eastAsia="仿宋" w:cs="仿宋"/>
          <w:b/>
          <w:bCs/>
          <w:color w:val="auto"/>
          <w:sz w:val="32"/>
          <w:szCs w:val="32"/>
          <w:highlight w:val="none"/>
        </w:rPr>
      </w:pPr>
    </w:p>
    <w:p>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十七</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售后服务方案</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pPr>
        <w:spacing w:line="360" w:lineRule="auto"/>
        <w:jc w:val="center"/>
        <w:rPr>
          <w:rFonts w:ascii="仿宋" w:hAnsi="仿宋" w:eastAsia="仿宋" w:cs="仿宋"/>
          <w:color w:val="auto"/>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ascii="仿宋" w:hAnsi="仿宋" w:eastAsia="仿宋" w:cs="仿宋"/>
          <w:color w:val="auto"/>
          <w:kern w:val="0"/>
          <w:sz w:val="24"/>
          <w:highlight w:val="none"/>
        </w:rPr>
      </w:pPr>
    </w:p>
    <w:p>
      <w:pPr>
        <w:spacing w:line="360" w:lineRule="auto"/>
        <w:jc w:val="center"/>
        <w:rPr>
          <w:rFonts w:ascii="仿宋" w:hAnsi="仿宋" w:eastAsia="仿宋" w:cs="仿宋"/>
          <w:color w:val="auto"/>
          <w:kern w:val="0"/>
          <w:sz w:val="24"/>
          <w:highlight w:val="none"/>
        </w:rPr>
      </w:pPr>
    </w:p>
    <w:p>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lang w:val="en-US" w:eastAsia="zh-CN"/>
        </w:rPr>
        <w:t>十八</w:t>
      </w:r>
      <w:r>
        <w:rPr>
          <w:rFonts w:hint="eastAsia" w:ascii="仿宋" w:hAnsi="仿宋" w:eastAsia="仿宋" w:cs="仿宋"/>
          <w:b/>
          <w:bCs/>
          <w:color w:val="auto"/>
          <w:sz w:val="32"/>
          <w:szCs w:val="32"/>
          <w:highlight w:val="none"/>
        </w:rPr>
        <w:t>、认为需求的</w:t>
      </w:r>
      <w:r>
        <w:rPr>
          <w:rFonts w:hint="eastAsia" w:ascii="仿宋" w:hAnsi="仿宋" w:eastAsia="仿宋" w:cs="仿宋"/>
          <w:b/>
          <w:color w:val="auto"/>
          <w:kern w:val="0"/>
          <w:sz w:val="32"/>
          <w:szCs w:val="32"/>
          <w:highlight w:val="none"/>
          <w:lang w:val="zh-CN"/>
        </w:rPr>
        <w:t>其他技术文件或说明</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pPr>
        <w:spacing w:line="360" w:lineRule="auto"/>
        <w:rPr>
          <w:rFonts w:ascii="仿宋" w:hAnsi="仿宋" w:eastAsia="仿宋" w:cs="仿宋"/>
          <w:color w:val="auto"/>
          <w:sz w:val="24"/>
          <w:highlight w:val="none"/>
        </w:rPr>
      </w:pPr>
    </w:p>
    <w:p>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ascii="仿宋" w:hAnsi="仿宋" w:eastAsia="仿宋" w:cs="仿宋"/>
          <w:b/>
          <w:bCs/>
          <w:color w:val="auto"/>
          <w:sz w:val="32"/>
          <w:szCs w:val="32"/>
          <w:highlight w:val="none"/>
        </w:rPr>
      </w:pPr>
    </w:p>
    <w:p>
      <w:pPr>
        <w:tabs>
          <w:tab w:val="left" w:pos="0"/>
        </w:tabs>
        <w:autoSpaceDE w:val="0"/>
        <w:autoSpaceDN w:val="0"/>
        <w:spacing w:line="360" w:lineRule="auto"/>
        <w:ind w:firstLine="2409" w:firstLineChars="800"/>
        <w:rPr>
          <w:rFonts w:ascii="仿宋" w:hAnsi="仿宋" w:eastAsia="仿宋" w:cs="仿宋"/>
          <w:b/>
          <w:bCs/>
          <w:color w:val="auto"/>
          <w:sz w:val="30"/>
          <w:szCs w:val="30"/>
          <w:highlight w:val="none"/>
        </w:rPr>
      </w:pPr>
    </w:p>
    <w:p>
      <w:pPr>
        <w:tabs>
          <w:tab w:val="left" w:pos="0"/>
        </w:tabs>
        <w:autoSpaceDE w:val="0"/>
        <w:autoSpaceDN w:val="0"/>
        <w:spacing w:line="360" w:lineRule="auto"/>
        <w:jc w:val="center"/>
        <w:rPr>
          <w:rFonts w:ascii="仿宋" w:hAnsi="仿宋" w:eastAsia="仿宋" w:cs="仿宋"/>
          <w:b/>
          <w:bCs/>
          <w:color w:val="auto"/>
          <w:sz w:val="30"/>
          <w:szCs w:val="30"/>
          <w:highlight w:val="none"/>
        </w:rPr>
      </w:pPr>
    </w:p>
    <w:p>
      <w:pPr>
        <w:widowControl/>
        <w:adjustRightInd/>
        <w:jc w:val="left"/>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pPr>
        <w:tabs>
          <w:tab w:val="left" w:pos="0"/>
        </w:tabs>
        <w:autoSpaceDE w:val="0"/>
        <w:autoSpaceDN w:val="0"/>
        <w:spacing w:line="360" w:lineRule="auto"/>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十九</w:t>
      </w:r>
      <w:r>
        <w:rPr>
          <w:rFonts w:hint="eastAsia" w:ascii="仿宋" w:hAnsi="仿宋" w:eastAsia="仿宋" w:cs="仿宋"/>
          <w:b/>
          <w:bCs/>
          <w:color w:val="auto"/>
          <w:sz w:val="30"/>
          <w:szCs w:val="30"/>
          <w:highlight w:val="none"/>
        </w:rPr>
        <w:t>、</w:t>
      </w:r>
      <w:r>
        <w:rPr>
          <w:rFonts w:hint="eastAsia" w:ascii="仿宋" w:hAnsi="仿宋" w:eastAsia="仿宋" w:cs="仿宋"/>
          <w:b/>
          <w:color w:val="auto"/>
          <w:kern w:val="0"/>
          <w:sz w:val="32"/>
          <w:szCs w:val="32"/>
          <w:highlight w:val="none"/>
          <w:lang w:val="zh-CN"/>
        </w:rPr>
        <w:t>政府采购供应商廉洁自律承诺书</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eastAsia="zh-CN"/>
        </w:rPr>
        <w:t>浙江省中小企业发展促进中心</w:t>
      </w:r>
      <w:r>
        <w:rPr>
          <w:rFonts w:hint="eastAsia" w:ascii="仿宋" w:hAnsi="仿宋" w:eastAsia="仿宋" w:cs="仿宋"/>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color w:val="auto"/>
          <w:sz w:val="36"/>
          <w:szCs w:val="36"/>
          <w:highlight w:val="none"/>
        </w:rPr>
      </w:pPr>
    </w:p>
    <w:p>
      <w:pPr>
        <w:widowControl/>
        <w:adjustRightInd/>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pStyle w:val="114"/>
        <w:keepNext w:val="0"/>
        <w:pageBreakBefore w:val="0"/>
        <w:tabs>
          <w:tab w:val="clear" w:pos="720"/>
        </w:tabs>
        <w:ind w:firstLine="640"/>
        <w:outlineLvl w:val="9"/>
        <w:rPr>
          <w:rFonts w:ascii="仿宋" w:hAnsi="仿宋" w:eastAsia="仿宋" w:cs="仿宋"/>
          <w:color w:val="auto"/>
          <w:kern w:val="2"/>
          <w:sz w:val="32"/>
          <w:szCs w:val="32"/>
          <w:highlight w:val="none"/>
        </w:rPr>
        <w:sectPr>
          <w:headerReference r:id="rId7" w:type="first"/>
          <w:footerReference r:id="rId8" w:type="even"/>
          <w:pgSz w:w="11906" w:h="16838"/>
          <w:pgMar w:top="779" w:right="1418" w:bottom="468" w:left="1418" w:header="851" w:footer="992" w:gutter="0"/>
          <w:pgNumType w:start="64"/>
          <w:cols w:space="720" w:num="1"/>
          <w:titlePg/>
          <w:docGrid w:linePitch="312" w:charSpace="0"/>
        </w:sectPr>
      </w:pPr>
    </w:p>
    <w:p>
      <w:pPr>
        <w:pStyle w:val="392"/>
        <w:ind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第八部分 最后报价格式</w:t>
      </w:r>
    </w:p>
    <w:p>
      <w:pPr>
        <w:pStyle w:val="114"/>
        <w:keepNext w:val="0"/>
        <w:pageBreakBefore w:val="0"/>
        <w:tabs>
          <w:tab w:val="clear" w:pos="720"/>
        </w:tabs>
        <w:ind w:firstLine="640"/>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pPr>
        <w:autoSpaceDE w:val="0"/>
        <w:autoSpaceDN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浙江省中小企业发展促进中心</w:t>
      </w:r>
      <w:r>
        <w:rPr>
          <w:rFonts w:hint="eastAsia" w:ascii="仿宋" w:hAnsi="仿宋" w:eastAsia="仿宋" w:cs="仿宋"/>
          <w:color w:val="auto"/>
          <w:sz w:val="24"/>
          <w:highlight w:val="none"/>
        </w:rPr>
        <w:t>、浙江省成套工程有限公司</w:t>
      </w:r>
      <w:r>
        <w:rPr>
          <w:rFonts w:hint="eastAsia" w:ascii="仿宋" w:hAnsi="仿宋" w:eastAsia="仿宋" w:cs="仿宋"/>
          <w:color w:val="auto"/>
          <w:kern w:val="0"/>
          <w:sz w:val="24"/>
          <w:highlight w:val="none"/>
          <w:lang w:val="zh-CN"/>
        </w:rPr>
        <w:t>：</w:t>
      </w:r>
    </w:p>
    <w:p>
      <w:pPr>
        <w:spacing w:line="360" w:lineRule="auto"/>
        <w:ind w:firstLine="7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lang w:eastAsia="zh-CN"/>
        </w:rPr>
        <w:t>浙江省中小企业综合楼电梯更新改造项目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ZJCT8-ZXZX202401</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的实施。</w:t>
      </w:r>
    </w:p>
    <w:p>
      <w:pPr>
        <w:snapToGrid w:val="0"/>
        <w:spacing w:line="360" w:lineRule="auto"/>
        <w:ind w:left="480"/>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410"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410"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410"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p>
        </w:tc>
        <w:tc>
          <w:tcPr>
            <w:tcW w:w="992"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410"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p>
        </w:tc>
        <w:tc>
          <w:tcPr>
            <w:tcW w:w="992"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410"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pPr>
              <w:spacing w:line="360" w:lineRule="auto"/>
              <w:jc w:val="center"/>
              <w:rPr>
                <w:rFonts w:ascii="仿宋" w:hAnsi="仿宋" w:eastAsia="仿宋" w:cs="仿宋"/>
                <w:color w:val="auto"/>
                <w:sz w:val="24"/>
                <w:highlight w:val="none"/>
              </w:rPr>
            </w:pPr>
          </w:p>
        </w:tc>
      </w:tr>
    </w:tbl>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最后报价文件含有采购人不能接受的附加条件，响应无效</w:t>
      </w:r>
      <w:r>
        <w:rPr>
          <w:rFonts w:hint="eastAsia" w:ascii="仿宋" w:hAnsi="仿宋" w:eastAsia="仿宋" w:cs="仿宋"/>
          <w:b/>
          <w:color w:val="auto"/>
          <w:kern w:val="0"/>
          <w:sz w:val="24"/>
          <w:highlight w:val="none"/>
          <w:lang w:val="zh-CN"/>
        </w:rPr>
        <w:t>；采购内容未包含在《最后报价一览表》名称栏中，供应商不能作出合理解释的，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pPr>
        <w:spacing w:line="360" w:lineRule="auto"/>
        <w:ind w:firstLine="480" w:firstLineChars="200"/>
        <w:rPr>
          <w:rFonts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874" w:rightChars="-416"/>
        <w:rPr>
          <w:rFonts w:ascii="仿宋" w:hAnsi="仿宋" w:eastAsia="仿宋" w:cs="仿宋"/>
          <w:color w:val="auto"/>
          <w:sz w:val="24"/>
          <w:highlight w:val="none"/>
        </w:rPr>
      </w:pPr>
    </w:p>
    <w:p>
      <w:pPr>
        <w:spacing w:line="360" w:lineRule="auto"/>
        <w:ind w:right="-874" w:rightChars="-416"/>
        <w:rPr>
          <w:rFonts w:ascii="仿宋" w:hAnsi="仿宋" w:eastAsia="仿宋" w:cs="仿宋"/>
          <w:color w:val="auto"/>
          <w:sz w:val="24"/>
          <w:highlight w:val="none"/>
        </w:rPr>
      </w:pPr>
    </w:p>
    <w:p>
      <w:pPr>
        <w:spacing w:line="360" w:lineRule="auto"/>
        <w:ind w:right="-874" w:rightChars="-416"/>
        <w:rPr>
          <w:rFonts w:ascii="仿宋" w:hAnsi="仿宋" w:eastAsia="仿宋" w:cs="仿宋"/>
          <w:color w:val="auto"/>
          <w:sz w:val="24"/>
          <w:highlight w:val="none"/>
        </w:rPr>
      </w:pPr>
    </w:p>
    <w:p>
      <w:pPr>
        <w:spacing w:line="360" w:lineRule="auto"/>
        <w:ind w:right="-874" w:rightChars="-416"/>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p>
    <w:p>
      <w:pPr>
        <w:autoSpaceDE w:val="0"/>
        <w:autoSpaceDN w:val="0"/>
        <w:spacing w:line="360" w:lineRule="auto"/>
        <w:ind w:left="5040"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（二）中小企业声明函</w:t>
      </w:r>
      <w:bookmarkStart w:id="68" w:name="_Toc465665161"/>
      <w:r>
        <w:rPr>
          <w:rFonts w:hint="eastAsia" w:ascii="仿宋" w:hAnsi="仿宋" w:eastAsia="仿宋" w:cs="仿宋"/>
          <w:b/>
          <w:color w:val="auto"/>
          <w:sz w:val="32"/>
          <w:szCs w:val="32"/>
          <w:highlight w:val="none"/>
        </w:rPr>
        <w:t>（如果有）</w:t>
      </w:r>
    </w:p>
    <w:p>
      <w:pPr>
        <w:widowControl/>
        <w:spacing w:line="360" w:lineRule="auto"/>
        <w:ind w:firstLine="120" w:firstLineChars="50"/>
        <w:jc w:val="left"/>
        <w:rPr>
          <w:rFonts w:ascii="仿宋" w:hAnsi="仿宋" w:eastAsia="仿宋" w:cs="仿宋"/>
          <w:b/>
          <w:color w:val="auto"/>
          <w:sz w:val="24"/>
          <w:highlight w:val="none"/>
        </w:rPr>
      </w:pP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adjustRightInd/>
        <w:jc w:val="center"/>
        <w:rPr>
          <w:rFonts w:ascii="仿宋" w:hAnsi="仿宋" w:eastAsia="仿宋" w:cs="仿宋"/>
          <w:color w:val="auto"/>
          <w:sz w:val="24"/>
          <w:highlight w:val="none"/>
        </w:rPr>
      </w:pPr>
    </w:p>
    <w:p>
      <w:pPr>
        <w:widowControl/>
        <w:adjustRightInd/>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bookmarkEnd w:id="68"/>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ascii="仿宋" w:hAnsi="仿宋" w:eastAsia="仿宋" w:cs="仿宋"/>
          <w:b/>
          <w:color w:val="auto"/>
          <w:sz w:val="24"/>
          <w:highlight w:val="none"/>
        </w:rPr>
      </w:pPr>
    </w:p>
    <w:p>
      <w:pPr>
        <w:widowControl/>
        <w:adjustRightInd/>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pPr>
        <w:spacing w:line="360" w:lineRule="auto"/>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浙江省中小企业发展促进中心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浙江省中小企业综合楼电梯更新改造项目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widowControl/>
        <w:adjustRightInd/>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autoSpaceDE w:val="0"/>
        <w:autoSpaceDN w:val="0"/>
        <w:jc w:val="left"/>
        <w:rPr>
          <w:rFonts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pPr>
        <w:spacing w:line="360" w:lineRule="auto"/>
        <w:jc w:val="left"/>
        <w:rPr>
          <w:rFonts w:ascii="仿宋" w:hAnsi="仿宋" w:eastAsia="仿宋" w:cs="仿宋"/>
          <w:b/>
          <w:color w:val="auto"/>
          <w:sz w:val="24"/>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pPr>
        <w:autoSpaceDE w:val="0"/>
        <w:autoSpaceDN w:val="0"/>
        <w:jc w:val="center"/>
        <w:rPr>
          <w:rFonts w:ascii="仿宋" w:hAnsi="仿宋" w:eastAsia="仿宋" w:cs="仿宋"/>
          <w:b/>
          <w:bCs/>
          <w:color w:val="auto"/>
          <w:sz w:val="32"/>
          <w:szCs w:val="32"/>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浙江省中小企业发展促进中心</w:t>
      </w:r>
      <w:r>
        <w:rPr>
          <w:rFonts w:hint="eastAsia" w:ascii="仿宋" w:hAnsi="仿宋" w:eastAsia="仿宋" w:cs="仿宋"/>
          <w:color w:val="auto"/>
          <w:sz w:val="24"/>
          <w:highlight w:val="none"/>
        </w:rPr>
        <w:t>、浙江省成套工程有限公司：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w:t>
      </w:r>
      <w:r>
        <w:rPr>
          <w:rFonts w:hint="eastAsia" w:ascii="仿宋" w:hAnsi="仿宋" w:eastAsia="仿宋" w:cs="仿宋"/>
          <w:color w:val="auto"/>
          <w:sz w:val="24"/>
          <w:highlight w:val="none"/>
          <w:lang w:eastAsia="zh-CN"/>
        </w:rPr>
        <w:t>浙江省中小企业综合楼电梯更新改造项目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ZJCT8-ZXZX202401</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2"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pPr>
        <w:spacing w:line="360" w:lineRule="auto"/>
        <w:ind w:right="482"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pPr>
        <w:widowControl/>
        <w:spacing w:line="360" w:lineRule="auto"/>
        <w:ind w:firstLine="480" w:firstLineChars="200"/>
        <w:jc w:val="left"/>
        <w:rPr>
          <w:rFonts w:ascii="仿宋" w:hAnsi="仿宋" w:eastAsia="仿宋" w:cs="仿宋"/>
          <w:color w:val="auto"/>
          <w:kern w:val="0"/>
          <w:sz w:val="24"/>
          <w:highlight w:val="none"/>
        </w:rPr>
      </w:pPr>
    </w:p>
    <w:p>
      <w:pPr>
        <w:snapToGrid w:val="0"/>
        <w:spacing w:line="360" w:lineRule="auto"/>
        <w:jc w:val="center"/>
        <w:rPr>
          <w:rFonts w:ascii="仿宋" w:hAnsi="仿宋" w:eastAsia="仿宋" w:cs="仿宋"/>
          <w:b/>
          <w:color w:val="auto"/>
          <w:sz w:val="24"/>
          <w:highlight w:val="none"/>
        </w:rPr>
      </w:pPr>
    </w:p>
    <w:p>
      <w:pPr>
        <w:widowControl/>
        <w:adjustRightInd/>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autoSpaceDE w:val="0"/>
        <w:autoSpaceDN w:val="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pPr>
        <w:spacing w:line="360" w:lineRule="auto"/>
        <w:jc w:val="center"/>
        <w:rPr>
          <w:rFonts w:ascii="仿宋" w:hAnsi="仿宋" w:eastAsia="仿宋" w:cs="仿宋"/>
          <w:b/>
          <w:color w:val="auto"/>
          <w:sz w:val="32"/>
          <w:szCs w:val="32"/>
          <w:highlight w:val="none"/>
        </w:rPr>
      </w:pPr>
    </w:p>
    <w:p>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w:t>
      </w:r>
      <w:r>
        <w:rPr>
          <w:rFonts w:hint="eastAsia" w:ascii="仿宋" w:hAnsi="仿宋" w:eastAsia="仿宋" w:cs="仿宋"/>
          <w:b/>
          <w:color w:val="auto"/>
          <w:sz w:val="36"/>
          <w:szCs w:val="36"/>
          <w:highlight w:val="none"/>
          <w:lang w:val="en-US" w:eastAsia="zh-CN"/>
        </w:rPr>
        <w:t>货物</w:t>
      </w:r>
      <w:r>
        <w:rPr>
          <w:rFonts w:hint="eastAsia" w:ascii="仿宋" w:hAnsi="仿宋" w:eastAsia="仿宋" w:cs="仿宋"/>
          <w:b/>
          <w:color w:val="auto"/>
          <w:sz w:val="36"/>
          <w:szCs w:val="36"/>
          <w:highlight w:val="none"/>
        </w:rPr>
        <w:t>）</w:t>
      </w:r>
    </w:p>
    <w:p>
      <w:pPr>
        <w:spacing w:line="360" w:lineRule="auto"/>
        <w:jc w:val="center"/>
        <w:rPr>
          <w:rFonts w:ascii="仿宋" w:hAnsi="仿宋" w:eastAsia="仿宋" w:cs="仿宋"/>
          <w:b/>
          <w:color w:val="auto"/>
          <w:sz w:val="32"/>
          <w:szCs w:val="32"/>
          <w:highlight w:val="none"/>
        </w:rPr>
      </w:pP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浙江省中小企业发展促进中心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浙江省中小企业综合楼电梯更新改造项目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采购活动，工程的施测单位全部为符合政策要求的中小企业（或者：服务全部由符合政策要求的中小企业承接）。相关企业（含联合体中的中小企业、签订分包意向协议的中小企业）的具体情况如下：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val="en-US" w:eastAsia="zh-CN"/>
        </w:rPr>
        <w:t>电梯</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ascii="仿宋" w:hAnsi="仿宋" w:eastAsia="仿宋" w:cs="仿宋"/>
          <w:b/>
          <w:color w:val="auto"/>
          <w:sz w:val="24"/>
          <w:highlight w:val="none"/>
        </w:rPr>
      </w:pPr>
    </w:p>
    <w:p>
      <w:pPr>
        <w:spacing w:line="360" w:lineRule="auto"/>
        <w:ind w:firstLine="482" w:firstLineChars="200"/>
        <w:rPr>
          <w:rFonts w:ascii="仿宋" w:hAnsi="仿宋" w:eastAsia="仿宋" w:cs="仿宋"/>
          <w:b/>
          <w:color w:val="auto"/>
          <w:sz w:val="24"/>
          <w:highlight w:val="none"/>
        </w:rPr>
      </w:pPr>
    </w:p>
    <w:sectPr>
      <w:headerReference r:id="rId10" w:type="first"/>
      <w:headerReference r:id="rId9" w:type="default"/>
      <w:pgSz w:w="11906" w:h="16838"/>
      <w:pgMar w:top="779" w:right="1418" w:bottom="468" w:left="1418" w:header="851" w:footer="992" w:gutter="0"/>
      <w:pgNumType w:start="79"/>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separate"/>
    </w:r>
    <w:r>
      <w:rPr>
        <w:rStyle w:val="64"/>
      </w:rPr>
      <w:t>66</w:t>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仿宋" w:hAnsi="仿宋" w:eastAsia="仿宋"/>
      </w:rPr>
    </w:pPr>
    <w:r>
      <w:rPr>
        <w:rFonts w:hint="eastAsia" w:ascii="仿宋" w:hAnsi="仿宋" w:eastAsia="仿宋"/>
      </w:rPr>
      <w:t xml:space="preserve">浙江省成套工程有限公司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lang w:eastAsia="zh-CN"/>
      </w:rPr>
      <w:t>浙江省中小企业综合楼电梯更新改造项目</w:t>
    </w:r>
    <w:r>
      <w:rPr>
        <w:rFonts w:ascii="仿宋" w:hAnsi="仿宋" w:eastAsia="仿宋"/>
      </w:rPr>
      <w:t xml:space="preserve">                                                                            </w:t>
    </w:r>
  </w:p>
  <w:p>
    <w:pPr>
      <w:pStyle w:val="56"/>
      <w:ind w:firstLine="180" w:firstLineChars="100"/>
      <w:jc w:val="both"/>
      <w:rPr>
        <w:rFonts w:ascii="仿宋_GB2312" w:eastAsia="仿宋_GB2312"/>
        <w:b w:val="0"/>
        <w:iCs/>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ascii="仿宋" w:hAnsi="仿宋" w:eastAsia="仿宋"/>
        <w:lang w:eastAsia="zh-CN"/>
      </w:rPr>
    </w:pPr>
    <w:r>
      <w:rPr>
        <w:rFonts w:hint="eastAsia" w:ascii="仿宋" w:hAnsi="仿宋" w:eastAsia="仿宋"/>
      </w:rPr>
      <w:t xml:space="preserve">浙江省成套工程有限公司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r>
      <w:rPr>
        <w:rFonts w:hint="eastAsia" w:ascii="仿宋" w:hAnsi="仿宋" w:eastAsia="仿宋"/>
        <w:lang w:eastAsia="zh-CN"/>
      </w:rPr>
      <w:t>浙江省中小企业综合楼电梯更新改造项目</w:t>
    </w:r>
  </w:p>
  <w:p>
    <w:pPr>
      <w:pStyle w:val="38"/>
      <w:jc w:val="lef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ascii="仿宋" w:hAnsi="仿宋" w:eastAsia="仿宋"/>
        <w:lang w:eastAsia="zh-CN"/>
      </w:rPr>
    </w:pPr>
    <w:r>
      <w:rPr>
        <w:rFonts w:hint="eastAsia" w:ascii="仿宋" w:hAnsi="仿宋" w:eastAsia="仿宋"/>
      </w:rPr>
      <w:t xml:space="preserve">浙江省成套工程有限公司            </w:t>
    </w:r>
    <w:r>
      <w:rPr>
        <w:rFonts w:ascii="仿宋" w:hAnsi="仿宋" w:eastAsia="仿宋"/>
      </w:rPr>
      <w:t xml:space="preserve">                             </w:t>
    </w:r>
    <w:r>
      <w:rPr>
        <w:rFonts w:hint="eastAsia" w:ascii="仿宋" w:hAnsi="仿宋" w:eastAsia="仿宋"/>
      </w:rPr>
      <w:t xml:space="preserve">   </w:t>
    </w:r>
    <w:r>
      <w:rPr>
        <w:rFonts w:hint="eastAsia" w:ascii="仿宋" w:hAnsi="仿宋" w:eastAsia="仿宋"/>
        <w:lang w:eastAsia="zh-CN"/>
      </w:rPr>
      <w:t>浙江省中小企业综合楼电梯更新改造项目</w:t>
    </w:r>
  </w:p>
  <w:p>
    <w:pPr>
      <w:pStyle w:val="56"/>
      <w:ind w:firstLine="180" w:firstLineChars="100"/>
      <w:jc w:val="both"/>
      <w:rPr>
        <w:rFonts w:ascii="仿宋_GB2312" w:eastAsia="仿宋_GB2312"/>
        <w:b w:val="0"/>
        <w:iCs/>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ascii="仿宋" w:hAnsi="仿宋" w:eastAsia="仿宋"/>
        <w:lang w:eastAsia="zh-CN"/>
      </w:rPr>
    </w:pPr>
    <w:r>
      <w:rPr>
        <w:rFonts w:hint="eastAsia" w:ascii="仿宋" w:hAnsi="仿宋" w:eastAsia="仿宋"/>
      </w:rPr>
      <w:t xml:space="preserve">浙江省成套工程有限公司      </w:t>
    </w:r>
    <w:r>
      <w:rPr>
        <w:rFonts w:ascii="仿宋" w:hAnsi="仿宋" w:eastAsia="仿宋"/>
      </w:rPr>
      <w:t xml:space="preserve">                                      </w:t>
    </w:r>
    <w:r>
      <w:rPr>
        <w:rFonts w:hint="eastAsia" w:ascii="仿宋" w:hAnsi="仿宋" w:eastAsia="仿宋"/>
        <w:lang w:eastAsia="zh-CN"/>
      </w:rPr>
      <w:t>浙江省中小企业综合楼电梯更新改造项目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5548E"/>
    <w:multiLevelType w:val="singleLevel"/>
    <w:tmpl w:val="8C15548E"/>
    <w:lvl w:ilvl="0" w:tentative="0">
      <w:start w:val="1"/>
      <w:numFmt w:val="decimal"/>
      <w:lvlText w:val="%1."/>
      <w:lvlJc w:val="left"/>
      <w:pPr>
        <w:ind w:left="425" w:hanging="425"/>
      </w:pPr>
      <w:rPr>
        <w:rFonts w:hint="default"/>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1B65404"/>
    <w:multiLevelType w:val="singleLevel"/>
    <w:tmpl w:val="01B65404"/>
    <w:lvl w:ilvl="0" w:tentative="0">
      <w:start w:val="1"/>
      <w:numFmt w:val="decimal"/>
      <w:suff w:val="nothing"/>
      <w:lvlText w:val="（%1）"/>
      <w:lvlJc w:val="left"/>
    </w:lvl>
  </w:abstractNum>
  <w:abstractNum w:abstractNumId="5">
    <w:nsid w:val="02FA721C"/>
    <w:multiLevelType w:val="multilevel"/>
    <w:tmpl w:val="02FA721C"/>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2ABC2D48"/>
    <w:multiLevelType w:val="multilevel"/>
    <w:tmpl w:val="2ABC2D4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6DC57255"/>
    <w:multiLevelType w:val="multilevel"/>
    <w:tmpl w:val="6DC57255"/>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73072B80"/>
    <w:multiLevelType w:val="multilevel"/>
    <w:tmpl w:val="73072B80"/>
    <w:lvl w:ilvl="0" w:tentative="0">
      <w:start w:val="1"/>
      <w:numFmt w:val="japaneseCounting"/>
      <w:lvlText w:val="%1、"/>
      <w:lvlJc w:val="left"/>
      <w:pPr>
        <w:ind w:left="744" w:hanging="74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3"/>
  </w:num>
  <w:num w:numId="3">
    <w:abstractNumId w:val="1"/>
  </w:num>
  <w:num w:numId="4">
    <w:abstractNumId w:val="2"/>
  </w:num>
  <w:num w:numId="5">
    <w:abstractNumId w:val="10"/>
  </w:num>
  <w:num w:numId="6">
    <w:abstractNumId w:val="14"/>
  </w:num>
  <w:num w:numId="7">
    <w:abstractNumId w:val="13"/>
  </w:num>
  <w:num w:numId="8">
    <w:abstractNumId w:val="7"/>
  </w:num>
  <w:num w:numId="9">
    <w:abstractNumId w:val="5"/>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YjRhN2ZiMzNiZDY5MTU1NGUyYTBjYzllMDkzZD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11C4"/>
    <w:rsid w:val="00042533"/>
    <w:rsid w:val="00042E65"/>
    <w:rsid w:val="0004347C"/>
    <w:rsid w:val="000438C0"/>
    <w:rsid w:val="00043907"/>
    <w:rsid w:val="00044F48"/>
    <w:rsid w:val="0004651A"/>
    <w:rsid w:val="00050656"/>
    <w:rsid w:val="00051109"/>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167"/>
    <w:rsid w:val="0008580E"/>
    <w:rsid w:val="00085A0E"/>
    <w:rsid w:val="00086F8A"/>
    <w:rsid w:val="00086F9A"/>
    <w:rsid w:val="000904F6"/>
    <w:rsid w:val="00090ED8"/>
    <w:rsid w:val="0009133E"/>
    <w:rsid w:val="0009145F"/>
    <w:rsid w:val="00091B4E"/>
    <w:rsid w:val="00091D89"/>
    <w:rsid w:val="0009298B"/>
    <w:rsid w:val="00092FE9"/>
    <w:rsid w:val="00094342"/>
    <w:rsid w:val="000960BA"/>
    <w:rsid w:val="0009662A"/>
    <w:rsid w:val="000A1A52"/>
    <w:rsid w:val="000A1F98"/>
    <w:rsid w:val="000A23CE"/>
    <w:rsid w:val="000A49BB"/>
    <w:rsid w:val="000A4C67"/>
    <w:rsid w:val="000A5674"/>
    <w:rsid w:val="000A5A46"/>
    <w:rsid w:val="000A7758"/>
    <w:rsid w:val="000A7922"/>
    <w:rsid w:val="000B0E04"/>
    <w:rsid w:val="000B10DE"/>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12"/>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0228"/>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60F"/>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C35"/>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47F5"/>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63A"/>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6C2"/>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479"/>
    <w:rsid w:val="001C0616"/>
    <w:rsid w:val="001C0DD2"/>
    <w:rsid w:val="001C10BD"/>
    <w:rsid w:val="001C1F01"/>
    <w:rsid w:val="001C232F"/>
    <w:rsid w:val="001C31F5"/>
    <w:rsid w:val="001C44BC"/>
    <w:rsid w:val="001C5885"/>
    <w:rsid w:val="001C6698"/>
    <w:rsid w:val="001D1D55"/>
    <w:rsid w:val="001D21EF"/>
    <w:rsid w:val="001D330D"/>
    <w:rsid w:val="001D4AD3"/>
    <w:rsid w:val="001D4BD5"/>
    <w:rsid w:val="001D5A94"/>
    <w:rsid w:val="001E1ABC"/>
    <w:rsid w:val="001E59FB"/>
    <w:rsid w:val="001E787E"/>
    <w:rsid w:val="001F087C"/>
    <w:rsid w:val="001F0DA4"/>
    <w:rsid w:val="001F0FD1"/>
    <w:rsid w:val="001F1F18"/>
    <w:rsid w:val="001F2F92"/>
    <w:rsid w:val="001F45E9"/>
    <w:rsid w:val="001F6095"/>
    <w:rsid w:val="00200E37"/>
    <w:rsid w:val="00201EE3"/>
    <w:rsid w:val="00202D33"/>
    <w:rsid w:val="00202F99"/>
    <w:rsid w:val="00203C85"/>
    <w:rsid w:val="00205298"/>
    <w:rsid w:val="002054F4"/>
    <w:rsid w:val="00210B9C"/>
    <w:rsid w:val="00211F2A"/>
    <w:rsid w:val="00212E87"/>
    <w:rsid w:val="00213FC4"/>
    <w:rsid w:val="00214028"/>
    <w:rsid w:val="002141C3"/>
    <w:rsid w:val="002141DC"/>
    <w:rsid w:val="00214479"/>
    <w:rsid w:val="002144F3"/>
    <w:rsid w:val="00215A2A"/>
    <w:rsid w:val="00216387"/>
    <w:rsid w:val="00217427"/>
    <w:rsid w:val="00217BE4"/>
    <w:rsid w:val="002204BC"/>
    <w:rsid w:val="0022234D"/>
    <w:rsid w:val="002223FA"/>
    <w:rsid w:val="00222C78"/>
    <w:rsid w:val="00224B9B"/>
    <w:rsid w:val="0022555A"/>
    <w:rsid w:val="00230FF8"/>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4B5"/>
    <w:rsid w:val="002645DB"/>
    <w:rsid w:val="0026470B"/>
    <w:rsid w:val="0026486D"/>
    <w:rsid w:val="00264966"/>
    <w:rsid w:val="00264CEB"/>
    <w:rsid w:val="00264F73"/>
    <w:rsid w:val="00265F77"/>
    <w:rsid w:val="002660C3"/>
    <w:rsid w:val="00266DE1"/>
    <w:rsid w:val="00266E08"/>
    <w:rsid w:val="00267E43"/>
    <w:rsid w:val="002705CB"/>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4ABE"/>
    <w:rsid w:val="00295073"/>
    <w:rsid w:val="00295DC3"/>
    <w:rsid w:val="0029704D"/>
    <w:rsid w:val="002979C5"/>
    <w:rsid w:val="00297AF5"/>
    <w:rsid w:val="002A02D6"/>
    <w:rsid w:val="002A07C4"/>
    <w:rsid w:val="002A0921"/>
    <w:rsid w:val="002A15E8"/>
    <w:rsid w:val="002A2001"/>
    <w:rsid w:val="002A30AD"/>
    <w:rsid w:val="002A4EB3"/>
    <w:rsid w:val="002A51D9"/>
    <w:rsid w:val="002A5275"/>
    <w:rsid w:val="002B2906"/>
    <w:rsid w:val="002B35C5"/>
    <w:rsid w:val="002B3736"/>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6A5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68F"/>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208"/>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C2D"/>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22A3"/>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089"/>
    <w:rsid w:val="00355D8F"/>
    <w:rsid w:val="0035672E"/>
    <w:rsid w:val="00357437"/>
    <w:rsid w:val="003577EF"/>
    <w:rsid w:val="00357F65"/>
    <w:rsid w:val="00360304"/>
    <w:rsid w:val="00365427"/>
    <w:rsid w:val="003669C8"/>
    <w:rsid w:val="00366CEB"/>
    <w:rsid w:val="00366D8A"/>
    <w:rsid w:val="003679D3"/>
    <w:rsid w:val="00367A87"/>
    <w:rsid w:val="00367AE2"/>
    <w:rsid w:val="003703CE"/>
    <w:rsid w:val="00371C6D"/>
    <w:rsid w:val="00372C89"/>
    <w:rsid w:val="00372E9A"/>
    <w:rsid w:val="003733E5"/>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2FC"/>
    <w:rsid w:val="003B5E0A"/>
    <w:rsid w:val="003B613B"/>
    <w:rsid w:val="003B636A"/>
    <w:rsid w:val="003C011C"/>
    <w:rsid w:val="003C2EAA"/>
    <w:rsid w:val="003C435B"/>
    <w:rsid w:val="003C4EBE"/>
    <w:rsid w:val="003C685A"/>
    <w:rsid w:val="003C6E9C"/>
    <w:rsid w:val="003C7F12"/>
    <w:rsid w:val="003D03D6"/>
    <w:rsid w:val="003D04C3"/>
    <w:rsid w:val="003D14C8"/>
    <w:rsid w:val="003D1517"/>
    <w:rsid w:val="003D2DA0"/>
    <w:rsid w:val="003D34C3"/>
    <w:rsid w:val="003D3F94"/>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E7BEF"/>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5F09"/>
    <w:rsid w:val="00426B2C"/>
    <w:rsid w:val="00427FA8"/>
    <w:rsid w:val="004306D4"/>
    <w:rsid w:val="00431099"/>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233"/>
    <w:rsid w:val="00455F71"/>
    <w:rsid w:val="00456272"/>
    <w:rsid w:val="00457CF7"/>
    <w:rsid w:val="00457D37"/>
    <w:rsid w:val="00460E68"/>
    <w:rsid w:val="00461F80"/>
    <w:rsid w:val="0046240D"/>
    <w:rsid w:val="00463576"/>
    <w:rsid w:val="0046399D"/>
    <w:rsid w:val="00464C26"/>
    <w:rsid w:val="00465264"/>
    <w:rsid w:val="00465781"/>
    <w:rsid w:val="00465A21"/>
    <w:rsid w:val="00466ABA"/>
    <w:rsid w:val="0046775D"/>
    <w:rsid w:val="00471387"/>
    <w:rsid w:val="00471963"/>
    <w:rsid w:val="00473308"/>
    <w:rsid w:val="004735A7"/>
    <w:rsid w:val="004749DA"/>
    <w:rsid w:val="004749DC"/>
    <w:rsid w:val="00474DEF"/>
    <w:rsid w:val="004750B9"/>
    <w:rsid w:val="00475151"/>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80F"/>
    <w:rsid w:val="00495DC6"/>
    <w:rsid w:val="00497AAD"/>
    <w:rsid w:val="00497D1A"/>
    <w:rsid w:val="004A1DBC"/>
    <w:rsid w:val="004A1EA7"/>
    <w:rsid w:val="004A2075"/>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16"/>
    <w:rsid w:val="0050537D"/>
    <w:rsid w:val="005079F5"/>
    <w:rsid w:val="0051037C"/>
    <w:rsid w:val="0051050F"/>
    <w:rsid w:val="00510DDC"/>
    <w:rsid w:val="00511427"/>
    <w:rsid w:val="005131A2"/>
    <w:rsid w:val="0051440E"/>
    <w:rsid w:val="00514F0B"/>
    <w:rsid w:val="005160EA"/>
    <w:rsid w:val="0051650D"/>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74F"/>
    <w:rsid w:val="00541A22"/>
    <w:rsid w:val="005426B2"/>
    <w:rsid w:val="00543640"/>
    <w:rsid w:val="005444C6"/>
    <w:rsid w:val="00544F05"/>
    <w:rsid w:val="005454B8"/>
    <w:rsid w:val="00545B56"/>
    <w:rsid w:val="00545DB9"/>
    <w:rsid w:val="00546BF8"/>
    <w:rsid w:val="00550B7E"/>
    <w:rsid w:val="00551B96"/>
    <w:rsid w:val="00551C02"/>
    <w:rsid w:val="005524ED"/>
    <w:rsid w:val="00554C03"/>
    <w:rsid w:val="00554C9C"/>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67376"/>
    <w:rsid w:val="005701C2"/>
    <w:rsid w:val="0057117C"/>
    <w:rsid w:val="00573560"/>
    <w:rsid w:val="0057438C"/>
    <w:rsid w:val="00574E7B"/>
    <w:rsid w:val="00576B5C"/>
    <w:rsid w:val="0057795C"/>
    <w:rsid w:val="00580DFC"/>
    <w:rsid w:val="00580FA9"/>
    <w:rsid w:val="00581EC5"/>
    <w:rsid w:val="00581F85"/>
    <w:rsid w:val="00583B49"/>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1C54"/>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0E4"/>
    <w:rsid w:val="005E09CA"/>
    <w:rsid w:val="005E4543"/>
    <w:rsid w:val="005E4717"/>
    <w:rsid w:val="005E4B55"/>
    <w:rsid w:val="005E565C"/>
    <w:rsid w:val="005E56C9"/>
    <w:rsid w:val="005E5CF7"/>
    <w:rsid w:val="005E6F5C"/>
    <w:rsid w:val="005E704E"/>
    <w:rsid w:val="005E721E"/>
    <w:rsid w:val="005E75E3"/>
    <w:rsid w:val="005F0857"/>
    <w:rsid w:val="005F2CD5"/>
    <w:rsid w:val="005F403D"/>
    <w:rsid w:val="005F5A0D"/>
    <w:rsid w:val="005F61DF"/>
    <w:rsid w:val="005F77F8"/>
    <w:rsid w:val="005F7BB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5934"/>
    <w:rsid w:val="00626930"/>
    <w:rsid w:val="00626BAC"/>
    <w:rsid w:val="00626F04"/>
    <w:rsid w:val="006271C3"/>
    <w:rsid w:val="0063001E"/>
    <w:rsid w:val="00630D58"/>
    <w:rsid w:val="00631005"/>
    <w:rsid w:val="006315F3"/>
    <w:rsid w:val="00632727"/>
    <w:rsid w:val="00633EF3"/>
    <w:rsid w:val="00635B73"/>
    <w:rsid w:val="006368A8"/>
    <w:rsid w:val="00636CC7"/>
    <w:rsid w:val="00637F27"/>
    <w:rsid w:val="00643F89"/>
    <w:rsid w:val="00644BED"/>
    <w:rsid w:val="00644E2E"/>
    <w:rsid w:val="00645CB4"/>
    <w:rsid w:val="00651091"/>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37B"/>
    <w:rsid w:val="00697D5F"/>
    <w:rsid w:val="006A060C"/>
    <w:rsid w:val="006A150D"/>
    <w:rsid w:val="006A1526"/>
    <w:rsid w:val="006A39D0"/>
    <w:rsid w:val="006A4321"/>
    <w:rsid w:val="006A61EE"/>
    <w:rsid w:val="006B0580"/>
    <w:rsid w:val="006B0F30"/>
    <w:rsid w:val="006B1D06"/>
    <w:rsid w:val="006B2823"/>
    <w:rsid w:val="006B33DB"/>
    <w:rsid w:val="006B3E88"/>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5F79"/>
    <w:rsid w:val="006D6E4E"/>
    <w:rsid w:val="006E00E3"/>
    <w:rsid w:val="006E045C"/>
    <w:rsid w:val="006E065E"/>
    <w:rsid w:val="006E189B"/>
    <w:rsid w:val="006E2902"/>
    <w:rsid w:val="006E2F9D"/>
    <w:rsid w:val="006E37C6"/>
    <w:rsid w:val="006E41ED"/>
    <w:rsid w:val="006E4667"/>
    <w:rsid w:val="006E7B3E"/>
    <w:rsid w:val="006F2046"/>
    <w:rsid w:val="006F241B"/>
    <w:rsid w:val="006F41F4"/>
    <w:rsid w:val="006F5813"/>
    <w:rsid w:val="006F59A8"/>
    <w:rsid w:val="006F5A1D"/>
    <w:rsid w:val="006F71A6"/>
    <w:rsid w:val="006F7974"/>
    <w:rsid w:val="006F7C2C"/>
    <w:rsid w:val="00700810"/>
    <w:rsid w:val="00700D18"/>
    <w:rsid w:val="007010CB"/>
    <w:rsid w:val="0070168D"/>
    <w:rsid w:val="00701C36"/>
    <w:rsid w:val="0070283C"/>
    <w:rsid w:val="0070353F"/>
    <w:rsid w:val="0070415E"/>
    <w:rsid w:val="00704D34"/>
    <w:rsid w:val="00705060"/>
    <w:rsid w:val="00705351"/>
    <w:rsid w:val="007069AE"/>
    <w:rsid w:val="00706C89"/>
    <w:rsid w:val="00707967"/>
    <w:rsid w:val="0071017E"/>
    <w:rsid w:val="00710257"/>
    <w:rsid w:val="007119DC"/>
    <w:rsid w:val="00711CC7"/>
    <w:rsid w:val="0071294A"/>
    <w:rsid w:val="00712BDD"/>
    <w:rsid w:val="00712E1E"/>
    <w:rsid w:val="00712F37"/>
    <w:rsid w:val="00713A4F"/>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0EBF"/>
    <w:rsid w:val="007413EB"/>
    <w:rsid w:val="00742D32"/>
    <w:rsid w:val="00742E9B"/>
    <w:rsid w:val="00743F3B"/>
    <w:rsid w:val="007444E6"/>
    <w:rsid w:val="0074592C"/>
    <w:rsid w:val="00747578"/>
    <w:rsid w:val="00751073"/>
    <w:rsid w:val="00752188"/>
    <w:rsid w:val="0075281E"/>
    <w:rsid w:val="00752CC6"/>
    <w:rsid w:val="00753834"/>
    <w:rsid w:val="007544E8"/>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5D08"/>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5F2F"/>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6A5"/>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4B"/>
    <w:rsid w:val="007E6625"/>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3B1"/>
    <w:rsid w:val="00833583"/>
    <w:rsid w:val="00833B5B"/>
    <w:rsid w:val="00833E9A"/>
    <w:rsid w:val="00834FEF"/>
    <w:rsid w:val="00836323"/>
    <w:rsid w:val="00836492"/>
    <w:rsid w:val="008366FE"/>
    <w:rsid w:val="008404AA"/>
    <w:rsid w:val="00841F29"/>
    <w:rsid w:val="00842A0D"/>
    <w:rsid w:val="008460D2"/>
    <w:rsid w:val="00850013"/>
    <w:rsid w:val="008500DD"/>
    <w:rsid w:val="00850F16"/>
    <w:rsid w:val="0085227D"/>
    <w:rsid w:val="00852426"/>
    <w:rsid w:val="00852FA5"/>
    <w:rsid w:val="0085476F"/>
    <w:rsid w:val="0085562D"/>
    <w:rsid w:val="00856154"/>
    <w:rsid w:val="00856286"/>
    <w:rsid w:val="008576B0"/>
    <w:rsid w:val="008577FE"/>
    <w:rsid w:val="008604D7"/>
    <w:rsid w:val="00861948"/>
    <w:rsid w:val="00862011"/>
    <w:rsid w:val="0086213D"/>
    <w:rsid w:val="0086290B"/>
    <w:rsid w:val="00862A15"/>
    <w:rsid w:val="00862D8E"/>
    <w:rsid w:val="00862EF2"/>
    <w:rsid w:val="00863FC9"/>
    <w:rsid w:val="0086463B"/>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2D5"/>
    <w:rsid w:val="0088093C"/>
    <w:rsid w:val="00882474"/>
    <w:rsid w:val="008824DF"/>
    <w:rsid w:val="00883C23"/>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6DE"/>
    <w:rsid w:val="008B69B8"/>
    <w:rsid w:val="008C0335"/>
    <w:rsid w:val="008C094A"/>
    <w:rsid w:val="008C1077"/>
    <w:rsid w:val="008C1570"/>
    <w:rsid w:val="008C2059"/>
    <w:rsid w:val="008C48A3"/>
    <w:rsid w:val="008C58E7"/>
    <w:rsid w:val="008C65F4"/>
    <w:rsid w:val="008C7368"/>
    <w:rsid w:val="008C7396"/>
    <w:rsid w:val="008D0E65"/>
    <w:rsid w:val="008D18D0"/>
    <w:rsid w:val="008D1FAF"/>
    <w:rsid w:val="008D2259"/>
    <w:rsid w:val="008D33FE"/>
    <w:rsid w:val="008D3B9F"/>
    <w:rsid w:val="008D3D02"/>
    <w:rsid w:val="008D54C0"/>
    <w:rsid w:val="008D5760"/>
    <w:rsid w:val="008D577E"/>
    <w:rsid w:val="008D5ED9"/>
    <w:rsid w:val="008D7567"/>
    <w:rsid w:val="008E1A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5C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3D1D"/>
    <w:rsid w:val="00915679"/>
    <w:rsid w:val="009159C2"/>
    <w:rsid w:val="00916649"/>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1E3D"/>
    <w:rsid w:val="009520BC"/>
    <w:rsid w:val="00953573"/>
    <w:rsid w:val="00957499"/>
    <w:rsid w:val="00957893"/>
    <w:rsid w:val="00957ED2"/>
    <w:rsid w:val="0096049C"/>
    <w:rsid w:val="00960DE4"/>
    <w:rsid w:val="00961A4F"/>
    <w:rsid w:val="00962C9E"/>
    <w:rsid w:val="00963F03"/>
    <w:rsid w:val="00964007"/>
    <w:rsid w:val="009643F4"/>
    <w:rsid w:val="00964F5A"/>
    <w:rsid w:val="00966AD2"/>
    <w:rsid w:val="009671D7"/>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15E"/>
    <w:rsid w:val="009D4E4A"/>
    <w:rsid w:val="009D5130"/>
    <w:rsid w:val="009D6081"/>
    <w:rsid w:val="009D678C"/>
    <w:rsid w:val="009D7BC7"/>
    <w:rsid w:val="009D7FAC"/>
    <w:rsid w:val="009E0342"/>
    <w:rsid w:val="009E09AB"/>
    <w:rsid w:val="009E19BB"/>
    <w:rsid w:val="009E3393"/>
    <w:rsid w:val="009E38D1"/>
    <w:rsid w:val="009E5701"/>
    <w:rsid w:val="009E5711"/>
    <w:rsid w:val="009E6249"/>
    <w:rsid w:val="009E6D26"/>
    <w:rsid w:val="009E758E"/>
    <w:rsid w:val="009E7A4C"/>
    <w:rsid w:val="009E7D6B"/>
    <w:rsid w:val="009F1109"/>
    <w:rsid w:val="009F2A23"/>
    <w:rsid w:val="009F2EDB"/>
    <w:rsid w:val="009F2F52"/>
    <w:rsid w:val="009F56C0"/>
    <w:rsid w:val="009F5C76"/>
    <w:rsid w:val="009F7EF1"/>
    <w:rsid w:val="00A00E00"/>
    <w:rsid w:val="00A01221"/>
    <w:rsid w:val="00A012A8"/>
    <w:rsid w:val="00A016FF"/>
    <w:rsid w:val="00A0207F"/>
    <w:rsid w:val="00A0369F"/>
    <w:rsid w:val="00A04337"/>
    <w:rsid w:val="00A044AA"/>
    <w:rsid w:val="00A04BDC"/>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276B5"/>
    <w:rsid w:val="00A3023E"/>
    <w:rsid w:val="00A305C5"/>
    <w:rsid w:val="00A30919"/>
    <w:rsid w:val="00A3123F"/>
    <w:rsid w:val="00A31FD2"/>
    <w:rsid w:val="00A33A02"/>
    <w:rsid w:val="00A33BDB"/>
    <w:rsid w:val="00A341AB"/>
    <w:rsid w:val="00A355F9"/>
    <w:rsid w:val="00A35AA9"/>
    <w:rsid w:val="00A364BC"/>
    <w:rsid w:val="00A3786A"/>
    <w:rsid w:val="00A402ED"/>
    <w:rsid w:val="00A40685"/>
    <w:rsid w:val="00A41123"/>
    <w:rsid w:val="00A41819"/>
    <w:rsid w:val="00A41C9A"/>
    <w:rsid w:val="00A4262C"/>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6B0"/>
    <w:rsid w:val="00A90627"/>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25B8"/>
    <w:rsid w:val="00AB32AD"/>
    <w:rsid w:val="00AB3466"/>
    <w:rsid w:val="00AB3BBB"/>
    <w:rsid w:val="00AB408C"/>
    <w:rsid w:val="00AB5030"/>
    <w:rsid w:val="00AB759A"/>
    <w:rsid w:val="00AB7B06"/>
    <w:rsid w:val="00AB7EAA"/>
    <w:rsid w:val="00AC0432"/>
    <w:rsid w:val="00AC4094"/>
    <w:rsid w:val="00AC42B6"/>
    <w:rsid w:val="00AC4AB7"/>
    <w:rsid w:val="00AC60EC"/>
    <w:rsid w:val="00AC6CD0"/>
    <w:rsid w:val="00AC6CD9"/>
    <w:rsid w:val="00AD2679"/>
    <w:rsid w:val="00AD3F3C"/>
    <w:rsid w:val="00AD4B1A"/>
    <w:rsid w:val="00AD5F0A"/>
    <w:rsid w:val="00AD6741"/>
    <w:rsid w:val="00AD6B4F"/>
    <w:rsid w:val="00AD7CFA"/>
    <w:rsid w:val="00AE00A9"/>
    <w:rsid w:val="00AE11C1"/>
    <w:rsid w:val="00AE163D"/>
    <w:rsid w:val="00AE1928"/>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10AF"/>
    <w:rsid w:val="00B72CF0"/>
    <w:rsid w:val="00B740F6"/>
    <w:rsid w:val="00B74615"/>
    <w:rsid w:val="00B75035"/>
    <w:rsid w:val="00B755B6"/>
    <w:rsid w:val="00B763FE"/>
    <w:rsid w:val="00B76B55"/>
    <w:rsid w:val="00B804F8"/>
    <w:rsid w:val="00B815D3"/>
    <w:rsid w:val="00B82BC9"/>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1A8E"/>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9A8"/>
    <w:rsid w:val="00BC25D1"/>
    <w:rsid w:val="00BC3BCB"/>
    <w:rsid w:val="00BC427C"/>
    <w:rsid w:val="00BC428A"/>
    <w:rsid w:val="00BC4C40"/>
    <w:rsid w:val="00BC5BAD"/>
    <w:rsid w:val="00BC666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91C"/>
    <w:rsid w:val="00BE0C55"/>
    <w:rsid w:val="00BE11A2"/>
    <w:rsid w:val="00BE246C"/>
    <w:rsid w:val="00BE2657"/>
    <w:rsid w:val="00BE37AE"/>
    <w:rsid w:val="00BE73C3"/>
    <w:rsid w:val="00BE7B29"/>
    <w:rsid w:val="00BF03C0"/>
    <w:rsid w:val="00BF21D4"/>
    <w:rsid w:val="00BF2E46"/>
    <w:rsid w:val="00BF4A15"/>
    <w:rsid w:val="00BF4E27"/>
    <w:rsid w:val="00BF6D77"/>
    <w:rsid w:val="00C00F8E"/>
    <w:rsid w:val="00C01EF2"/>
    <w:rsid w:val="00C021F8"/>
    <w:rsid w:val="00C0378E"/>
    <w:rsid w:val="00C04258"/>
    <w:rsid w:val="00C05AFD"/>
    <w:rsid w:val="00C064D4"/>
    <w:rsid w:val="00C0724C"/>
    <w:rsid w:val="00C07AEF"/>
    <w:rsid w:val="00C07C11"/>
    <w:rsid w:val="00C07CC1"/>
    <w:rsid w:val="00C10015"/>
    <w:rsid w:val="00C12ECB"/>
    <w:rsid w:val="00C137AA"/>
    <w:rsid w:val="00C13B59"/>
    <w:rsid w:val="00C14ABD"/>
    <w:rsid w:val="00C151E0"/>
    <w:rsid w:val="00C169C3"/>
    <w:rsid w:val="00C16B16"/>
    <w:rsid w:val="00C20051"/>
    <w:rsid w:val="00C20B86"/>
    <w:rsid w:val="00C21145"/>
    <w:rsid w:val="00C239A8"/>
    <w:rsid w:val="00C24381"/>
    <w:rsid w:val="00C249D9"/>
    <w:rsid w:val="00C24C2E"/>
    <w:rsid w:val="00C24C7A"/>
    <w:rsid w:val="00C24FFB"/>
    <w:rsid w:val="00C25CFF"/>
    <w:rsid w:val="00C261C1"/>
    <w:rsid w:val="00C26BFE"/>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858"/>
    <w:rsid w:val="00C62A79"/>
    <w:rsid w:val="00C634F9"/>
    <w:rsid w:val="00C64534"/>
    <w:rsid w:val="00C64767"/>
    <w:rsid w:val="00C650A4"/>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0F89"/>
    <w:rsid w:val="00CA1FF9"/>
    <w:rsid w:val="00CA3CAB"/>
    <w:rsid w:val="00CA6A2E"/>
    <w:rsid w:val="00CB051C"/>
    <w:rsid w:val="00CB52A4"/>
    <w:rsid w:val="00CB537C"/>
    <w:rsid w:val="00CB5778"/>
    <w:rsid w:val="00CB6675"/>
    <w:rsid w:val="00CB757F"/>
    <w:rsid w:val="00CC03A0"/>
    <w:rsid w:val="00CC0915"/>
    <w:rsid w:val="00CC1AF5"/>
    <w:rsid w:val="00CC1B74"/>
    <w:rsid w:val="00CC2EB0"/>
    <w:rsid w:val="00CC2F38"/>
    <w:rsid w:val="00CC44F5"/>
    <w:rsid w:val="00CC4845"/>
    <w:rsid w:val="00CC5F95"/>
    <w:rsid w:val="00CC74D7"/>
    <w:rsid w:val="00CD0363"/>
    <w:rsid w:val="00CD1255"/>
    <w:rsid w:val="00CD1484"/>
    <w:rsid w:val="00CD1892"/>
    <w:rsid w:val="00CD1D00"/>
    <w:rsid w:val="00CD26B8"/>
    <w:rsid w:val="00CD2A82"/>
    <w:rsid w:val="00CD32C2"/>
    <w:rsid w:val="00CD347C"/>
    <w:rsid w:val="00CD3CAB"/>
    <w:rsid w:val="00CD3FF0"/>
    <w:rsid w:val="00CD4E50"/>
    <w:rsid w:val="00CD5565"/>
    <w:rsid w:val="00CD64E1"/>
    <w:rsid w:val="00CD699D"/>
    <w:rsid w:val="00CD701B"/>
    <w:rsid w:val="00CD70DB"/>
    <w:rsid w:val="00CD7466"/>
    <w:rsid w:val="00CD7C49"/>
    <w:rsid w:val="00CE2393"/>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3CD2"/>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043"/>
    <w:rsid w:val="00D55C81"/>
    <w:rsid w:val="00D56B56"/>
    <w:rsid w:val="00D56BF5"/>
    <w:rsid w:val="00D56F99"/>
    <w:rsid w:val="00D5743F"/>
    <w:rsid w:val="00D57E8F"/>
    <w:rsid w:val="00D605C2"/>
    <w:rsid w:val="00D60733"/>
    <w:rsid w:val="00D60D6E"/>
    <w:rsid w:val="00D61488"/>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56D"/>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577E"/>
    <w:rsid w:val="00DE6E4D"/>
    <w:rsid w:val="00DF05A0"/>
    <w:rsid w:val="00DF1BA8"/>
    <w:rsid w:val="00DF1F63"/>
    <w:rsid w:val="00DF25FE"/>
    <w:rsid w:val="00DF28F2"/>
    <w:rsid w:val="00DF2BFF"/>
    <w:rsid w:val="00DF48D9"/>
    <w:rsid w:val="00DF4FF1"/>
    <w:rsid w:val="00DF6FD2"/>
    <w:rsid w:val="00DF7724"/>
    <w:rsid w:val="00DF7C43"/>
    <w:rsid w:val="00E00072"/>
    <w:rsid w:val="00E000B2"/>
    <w:rsid w:val="00E00C1E"/>
    <w:rsid w:val="00E00F5F"/>
    <w:rsid w:val="00E014E7"/>
    <w:rsid w:val="00E026A9"/>
    <w:rsid w:val="00E02C24"/>
    <w:rsid w:val="00E0356F"/>
    <w:rsid w:val="00E03B42"/>
    <w:rsid w:val="00E041AA"/>
    <w:rsid w:val="00E0479F"/>
    <w:rsid w:val="00E04C81"/>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5D8F"/>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39D"/>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2780"/>
    <w:rsid w:val="00EC328C"/>
    <w:rsid w:val="00EC3BEC"/>
    <w:rsid w:val="00EC5241"/>
    <w:rsid w:val="00EC594C"/>
    <w:rsid w:val="00EC5C7B"/>
    <w:rsid w:val="00EC66AA"/>
    <w:rsid w:val="00EC6B8F"/>
    <w:rsid w:val="00EC71A2"/>
    <w:rsid w:val="00EC7B48"/>
    <w:rsid w:val="00ED0257"/>
    <w:rsid w:val="00ED03B1"/>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1D1A"/>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17A3D"/>
    <w:rsid w:val="00F20197"/>
    <w:rsid w:val="00F20607"/>
    <w:rsid w:val="00F208BB"/>
    <w:rsid w:val="00F20D7A"/>
    <w:rsid w:val="00F210BE"/>
    <w:rsid w:val="00F21A5D"/>
    <w:rsid w:val="00F21C13"/>
    <w:rsid w:val="00F21DEA"/>
    <w:rsid w:val="00F22796"/>
    <w:rsid w:val="00F238F7"/>
    <w:rsid w:val="00F23BA0"/>
    <w:rsid w:val="00F25641"/>
    <w:rsid w:val="00F26065"/>
    <w:rsid w:val="00F27175"/>
    <w:rsid w:val="00F30313"/>
    <w:rsid w:val="00F303BC"/>
    <w:rsid w:val="00F318A1"/>
    <w:rsid w:val="00F3265C"/>
    <w:rsid w:val="00F33009"/>
    <w:rsid w:val="00F343EE"/>
    <w:rsid w:val="00F3547E"/>
    <w:rsid w:val="00F35494"/>
    <w:rsid w:val="00F3619D"/>
    <w:rsid w:val="00F3722A"/>
    <w:rsid w:val="00F37366"/>
    <w:rsid w:val="00F419B8"/>
    <w:rsid w:val="00F41C0F"/>
    <w:rsid w:val="00F42856"/>
    <w:rsid w:val="00F43390"/>
    <w:rsid w:val="00F43CAF"/>
    <w:rsid w:val="00F43EF6"/>
    <w:rsid w:val="00F4482B"/>
    <w:rsid w:val="00F44F02"/>
    <w:rsid w:val="00F4526B"/>
    <w:rsid w:val="00F455CB"/>
    <w:rsid w:val="00F462DF"/>
    <w:rsid w:val="00F4662D"/>
    <w:rsid w:val="00F468AC"/>
    <w:rsid w:val="00F471BE"/>
    <w:rsid w:val="00F47316"/>
    <w:rsid w:val="00F47507"/>
    <w:rsid w:val="00F5052D"/>
    <w:rsid w:val="00F50BF0"/>
    <w:rsid w:val="00F51A82"/>
    <w:rsid w:val="00F520E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1CC9"/>
    <w:rsid w:val="00F724E2"/>
    <w:rsid w:val="00F72A89"/>
    <w:rsid w:val="00F73E5D"/>
    <w:rsid w:val="00F74103"/>
    <w:rsid w:val="00F7425F"/>
    <w:rsid w:val="00F75BB5"/>
    <w:rsid w:val="00F7604C"/>
    <w:rsid w:val="00F81623"/>
    <w:rsid w:val="00F81D25"/>
    <w:rsid w:val="00F83045"/>
    <w:rsid w:val="00F83615"/>
    <w:rsid w:val="00F8381F"/>
    <w:rsid w:val="00F85329"/>
    <w:rsid w:val="00F86262"/>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3C7E"/>
    <w:rsid w:val="00FB5183"/>
    <w:rsid w:val="00FB5A71"/>
    <w:rsid w:val="00FB6DF2"/>
    <w:rsid w:val="00FB7823"/>
    <w:rsid w:val="00FC08B3"/>
    <w:rsid w:val="00FC09D7"/>
    <w:rsid w:val="00FC1998"/>
    <w:rsid w:val="00FC1D59"/>
    <w:rsid w:val="00FC1ECA"/>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1701"/>
    <w:rsid w:val="00FE1FCA"/>
    <w:rsid w:val="00FE33DB"/>
    <w:rsid w:val="00FE37DD"/>
    <w:rsid w:val="00FE3C31"/>
    <w:rsid w:val="00FE4015"/>
    <w:rsid w:val="00FE44F5"/>
    <w:rsid w:val="00FE480D"/>
    <w:rsid w:val="00FE6227"/>
    <w:rsid w:val="00FE6A50"/>
    <w:rsid w:val="00FE705C"/>
    <w:rsid w:val="00FF0B4F"/>
    <w:rsid w:val="00FF1AD3"/>
    <w:rsid w:val="00FF2347"/>
    <w:rsid w:val="00FF49F4"/>
    <w:rsid w:val="00FF651D"/>
    <w:rsid w:val="00FF68CA"/>
    <w:rsid w:val="00FF759F"/>
    <w:rsid w:val="010651D9"/>
    <w:rsid w:val="02DA0C0E"/>
    <w:rsid w:val="03006624"/>
    <w:rsid w:val="032C659B"/>
    <w:rsid w:val="03C579B4"/>
    <w:rsid w:val="03DD35E4"/>
    <w:rsid w:val="04552582"/>
    <w:rsid w:val="065A6178"/>
    <w:rsid w:val="075562B7"/>
    <w:rsid w:val="07F6164B"/>
    <w:rsid w:val="087A1B7A"/>
    <w:rsid w:val="096B2097"/>
    <w:rsid w:val="0A544CC8"/>
    <w:rsid w:val="0A5B7E63"/>
    <w:rsid w:val="0C87121B"/>
    <w:rsid w:val="0CA64CD7"/>
    <w:rsid w:val="0D933BCD"/>
    <w:rsid w:val="0DF702FE"/>
    <w:rsid w:val="0E3F698B"/>
    <w:rsid w:val="0F21508F"/>
    <w:rsid w:val="0F3F2D5E"/>
    <w:rsid w:val="0F816ACD"/>
    <w:rsid w:val="0FA27E0C"/>
    <w:rsid w:val="0FB94501"/>
    <w:rsid w:val="10B047CF"/>
    <w:rsid w:val="10FC16EA"/>
    <w:rsid w:val="118963A1"/>
    <w:rsid w:val="118E041D"/>
    <w:rsid w:val="122658A3"/>
    <w:rsid w:val="127723A9"/>
    <w:rsid w:val="13072A44"/>
    <w:rsid w:val="134E46F4"/>
    <w:rsid w:val="145044FA"/>
    <w:rsid w:val="155D209B"/>
    <w:rsid w:val="186742B0"/>
    <w:rsid w:val="1A597A63"/>
    <w:rsid w:val="1B2249EB"/>
    <w:rsid w:val="1B2A271F"/>
    <w:rsid w:val="1B890139"/>
    <w:rsid w:val="1CDD09C6"/>
    <w:rsid w:val="1D266CE1"/>
    <w:rsid w:val="1D3963AF"/>
    <w:rsid w:val="1E714A66"/>
    <w:rsid w:val="1FE868A9"/>
    <w:rsid w:val="200A081E"/>
    <w:rsid w:val="201B72B9"/>
    <w:rsid w:val="211E26D6"/>
    <w:rsid w:val="21283D08"/>
    <w:rsid w:val="21BC5234"/>
    <w:rsid w:val="25B440B3"/>
    <w:rsid w:val="26F634C7"/>
    <w:rsid w:val="296678A5"/>
    <w:rsid w:val="29C170A9"/>
    <w:rsid w:val="29F7066E"/>
    <w:rsid w:val="2A5E30FC"/>
    <w:rsid w:val="2AA1365A"/>
    <w:rsid w:val="2B7E174D"/>
    <w:rsid w:val="2B9C061A"/>
    <w:rsid w:val="2D200D0E"/>
    <w:rsid w:val="2DD15014"/>
    <w:rsid w:val="2FD25781"/>
    <w:rsid w:val="2FFC1B30"/>
    <w:rsid w:val="31890686"/>
    <w:rsid w:val="319C6071"/>
    <w:rsid w:val="321A3B76"/>
    <w:rsid w:val="327C3046"/>
    <w:rsid w:val="32DB72BE"/>
    <w:rsid w:val="342E63AB"/>
    <w:rsid w:val="345D260B"/>
    <w:rsid w:val="360E4BA2"/>
    <w:rsid w:val="365302AE"/>
    <w:rsid w:val="37F142D2"/>
    <w:rsid w:val="383F180F"/>
    <w:rsid w:val="39A13F14"/>
    <w:rsid w:val="3C336034"/>
    <w:rsid w:val="3C5F759A"/>
    <w:rsid w:val="3D3857FE"/>
    <w:rsid w:val="3D5C78D4"/>
    <w:rsid w:val="3FFBDDE6"/>
    <w:rsid w:val="406E50B4"/>
    <w:rsid w:val="40AC5D0B"/>
    <w:rsid w:val="4145203C"/>
    <w:rsid w:val="41AA1DBA"/>
    <w:rsid w:val="424E55A6"/>
    <w:rsid w:val="42E1381E"/>
    <w:rsid w:val="43FB717C"/>
    <w:rsid w:val="451E447A"/>
    <w:rsid w:val="45345B76"/>
    <w:rsid w:val="45FB74C4"/>
    <w:rsid w:val="47307808"/>
    <w:rsid w:val="486F747C"/>
    <w:rsid w:val="4A570604"/>
    <w:rsid w:val="4ADF4DF2"/>
    <w:rsid w:val="4D861CF6"/>
    <w:rsid w:val="4DEFD3A5"/>
    <w:rsid w:val="4E66162F"/>
    <w:rsid w:val="51A0432A"/>
    <w:rsid w:val="51C524B4"/>
    <w:rsid w:val="527140E5"/>
    <w:rsid w:val="5292508F"/>
    <w:rsid w:val="52A96B6F"/>
    <w:rsid w:val="550764A4"/>
    <w:rsid w:val="551926E0"/>
    <w:rsid w:val="561279B9"/>
    <w:rsid w:val="56515F3B"/>
    <w:rsid w:val="572B71CA"/>
    <w:rsid w:val="58AE4F0C"/>
    <w:rsid w:val="59C3637B"/>
    <w:rsid w:val="5A2A7C7B"/>
    <w:rsid w:val="5B007E6F"/>
    <w:rsid w:val="5C80234E"/>
    <w:rsid w:val="5E261785"/>
    <w:rsid w:val="5E543AC4"/>
    <w:rsid w:val="5FAB1CDF"/>
    <w:rsid w:val="5FCC5339"/>
    <w:rsid w:val="5FE70807"/>
    <w:rsid w:val="5FEB455A"/>
    <w:rsid w:val="60E53485"/>
    <w:rsid w:val="61054A27"/>
    <w:rsid w:val="611D2366"/>
    <w:rsid w:val="612607EA"/>
    <w:rsid w:val="62885958"/>
    <w:rsid w:val="629F37F5"/>
    <w:rsid w:val="63E262C7"/>
    <w:rsid w:val="64CE2EAA"/>
    <w:rsid w:val="65225588"/>
    <w:rsid w:val="662E75B1"/>
    <w:rsid w:val="66342C2E"/>
    <w:rsid w:val="663E784C"/>
    <w:rsid w:val="676F2736"/>
    <w:rsid w:val="685867EC"/>
    <w:rsid w:val="6CC62031"/>
    <w:rsid w:val="6D886C4B"/>
    <w:rsid w:val="6E2C532F"/>
    <w:rsid w:val="6E8E12EF"/>
    <w:rsid w:val="6EF23754"/>
    <w:rsid w:val="6F7A0C3C"/>
    <w:rsid w:val="6FCA5651"/>
    <w:rsid w:val="6FFA17CD"/>
    <w:rsid w:val="71483ABA"/>
    <w:rsid w:val="71D43752"/>
    <w:rsid w:val="73DD6243"/>
    <w:rsid w:val="749C4185"/>
    <w:rsid w:val="7522544C"/>
    <w:rsid w:val="75DA2C18"/>
    <w:rsid w:val="76E47C83"/>
    <w:rsid w:val="775319EF"/>
    <w:rsid w:val="783A3621"/>
    <w:rsid w:val="790F1C77"/>
    <w:rsid w:val="79866697"/>
    <w:rsid w:val="79B853F7"/>
    <w:rsid w:val="7A67303B"/>
    <w:rsid w:val="7AAB1D04"/>
    <w:rsid w:val="7ABA4368"/>
    <w:rsid w:val="7ADF8E8E"/>
    <w:rsid w:val="7B257FFD"/>
    <w:rsid w:val="7C2B1DA5"/>
    <w:rsid w:val="7DAB4741"/>
    <w:rsid w:val="7DF4317E"/>
    <w:rsid w:val="7E64308B"/>
    <w:rsid w:val="7ED60F4C"/>
    <w:rsid w:val="7EFF0B16"/>
    <w:rsid w:val="D3DF15DA"/>
    <w:rsid w:val="EFBC3386"/>
    <w:rsid w:val="F3FF2673"/>
    <w:rsid w:val="FF678C9C"/>
    <w:rsid w:val="FFB90C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36"/>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tabs>
        <w:tab w:val="left" w:pos="432"/>
      </w:tabs>
      <w:spacing w:before="260" w:after="260" w:line="416" w:lineRule="auto"/>
      <w:outlineLvl w:val="2"/>
    </w:pPr>
    <w:rPr>
      <w:b/>
      <w:bCs/>
      <w:sz w:val="32"/>
      <w:szCs w:val="32"/>
    </w:rPr>
  </w:style>
  <w:style w:type="paragraph" w:styleId="6">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10"/>
    <w:autoRedefine/>
    <w:qFormat/>
    <w:uiPriority w:val="0"/>
    <w:pPr>
      <w:autoSpaceDE w:val="0"/>
      <w:autoSpaceDN w:val="0"/>
      <w:spacing w:line="360" w:lineRule="auto"/>
    </w:pPr>
    <w:rPr>
      <w:rFonts w:ascii="宋体"/>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2"/>
    <w:autoRedefine/>
    <w:qFormat/>
    <w:uiPriority w:val="99"/>
    <w:pPr>
      <w:jc w:val="left"/>
    </w:pPr>
  </w:style>
  <w:style w:type="paragraph" w:styleId="21">
    <w:name w:val="Salutation"/>
    <w:basedOn w:val="1"/>
    <w:next w:val="1"/>
    <w:link w:val="480"/>
    <w:autoRedefine/>
    <w:qFormat/>
    <w:uiPriority w:val="0"/>
    <w:rPr>
      <w:rFonts w:ascii="仿宋_GB2312" w:eastAsia="仿宋_GB2312"/>
      <w:sz w:val="28"/>
      <w:szCs w:val="20"/>
    </w:rPr>
  </w:style>
  <w:style w:type="paragraph" w:styleId="22">
    <w:name w:val="Body Text 3"/>
    <w:basedOn w:val="1"/>
    <w:link w:val="579"/>
    <w:autoRedefine/>
    <w:qFormat/>
    <w:uiPriority w:val="0"/>
    <w:pPr>
      <w:jc w:val="center"/>
    </w:pPr>
    <w:rPr>
      <w:szCs w:val="20"/>
    </w:rPr>
  </w:style>
  <w:style w:type="paragraph" w:styleId="23">
    <w:name w:val="Body Text Indent"/>
    <w:basedOn w:val="1"/>
    <w:link w:val="630"/>
    <w:autoRedefine/>
    <w:qFormat/>
    <w:uiPriority w:val="99"/>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99"/>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link w:val="631"/>
    <w:autoRedefine/>
    <w:qFormat/>
    <w:uiPriority w:val="99"/>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6"/>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autoRedefine/>
    <w:semiHidden/>
    <w:qFormat/>
    <w:uiPriority w:val="0"/>
    <w:rPr>
      <w:b/>
      <w:bCs/>
    </w:rPr>
  </w:style>
  <w:style w:type="paragraph" w:styleId="58">
    <w:name w:val="Body Text First Indent"/>
    <w:basedOn w:val="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99"/>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link w:val="64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6"/>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6"/>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5"/>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字符"/>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字符"/>
    <w:link w:val="10"/>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字符"/>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字符"/>
    <w:link w:val="9"/>
    <w:autoRedefine/>
    <w:qFormat/>
    <w:uiPriority w:val="0"/>
    <w:rPr>
      <w:b/>
      <w:bCs/>
      <w:kern w:val="2"/>
      <w:sz w:val="24"/>
      <w:szCs w:val="24"/>
    </w:rPr>
  </w:style>
  <w:style w:type="character" w:customStyle="1" w:styleId="480">
    <w:name w:val="称呼 字符"/>
    <w:link w:val="21"/>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字符"/>
    <w:link w:val="44"/>
    <w:autoRedefine/>
    <w:qFormat/>
    <w:uiPriority w:val="0"/>
    <w:rPr>
      <w:rFonts w:ascii="Arial" w:hAnsi="Arial" w:eastAsia="隶书"/>
      <w:b/>
      <w:bCs/>
      <w:kern w:val="28"/>
      <w:sz w:val="44"/>
      <w:szCs w:val="32"/>
      <w:lang w:val="en-US" w:eastAsia="zh-CN" w:bidi="ar-SA"/>
    </w:rPr>
  </w:style>
  <w:style w:type="character" w:customStyle="1" w:styleId="487">
    <w:name w:val="纯文本 字符"/>
    <w:link w:val="31"/>
    <w:autoRedefine/>
    <w:qFormat/>
    <w:uiPriority w:val="99"/>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文本首行缩进 2 字符"/>
    <w:link w:val="59"/>
    <w:autoRedefine/>
    <w:qFormat/>
    <w:uiPriority w:val="0"/>
    <w:rPr>
      <w:rFonts w:ascii="宋体" w:hAnsi="宋体"/>
      <w:kern w:val="2"/>
      <w:sz w:val="21"/>
      <w:szCs w:val="24"/>
    </w:rPr>
  </w:style>
  <w:style w:type="character" w:customStyle="1" w:styleId="501">
    <w:name w:val="正文文本缩进 2 字符"/>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字符"/>
    <w:link w:val="11"/>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字符"/>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字符"/>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字符"/>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字符"/>
    <w:link w:val="7"/>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字符"/>
    <w:link w:val="22"/>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字符"/>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字符"/>
    <w:link w:val="34"/>
    <w:autoRedefine/>
    <w:qFormat/>
    <w:uiPriority w:val="0"/>
    <w:rPr>
      <w:rFonts w:ascii="宋体"/>
      <w:kern w:val="2"/>
      <w:sz w:val="24"/>
      <w:szCs w:val="21"/>
      <w:lang w:val="zh-CN"/>
    </w:rPr>
  </w:style>
  <w:style w:type="character" w:customStyle="1" w:styleId="597">
    <w:name w:val="标题 4 字符"/>
    <w:link w:val="6"/>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字符"/>
    <w:link w:val="8"/>
    <w:autoRedefine/>
    <w:qFormat/>
    <w:uiPriority w:val="0"/>
    <w:rPr>
      <w:rFonts w:ascii="Arial" w:hAnsi="Arial" w:eastAsia="黑体"/>
      <w:b/>
      <w:bCs/>
      <w:kern w:val="2"/>
      <w:sz w:val="24"/>
      <w:szCs w:val="24"/>
    </w:rPr>
  </w:style>
  <w:style w:type="character" w:customStyle="1" w:styleId="611">
    <w:name w:val="正文缩进 字符"/>
    <w:link w:val="16"/>
    <w:autoRedefine/>
    <w:qFormat/>
    <w:uiPriority w:val="0"/>
    <w:rPr>
      <w:rFonts w:ascii="宋体" w:eastAsia="宋体"/>
      <w:snapToGrid w:val="0"/>
      <w:color w:val="000000"/>
      <w:kern w:val="28"/>
      <w:sz w:val="28"/>
      <w:lang w:val="en-US" w:eastAsia="zh-CN" w:bidi="ar-SA"/>
    </w:rPr>
  </w:style>
  <w:style w:type="character" w:customStyle="1" w:styleId="612">
    <w:name w:val="批注文字 字符"/>
    <w:link w:val="20"/>
    <w:autoRedefine/>
    <w:qFormat/>
    <w:uiPriority w:val="99"/>
    <w:rPr>
      <w:kern w:val="2"/>
      <w:sz w:val="21"/>
      <w:szCs w:val="24"/>
    </w:rPr>
  </w:style>
  <w:style w:type="character" w:customStyle="1" w:styleId="613">
    <w:name w:val="批注框文本 字符"/>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文本缩进 字符"/>
    <w:basedOn w:val="62"/>
    <w:link w:val="23"/>
    <w:autoRedefine/>
    <w:qFormat/>
    <w:uiPriority w:val="99"/>
    <w:rPr>
      <w:kern w:val="2"/>
      <w:sz w:val="21"/>
      <w:szCs w:val="24"/>
    </w:rPr>
  </w:style>
  <w:style w:type="character" w:customStyle="1" w:styleId="631">
    <w:name w:val="页脚 字符"/>
    <w:basedOn w:val="62"/>
    <w:link w:val="37"/>
    <w:autoRedefine/>
    <w:qFormat/>
    <w:uiPriority w:val="99"/>
    <w:rPr>
      <w:kern w:val="2"/>
      <w:sz w:val="18"/>
      <w:szCs w:val="18"/>
    </w:rPr>
  </w:style>
  <w:style w:type="character" w:customStyle="1" w:styleId="632">
    <w:name w:val="未处理的提及1"/>
    <w:basedOn w:val="62"/>
    <w:autoRedefine/>
    <w:semiHidden/>
    <w:unhideWhenUsed/>
    <w:qFormat/>
    <w:uiPriority w:val="99"/>
    <w:rPr>
      <w:color w:val="605E5C"/>
      <w:shd w:val="clear" w:color="auto" w:fill="E1DFDD"/>
    </w:rPr>
  </w:style>
  <w:style w:type="paragraph" w:customStyle="1" w:styleId="633">
    <w:name w:val="列表段落1"/>
    <w:basedOn w:val="1"/>
    <w:autoRedefine/>
    <w:qFormat/>
    <w:uiPriority w:val="0"/>
    <w:pPr>
      <w:spacing w:line="360" w:lineRule="auto"/>
      <w:ind w:firstLine="200" w:firstLineChars="200"/>
    </w:pPr>
    <w:rPr>
      <w:rFonts w:eastAsia="楷体_GB2312" w:cs="Lucida Sans"/>
      <w:sz w:val="24"/>
    </w:rPr>
  </w:style>
  <w:style w:type="paragraph" w:customStyle="1" w:styleId="634">
    <w:name w:val="Body text|1"/>
    <w:basedOn w:val="1"/>
    <w:autoRedefine/>
    <w:qFormat/>
    <w:uiPriority w:val="0"/>
    <w:pPr>
      <w:spacing w:after="140" w:line="353" w:lineRule="auto"/>
      <w:ind w:firstLine="400"/>
    </w:pPr>
    <w:rPr>
      <w:rFonts w:ascii="宋体" w:hAnsi="宋体" w:cs="宋体"/>
      <w:sz w:val="26"/>
      <w:szCs w:val="26"/>
      <w:lang w:val="zh-TW" w:eastAsia="zh-TW" w:bidi="zh-TW"/>
    </w:rPr>
  </w:style>
  <w:style w:type="character" w:customStyle="1" w:styleId="635">
    <w:name w:val="未处理的提及2"/>
    <w:basedOn w:val="62"/>
    <w:autoRedefine/>
    <w:semiHidden/>
    <w:unhideWhenUsed/>
    <w:qFormat/>
    <w:uiPriority w:val="99"/>
    <w:rPr>
      <w:color w:val="605E5C"/>
      <w:shd w:val="clear" w:color="auto" w:fill="E1DFDD"/>
    </w:rPr>
  </w:style>
  <w:style w:type="character" w:customStyle="1" w:styleId="636">
    <w:name w:val="标题 2 字符"/>
    <w:basedOn w:val="62"/>
    <w:link w:val="4"/>
    <w:autoRedefine/>
    <w:qFormat/>
    <w:uiPriority w:val="0"/>
    <w:rPr>
      <w:rFonts w:ascii="Cambria" w:hAnsi="Cambria" w:eastAsia="宋体" w:cs="Times New Roman"/>
      <w:b/>
      <w:bCs/>
      <w:kern w:val="2"/>
      <w:sz w:val="32"/>
      <w:szCs w:val="32"/>
    </w:rPr>
  </w:style>
  <w:style w:type="paragraph" w:customStyle="1" w:styleId="637">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8">
    <w:name w:val="cf01"/>
    <w:basedOn w:val="62"/>
    <w:autoRedefine/>
    <w:qFormat/>
    <w:uiPriority w:val="0"/>
    <w:rPr>
      <w:rFonts w:hint="eastAsia" w:ascii="Microsoft YaHei UI" w:hAnsi="Microsoft YaHei UI" w:eastAsia="Microsoft YaHei UI"/>
      <w:sz w:val="18"/>
      <w:szCs w:val="18"/>
    </w:rPr>
  </w:style>
  <w:style w:type="paragraph" w:customStyle="1" w:styleId="639">
    <w:name w:val="修订3"/>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40">
    <w:name w:val="未处理的提及3"/>
    <w:basedOn w:val="62"/>
    <w:autoRedefine/>
    <w:semiHidden/>
    <w:unhideWhenUsed/>
    <w:qFormat/>
    <w:uiPriority w:val="99"/>
    <w:rPr>
      <w:color w:val="605E5C"/>
      <w:shd w:val="clear" w:color="auto" w:fill="E1DFDD"/>
    </w:rPr>
  </w:style>
  <w:style w:type="character" w:customStyle="1" w:styleId="641">
    <w:name w:val="样式1 Char Char"/>
    <w:link w:val="158"/>
    <w:autoRedefine/>
    <w:qFormat/>
    <w:uiPriority w:val="99"/>
    <w:rPr>
      <w:rFonts w:ascii="宋体" w:hAnsi="宋体"/>
      <w:sz w:val="24"/>
    </w:rPr>
  </w:style>
  <w:style w:type="paragraph" w:customStyle="1" w:styleId="642">
    <w:name w:val="正文首行缩进2"/>
    <w:basedOn w:val="2"/>
    <w:autoRedefine/>
    <w:qFormat/>
    <w:uiPriority w:val="0"/>
    <w:pPr>
      <w:ind w:firstLine="420"/>
    </w:pPr>
    <w:rPr>
      <w:szCs w:val="24"/>
      <w:lang w:val="en-US"/>
    </w:rPr>
  </w:style>
  <w:style w:type="paragraph" w:customStyle="1" w:styleId="643">
    <w:name w:val="正文首行缩进 21"/>
    <w:basedOn w:val="23"/>
    <w:autoRedefine/>
    <w:qFormat/>
    <w:uiPriority w:val="0"/>
    <w:pPr>
      <w:adjustRightInd/>
      <w:spacing w:line="240" w:lineRule="auto"/>
      <w:ind w:left="420" w:leftChars="200" w:firstLine="210"/>
    </w:pPr>
    <w:rPr>
      <w:sz w:val="21"/>
      <w:szCs w:val="21"/>
    </w:rPr>
  </w:style>
  <w:style w:type="paragraph" w:customStyle="1" w:styleId="644">
    <w:name w:val="Table Paragraph"/>
    <w:basedOn w:val="1"/>
    <w:autoRedefine/>
    <w:qFormat/>
    <w:uiPriority w:val="0"/>
    <w:pPr>
      <w:autoSpaceDE w:val="0"/>
      <w:autoSpaceDN w:val="0"/>
      <w:adjustRightInd/>
      <w:jc w:val="left"/>
    </w:pPr>
    <w:rPr>
      <w:rFonts w:ascii="宋体" w:hAnsi="宋体" w:cs="宋体"/>
      <w:kern w:val="0"/>
      <w:sz w:val="22"/>
      <w:szCs w:val="22"/>
    </w:rPr>
  </w:style>
  <w:style w:type="paragraph" w:customStyle="1" w:styleId="645">
    <w:name w:val="正文5"/>
    <w:autoRedefine/>
    <w:qFormat/>
    <w:uiPriority w:val="0"/>
    <w:pPr>
      <w:jc w:val="both"/>
    </w:pPr>
    <w:rPr>
      <w:rFonts w:ascii="Calibri" w:hAnsi="Calibri" w:eastAsia="宋体" w:cs="Calibri"/>
      <w:kern w:val="2"/>
      <w:sz w:val="21"/>
      <w:szCs w:val="21"/>
      <w:lang w:val="en-US" w:eastAsia="zh-CN" w:bidi="ar-SA"/>
    </w:rPr>
  </w:style>
  <w:style w:type="paragraph" w:customStyle="1" w:styleId="646">
    <w:name w:val="1正文"/>
    <w:basedOn w:val="1"/>
    <w:autoRedefine/>
    <w:qFormat/>
    <w:uiPriority w:val="0"/>
    <w:pPr>
      <w:adjustRightInd/>
      <w:spacing w:line="360" w:lineRule="auto"/>
      <w:ind w:firstLine="200" w:firstLineChars="200"/>
    </w:pPr>
    <w:rPr>
      <w:rFonts w:ascii="仿宋_GB2312" w:hAnsi="Arial" w:eastAsia="等线" w:cs="宋体"/>
      <w:sz w:val="28"/>
      <w:szCs w:val="28"/>
    </w:rPr>
  </w:style>
  <w:style w:type="paragraph" w:customStyle="1" w:styleId="647">
    <w:name w:val="正文首行缩进3"/>
    <w:basedOn w:val="2"/>
    <w:autoRedefine/>
    <w:qFormat/>
    <w:uiPriority w:val="0"/>
    <w:pPr>
      <w:ind w:firstLine="420"/>
    </w:pPr>
    <w:rPr>
      <w:rFonts w:hAnsi="Calibri"/>
      <w:szCs w:val="24"/>
      <w:lang w:val="en-US"/>
    </w:rPr>
  </w:style>
  <w:style w:type="paragraph" w:customStyle="1" w:styleId="648">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49">
    <w:name w:val="Revision"/>
    <w:autoRedefine/>
    <w:hidden/>
    <w:unhideWhenUsed/>
    <w:qFormat/>
    <w:uiPriority w:val="99"/>
    <w:rPr>
      <w:rFonts w:ascii="Times New Roman" w:hAnsi="Times New Roman" w:eastAsia="宋体" w:cs="Times New Roman"/>
      <w:kern w:val="2"/>
      <w:sz w:val="21"/>
      <w:szCs w:val="24"/>
      <w:lang w:val="en-US" w:eastAsia="zh-CN" w:bidi="ar-SA"/>
    </w:rPr>
  </w:style>
  <w:style w:type="table" w:customStyle="1" w:styleId="65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9634</Words>
  <Characters>54915</Characters>
  <Lines>457</Lines>
  <Paragraphs>128</Paragraphs>
  <TotalTime>182</TotalTime>
  <ScaleCrop>false</ScaleCrop>
  <LinksUpToDate>false</LinksUpToDate>
  <CharactersWithSpaces>64421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2023-08-24T08:33:00Z</dcterms:created>
  <dc:creator>玥</dc:creator>
  <cp:lastModifiedBy>黑</cp:lastModifiedBy>
  <cp:lastPrinted>2024-04-25T08:33:00Z</cp:lastPrinted>
  <dcterms:modified xsi:type="dcterms:W3CDTF">2024-05-07T04:34:33Z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975FC19E4A9946D5A07F97B73179666F_13</vt:lpwstr>
  </property>
</Properties>
</file>