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便携式GNSS干扰测向系统购置项目</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采购文件</w:t>
      </w:r>
    </w:p>
    <w:p>
      <w:pPr>
        <w:spacing w:line="480" w:lineRule="exact"/>
        <w:ind w:firstLine="480" w:firstLineChars="200"/>
        <w:rPr>
          <w:rFonts w:ascii="仿宋" w:hAnsi="仿宋" w:eastAsia="仿宋" w:cs="仿宋"/>
          <w:color w:val="auto"/>
          <w:sz w:val="24"/>
          <w:highlight w:val="none"/>
        </w:rPr>
      </w:pP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编号:ZJCT8-WXD202403</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采购人：浙江省无线电监测中心</w:t>
      </w:r>
    </w:p>
    <w:p>
      <w:pPr>
        <w:snapToGrid w:val="0"/>
        <w:spacing w:line="360" w:lineRule="auto"/>
        <w:jc w:val="center"/>
        <w:rPr>
          <w:rFonts w:ascii="仿宋" w:hAnsi="仿宋" w:eastAsia="仿宋" w:cs="仿宋"/>
          <w:color w:val="auto"/>
          <w:sz w:val="32"/>
          <w:szCs w:val="32"/>
          <w:highlight w:val="none"/>
        </w:rPr>
      </w:pPr>
      <w:bookmarkStart w:id="0" w:name="_Hlk125824963"/>
      <w:r>
        <w:rPr>
          <w:rFonts w:hint="eastAsia" w:ascii="仿宋" w:hAnsi="仿宋" w:eastAsia="仿宋" w:cs="仿宋"/>
          <w:bCs/>
          <w:color w:val="auto"/>
          <w:sz w:val="32"/>
          <w:szCs w:val="32"/>
          <w:highlight w:val="none"/>
        </w:rPr>
        <w:t>采购代理机构：浙江省成套工程有限公司</w:t>
      </w:r>
      <w:bookmarkEnd w:id="0"/>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2024年4月</w:t>
      </w:r>
    </w:p>
    <w:p>
      <w:pPr>
        <w:rPr>
          <w:rFonts w:ascii="仿宋" w:hAnsi="仿宋" w:eastAsia="仿宋" w:cs="仿宋"/>
          <w:color w:val="auto"/>
          <w:highlight w:val="none"/>
        </w:rPr>
      </w:pPr>
    </w:p>
    <w:p>
      <w:pPr>
        <w:spacing w:line="360" w:lineRule="auto"/>
        <w:jc w:val="center"/>
        <w:rPr>
          <w:rFonts w:ascii="仿宋" w:hAnsi="仿宋" w:eastAsia="仿宋" w:cs="仿宋"/>
          <w:color w:val="auto"/>
          <w:sz w:val="24"/>
          <w:highlight w:val="none"/>
        </w:rPr>
        <w:sectPr>
          <w:footerReference r:id="rId4" w:type="first"/>
          <w:footerReference r:id="rId3" w:type="default"/>
          <w:pgSz w:w="11906" w:h="16838"/>
          <w:pgMar w:top="1418" w:right="1418" w:bottom="1418" w:left="1418" w:header="851" w:footer="992" w:gutter="0"/>
          <w:cols w:space="720" w:num="1"/>
          <w:docGrid w:linePitch="312" w:charSpace="0"/>
        </w:sectPr>
      </w:pPr>
    </w:p>
    <w:p>
      <w:pPr>
        <w:spacing w:line="360" w:lineRule="auto"/>
        <w:jc w:val="center"/>
        <w:rPr>
          <w:rFonts w:ascii="仿宋" w:hAnsi="仿宋" w:eastAsia="仿宋" w:cs="仿宋"/>
          <w:color w:val="auto"/>
          <w:sz w:val="24"/>
          <w:highlight w:val="none"/>
        </w:rPr>
      </w:pPr>
      <w:bookmarkStart w:id="1" w:name="_Hlt67893495"/>
      <w:bookmarkEnd w:id="1"/>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2" w:name="_Hlt74649545"/>
      <w:bookmarkEnd w:id="2"/>
      <w:bookmarkStart w:id="3" w:name="_Hlt91233176"/>
      <w:bookmarkEnd w:id="3"/>
      <w:bookmarkStart w:id="4" w:name="_Hlt74728647"/>
      <w:bookmarkEnd w:id="4"/>
      <w:bookmarkStart w:id="5" w:name="_Hlt74729822"/>
      <w:bookmarkEnd w:id="5"/>
      <w:bookmarkStart w:id="6" w:name="_Hlt74707423"/>
      <w:bookmarkEnd w:id="6"/>
      <w:bookmarkStart w:id="7" w:name="_Toc91899869"/>
      <w:bookmarkStart w:id="8" w:name="第二部分"/>
      <w:bookmarkStart w:id="9" w:name="_Toc91899870"/>
      <w:bookmarkStart w:id="10" w:name="_Toc91899871"/>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bookmarkEnd w:id="7"/>
    <w:p>
      <w:pPr>
        <w:adjustRightInd/>
        <w:spacing w:line="360" w:lineRule="auto"/>
        <w:jc w:val="center"/>
        <w:outlineLvl w:val="0"/>
        <w:rPr>
          <w:rFonts w:ascii="仿宋" w:hAnsi="仿宋" w:eastAsia="仿宋" w:cs="仿宋"/>
          <w:b/>
          <w:color w:val="auto"/>
          <w:sz w:val="36"/>
          <w:szCs w:val="20"/>
          <w:highlight w:val="none"/>
        </w:rPr>
      </w:pPr>
      <w:bookmarkStart w:id="11" w:name="第一部分"/>
      <w:r>
        <w:rPr>
          <w:rFonts w:hint="eastAsia" w:ascii="仿宋" w:hAnsi="仿宋" w:eastAsia="仿宋" w:cs="仿宋"/>
          <w:b/>
          <w:color w:val="auto"/>
          <w:sz w:val="36"/>
          <w:szCs w:val="36"/>
          <w:highlight w:val="none"/>
        </w:rPr>
        <w:br w:type="page"/>
      </w:r>
      <w:bookmarkEnd w:id="1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便携式GNSS干扰测向系统购置项目</w:t>
      </w:r>
      <w:r>
        <w:rPr>
          <w:rFonts w:hint="eastAsia" w:ascii="仿宋" w:hAnsi="仿宋" w:eastAsia="仿宋" w:cs="仿宋"/>
          <w:color w:val="auto"/>
          <w:sz w:val="24"/>
          <w:highlight w:val="none"/>
        </w:rPr>
        <w:t>招标项目的潜在投标人应在政采云平台（https://www.zcygov.cn/）获取（下载）采购文件，并于</w:t>
      </w:r>
      <w:r>
        <w:rPr>
          <w:rFonts w:hint="eastAsia" w:ascii="仿宋" w:hAnsi="仿宋" w:eastAsia="仿宋" w:cs="仿宋"/>
          <w:color w:val="auto"/>
          <w:sz w:val="24"/>
          <w:highlight w:val="none"/>
          <w:lang w:eastAsia="zh-CN"/>
        </w:rPr>
        <w:t>2024年5月22日9点30分00秒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ZJCT8-WXD202403</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便携式GNSS干扰测向系统购置项目</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预算金额：</w:t>
      </w:r>
      <w:r>
        <w:rPr>
          <w:rFonts w:hint="eastAsia" w:ascii="仿宋" w:hAnsi="仿宋" w:eastAsia="仿宋" w:cs="仿宋"/>
          <w:bCs/>
          <w:color w:val="auto"/>
          <w:sz w:val="24"/>
          <w:highlight w:val="none"/>
        </w:rPr>
        <w:t>20万元</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最高限价：</w:t>
      </w:r>
      <w:r>
        <w:rPr>
          <w:rFonts w:hint="eastAsia" w:ascii="仿宋" w:hAnsi="仿宋" w:eastAsia="仿宋" w:cs="仿宋"/>
          <w:bCs/>
          <w:color w:val="auto"/>
          <w:sz w:val="24"/>
          <w:highlight w:val="none"/>
        </w:rPr>
        <w:t>20万元</w:t>
      </w:r>
    </w:p>
    <w:p>
      <w:pPr>
        <w:widowControl/>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snapToGrid w:val="0"/>
          <w:color w:val="auto"/>
          <w:kern w:val="28"/>
          <w:sz w:val="24"/>
          <w:szCs w:val="20"/>
          <w:highlight w:val="none"/>
        </w:rPr>
        <w:t>采购需求：</w:t>
      </w:r>
      <w:r>
        <w:rPr>
          <w:rFonts w:hint="eastAsia" w:ascii="仿宋" w:hAnsi="仿宋" w:eastAsia="仿宋" w:cs="仿宋"/>
          <w:bCs/>
          <w:color w:val="auto"/>
          <w:sz w:val="24"/>
          <w:highlight w:val="none"/>
        </w:rPr>
        <w:t>便携式GNSS干扰测向系统购置项目主要内容：计划购置1套便携式GNSS干扰测向系统，进一步提升GNSS干扰测向定位能力，从而不断提高无线电监测工作效率，补齐工作短板，对促进经济社会发展和服务国防建设起到重要作用。</w:t>
      </w:r>
      <w:r>
        <w:rPr>
          <w:rFonts w:hint="eastAsia" w:ascii="仿宋" w:hAnsi="仿宋" w:eastAsia="仿宋" w:cs="仿宋"/>
          <w:b/>
          <w:bCs/>
          <w:color w:val="auto"/>
          <w:sz w:val="24"/>
          <w:highlight w:val="none"/>
        </w:rPr>
        <w:t>具体以采购文件第三部分采购需求为准，投标人可点击本公告下方“浏览采购文件”查看采购需求。</w:t>
      </w:r>
    </w:p>
    <w:p>
      <w:pPr>
        <w:spacing w:before="156" w:line="360" w:lineRule="auto"/>
        <w:ind w:firstLine="482" w:firstLineChars="200"/>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合同履约期限：</w:t>
      </w:r>
      <w:r>
        <w:rPr>
          <w:rFonts w:hint="eastAsia" w:ascii="仿宋" w:hAnsi="仿宋" w:eastAsia="仿宋" w:cs="仿宋"/>
          <w:bCs/>
          <w:color w:val="auto"/>
          <w:sz w:val="24"/>
          <w:highlight w:val="none"/>
        </w:rPr>
        <w:t>从合同签订之日起90天内完成设备交货，进入试运行阶段，试运行期连续无故障时间不少于15天，试运行期满后进行最终验收。</w:t>
      </w:r>
    </w:p>
    <w:p>
      <w:pPr>
        <w:widowControl/>
        <w:snapToGrid w:val="0"/>
        <w:spacing w:line="360" w:lineRule="auto"/>
        <w:ind w:firstLine="480"/>
        <w:rPr>
          <w:rFonts w:ascii="仿宋" w:hAnsi="仿宋" w:eastAsia="仿宋" w:cs="仿宋"/>
          <w:b/>
          <w:snapToGrid w:val="0"/>
          <w:color w:val="auto"/>
          <w:kern w:val="28"/>
          <w:sz w:val="28"/>
          <w:szCs w:val="20"/>
          <w:highlight w:val="none"/>
        </w:rPr>
      </w:pPr>
      <w:r>
        <w:rPr>
          <w:rFonts w:hint="eastAsia" w:ascii="仿宋" w:hAnsi="仿宋" w:eastAsia="仿宋" w:cs="仿宋"/>
          <w:b/>
          <w:snapToGrid w:val="0"/>
          <w:color w:val="auto"/>
          <w:kern w:val="28"/>
          <w:sz w:val="24"/>
          <w:szCs w:val="20"/>
          <w:highlight w:val="none"/>
        </w:rPr>
        <w:t>本项目接受联合体投标：</w:t>
      </w:r>
      <w:sdt>
        <w:sdtPr>
          <w:rPr>
            <w:rFonts w:hint="eastAsia" w:ascii="仿宋" w:hAnsi="仿宋" w:eastAsia="仿宋" w:cs="仿宋"/>
            <w:snapToGrid w:val="0"/>
            <w:color w:val="auto"/>
            <w:kern w:val="0"/>
            <w:sz w:val="24"/>
            <w:szCs w:val="20"/>
            <w:highlight w:val="none"/>
          </w:rPr>
          <w:id w:val="27"/>
          <w14:checkbox>
            <w14:checked w14:val="1"/>
            <w14:checkedState w14:val="00FE" w14:font="Wingdings"/>
            <w14:uncheckedState w14:val="2610" w14:font="MS Gothic"/>
          </w14:checkbox>
        </w:sdtPr>
        <w:sdtEndPr>
          <w:rPr>
            <w:rFonts w:hint="eastAsia" w:ascii="仿宋" w:hAnsi="仿宋" w:eastAsia="仿宋" w:cs="仿宋"/>
            <w:snapToGrid w:val="0"/>
            <w:color w:val="auto"/>
            <w:kern w:val="0"/>
            <w:sz w:val="24"/>
            <w:szCs w:val="20"/>
            <w:highlight w:val="none"/>
          </w:rPr>
        </w:sdtEndPr>
        <w:sdtContent>
          <w:r>
            <w:rPr>
              <w:rFonts w:hint="eastAsia" w:ascii="仿宋" w:hAnsi="仿宋" w:eastAsia="仿宋" w:cs="仿宋"/>
              <w:snapToGrid w:val="0"/>
              <w:color w:val="auto"/>
              <w:kern w:val="0"/>
              <w:sz w:val="24"/>
              <w:szCs w:val="20"/>
              <w:highlight w:val="none"/>
            </w:rPr>
            <w:sym w:font="Wingdings" w:char="F0FE"/>
          </w:r>
        </w:sdtContent>
      </w:sdt>
      <w:r>
        <w:rPr>
          <w:rFonts w:hint="eastAsia" w:ascii="仿宋" w:hAnsi="仿宋" w:eastAsia="仿宋" w:cs="仿宋"/>
          <w:b/>
          <w:snapToGrid w:val="0"/>
          <w:color w:val="auto"/>
          <w:kern w:val="28"/>
          <w:sz w:val="24"/>
          <w:szCs w:val="20"/>
          <w:highlight w:val="none"/>
        </w:rPr>
        <w:t>是；</w:t>
      </w:r>
      <w:sdt>
        <w:sdtPr>
          <w:rPr>
            <w:rFonts w:hint="eastAsia" w:ascii="仿宋" w:hAnsi="仿宋" w:eastAsia="仿宋" w:cs="仿宋"/>
            <w:snapToGrid w:val="0"/>
            <w:color w:val="auto"/>
            <w:kern w:val="0"/>
            <w:sz w:val="24"/>
            <w:szCs w:val="20"/>
            <w:highlight w:val="none"/>
          </w:rPr>
          <w:id w:val="28"/>
          <w14:checkbox>
            <w14:checked w14:val="0"/>
            <w14:checkedState w14:val="00FE" w14:font="Wingdings"/>
            <w14:uncheckedState w14:val="2610" w14:font="MS Gothic"/>
          </w14:checkbox>
        </w:sdtPr>
        <w:sdtEndPr>
          <w:rPr>
            <w:rFonts w:hint="eastAsia" w:ascii="仿宋" w:hAnsi="仿宋" w:eastAsia="仿宋" w:cs="仿宋"/>
            <w:snapToGrid w:val="0"/>
            <w:color w:val="auto"/>
            <w:kern w:val="0"/>
            <w:sz w:val="24"/>
            <w:szCs w:val="20"/>
            <w:highlight w:val="none"/>
          </w:rPr>
        </w:sdtEndPr>
        <w:sdtContent>
          <w:r>
            <w:rPr>
              <w:rFonts w:hint="eastAsia" w:ascii="仿宋" w:hAnsi="仿宋" w:eastAsia="仿宋" w:cs="仿宋"/>
              <w:snapToGrid w:val="0"/>
              <w:color w:val="auto"/>
              <w:kern w:val="0"/>
              <w:sz w:val="24"/>
              <w:szCs w:val="20"/>
              <w:highlight w:val="none"/>
            </w:rPr>
            <w:t>☐</w:t>
          </w:r>
        </w:sdtContent>
      </w:sdt>
      <w:r>
        <w:rPr>
          <w:rFonts w:hint="eastAsia" w:ascii="仿宋" w:hAnsi="仿宋" w:eastAsia="仿宋" w:cs="仿宋"/>
          <w:b/>
          <w:snapToGrid w:val="0"/>
          <w:color w:val="auto"/>
          <w:kern w:val="28"/>
          <w:sz w:val="24"/>
          <w:szCs w:val="20"/>
          <w:highlight w:val="none"/>
        </w:rPr>
        <w:t>否</w:t>
      </w:r>
      <w:r>
        <w:rPr>
          <w:rFonts w:hint="eastAsia" w:ascii="仿宋" w:hAnsi="仿宋" w:eastAsia="仿宋" w:cs="仿宋"/>
          <w:snapToGrid w:val="0"/>
          <w:color w:val="auto"/>
          <w:kern w:val="0"/>
          <w:sz w:val="24"/>
          <w:szCs w:val="20"/>
          <w:highlight w:val="none"/>
        </w:rPr>
        <w:t>。</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 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如果投标人本身提供所有标的均由中小企业制造、承建或承接，并相应达到了前述比例要求，视同符合了资格条件，无需再与其他中小企业组成联合体参加政府采购活动，无需提供联合协议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如果投标人本身提供所有标的均由中小企业制造、承建或承接，并相应达到了前述比例要求，视同符合了资格条件，无需再向中小企业分包，无需提供分包意向协议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投标人登录政采云平台https://www.zcygov.cn/在线申请获取采购文件（进入“项目采购”应用，在获取采购文件菜单中选择项目，申请获取采购文件）。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2024年5月22日9点30分00秒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lang w:eastAsia="zh-CN"/>
        </w:rPr>
        <w:t>2024年5月22日9点30分00秒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outlineLvl w:val="1"/>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投标人进行投标活动； ⑥对未按上述方式获取采购文件的投标人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3）采购文件公告期限与招标公告的公告期限一致。</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称：浙江省无线电监测中心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址：浙江省杭州市延安路501号联通大楼11-12楼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项目联系人（询问）：蓝匀云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项目联系方式（询问）：0578-2106196</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质疑联系人：苏孝鹏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质疑联系方式：0571-85103627</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名称：浙江省成套工程有限公司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地址：杭州市古墩路701号紫金广场A座1205室</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项目联系人（询问）：张昕云、朱丛珊、张蒙磊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项目联系方式（询问）：0571-88952913、88950239</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质疑联系人：钱霞妃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质疑联系方式：0571-85064356</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预算金额未达100万元的采购项目，由采购人处理采购争议。</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spacing w:line="360" w:lineRule="auto"/>
        <w:rPr>
          <w:rFonts w:ascii="仿宋" w:hAnsi="仿宋" w:eastAsia="仿宋" w:cs="仿宋"/>
          <w:color w:val="auto"/>
          <w:sz w:val="24"/>
          <w:highlight w:val="none"/>
        </w:rPr>
      </w:pPr>
    </w:p>
    <w:p>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bookmarkEnd w:id="8"/>
    <w:bookmarkEnd w:id="9"/>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投标人须知</w:t>
      </w: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0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803"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货物类，单一产品或核心产品为：</w:t>
            </w:r>
            <w:r>
              <w:rPr>
                <w:rFonts w:hint="eastAsia" w:ascii="仿宋" w:hAnsi="仿宋" w:eastAsia="仿宋" w:cs="仿宋"/>
                <w:color w:val="auto"/>
                <w:sz w:val="24"/>
                <w:highlight w:val="none"/>
                <w:u w:val="single"/>
              </w:rPr>
              <w:t>便携式GNSS干扰测向系统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交货地点</w:t>
            </w:r>
          </w:p>
        </w:tc>
        <w:tc>
          <w:tcPr>
            <w:tcW w:w="6803"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采购内容</w:t>
            </w:r>
          </w:p>
        </w:tc>
        <w:tc>
          <w:tcPr>
            <w:tcW w:w="6803"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便携式GNSS干扰测向系统购置项目主要内容：计划购置1套便携式GNSS干扰测向系统，进一步提升GNSS干扰测向定位能力，从而不断提高无线电监测工作效率，补齐工作短板，对促进经济社会发展和服务国防建设起到重要作用。</w:t>
            </w:r>
            <w:r>
              <w:rPr>
                <w:rFonts w:hint="eastAsia" w:ascii="仿宋" w:hAnsi="仿宋" w:eastAsia="仿宋" w:cs="仿宋"/>
                <w:b/>
                <w:bCs/>
                <w:color w:val="auto"/>
                <w:sz w:val="24"/>
                <w:highlight w:val="none"/>
              </w:rPr>
              <w:t>具体以采购文件第三部分采购需求为准</w:t>
            </w: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交货期/工期</w:t>
            </w:r>
          </w:p>
        </w:tc>
        <w:tc>
          <w:tcPr>
            <w:tcW w:w="6803"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从合同签订之日起90天内完成设备交货，进入试运行阶段，试运行期连续无故障时间不少于15天，试运行期满后进行最终验收。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资金来源</w:t>
            </w:r>
          </w:p>
        </w:tc>
        <w:tc>
          <w:tcPr>
            <w:tcW w:w="6803"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1" w:hRule="atLeast"/>
          <w:jc w:val="center"/>
        </w:trPr>
        <w:tc>
          <w:tcPr>
            <w:tcW w:w="629" w:type="dxa"/>
            <w:vMerge w:val="restart"/>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Merge w:val="restart"/>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803" w:type="dxa"/>
            <w:vAlign w:val="center"/>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rPr>
              <w:t>便携式GNSS干扰测向系统</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工业</w:t>
            </w:r>
          </w:p>
          <w:p>
            <w:pPr>
              <w:numPr>
                <w:ilvl w:val="0"/>
                <w:numId w:val="2"/>
              </w:numPr>
              <w:adjustRightInd/>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w:t>
            </w:r>
            <w:r>
              <w:rPr>
                <w:rFonts w:hint="eastAsia" w:ascii="仿宋" w:hAnsi="仿宋" w:eastAsia="仿宋" w:cs="仿宋"/>
                <w:color w:val="auto"/>
                <w:kern w:val="0"/>
                <w:sz w:val="24"/>
                <w:highlight w:val="none"/>
              </w:rPr>
              <w:t>的：</w:t>
            </w:r>
            <w:r>
              <w:rPr>
                <w:rFonts w:hint="eastAsia" w:ascii="仿宋" w:hAnsi="仿宋" w:eastAsia="仿宋" w:cs="仿宋"/>
                <w:color w:val="auto"/>
                <w:sz w:val="24"/>
                <w:highlight w:val="none"/>
                <w:u w:val="single"/>
              </w:rPr>
              <w:t>配套终端</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工业</w:t>
            </w:r>
          </w:p>
          <w:p>
            <w:pPr>
              <w:keepNext/>
              <w:keepLines/>
              <w:tabs>
                <w:tab w:val="left" w:pos="432"/>
              </w:tabs>
              <w:adjustRightInd/>
              <w:spacing w:line="360" w:lineRule="auto"/>
              <w:jc w:val="left"/>
              <w:outlineLvl w:val="1"/>
              <w:rPr>
                <w:rFonts w:ascii="仿宋" w:hAnsi="仿宋" w:eastAsia="仿宋" w:cs="仿宋"/>
                <w:b/>
                <w:bCs/>
                <w:color w:val="auto"/>
                <w:sz w:val="32"/>
                <w:szCs w:val="32"/>
                <w:highlight w:val="none"/>
              </w:rPr>
            </w:pPr>
            <w:r>
              <w:rPr>
                <w:rFonts w:hint="eastAsia" w:ascii="仿宋" w:hAnsi="仿宋" w:eastAsia="仿宋" w:cs="仿宋"/>
                <w:color w:val="auto"/>
                <w:kern w:val="0"/>
                <w:sz w:val="24"/>
                <w:szCs w:val="32"/>
                <w:highlight w:val="none"/>
                <w:lang w:val="zh-CN"/>
              </w:rPr>
              <w:t>【</w:t>
            </w:r>
            <w:r>
              <w:rPr>
                <w:rFonts w:hint="eastAsia" w:ascii="仿宋" w:hAnsi="仿宋" w:eastAsia="仿宋" w:cs="仿宋"/>
                <w:b/>
                <w:bCs/>
                <w:color w:val="auto"/>
                <w:kern w:val="0"/>
                <w:sz w:val="24"/>
                <w:szCs w:val="32"/>
                <w:highlight w:val="none"/>
                <w:lang w:val="zh-CN"/>
              </w:rPr>
              <w:t>说明：工业。</w:t>
            </w:r>
            <w:r>
              <w:rPr>
                <w:rFonts w:hint="eastAsia" w:ascii="仿宋" w:hAnsi="仿宋" w:eastAsia="仿宋" w:cs="仿宋"/>
                <w:color w:val="auto"/>
                <w:kern w:val="0"/>
                <w:sz w:val="24"/>
                <w:szCs w:val="32"/>
                <w:highlight w:val="none"/>
                <w:lang w:val="zh-CN"/>
              </w:rPr>
              <w:t>从业人员1000人以下或营业收入40000万元以下的为中小微型企业。其中，从业人员300人及以上，且营业收入2000万元及以上的为</w:t>
            </w:r>
            <w:r>
              <w:rPr>
                <w:rFonts w:hint="eastAsia" w:ascii="仿宋" w:hAnsi="仿宋" w:eastAsia="仿宋" w:cs="仿宋"/>
                <w:b/>
                <w:bCs/>
                <w:color w:val="auto"/>
                <w:kern w:val="0"/>
                <w:sz w:val="24"/>
                <w:szCs w:val="32"/>
                <w:highlight w:val="none"/>
                <w:lang w:val="zh-CN"/>
              </w:rPr>
              <w:t>中型企业</w:t>
            </w:r>
            <w:r>
              <w:rPr>
                <w:rFonts w:hint="eastAsia" w:ascii="仿宋" w:hAnsi="仿宋" w:eastAsia="仿宋" w:cs="仿宋"/>
                <w:color w:val="auto"/>
                <w:kern w:val="0"/>
                <w:sz w:val="24"/>
                <w:szCs w:val="32"/>
                <w:highlight w:val="none"/>
                <w:lang w:val="zh-CN"/>
              </w:rPr>
              <w:t>；从业人员20人及以上，且营业收入300万元及以上的为</w:t>
            </w:r>
            <w:r>
              <w:rPr>
                <w:rFonts w:hint="eastAsia" w:ascii="仿宋" w:hAnsi="仿宋" w:eastAsia="仿宋" w:cs="仿宋"/>
                <w:b/>
                <w:bCs/>
                <w:color w:val="auto"/>
                <w:kern w:val="0"/>
                <w:sz w:val="24"/>
                <w:szCs w:val="32"/>
                <w:highlight w:val="none"/>
                <w:lang w:val="zh-CN"/>
              </w:rPr>
              <w:t>小型企业</w:t>
            </w:r>
            <w:r>
              <w:rPr>
                <w:rFonts w:hint="eastAsia" w:ascii="仿宋" w:hAnsi="仿宋" w:eastAsia="仿宋" w:cs="仿宋"/>
                <w:color w:val="auto"/>
                <w:kern w:val="0"/>
                <w:sz w:val="24"/>
                <w:szCs w:val="32"/>
                <w:highlight w:val="none"/>
                <w:lang w:val="zh-CN"/>
              </w:rPr>
              <w:t>；从业人员20人以下或营业收入300万元以下的为</w:t>
            </w:r>
            <w:r>
              <w:rPr>
                <w:rFonts w:hint="eastAsia" w:ascii="仿宋" w:hAnsi="仿宋" w:eastAsia="仿宋" w:cs="仿宋"/>
                <w:b/>
                <w:bCs/>
                <w:color w:val="auto"/>
                <w:kern w:val="0"/>
                <w:sz w:val="24"/>
                <w:szCs w:val="32"/>
                <w:highlight w:val="none"/>
                <w:lang w:val="zh-CN"/>
              </w:rPr>
              <w:t>微型企业</w:t>
            </w:r>
            <w:r>
              <w:rPr>
                <w:rFonts w:hint="eastAsia" w:ascii="仿宋" w:hAnsi="仿宋" w:eastAsia="仿宋" w:cs="仿宋"/>
                <w:color w:val="auto"/>
                <w:kern w:val="0"/>
                <w:sz w:val="24"/>
                <w:szCs w:val="32"/>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629" w:type="dxa"/>
            <w:vMerge w:val="continue"/>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803" w:type="dxa"/>
            <w:vAlign w:val="center"/>
          </w:tcPr>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03" w:type="dxa"/>
            <w:vAlign w:val="center"/>
          </w:tcPr>
          <w:p>
            <w:pPr>
              <w:snapToGrid w:val="0"/>
              <w:spacing w:line="360" w:lineRule="auto"/>
              <w:contextualSpacing/>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3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napToGrid w:val="0"/>
              <w:spacing w:line="360" w:lineRule="auto"/>
              <w:contextualSpacing/>
              <w:rPr>
                <w:rFonts w:ascii="仿宋" w:hAnsi="仿宋" w:eastAsia="仿宋" w:cs="仿宋"/>
                <w:color w:val="auto"/>
                <w:highlight w:val="none"/>
              </w:rPr>
            </w:pPr>
            <w:sdt>
              <w:sdtPr>
                <w:rPr>
                  <w:rFonts w:hint="eastAsia" w:ascii="仿宋" w:hAnsi="仿宋" w:eastAsia="仿宋" w:cs="仿宋"/>
                  <w:color w:val="auto"/>
                  <w:kern w:val="0"/>
                  <w:sz w:val="24"/>
                  <w:highlight w:val="none"/>
                </w:rPr>
                <w:id w:val="3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03" w:type="dxa"/>
            <w:vAlign w:val="center"/>
          </w:tcPr>
          <w:p>
            <w:pPr>
              <w:snapToGrid w:val="0"/>
              <w:spacing w:line="360" w:lineRule="auto"/>
              <w:contextualSpacing/>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napToGrid w:val="0"/>
              <w:spacing w:line="360" w:lineRule="auto"/>
              <w:contextualSpacing/>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napToGrid w:val="0"/>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803" w:type="dxa"/>
            <w:vAlign w:val="center"/>
          </w:tcPr>
          <w:p>
            <w:pPr>
              <w:snapToGrid w:val="0"/>
              <w:spacing w:line="360" w:lineRule="auto"/>
              <w:contextualSpacing/>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contextualSpacing/>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4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0"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03" w:type="dxa"/>
            <w:vAlign w:val="center"/>
          </w:tcPr>
          <w:p>
            <w:pPr>
              <w:snapToGrid w:val="0"/>
              <w:spacing w:line="360" w:lineRule="auto"/>
              <w:contextualSpacing/>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napToGrid w:val="0"/>
              <w:spacing w:line="360" w:lineRule="auto"/>
              <w:contextualSpacing/>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b/>
                <w:bCs/>
                <w:color w:val="auto"/>
                <w:kern w:val="0"/>
                <w:sz w:val="24"/>
                <w:highlight w:val="none"/>
              </w:rPr>
              <w:t>（未提供样品或提供样品不满足采购需求实质性条件的投标人，投标无效）</w:t>
            </w:r>
            <w:r>
              <w:rPr>
                <w:rFonts w:hint="eastAsia" w:ascii="仿宋" w:hAnsi="仿宋" w:eastAsia="仿宋" w:cs="仿宋"/>
                <w:color w:val="auto"/>
                <w:kern w:val="0"/>
                <w:sz w:val="24"/>
                <w:highlight w:val="none"/>
              </w:rPr>
              <w:t>，</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napToGrid w:val="0"/>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napToGrid w:val="0"/>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napToGrid w:val="0"/>
              <w:spacing w:line="360" w:lineRule="auto"/>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03" w:type="dxa"/>
            <w:vAlign w:val="center"/>
          </w:tcPr>
          <w:p>
            <w:pPr>
              <w:snapToGrid w:val="0"/>
              <w:spacing w:line="360" w:lineRule="auto"/>
              <w:contextualSpacing/>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contextualSpacing/>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B组织。</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15</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contextualSpacing/>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7423747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bCs/>
                <w:color w:val="auto"/>
                <w:kern w:val="0"/>
                <w:sz w:val="24"/>
                <w:highlight w:val="none"/>
              </w:rPr>
              <w:t>方式一：</w:t>
            </w:r>
            <w:r>
              <w:rPr>
                <w:rFonts w:hint="eastAsia" w:ascii="仿宋" w:hAnsi="仿宋" w:eastAsia="仿宋" w:cs="仿宋"/>
                <w:color w:val="auto"/>
                <w:kern w:val="0"/>
                <w:sz w:val="24"/>
                <w:highlight w:val="none"/>
              </w:rPr>
              <w:t>政采云平台在线讲解演示。政采云平台在线讲解需投标人根据政采云平台操作要求做好准备工作，提前完善软硬件配置环境。</w:t>
            </w:r>
          </w:p>
          <w:p>
            <w:pPr>
              <w:snapToGrid w:val="0"/>
              <w:spacing w:line="360" w:lineRule="auto"/>
              <w:contextualSpacing/>
              <w:rPr>
                <w:rFonts w:ascii="仿宋" w:hAnsi="仿宋" w:eastAsia="仿宋" w:cs="仿宋"/>
                <w:b/>
                <w:bCs/>
                <w:color w:val="auto"/>
                <w:kern w:val="0"/>
                <w:sz w:val="24"/>
                <w:highlight w:val="none"/>
              </w:rPr>
            </w:pPr>
            <w:sdt>
              <w:sdtPr>
                <w:rPr>
                  <w:rFonts w:hint="eastAsia" w:ascii="仿宋" w:hAnsi="仿宋" w:eastAsia="仿宋" w:cs="仿宋"/>
                  <w:color w:val="auto"/>
                  <w:kern w:val="0"/>
                  <w:sz w:val="24"/>
                  <w:highlight w:val="none"/>
                </w:rPr>
                <w:id w:val="4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bCs/>
                <w:color w:val="auto"/>
                <w:kern w:val="0"/>
                <w:sz w:val="24"/>
                <w:highlight w:val="none"/>
              </w:rPr>
              <w:t>方式二：</w:t>
            </w:r>
            <w:r>
              <w:rPr>
                <w:rFonts w:hint="eastAsia" w:ascii="仿宋" w:hAnsi="仿宋" w:eastAsia="仿宋" w:cs="仿宋"/>
                <w:color w:val="auto"/>
                <w:kern w:val="0"/>
                <w:sz w:val="24"/>
                <w:highlight w:val="none"/>
              </w:rPr>
              <w:t>代理机构评标场所现场讲解演示。现场演示人员进场时</w:t>
            </w:r>
            <w:r>
              <w:rPr>
                <w:rFonts w:hint="eastAsia" w:ascii="仿宋" w:hAnsi="仿宋" w:eastAsia="仿宋" w:cs="仿宋"/>
                <w:b/>
                <w:bCs/>
                <w:color w:val="auto"/>
                <w:kern w:val="0"/>
                <w:sz w:val="24"/>
                <w:highlight w:val="none"/>
              </w:rPr>
              <w:t>须携带</w:t>
            </w:r>
            <w:r>
              <w:rPr>
                <w:rFonts w:hint="eastAsia" w:ascii="仿宋" w:hAnsi="仿宋" w:eastAsia="仿宋" w:cs="仿宋"/>
                <w:color w:val="auto"/>
                <w:kern w:val="0"/>
                <w:sz w:val="24"/>
                <w:highlight w:val="none"/>
                <w:u w:val="single"/>
              </w:rPr>
              <w:t>身份证、授权委托书（详见采购文件格式范例附件8，法定代表人可不携带）</w:t>
            </w:r>
            <w:r>
              <w:rPr>
                <w:rFonts w:hint="eastAsia" w:ascii="仿宋" w:hAnsi="仿宋" w:eastAsia="仿宋" w:cs="仿宋"/>
                <w:color w:val="auto"/>
                <w:kern w:val="0"/>
                <w:sz w:val="24"/>
                <w:highlight w:val="none"/>
              </w:rPr>
              <w:t>，否则不得进场。现场演示后按要求解答评标委员会的提问。</w:t>
            </w:r>
            <w:r>
              <w:rPr>
                <w:rFonts w:hint="eastAsia" w:ascii="仿宋" w:hAnsi="仿宋" w:eastAsia="仿宋" w:cs="仿宋"/>
                <w:b/>
                <w:bCs/>
                <w:color w:val="auto"/>
                <w:kern w:val="0"/>
                <w:sz w:val="24"/>
                <w:highlight w:val="none"/>
              </w:rPr>
              <w:t>讲解等候地点</w:t>
            </w:r>
            <w:r>
              <w:rPr>
                <w:rFonts w:hint="eastAsia" w:ascii="仿宋" w:hAnsi="仿宋" w:eastAsia="仿宋" w:cs="仿宋"/>
                <w:color w:val="auto"/>
                <w:kern w:val="0"/>
                <w:sz w:val="24"/>
                <w:highlight w:val="none"/>
              </w:rPr>
              <w:t>为</w:t>
            </w:r>
            <w:r>
              <w:rPr>
                <w:rFonts w:hint="eastAsia" w:ascii="仿宋" w:hAnsi="仿宋" w:eastAsia="仿宋" w:cs="仿宋"/>
                <w:color w:val="auto"/>
                <w:sz w:val="24"/>
                <w:highlight w:val="none"/>
                <w:u w:val="single"/>
              </w:rPr>
              <w:t xml:space="preserve"> 杭州市古墩路701号紫金广场A座15楼1505开标室 </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现场讲解地点</w:t>
            </w:r>
            <w:r>
              <w:rPr>
                <w:rFonts w:hint="eastAsia" w:ascii="仿宋" w:hAnsi="仿宋" w:eastAsia="仿宋" w:cs="仿宋"/>
                <w:color w:val="auto"/>
                <w:kern w:val="0"/>
                <w:sz w:val="24"/>
                <w:highlight w:val="none"/>
              </w:rPr>
              <w:t>为</w:t>
            </w:r>
            <w:r>
              <w:rPr>
                <w:rFonts w:hint="eastAsia" w:ascii="仿宋" w:hAnsi="仿宋" w:eastAsia="仿宋" w:cs="仿宋"/>
                <w:color w:val="auto"/>
                <w:sz w:val="24"/>
                <w:highlight w:val="none"/>
                <w:u w:val="single"/>
              </w:rPr>
              <w:t xml:space="preserve"> 杭州市古墩路701号紫金广场A座15楼评标室 </w:t>
            </w:r>
            <w:r>
              <w:rPr>
                <w:rFonts w:hint="eastAsia" w:ascii="仿宋" w:hAnsi="仿宋" w:eastAsia="仿宋" w:cs="仿宋"/>
                <w:color w:val="auto"/>
                <w:kern w:val="0"/>
                <w:sz w:val="24"/>
                <w:highlight w:val="none"/>
              </w:rPr>
              <w:t>，讲解演示所用电脑等设备由投标人自备。</w:t>
            </w:r>
            <w:r>
              <w:rPr>
                <w:rFonts w:hint="eastAsia" w:ascii="仿宋" w:hAnsi="仿宋" w:eastAsia="仿宋" w:cs="仿宋"/>
                <w:b/>
                <w:bCs/>
                <w:color w:val="auto"/>
                <w:kern w:val="0"/>
                <w:sz w:val="24"/>
                <w:highlight w:val="none"/>
              </w:rPr>
              <w:t>现场讲解演示人员进场时提供讲解人员名单（加盖公章）及身份证明，否则不得讲解演示。</w:t>
            </w:r>
          </w:p>
          <w:p>
            <w:pPr>
              <w:snapToGrid w:val="0"/>
              <w:spacing w:line="360" w:lineRule="auto"/>
              <w:contextualSpacing/>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Merge w:val="restart"/>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Merge w:val="restart"/>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803" w:type="dxa"/>
            <w:vAlign w:val="center"/>
          </w:tcPr>
          <w:p>
            <w:pPr>
              <w:snapToGrid w:val="0"/>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pPr>
              <w:snapToGrid w:val="0"/>
              <w:spacing w:line="360" w:lineRule="auto"/>
              <w:contextualSpacing/>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投标人未提供有效的资格证明文件的，视为投标人不具备采购文件中规定的资格要求，投标无效。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803" w:type="dxa"/>
            <w:vAlign w:val="center"/>
          </w:tcPr>
          <w:p>
            <w:pPr>
              <w:snapToGrid w:val="0"/>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（2）资信证明文件：根据采购文件第四部分评标标准提供。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03" w:type="dxa"/>
            <w:vAlign w:val="center"/>
          </w:tcPr>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严格执行《财政部 发展改革委 生态环境部 市场监管总局关于调整优化节能产品、环境标志产品政府采购执行机制的通知》（财库〔2019〕9 号）。</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0"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803" w:type="dxa"/>
            <w:vAlign w:val="center"/>
          </w:tcPr>
          <w:p>
            <w:pPr>
              <w:snapToGrid w:val="0"/>
              <w:spacing w:line="360" w:lineRule="auto"/>
              <w:contextualSpacing/>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投标文件中价格全部采用人民币报价。采购文件未列明，而投标人认为必需的费用也需列入报价。</w:t>
            </w:r>
          </w:p>
          <w:p>
            <w:pPr>
              <w:snapToGrid w:val="0"/>
              <w:spacing w:line="360" w:lineRule="auto"/>
              <w:contextualSpacing/>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contextualSpacing/>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contextualSpacing/>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contextualSpacing/>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投标报价超过采购文件中规定的预算金额或者最高限价的;</w:t>
            </w:r>
          </w:p>
          <w:p>
            <w:pPr>
              <w:snapToGrid w:val="0"/>
              <w:spacing w:line="360" w:lineRule="auto"/>
              <w:ind w:firstLine="241" w:firstLineChars="100"/>
              <w:contextualSpacing/>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ind w:firstLine="241" w:firstLineChars="100"/>
              <w:contextualSpacing/>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803" w:type="dxa"/>
            <w:vAlign w:val="center"/>
          </w:tcPr>
          <w:p>
            <w:pPr>
              <w:snapToGrid w:val="0"/>
              <w:spacing w:line="360" w:lineRule="auto"/>
              <w:ind w:firstLine="480" w:firstLineChars="200"/>
              <w:contextualSpacing/>
              <w:rPr>
                <w:rFonts w:ascii="仿宋" w:hAnsi="仿宋" w:eastAsia="仿宋" w:cs="仿宋"/>
                <w:color w:val="auto"/>
                <w:highlight w:val="none"/>
              </w:rPr>
            </w:pPr>
            <w:r>
              <w:rPr>
                <w:rFonts w:hint="eastAsia" w:ascii="仿宋" w:hAnsi="仿宋" w:eastAsia="仿宋" w:cs="仿宋"/>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5"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803" w:type="dxa"/>
            <w:vAlign w:val="center"/>
          </w:tcPr>
          <w:p>
            <w:pPr>
              <w:snapToGrid w:val="0"/>
              <w:spacing w:line="360" w:lineRule="auto"/>
              <w:contextualSpacing/>
              <w:rPr>
                <w:rFonts w:ascii="仿宋" w:hAnsi="仿宋" w:eastAsia="仿宋" w:cs="仿宋"/>
                <w:snapToGrid w:val="0"/>
                <w:color w:val="auto"/>
                <w:sz w:val="24"/>
                <w:highlight w:val="none"/>
              </w:rPr>
            </w:pPr>
            <w:r>
              <w:rPr>
                <w:rFonts w:hint="eastAsia" w:ascii="仿宋" w:hAnsi="仿宋" w:eastAsia="仿宋" w:cs="仿宋"/>
                <w:snapToGrid w:val="0"/>
                <w:color w:val="auto"/>
                <w:kern w:val="28"/>
                <w:sz w:val="24"/>
                <w:highlight w:val="none"/>
              </w:rPr>
              <w:t>①备份投标文件送达地点：</w:t>
            </w:r>
            <w:r>
              <w:rPr>
                <w:rFonts w:hint="eastAsia" w:ascii="仿宋" w:hAnsi="仿宋" w:eastAsia="仿宋" w:cs="仿宋"/>
                <w:snapToGrid w:val="0"/>
                <w:color w:val="auto"/>
                <w:sz w:val="24"/>
                <w:szCs w:val="21"/>
                <w:highlight w:val="none"/>
                <w:u w:val="single"/>
              </w:rPr>
              <w:t>杭州市古墩路701号紫金广场A座1205室</w:t>
            </w:r>
            <w:r>
              <w:rPr>
                <w:rFonts w:hint="eastAsia" w:ascii="仿宋" w:hAnsi="仿宋" w:eastAsia="仿宋" w:cs="仿宋"/>
                <w:snapToGrid w:val="0"/>
                <w:color w:val="auto"/>
                <w:kern w:val="28"/>
                <w:sz w:val="24"/>
                <w:highlight w:val="none"/>
              </w:rPr>
              <w:t>；备份投标文件签收人员联系电话：</w:t>
            </w:r>
            <w:r>
              <w:rPr>
                <w:rFonts w:hint="eastAsia" w:ascii="仿宋" w:hAnsi="仿宋" w:eastAsia="仿宋" w:cs="仿宋"/>
                <w:snapToGrid w:val="0"/>
                <w:color w:val="auto"/>
                <w:kern w:val="28"/>
                <w:sz w:val="24"/>
                <w:highlight w:val="none"/>
                <w:u w:val="single"/>
                <w:lang w:eastAsia="zh-CN"/>
              </w:rPr>
              <w:t>张蒙磊</w:t>
            </w:r>
            <w:r>
              <w:rPr>
                <w:rFonts w:hint="eastAsia" w:ascii="仿宋" w:hAnsi="仿宋" w:eastAsia="仿宋" w:cs="仿宋"/>
                <w:snapToGrid w:val="0"/>
                <w:color w:val="auto"/>
                <w:kern w:val="28"/>
                <w:sz w:val="24"/>
                <w:highlight w:val="none"/>
                <w:u w:val="single"/>
              </w:rPr>
              <w:t>，</w:t>
            </w:r>
            <w:r>
              <w:rPr>
                <w:rFonts w:hint="eastAsia" w:ascii="仿宋" w:hAnsi="仿宋" w:eastAsia="仿宋" w:cs="仿宋"/>
                <w:snapToGrid w:val="0"/>
                <w:color w:val="auto"/>
                <w:sz w:val="24"/>
                <w:szCs w:val="21"/>
                <w:highlight w:val="none"/>
                <w:u w:val="single"/>
                <w:lang w:eastAsia="zh-CN"/>
              </w:rPr>
              <w:t>13420598089</w:t>
            </w:r>
            <w:r>
              <w:rPr>
                <w:rFonts w:hint="eastAsia" w:ascii="仿宋" w:hAnsi="仿宋" w:eastAsia="仿宋" w:cs="仿宋"/>
                <w:snapToGrid w:val="0"/>
                <w:color w:val="auto"/>
                <w:sz w:val="24"/>
                <w:highlight w:val="none"/>
              </w:rPr>
              <w:t>。</w:t>
            </w:r>
          </w:p>
          <w:p>
            <w:pPr>
              <w:snapToGrid w:val="0"/>
              <w:spacing w:line="360" w:lineRule="auto"/>
              <w:contextualSpacing/>
              <w:rPr>
                <w:rFonts w:ascii="仿宋" w:hAnsi="仿宋" w:eastAsia="仿宋" w:cs="仿宋"/>
                <w:snapToGrid w:val="0"/>
                <w:color w:val="auto"/>
                <w:kern w:val="0"/>
                <w:sz w:val="24"/>
                <w:highlight w:val="none"/>
              </w:rPr>
            </w:pPr>
            <w:r>
              <w:rPr>
                <w:color w:val="auto"/>
                <w:highlight w:val="none"/>
              </w:rPr>
              <w:fldChar w:fldCharType="begin"/>
            </w:r>
            <w:r>
              <w:rPr>
                <w:color w:val="auto"/>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color w:val="auto"/>
                <w:highlight w:val="none"/>
              </w:rPr>
              <w:fldChar w:fldCharType="separate"/>
            </w:r>
            <w:r>
              <w:rPr>
                <w:rFonts w:hint="eastAsia" w:ascii="仿宋" w:hAnsi="仿宋" w:eastAsia="仿宋" w:cs="仿宋"/>
                <w:snapToGrid w:val="0"/>
                <w:color w:val="auto"/>
                <w:kern w:val="0"/>
                <w:sz w:val="24"/>
                <w:highlight w:val="none"/>
              </w:rPr>
              <w:t>②投标人可在</w:t>
            </w:r>
            <w:r>
              <w:rPr>
                <w:rFonts w:hint="eastAsia" w:ascii="仿宋" w:hAnsi="仿宋" w:eastAsia="仿宋" w:cs="仿宋"/>
                <w:color w:val="auto"/>
                <w:sz w:val="24"/>
                <w:highlight w:val="none"/>
                <w:lang w:eastAsia="zh-CN"/>
              </w:rPr>
              <w:t>2024年5月22日9点30分00秒</w:t>
            </w:r>
            <w:r>
              <w:rPr>
                <w:rFonts w:hint="eastAsia" w:ascii="仿宋" w:hAnsi="仿宋" w:eastAsia="仿宋" w:cs="仿宋"/>
                <w:snapToGrid w:val="0"/>
                <w:color w:val="auto"/>
                <w:kern w:val="0"/>
                <w:sz w:val="24"/>
                <w:highlight w:val="none"/>
              </w:rPr>
              <w:t>前将在政采云平台上最后生成的具备电子签章的备份加密投标文件（文件名后缀为.bfbs）以电子邮件方式传送至浙江省成套工程有限公司邮箱（</w:t>
            </w:r>
            <w:r>
              <w:rPr>
                <w:rFonts w:hint="eastAsia" w:ascii="仿宋" w:hAnsi="仿宋" w:eastAsia="仿宋" w:cs="仿宋"/>
                <w:snapToGrid w:val="0"/>
                <w:color w:val="auto"/>
                <w:kern w:val="0"/>
                <w:sz w:val="24"/>
                <w:highlight w:val="none"/>
                <w:lang w:eastAsia="zh-CN"/>
              </w:rPr>
              <w:t>297755869@qq.com</w:t>
            </w:r>
            <w:r>
              <w:rPr>
                <w:rFonts w:hint="eastAsia" w:ascii="仿宋" w:hAnsi="仿宋" w:eastAsia="仿宋" w:cs="仿宋"/>
                <w:snapToGrid w:val="0"/>
                <w:color w:val="auto"/>
                <w:kern w:val="0"/>
                <w:sz w:val="24"/>
                <w:highlight w:val="none"/>
              </w:rPr>
              <w:t>）,未按规定时间递交备份文件的投标人自行承担该风险。</w:t>
            </w:r>
            <w:r>
              <w:rPr>
                <w:rFonts w:hint="eastAsia" w:ascii="仿宋" w:hAnsi="仿宋" w:eastAsia="仿宋" w:cs="仿宋"/>
                <w:snapToGrid w:val="0"/>
                <w:color w:val="auto"/>
                <w:kern w:val="0"/>
                <w:sz w:val="24"/>
                <w:highlight w:val="none"/>
              </w:rPr>
              <w:fldChar w:fldCharType="end"/>
            </w:r>
          </w:p>
          <w:p>
            <w:pPr>
              <w:snapToGrid w:val="0"/>
              <w:spacing w:line="360" w:lineRule="auto"/>
              <w:contextualSpacing/>
              <w:rPr>
                <w:rFonts w:ascii="仿宋" w:hAnsi="仿宋" w:eastAsia="仿宋" w:cs="仿宋"/>
                <w:snapToGrid w:val="0"/>
                <w:color w:val="auto"/>
                <w:sz w:val="24"/>
                <w:highlight w:val="none"/>
              </w:rPr>
            </w:pPr>
            <w:r>
              <w:rPr>
                <w:rFonts w:hint="eastAsia" w:ascii="仿宋" w:hAnsi="仿宋" w:eastAsia="仿宋" w:cs="仿宋"/>
                <w:b/>
                <w:snapToGrid w:val="0"/>
                <w:color w:val="auto"/>
                <w:sz w:val="24"/>
                <w:highlight w:val="none"/>
              </w:rPr>
              <w:t>以上二种方式任选其一即可。</w:t>
            </w:r>
          </w:p>
          <w:p>
            <w:pPr>
              <w:snapToGrid w:val="0"/>
              <w:spacing w:line="360" w:lineRule="auto"/>
              <w:contextualSpacing/>
              <w:rPr>
                <w:rFonts w:ascii="仿宋" w:hAnsi="仿宋" w:eastAsia="仿宋" w:cs="仿宋"/>
                <w:snapToGrid w:val="0"/>
                <w:color w:val="auto"/>
                <w:kern w:val="28"/>
                <w:sz w:val="24"/>
                <w:szCs w:val="21"/>
                <w:highlight w:val="none"/>
              </w:rPr>
            </w:pPr>
            <w:r>
              <w:rPr>
                <w:rFonts w:hint="eastAsia" w:ascii="仿宋" w:hAnsi="仿宋" w:eastAsia="仿宋" w:cs="仿宋"/>
                <w:b/>
                <w:color w:val="auto"/>
                <w:sz w:val="24"/>
                <w:highlight w:val="none"/>
              </w:rPr>
              <w:t>采购人、采购代理机构不强制或变相强制投标人提交备份投标文件。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803" w:type="dxa"/>
            <w:vAlign w:val="center"/>
          </w:tcPr>
          <w:p>
            <w:pPr>
              <w:widowControl/>
              <w:tabs>
                <w:tab w:val="left" w:pos="1212"/>
                <w:tab w:val="left" w:pos="3888"/>
              </w:tabs>
              <w:snapToGrid w:val="0"/>
              <w:spacing w:line="360" w:lineRule="auto"/>
              <w:contextualSpacing/>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次采购代理服务费由中标投标人支付。本项目为货物类采购项目，采购代理服务费按浙价服【2003】857号文件规定收费标准收取（不足陆仟元的按照陆仟元收取）。采购代理服务费包含在投标总价中，由中标投标人在接到中标通知书时以人民币方式向采购代理机构一次性支付。</w:t>
            </w:r>
          </w:p>
          <w:p>
            <w:pPr>
              <w:widowControl/>
              <w:tabs>
                <w:tab w:val="left" w:pos="1212"/>
                <w:tab w:val="left" w:pos="3888"/>
              </w:tabs>
              <w:snapToGrid w:val="0"/>
              <w:spacing w:line="360" w:lineRule="auto"/>
              <w:contextualSpacing/>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相关信息如下:</w:t>
            </w:r>
          </w:p>
          <w:p>
            <w:pPr>
              <w:widowControl/>
              <w:tabs>
                <w:tab w:val="left" w:pos="1212"/>
                <w:tab w:val="left" w:pos="3888"/>
              </w:tabs>
              <w:snapToGrid w:val="0"/>
              <w:spacing w:line="360" w:lineRule="auto"/>
              <w:contextualSpacing/>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账户：浙江省成套工程有限公司</w:t>
            </w:r>
          </w:p>
          <w:p>
            <w:pPr>
              <w:widowControl/>
              <w:shd w:val="clear" w:color="auto" w:fill="FFFFFF"/>
              <w:snapToGrid w:val="0"/>
              <w:spacing w:line="360" w:lineRule="auto"/>
              <w:contextualSpacing/>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开户银行：杭州联合农村商业银行股份有限公司三墩支行</w:t>
            </w:r>
          </w:p>
          <w:p>
            <w:pPr>
              <w:widowControl/>
              <w:shd w:val="clear" w:color="auto" w:fill="FFFFFF"/>
              <w:snapToGrid w:val="0"/>
              <w:spacing w:line="360" w:lineRule="auto"/>
              <w:contextualSpacing/>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或者网银：浙江省农村信用合作社</w:t>
            </w:r>
          </w:p>
          <w:p>
            <w:pPr>
              <w:widowControl/>
              <w:shd w:val="clear" w:color="auto" w:fill="FFFFFF"/>
              <w:snapToGrid w:val="0"/>
              <w:spacing w:line="360" w:lineRule="auto"/>
              <w:contextualSpacing/>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或者 浙江省农村商业银行</w:t>
            </w:r>
          </w:p>
          <w:p>
            <w:pPr>
              <w:snapToGrid w:val="0"/>
              <w:spacing w:line="360" w:lineRule="auto"/>
              <w:contextualSpacing/>
              <w:rPr>
                <w:rFonts w:ascii="仿宋" w:hAnsi="仿宋" w:eastAsia="仿宋" w:cs="仿宋"/>
                <w:snapToGrid w:val="0"/>
                <w:color w:val="auto"/>
                <w:kern w:val="28"/>
                <w:sz w:val="24"/>
                <w:highlight w:val="none"/>
              </w:rPr>
            </w:pPr>
            <w:r>
              <w:rPr>
                <w:rFonts w:hint="eastAsia" w:ascii="仿宋" w:hAnsi="仿宋" w:eastAsia="仿宋" w:cs="仿宋"/>
                <w:color w:val="auto"/>
                <w:kern w:val="28"/>
                <w:sz w:val="24"/>
                <w:highlight w:val="none"/>
              </w:rPr>
              <w:t>账号：201000065548152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803" w:type="dxa"/>
            <w:vAlign w:val="center"/>
          </w:tcPr>
          <w:p>
            <w:pPr>
              <w:widowControl/>
              <w:tabs>
                <w:tab w:val="left" w:pos="1212"/>
                <w:tab w:val="left" w:pos="3888"/>
              </w:tabs>
              <w:snapToGrid w:val="0"/>
              <w:spacing w:line="360" w:lineRule="auto"/>
              <w:contextualSpacing/>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履约保证金金额：</w:t>
            </w:r>
            <w:r>
              <w:rPr>
                <w:rFonts w:hint="eastAsia" w:ascii="仿宋" w:hAnsi="仿宋" w:eastAsia="仿宋" w:cs="仿宋"/>
                <w:color w:val="auto"/>
                <w:kern w:val="0"/>
                <w:sz w:val="24"/>
                <w:highlight w:val="none"/>
                <w:u w:val="single"/>
              </w:rPr>
              <w:t>面向大型企业收取合同金额的1%；面向中小型企业免收。</w:t>
            </w:r>
          </w:p>
          <w:p>
            <w:pPr>
              <w:snapToGrid w:val="0"/>
              <w:spacing w:line="360" w:lineRule="auto"/>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履约保证金缴纳时间：</w:t>
            </w:r>
            <w:r>
              <w:rPr>
                <w:rFonts w:hint="eastAsia" w:ascii="仿宋" w:hAnsi="仿宋" w:eastAsia="仿宋" w:cs="仿宋"/>
                <w:snapToGrid w:val="0"/>
                <w:color w:val="auto"/>
                <w:sz w:val="24"/>
                <w:highlight w:val="none"/>
                <w:u w:val="single"/>
              </w:rPr>
              <w:t>合同签订生效之日起15个工作日内。</w:t>
            </w:r>
          </w:p>
          <w:p>
            <w:pPr>
              <w:widowControl/>
              <w:shd w:val="clear" w:color="auto" w:fill="FFFFFF"/>
              <w:snapToGrid w:val="0"/>
              <w:spacing w:line="360" w:lineRule="auto"/>
              <w:contextualSpacing/>
              <w:jc w:val="left"/>
              <w:rPr>
                <w:rFonts w:ascii="仿宋" w:hAnsi="仿宋" w:eastAsia="仿宋" w:cs="仿宋"/>
                <w:snapToGrid w:val="0"/>
                <w:color w:val="auto"/>
                <w:kern w:val="28"/>
                <w:sz w:val="24"/>
                <w:highlight w:val="none"/>
                <w:u w:val="single"/>
              </w:rPr>
            </w:pPr>
            <w:r>
              <w:rPr>
                <w:rFonts w:hint="eastAsia" w:ascii="仿宋" w:hAnsi="仿宋" w:eastAsia="仿宋" w:cs="仿宋"/>
                <w:snapToGrid w:val="0"/>
                <w:color w:val="auto"/>
                <w:kern w:val="28"/>
                <w:sz w:val="24"/>
                <w:highlight w:val="none"/>
              </w:rPr>
              <w:t>履约保证金缴纳形式：</w:t>
            </w:r>
            <w:r>
              <w:rPr>
                <w:rFonts w:hint="eastAsia" w:ascii="仿宋" w:hAnsi="仿宋" w:eastAsia="仿宋" w:cs="仿宋"/>
                <w:snapToGrid w:val="0"/>
                <w:color w:val="auto"/>
                <w:kern w:val="28"/>
                <w:sz w:val="24"/>
                <w:highlight w:val="none"/>
                <w:u w:val="single"/>
              </w:rPr>
              <w:t>支票、汇票、本票或者金融机构、担保机构出具的保函等非现金形式提交。</w:t>
            </w:r>
          </w:p>
          <w:p>
            <w:pPr>
              <w:widowControl/>
              <w:shd w:val="clear" w:color="auto" w:fill="FFFFFF"/>
              <w:snapToGrid w:val="0"/>
              <w:spacing w:line="360" w:lineRule="auto"/>
              <w:contextualSpacing/>
              <w:jc w:val="left"/>
              <w:rPr>
                <w:rFonts w:ascii="仿宋" w:hAnsi="仿宋" w:eastAsia="仿宋" w:cs="仿宋"/>
                <w:snapToGrid w:val="0"/>
                <w:color w:val="auto"/>
                <w:kern w:val="28"/>
                <w:sz w:val="24"/>
                <w:highlight w:val="none"/>
                <w:u w:val="single"/>
              </w:rPr>
            </w:pPr>
            <w:r>
              <w:rPr>
                <w:rFonts w:hint="eastAsia" w:ascii="仿宋" w:hAnsi="仿宋" w:eastAsia="仿宋" w:cs="仿宋"/>
                <w:snapToGrid w:val="0"/>
                <w:color w:val="auto"/>
                <w:kern w:val="28"/>
                <w:sz w:val="24"/>
                <w:highlight w:val="none"/>
              </w:rPr>
              <w:t>履约保证金有效期：</w:t>
            </w:r>
            <w:r>
              <w:rPr>
                <w:rFonts w:hint="eastAsia" w:ascii="仿宋" w:hAnsi="仿宋" w:eastAsia="仿宋" w:cs="仿宋"/>
                <w:snapToGrid w:val="0"/>
                <w:color w:val="auto"/>
                <w:kern w:val="28"/>
                <w:sz w:val="24"/>
                <w:highlight w:val="none"/>
                <w:u w:val="single"/>
              </w:rPr>
              <w:t>合同签订之日起至项目最终验收通过。</w:t>
            </w:r>
          </w:p>
          <w:p>
            <w:pPr>
              <w:widowControl/>
              <w:shd w:val="clear" w:color="auto" w:fill="FFFFFF"/>
              <w:snapToGrid w:val="0"/>
              <w:spacing w:line="360" w:lineRule="auto"/>
              <w:contextualSpacing/>
              <w:jc w:val="left"/>
              <w:rPr>
                <w:rFonts w:ascii="仿宋" w:hAnsi="仿宋" w:eastAsia="仿宋" w:cs="仿宋"/>
                <w:snapToGrid w:val="0"/>
                <w:color w:val="auto"/>
                <w:kern w:val="28"/>
                <w:highlight w:val="none"/>
              </w:rPr>
            </w:pPr>
            <w:r>
              <w:rPr>
                <w:rFonts w:hint="eastAsia" w:ascii="仿宋" w:hAnsi="仿宋" w:eastAsia="仿宋" w:cs="仿宋"/>
                <w:snapToGrid w:val="0"/>
                <w:color w:val="auto"/>
                <w:kern w:val="28"/>
                <w:sz w:val="24"/>
                <w:highlight w:val="none"/>
              </w:rPr>
              <w:t>履约保证金退还：</w:t>
            </w:r>
            <w:r>
              <w:rPr>
                <w:rFonts w:hint="eastAsia" w:ascii="仿宋" w:hAnsi="仿宋" w:eastAsia="仿宋" w:cs="仿宋"/>
                <w:snapToGrid w:val="0"/>
                <w:color w:val="auto"/>
                <w:kern w:val="28"/>
                <w:sz w:val="24"/>
                <w:highlight w:val="none"/>
                <w:u w:val="single"/>
              </w:rPr>
              <w:t>项目最终验收通过15个工作日内退还。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Merge w:val="restart"/>
            <w:vAlign w:val="center"/>
          </w:tcPr>
          <w:p>
            <w:pPr>
              <w:numPr>
                <w:ilvl w:val="0"/>
                <w:numId w:val="1"/>
              </w:numPr>
              <w:snapToGrid w:val="0"/>
              <w:spacing w:line="360" w:lineRule="auto"/>
              <w:jc w:val="center"/>
              <w:rPr>
                <w:rFonts w:ascii="仿宋" w:hAnsi="仿宋" w:eastAsia="仿宋" w:cs="仿宋"/>
                <w:color w:val="auto"/>
                <w:sz w:val="24"/>
                <w:highlight w:val="none"/>
              </w:rPr>
            </w:pPr>
          </w:p>
        </w:tc>
        <w:tc>
          <w:tcPr>
            <w:tcW w:w="1843" w:type="dxa"/>
            <w:vMerge w:val="restart"/>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03" w:type="dxa"/>
            <w:vAlign w:val="center"/>
          </w:tcPr>
          <w:p>
            <w:pPr>
              <w:snapToGrid w:val="0"/>
              <w:spacing w:line="360" w:lineRule="auto"/>
              <w:contextualSpacing/>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803" w:type="dxa"/>
            <w:vAlign w:val="center"/>
          </w:tcPr>
          <w:p>
            <w:pPr>
              <w:snapToGrid w:val="0"/>
              <w:spacing w:line="360" w:lineRule="auto"/>
              <w:contextualSpacing/>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联合体投标的，联合体各方均需按采购文件第四部分评标标准要求提供资信证明文件，否则视为不符合相关要求。</w:t>
            </w:r>
          </w:p>
          <w:p>
            <w:pPr>
              <w:snapToGrid w:val="0"/>
              <w:spacing w:line="360" w:lineRule="auto"/>
              <w:contextualSpacing/>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联合体投标的，联合体中有一方或者联合体成员根据分工按采购文件第四部分评标标准要求提供资信证明文件的，视为符合了相关要求。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803" w:type="dxa"/>
            <w:vAlign w:val="center"/>
          </w:tcPr>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无条件的、认真仔细的、不厌其烦的阅读本采购文件及其澄清答疑（如有）、修改答复的补充文件（如有），严格按照采购文件及补充文件（如有）的规定和要求编制投标文件。在编制投标文件过程中，应严格遵循实事求是、诚信投标的原则，针对采购文件中第三部分采购需求、第四部分合同条款等各项内容进行确认，如有偏离，应如实填写响应偏离表。</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snapToGrid w:val="0"/>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（3）质疑、投诉人未按采购文件相关规定进行质疑、投诉（申诉）、举报等，均属于扰乱政府采购市场不良行为。</w:t>
            </w:r>
          </w:p>
          <w:p>
            <w:pPr>
              <w:snapToGrid w:val="0"/>
              <w:spacing w:line="360" w:lineRule="auto"/>
              <w:contextualSpacing/>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（4）采购文件中凡标注“▲”的条款均为实质性要求，不响应的投标文件将作无效标处理。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Merge w:val="continue"/>
            <w:vAlign w:val="center"/>
          </w:tcPr>
          <w:p>
            <w:pPr>
              <w:snapToGrid w:val="0"/>
              <w:jc w:val="center"/>
              <w:rPr>
                <w:rFonts w:ascii="仿宋" w:hAnsi="仿宋" w:eastAsia="仿宋" w:cs="仿宋"/>
                <w:color w:val="auto"/>
                <w:sz w:val="24"/>
                <w:highlight w:val="none"/>
              </w:rPr>
            </w:pPr>
          </w:p>
        </w:tc>
        <w:tc>
          <w:tcPr>
            <w:tcW w:w="1843" w:type="dxa"/>
            <w:vMerge w:val="continue"/>
            <w:vAlign w:val="center"/>
          </w:tcPr>
          <w:p>
            <w:pPr>
              <w:snapToGrid w:val="0"/>
              <w:jc w:val="center"/>
              <w:rPr>
                <w:rFonts w:ascii="仿宋" w:hAnsi="仿宋" w:eastAsia="仿宋" w:cs="仿宋"/>
                <w:b/>
                <w:color w:val="auto"/>
                <w:sz w:val="24"/>
                <w:highlight w:val="none"/>
              </w:rPr>
            </w:pPr>
          </w:p>
        </w:tc>
        <w:tc>
          <w:tcPr>
            <w:tcW w:w="6803" w:type="dxa"/>
            <w:vAlign w:val="center"/>
          </w:tcPr>
          <w:p>
            <w:pPr>
              <w:snapToGrid w:val="0"/>
              <w:spacing w:line="360" w:lineRule="auto"/>
              <w:contextualSpacing/>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如中标，中标人需根据招标人要求提供纸质投标文件至少5份。</w:t>
            </w:r>
          </w:p>
        </w:tc>
      </w:tr>
    </w:tbl>
    <w:p>
      <w:pPr>
        <w:snapToGrid w:val="0"/>
        <w:spacing w:line="360" w:lineRule="auto"/>
        <w:jc w:val="center"/>
        <w:rPr>
          <w:rFonts w:ascii="仿宋" w:hAnsi="仿宋" w:eastAsia="仿宋" w:cs="仿宋"/>
          <w:b/>
          <w:color w:val="auto"/>
          <w:sz w:val="32"/>
          <w:szCs w:val="20"/>
          <w:highlight w:val="none"/>
        </w:rPr>
      </w:pPr>
    </w:p>
    <w:bookmarkEnd w:id="10"/>
    <w:p>
      <w:pPr>
        <w:widowControl/>
        <w:adjustRightInd/>
        <w:jc w:val="left"/>
        <w:rPr>
          <w:rFonts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本采购文件适用于该项目的招标、投标、开标、资格审查及信用信息查询、评标、定标、合同、验收等行为（法律、法规另有规定的，从其规定）。</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系指实质性要求条款，“★”系指重要参数条款，“</w:t>
      </w:r>
      <w:sdt>
        <w:sdtPr>
          <w:rPr>
            <w:rFonts w:hint="eastAsia" w:ascii="仿宋" w:hAnsi="仿宋" w:eastAsia="仿宋" w:cs="仿宋"/>
            <w:color w:val="auto"/>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 系指不适用本项目的要求。</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鼓励投标人在参加政府采购过程中开展绿色设计、选择绿色材料、打造绿色制造工艺、开展绿色运输、做好废弃产品回收处理，实现产品全周期的绿色环保。鼓励采购单位对其提高预付款比例、免收履约保证金。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3.4.3采购人应当贯彻落实知识产权保护相关法律法规，应当采购使用正版软件。</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4.2投标人询问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4.3投标人质疑</w:t>
      </w:r>
    </w:p>
    <w:p>
      <w:pPr>
        <w:spacing w:line="360" w:lineRule="auto"/>
        <w:ind w:firstLine="480" w:firstLineChars="2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4.3.1提出质疑的投标人应当是参与所质疑项目采购活动的投标人。潜在投标人已依法获取其可质疑的采购文件的，可以对该文件提出质疑。</w:t>
      </w:r>
    </w:p>
    <w:p>
      <w:pPr>
        <w:spacing w:line="360" w:lineRule="auto"/>
        <w:ind w:firstLine="480" w:firstLineChars="2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4.3.2投标人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4.3.2.1对采购文件提出质疑的，质疑期限为投标人获得采购文件之日或者采购文件公告期限届满之日起计算。</w:t>
      </w:r>
    </w:p>
    <w:p>
      <w:pPr>
        <w:spacing w:line="360" w:lineRule="auto"/>
        <w:ind w:firstLine="480" w:firstLineChars="2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4.3.2.2对采购过程提出质疑的，质疑期限为各采购程序环节结束之日起计算。</w:t>
      </w:r>
    </w:p>
    <w:p>
      <w:pPr>
        <w:spacing w:line="360" w:lineRule="auto"/>
        <w:ind w:firstLine="480" w:firstLineChars="2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4.3.2.3对采购结果提出质疑的，质疑期限自采购结果公告期限届满之日起计算。</w:t>
      </w:r>
    </w:p>
    <w:p>
      <w:pPr>
        <w:spacing w:line="360" w:lineRule="auto"/>
        <w:ind w:firstLine="480" w:firstLineChars="2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4.3.3投标人提出质疑应当提交质疑函和必要的证明材料。质疑函应当包括下列内容：</w:t>
      </w:r>
    </w:p>
    <w:p>
      <w:pPr>
        <w:spacing w:line="360" w:lineRule="auto"/>
        <w:ind w:firstLine="960" w:firstLineChars="4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4.3.3.1投标人的姓名或者名称、地址、邮编、联系人及联系电话；</w:t>
      </w:r>
    </w:p>
    <w:p>
      <w:pPr>
        <w:spacing w:line="360" w:lineRule="auto"/>
        <w:ind w:firstLine="960" w:firstLineChars="4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4.3.3.2质疑项目的名称、编号；</w:t>
      </w:r>
    </w:p>
    <w:p>
      <w:pPr>
        <w:spacing w:line="360" w:lineRule="auto"/>
        <w:ind w:firstLine="960" w:firstLineChars="4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4.3.3.3具体、明确的质疑事项和与质疑事项相关的请求；</w:t>
      </w:r>
    </w:p>
    <w:p>
      <w:pPr>
        <w:spacing w:line="360" w:lineRule="auto"/>
        <w:ind w:firstLine="960" w:firstLineChars="4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4.3.3.4事实依据；</w:t>
      </w:r>
    </w:p>
    <w:p>
      <w:pPr>
        <w:spacing w:line="360" w:lineRule="auto"/>
        <w:ind w:firstLine="960" w:firstLineChars="4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4.3.3.5必要的法律依据；</w:t>
      </w:r>
    </w:p>
    <w:p>
      <w:pPr>
        <w:spacing w:line="360" w:lineRule="auto"/>
        <w:ind w:firstLine="960" w:firstLineChars="400"/>
        <w:rPr>
          <w:rFonts w:ascii="仿宋" w:hAnsi="仿宋" w:eastAsia="仿宋" w:cs="仿宋"/>
          <w:snapToGrid w:val="0"/>
          <w:color w:val="auto"/>
          <w:kern w:val="0"/>
          <w:sz w:val="24"/>
          <w:szCs w:val="21"/>
          <w:highlight w:val="none"/>
          <w:lang w:val="zh-CN"/>
        </w:rPr>
      </w:pPr>
      <w:r>
        <w:rPr>
          <w:rFonts w:hint="eastAsia" w:ascii="仿宋" w:hAnsi="仿宋" w:eastAsia="仿宋" w:cs="仿宋"/>
          <w:snapToGrid w:val="0"/>
          <w:color w:val="auto"/>
          <w:kern w:val="0"/>
          <w:sz w:val="24"/>
          <w:szCs w:val="21"/>
          <w:highlight w:val="none"/>
          <w:lang w:val="zh-CN"/>
        </w:rPr>
        <w:t>4.3.3.6提出质疑的日期。</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投标人提交的质疑函需一式三份。投标人为自然人的，应当由本人签字；投标人为法人或者其他组织的，应当由法定代表人、主要负责人，或者其授权代表签字或者盖章，并加盖公章。</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4.3.4对同一采购程序环节的质疑，投标人须在法定质疑期内一次性提出。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4.3.5采购人或者采购代理机构应当在收到投标人的书面质疑后七个工作日内作出答复，并以书面形式通知质疑投标人和其他与质疑处理结果有利害关系的政府采购当事人，但答复的内容不得涉及商业秘密。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4.3.6询问或者质疑事项可能影响采购结果的，采购人应当暂停签订合同，已经签订合同的，应当中止履行合同。</w:t>
      </w:r>
    </w:p>
    <w:p>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4.4投标人投诉</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4.4.1质疑投标人对采购人、采购代理机构的答复不满意或者采购人、采购代理机构未在规定的时间内作出答复的，可以在答复期满后十五个工作日内向同级政府采购监督管理部门提出投诉。</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4.4.</w:t>
      </w: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投标人投诉的事项不得超出已质疑事项的范围，基于质疑答复内容提出的投诉事项除外。</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4.4.3投标人投诉应当有明确的请求和必要的证明材料。</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4.4.4以联合体形式参加政府采购活动的，其投诉应当由组成联合体的所有投标人共同提出。</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投诉书范本及制作说明详见附件3。</w:t>
      </w:r>
    </w:p>
    <w:p>
      <w:pPr>
        <w:snapToGrid w:val="0"/>
        <w:spacing w:line="360" w:lineRule="auto"/>
        <w:ind w:firstLine="360" w:firstLineChars="200"/>
        <w:rPr>
          <w:rFonts w:ascii="仿宋" w:hAnsi="仿宋" w:eastAsia="仿宋" w:cs="仿宋"/>
          <w:color w:val="auto"/>
          <w:sz w:val="18"/>
          <w:szCs w:val="18"/>
          <w:highlight w:val="none"/>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5.采购文件的构成</w:t>
      </w:r>
    </w:p>
    <w:p>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5.1采购文件包括下列文件及附件：</w:t>
      </w:r>
    </w:p>
    <w:p>
      <w:pPr>
        <w:tabs>
          <w:tab w:val="left" w:pos="840"/>
        </w:tabs>
        <w:spacing w:line="360" w:lineRule="auto"/>
        <w:ind w:firstLine="960" w:firstLineChars="4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5.1.1招标公告；</w:t>
      </w:r>
    </w:p>
    <w:p>
      <w:pPr>
        <w:tabs>
          <w:tab w:val="left" w:pos="840"/>
        </w:tabs>
        <w:spacing w:line="360" w:lineRule="auto"/>
        <w:ind w:firstLine="960" w:firstLineChars="4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5.1.2投标人须知；</w:t>
      </w:r>
    </w:p>
    <w:p>
      <w:pPr>
        <w:tabs>
          <w:tab w:val="left" w:pos="840"/>
        </w:tabs>
        <w:spacing w:line="360" w:lineRule="auto"/>
        <w:ind w:firstLine="960" w:firstLineChars="4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5.1.3采购需求；</w:t>
      </w:r>
    </w:p>
    <w:p>
      <w:pPr>
        <w:tabs>
          <w:tab w:val="left" w:pos="840"/>
        </w:tabs>
        <w:spacing w:line="360" w:lineRule="auto"/>
        <w:ind w:firstLine="960" w:firstLineChars="4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5.1.4评标办法；</w:t>
      </w:r>
    </w:p>
    <w:p>
      <w:pPr>
        <w:tabs>
          <w:tab w:val="left" w:pos="840"/>
        </w:tabs>
        <w:spacing w:line="360" w:lineRule="auto"/>
        <w:ind w:firstLine="960" w:firstLineChars="4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5.1.5拟签订的合同文本；</w:t>
      </w:r>
    </w:p>
    <w:p>
      <w:pPr>
        <w:tabs>
          <w:tab w:val="left" w:pos="840"/>
        </w:tabs>
        <w:spacing w:line="360" w:lineRule="auto"/>
        <w:ind w:firstLine="960" w:firstLineChars="400"/>
        <w:rPr>
          <w:rFonts w:ascii="仿宋" w:hAnsi="仿宋" w:eastAsia="仿宋" w:cs="仿宋"/>
          <w:snapToGrid w:val="0"/>
          <w:color w:val="auto"/>
          <w:sz w:val="24"/>
          <w:highlight w:val="none"/>
        </w:rPr>
      </w:pPr>
      <w:r>
        <w:rPr>
          <w:rFonts w:hint="eastAsia" w:ascii="仿宋" w:hAnsi="仿宋" w:eastAsia="仿宋" w:cs="仿宋"/>
          <w:snapToGrid w:val="0"/>
          <w:color w:val="auto"/>
          <w:sz w:val="24"/>
          <w:szCs w:val="21"/>
          <w:highlight w:val="none"/>
        </w:rPr>
        <w:t>5.1.6</w:t>
      </w:r>
      <w:r>
        <w:rPr>
          <w:rFonts w:hint="eastAsia" w:ascii="仿宋" w:hAnsi="仿宋" w:eastAsia="仿宋" w:cs="仿宋"/>
          <w:snapToGrid w:val="0"/>
          <w:color w:val="auto"/>
          <w:sz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6.采购文件的澄清、修改</w:t>
      </w:r>
    </w:p>
    <w:p>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6.1已获取采购文件的潜在投标人，若有问题需要澄清，应于投标截止时间前，以书面形式</w:t>
      </w:r>
      <w:r>
        <w:rPr>
          <w:rFonts w:hint="eastAsia" w:ascii="仿宋" w:hAnsi="仿宋" w:eastAsia="仿宋" w:cs="仿宋"/>
          <w:color w:val="auto"/>
          <w:sz w:val="24"/>
          <w:szCs w:val="20"/>
          <w:highlight w:val="none"/>
          <w:u w:val="single"/>
        </w:rPr>
        <w:t>或政采云线上询问方式</w:t>
      </w:r>
      <w:r>
        <w:rPr>
          <w:rFonts w:hint="eastAsia" w:ascii="仿宋" w:hAnsi="仿宋" w:eastAsia="仿宋" w:cs="仿宋"/>
          <w:color w:val="auto"/>
          <w:sz w:val="24"/>
          <w:szCs w:val="20"/>
          <w:highlight w:val="none"/>
        </w:rPr>
        <w:t>向采购代理机构提出。</w:t>
      </w:r>
    </w:p>
    <w:p>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6.2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lang w:val="zh-CN"/>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7.采购文件的获取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详见招标公告中获取采购文件的时间期限、地点、方式及采购文件售价。</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8.开标前答疑会或现场考察</w:t>
      </w:r>
    </w:p>
    <w:p>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采购人组织潜在投标人现场考察或者召开开标前答疑会的，潜在投标人按第二部分投标人须知前附表的规定参加现场考察或者开标前答疑会。</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9.投标保证金</w:t>
      </w:r>
    </w:p>
    <w:p>
      <w:pPr>
        <w:widowControl/>
        <w:snapToGrid w:val="0"/>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本项目不需缴纳投标保证金。</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10.投标文件的语言</w:t>
      </w:r>
    </w:p>
    <w:p>
      <w:pPr>
        <w:widowControl/>
        <w:snapToGrid w:val="0"/>
        <w:spacing w:line="360" w:lineRule="auto"/>
        <w:ind w:firstLine="480" w:firstLineChars="200"/>
        <w:rPr>
          <w:rFonts w:ascii="仿宋" w:hAnsi="仿宋" w:eastAsia="仿宋" w:cs="仿宋"/>
          <w:snapToGrid w:val="0"/>
          <w:color w:val="auto"/>
          <w:kern w:val="28"/>
          <w:sz w:val="24"/>
          <w:szCs w:val="20"/>
          <w:highlight w:val="none"/>
          <w:lang w:val="zh-CN"/>
        </w:rPr>
      </w:pPr>
      <w:r>
        <w:rPr>
          <w:rFonts w:hint="eastAsia" w:ascii="仿宋" w:hAnsi="仿宋" w:eastAsia="仿宋" w:cs="仿宋"/>
          <w:snapToGrid w:val="0"/>
          <w:color w:val="auto"/>
          <w:kern w:val="28"/>
          <w:sz w:val="24"/>
          <w:szCs w:val="20"/>
          <w:highlight w:val="none"/>
        </w:rPr>
        <w:t>投标文件及投标人与采购有关的来往通知、函件和文件均应使用中文。</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11.投标文件的组成</w:t>
      </w:r>
    </w:p>
    <w:p>
      <w:pPr>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11.2商务技术文件：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11.2.5商务技术偏离表；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11.2.7类似项目业绩一览表；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11.2.8投标标的清单；</w:t>
      </w:r>
    </w:p>
    <w:p>
      <w:pPr>
        <w:snapToGrid w:val="0"/>
        <w:spacing w:line="360" w:lineRule="auto"/>
        <w:ind w:firstLine="960" w:firstLineChars="400"/>
        <w:rPr>
          <w:rFonts w:ascii="仿宋" w:hAnsi="仿宋" w:eastAsia="仿宋" w:cs="仿宋"/>
          <w:color w:val="auto"/>
          <w:sz w:val="24"/>
          <w:highlight w:val="none"/>
        </w:rPr>
      </w:pPr>
      <w:bookmarkStart w:id="14" w:name="_Hlk125840093"/>
      <w:r>
        <w:rPr>
          <w:rFonts w:hint="eastAsia" w:ascii="仿宋" w:hAnsi="仿宋" w:eastAsia="仿宋" w:cs="仿宋"/>
          <w:color w:val="auto"/>
          <w:sz w:val="24"/>
          <w:highlight w:val="none"/>
        </w:rPr>
        <w:t>11.2.9常用配件（备品、备件）清单；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11.2.10节能产品、环境标志产品认证证书；</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11.2.11售后服务情况表；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11.2.12政府采购投标人廉洁自律承诺书；</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11.2.13投标人认为有必要的其他内容。</w:t>
      </w:r>
    </w:p>
    <w:bookmarkEnd w:id="14"/>
    <w:p>
      <w:pPr>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11.3报价文件：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11.3.2报价组成明细表；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 报价情况说明（如投标人报价低于项目预算50%的，应当提交本文档，详细阐述不影响产品质量或者诚信履约的具体原因）；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b/>
          <w:bCs/>
          <w:color w:val="auto"/>
          <w:sz w:val="24"/>
          <w:highlight w:val="none"/>
        </w:rPr>
      </w:pPr>
      <w:r>
        <w:rPr>
          <w:rFonts w:hint="eastAsia" w:ascii="仿宋" w:hAnsi="仿宋" w:eastAsia="仿宋" w:cs="仿宋"/>
          <w:color w:val="auto"/>
          <w:sz w:val="24"/>
          <w:highlight w:val="none"/>
        </w:rPr>
        <w:t>11.3.4中小企业声明函</w:t>
      </w:r>
      <w:r>
        <w:rPr>
          <w:rFonts w:hint="eastAsia" w:ascii="仿宋" w:hAnsi="仿宋" w:eastAsia="仿宋" w:cs="仿宋"/>
          <w:b/>
          <w:bCs/>
          <w:color w:val="auto"/>
          <w:sz w:val="24"/>
          <w:highlight w:val="none"/>
        </w:rPr>
        <w:t>（非专门面向中小企业时提供）；</w:t>
      </w:r>
    </w:p>
    <w:p>
      <w:pPr>
        <w:snapToGrid w:val="0"/>
        <w:spacing w:line="360" w:lineRule="auto"/>
        <w:ind w:firstLine="964" w:firstLineChars="400"/>
        <w:rPr>
          <w:rFonts w:ascii="仿宋" w:hAnsi="仿宋" w:eastAsia="仿宋" w:cs="仿宋"/>
          <w:color w:val="auto"/>
          <w:sz w:val="24"/>
          <w:highlight w:val="none"/>
        </w:rPr>
      </w:pPr>
      <w:r>
        <w:rPr>
          <w:rFonts w:hint="eastAsia" w:ascii="仿宋" w:hAnsi="仿宋" w:eastAsia="仿宋" w:cs="仿宋"/>
          <w:b/>
          <w:bCs/>
          <w:color w:val="auto"/>
          <w:sz w:val="24"/>
          <w:highlight w:val="none"/>
        </w:rPr>
        <w:t>11.3.5</w:t>
      </w:r>
      <w:r>
        <w:rPr>
          <w:rFonts w:hint="eastAsia" w:ascii="仿宋" w:hAnsi="仿宋" w:eastAsia="仿宋" w:cs="仿宋"/>
          <w:color w:val="auto"/>
          <w:sz w:val="24"/>
          <w:highlight w:val="none"/>
        </w:rPr>
        <w:t>交纳采购代理服务费承诺书。</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投标人应对投标文件中材料的真实性、合法性负责。</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12.投标文件的编制</w:t>
      </w:r>
    </w:p>
    <w:p>
      <w:pPr>
        <w:spacing w:line="360" w:lineRule="auto"/>
        <w:ind w:firstLine="480" w:firstLineChars="200"/>
        <w:rPr>
          <w:rFonts w:ascii="仿宋" w:hAnsi="仿宋" w:eastAsia="仿宋" w:cs="仿宋"/>
          <w:color w:val="auto"/>
          <w:kern w:val="0"/>
          <w:sz w:val="24"/>
          <w:highlight w:val="none"/>
          <w:lang w:val="zh-CN"/>
        </w:rPr>
      </w:pPr>
      <w:bookmarkStart w:id="15" w:name="_Toc91899903"/>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12.2投标人进行电子投标应安装客户端软件—“政采云电子交易客户端”，并按照采购文件和电子交易平台的要求编制并加密投标文件。投标人未按规定加密的投标文件，电子交易平台将拒收并提示。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snapToGrid w:val="0"/>
        <w:spacing w:line="360" w:lineRule="auto"/>
        <w:ind w:firstLine="480" w:firstLineChars="200"/>
        <w:rPr>
          <w:rFonts w:ascii="仿宋" w:hAnsi="仿宋" w:eastAsia="仿宋" w:cs="仿宋"/>
          <w:b/>
          <w:color w:val="auto"/>
          <w:sz w:val="24"/>
          <w:szCs w:val="20"/>
          <w:highlight w:val="none"/>
        </w:rPr>
      </w:pPr>
      <w:r>
        <w:rPr>
          <w:rFonts w:hint="eastAsia" w:ascii="仿宋" w:hAnsi="仿宋" w:eastAsia="仿宋" w:cs="仿宋"/>
          <w:color w:val="auto"/>
          <w:sz w:val="24"/>
          <w:highlight w:val="none"/>
        </w:rPr>
        <w:t>13.1投标文件按照采购文件第六部分格式要</w:t>
      </w:r>
      <w:r>
        <w:rPr>
          <w:rFonts w:hint="eastAsia" w:ascii="仿宋" w:hAnsi="仿宋" w:eastAsia="仿宋" w:cs="仿宋"/>
          <w:color w:val="auto"/>
          <w:sz w:val="24"/>
          <w:szCs w:val="20"/>
          <w:highlight w:val="none"/>
        </w:rPr>
        <w:t>求进行签署、盖章。</w:t>
      </w:r>
      <w:r>
        <w:rPr>
          <w:rFonts w:hint="eastAsia" w:ascii="仿宋" w:hAnsi="仿宋" w:eastAsia="仿宋" w:cs="仿宋"/>
          <w:b/>
          <w:color w:val="auto"/>
          <w:sz w:val="24"/>
          <w:szCs w:val="20"/>
          <w:highlight w:val="none"/>
        </w:rPr>
        <w:t>▲投标人的投标文件未按照采购文件要求签署、盖章的，其投标无效</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13.2为确保网上操作合法、有效和安全，投标人应当在投标截止时间前完成在“政府采购云平台”的身份认证，确保在电子投标过程中能够对相关数据电文进行加密和使用电子签名。</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13.3采购文件对投标文件签署、盖章的要求适用于电子签名。</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14.投标文件的提交、补充、修改、撤回</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14.2电子交易平台收到投标文件，将妥善保存并即时向投标人发出确认回执通知。在投标截止时间前，除投标人补充、修改或者撤回投标文件外，任何单位和个人不得解密或提取投标文件。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15.备份投标文件</w:t>
      </w:r>
    </w:p>
    <w:p>
      <w:pPr>
        <w:spacing w:line="360" w:lineRule="auto"/>
        <w:ind w:firstLine="480" w:firstLineChars="200"/>
        <w:rPr>
          <w:rFonts w:ascii="仿宋" w:hAnsi="仿宋" w:eastAsia="仿宋" w:cs="仿宋"/>
          <w:b/>
          <w:snapToGrid w:val="0"/>
          <w:color w:val="auto"/>
          <w:sz w:val="24"/>
          <w:highlight w:val="none"/>
        </w:rPr>
      </w:pPr>
      <w:r>
        <w:rPr>
          <w:rFonts w:hint="eastAsia" w:ascii="仿宋" w:hAnsi="仿宋" w:eastAsia="仿宋" w:cs="仿宋"/>
          <w:snapToGrid w:val="0"/>
          <w:color w:val="auto"/>
          <w:sz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snapToGrid w:val="0"/>
          <w:color w:val="auto"/>
          <w:sz w:val="24"/>
          <w:highlight w:val="none"/>
        </w:rPr>
        <w:t>但采购人、采购代理机构不强制或变相强制投标人提交备份投标文件。</w:t>
      </w:r>
    </w:p>
    <w:p>
      <w:pPr>
        <w:spacing w:line="360" w:lineRule="auto"/>
        <w:ind w:firstLine="480" w:firstLineChars="200"/>
        <w:rPr>
          <w:rFonts w:ascii="仿宋" w:hAnsi="仿宋" w:eastAsia="仿宋" w:cs="仿宋"/>
          <w:b/>
          <w:snapToGrid w:val="0"/>
          <w:color w:val="auto"/>
          <w:sz w:val="24"/>
          <w:highlight w:val="none"/>
        </w:rPr>
      </w:pPr>
      <w:r>
        <w:rPr>
          <w:rFonts w:hint="eastAsia" w:ascii="仿宋" w:hAnsi="仿宋" w:eastAsia="仿宋" w:cs="仿宋"/>
          <w:snapToGrid w:val="0"/>
          <w:color w:val="auto"/>
          <w:sz w:val="24"/>
          <w:highlight w:val="none"/>
        </w:rPr>
        <w:t>15.2备份投标文件须在“</w:t>
      </w:r>
      <w:bookmarkStart w:id="16" w:name="_Hlk162355150"/>
      <w:r>
        <w:rPr>
          <w:rFonts w:hint="eastAsia" w:ascii="仿宋" w:hAnsi="仿宋" w:eastAsia="仿宋" w:cs="仿宋"/>
          <w:snapToGrid w:val="0"/>
          <w:color w:val="auto"/>
          <w:sz w:val="24"/>
          <w:highlight w:val="none"/>
        </w:rPr>
        <w:t>政采云电子交易客户端</w:t>
      </w:r>
      <w:bookmarkEnd w:id="16"/>
      <w:r>
        <w:rPr>
          <w:rFonts w:hint="eastAsia" w:ascii="仿宋" w:hAnsi="仿宋" w:eastAsia="仿宋" w:cs="仿宋"/>
          <w:snapToGrid w:val="0"/>
          <w:color w:val="auto"/>
          <w:sz w:val="24"/>
          <w:highlight w:val="none"/>
        </w:rPr>
        <w:t>”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napToGrid w:val="0"/>
          <w:color w:val="auto"/>
          <w:sz w:val="24"/>
          <w:szCs w:val="21"/>
          <w:highlight w:val="none"/>
        </w:rPr>
        <w:t>不符合上述制作、</w:t>
      </w:r>
      <w:r>
        <w:rPr>
          <w:rFonts w:hint="eastAsia" w:ascii="仿宋" w:hAnsi="仿宋" w:eastAsia="仿宋" w:cs="仿宋"/>
          <w:b/>
          <w:snapToGrid w:val="0"/>
          <w:color w:val="auto"/>
          <w:sz w:val="24"/>
          <w:highlight w:val="none"/>
        </w:rPr>
        <w:t>存储、密封规定的备份投标文件将被视为无效或者被拒绝接收。</w:t>
      </w:r>
    </w:p>
    <w:p>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15.3直接提交备份投标文件的，投标人应于投标截止时间前在招标公告中载明的开标地点将备份投标文件提交给采购代理机构，采购代理机构将拒绝接受逾期送达的备份投标文件。</w:t>
      </w:r>
    </w:p>
    <w:p>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15.4以邮政快递方式递交备份投标文件的，投标人应先将备份投标文件按要求密封和标记，再进行邮政快递包装后邮寄。</w:t>
      </w:r>
    </w:p>
    <w:p>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15.5以电子邮件方式递交备份投标文件的，投标人应于投标截止时间前将备份文件传送至采购代理机构邮箱（</w:t>
      </w:r>
      <w:r>
        <w:rPr>
          <w:rFonts w:hint="eastAsia" w:ascii="仿宋" w:hAnsi="仿宋" w:eastAsia="仿宋" w:cs="仿宋"/>
          <w:snapToGrid w:val="0"/>
          <w:color w:val="auto"/>
          <w:sz w:val="24"/>
          <w:highlight w:val="none"/>
          <w:lang w:eastAsia="zh-CN"/>
        </w:rPr>
        <w:t>297755869@qq.com</w:t>
      </w:r>
      <w:r>
        <w:rPr>
          <w:rFonts w:hint="eastAsia" w:ascii="仿宋" w:hAnsi="仿宋" w:eastAsia="仿宋" w:cs="仿宋"/>
          <w:snapToGrid w:val="0"/>
          <w:color w:val="auto"/>
          <w:sz w:val="24"/>
          <w:highlight w:val="none"/>
        </w:rPr>
        <w:t>）。</w:t>
      </w:r>
    </w:p>
    <w:p>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15.6备份投标文件须在投标截止时间之前送达采购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line="360" w:lineRule="auto"/>
        <w:ind w:firstLine="482" w:firstLineChars="200"/>
        <w:rPr>
          <w:rFonts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15.7投标人仅提交备份投标文件，未在电子交易平台传输递交投标文件的，投标无效。</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16.投标文件的无效处理</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有采购文件第四部分4.2规定的情形之一的，投标无效：</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投标人的投标文件中承诺的投标有效期少于采购文件中载明的投标有效期的，投标无效</w:t>
      </w:r>
      <w:r>
        <w:rPr>
          <w:rFonts w:hint="eastAsia" w:ascii="仿宋" w:hAnsi="仿宋" w:eastAsia="仿宋" w:cs="仿宋"/>
          <w:b/>
          <w:color w:val="auto"/>
          <w:sz w:val="24"/>
          <w:szCs w:val="21"/>
          <w:highlight w:val="none"/>
        </w:rPr>
        <w:t>。</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17.2投标文件合格投递后，自投标截止日期起，在投标有效期内有效。</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lang w:val="zh-CN"/>
        </w:rPr>
      </w:pPr>
      <w:r>
        <w:rPr>
          <w:rFonts w:hint="eastAsia" w:ascii="仿宋" w:hAnsi="仿宋" w:eastAsia="仿宋" w:cs="仿宋"/>
          <w:color w:val="auto"/>
          <w:sz w:val="24"/>
          <w:szCs w:val="20"/>
          <w:highlight w:val="none"/>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color w:val="auto"/>
          <w:kern w:val="0"/>
          <w:sz w:val="24"/>
          <w:highlight w:val="none"/>
        </w:rPr>
        <w:t>。</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lang w:val="zh-CN"/>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四、开标、资格审查与信用信息查询</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18.开标</w:t>
      </w:r>
    </w:p>
    <w:p>
      <w:pPr>
        <w:autoSpaceDE w:val="0"/>
        <w:autoSpaceDN w:val="0"/>
        <w:spacing w:line="360" w:lineRule="auto"/>
        <w:ind w:firstLine="480" w:firstLineChars="200"/>
        <w:contextualSpacing/>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18.1采购代理机构按照采购文件规定的时间通过电子交易平台组织开标，所有投标人均应当准时在线参加。投标人不足3家的，不得开标。</w:t>
      </w:r>
    </w:p>
    <w:p>
      <w:pPr>
        <w:autoSpaceDE w:val="0"/>
        <w:autoSpaceDN w:val="0"/>
        <w:spacing w:line="360" w:lineRule="auto"/>
        <w:ind w:firstLine="480" w:firstLineChars="200"/>
        <w:contextualSpacing/>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18.2开标时，电子交易平台按开标时间自动提取所有投标文件。采购代理机构依托电子交易平台发起开始解密指令，投标人按照平台提示和采购文件的规定在半小时内完成在线解密。</w:t>
      </w:r>
    </w:p>
    <w:p>
      <w:pPr>
        <w:autoSpaceDE w:val="0"/>
        <w:autoSpaceDN w:val="0"/>
        <w:spacing w:line="360" w:lineRule="auto"/>
        <w:ind w:firstLine="480" w:firstLineChars="200"/>
        <w:contextualSpacing/>
        <w:rPr>
          <w:rFonts w:ascii="仿宋" w:hAnsi="仿宋" w:eastAsia="仿宋" w:cs="仿宋"/>
          <w:b/>
          <w:color w:val="auto"/>
          <w:kern w:val="0"/>
          <w:sz w:val="24"/>
          <w:szCs w:val="20"/>
          <w:highlight w:val="none"/>
        </w:rPr>
      </w:pPr>
      <w:r>
        <w:rPr>
          <w:rFonts w:hint="eastAsia" w:ascii="仿宋" w:hAnsi="仿宋" w:eastAsia="仿宋" w:cs="仿宋"/>
          <w:color w:val="auto"/>
          <w:kern w:val="0"/>
          <w:sz w:val="24"/>
          <w:szCs w:val="20"/>
          <w:highlight w:val="none"/>
        </w:rPr>
        <w:t>18.3</w:t>
      </w:r>
      <w:r>
        <w:rPr>
          <w:rFonts w:hint="eastAsia" w:ascii="仿宋" w:hAnsi="仿宋" w:eastAsia="仿宋" w:cs="仿宋"/>
          <w:b/>
          <w:color w:val="auto"/>
          <w:kern w:val="0"/>
          <w:sz w:val="24"/>
          <w:szCs w:val="20"/>
          <w:highlight w:val="none"/>
        </w:rPr>
        <w:t>投标文件未按时解密，投标人提供了备份投标文件的，以备份投标文件作为依据，否则视为投标文件撤回。投标文件已按时解密的，备份投标文件自动失效。</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19、资格审查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采购人或采购代理机构依据法律法规和采购文件的规定，对投标人的资格进行审查。</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19.2投标人未按照采购文件要求提供与资格条件相应的有效资格证明材料的，视为投标人不具备采购文件中规定的资格要求，其投标无效</w:t>
      </w:r>
      <w:r>
        <w:rPr>
          <w:rFonts w:hint="eastAsia" w:ascii="仿宋" w:hAnsi="仿宋" w:eastAsia="仿宋" w:cs="仿宋"/>
          <w:color w:val="auto"/>
          <w:sz w:val="24"/>
          <w:szCs w:val="20"/>
          <w:highlight w:val="none"/>
        </w:rPr>
        <w:t>。</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sz w:val="24"/>
          <w:szCs w:val="20"/>
          <w:highlight w:val="none"/>
        </w:rPr>
        <w:t>3对未通过资格审查的投标人，采购人或采购代理机构告知其未通过的原因。</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sz w:val="24"/>
          <w:szCs w:val="20"/>
          <w:highlight w:val="none"/>
        </w:rPr>
        <w:t>4合格投标人不足3家的，不再评标。</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20、信用信息查询</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20.1信用信息查询渠道及截止时间：采购代理机构将在资格审查时通过“信用中国”网站(www.creditchina.gov.cn)、中国政府采购网(www.ccgp.gov.cn)渠道查询投标人接受资格时的信用记录。</w:t>
      </w:r>
    </w:p>
    <w:p>
      <w:pPr>
        <w:spacing w:line="360" w:lineRule="auto"/>
        <w:ind w:firstLine="480" w:firstLineChars="200"/>
        <w:rPr>
          <w:rFonts w:ascii="仿宋" w:hAnsi="仿宋" w:eastAsia="仿宋" w:cs="仿宋"/>
          <w:color w:val="auto"/>
          <w:kern w:val="0"/>
          <w:sz w:val="24"/>
          <w:highlight w:val="none"/>
        </w:rPr>
      </w:pPr>
      <w:bookmarkStart w:id="17" w:name="_Hlk125840869"/>
      <w:r>
        <w:rPr>
          <w:rFonts w:hint="eastAsia" w:ascii="仿宋" w:hAnsi="仿宋" w:eastAsia="仿宋" w:cs="仿宋"/>
          <w:color w:val="auto"/>
          <w:kern w:val="0"/>
          <w:sz w:val="24"/>
          <w:highlight w:val="none"/>
        </w:rPr>
        <w:t>20.2信用信息查询记录和证据留存的具体方式：现场查询的投标人的信用记录、查询结果经确认后将与采购文件一起存档。</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20.3信用信息的使用规则：经查询列入失信被执行人名单、重大税收违法案件当事人名单、政府采购严重违法失信行为记录名单的投标人将被拒绝参与政府采购活动。</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0"/>
          <w:highlight w:val="none"/>
        </w:rPr>
        <w:t>。</w:t>
      </w:r>
    </w:p>
    <w:bookmarkEnd w:id="17"/>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lang w:val="zh-CN"/>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五、评标</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21.评标委员会组成及评标办法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21.2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仿宋" w:hAnsi="仿宋" w:eastAsia="仿宋" w:cs="仿宋"/>
          <w:b/>
          <w:color w:val="auto"/>
          <w:sz w:val="24"/>
          <w:highlight w:val="none"/>
        </w:rPr>
        <w:t>详见采购文件第四部分评标办法。</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lang w:val="zh-CN"/>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六、定标</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22. 确定中标投标人</w:t>
      </w:r>
    </w:p>
    <w:p>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仿宋" w:hAnsi="仿宋" w:eastAsia="仿宋" w:cs="仿宋"/>
          <w:b/>
          <w:bCs/>
          <w:color w:val="auto"/>
          <w:sz w:val="24"/>
          <w:highlight w:val="none"/>
        </w:rPr>
        <w:t>5个工作日内</w:t>
      </w:r>
      <w:r>
        <w:rPr>
          <w:rFonts w:hint="eastAsia" w:ascii="仿宋" w:hAnsi="仿宋" w:eastAsia="仿宋" w:cs="仿宋"/>
          <w:color w:val="auto"/>
          <w:sz w:val="24"/>
          <w:highlight w:val="none"/>
        </w:rPr>
        <w:t>在线确定中标或者成交投标人。中标、成交通知书和中标、成交结果公告应当在规定时间内同时发出。</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23. 中标通知与中标结果公告</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如有），开标记录、</w:t>
      </w:r>
      <w:bookmarkStart w:id="18" w:name="_Hlk101184471"/>
      <w:r>
        <w:rPr>
          <w:rFonts w:hint="eastAsia" w:ascii="仿宋" w:hAnsi="仿宋" w:eastAsia="仿宋" w:cs="仿宋"/>
          <w:color w:val="auto"/>
          <w:sz w:val="24"/>
          <w:highlight w:val="none"/>
        </w:rPr>
        <w:t>资格审查情况、评审专家抽取规则、符合性审查情况、</w:t>
      </w:r>
      <w:bookmarkEnd w:id="18"/>
      <w:r>
        <w:rPr>
          <w:rFonts w:hint="eastAsia" w:ascii="仿宋" w:hAnsi="仿宋" w:eastAsia="仿宋" w:cs="仿宋"/>
          <w:color w:val="auto"/>
          <w:sz w:val="24"/>
          <w:highlight w:val="none"/>
        </w:rPr>
        <w:t>中标公告期限以及评审专家名单、评分汇总及明细、中小企业声明函（如有）。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23.4由于中标、成交投标人原因导致重新采购的，应当承担支付代理费和专家评审费等费用在内的赔偿责任。</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pPr>
        <w:spacing w:line="360" w:lineRule="auto"/>
        <w:ind w:left="479" w:hanging="479" w:hangingChars="199"/>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24. </w:t>
      </w:r>
      <w:r>
        <w:rPr>
          <w:rFonts w:hint="eastAsia" w:ascii="仿宋" w:hAnsi="仿宋" w:eastAsia="仿宋" w:cs="仿宋"/>
          <w:color w:val="auto"/>
          <w:sz w:val="24"/>
          <w:highlight w:val="none"/>
          <w:lang w:val="zh-CN"/>
        </w:rPr>
        <w:t>合同主要条款详见第五部分拟签订的合同文本。</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25. 合同的签订</w:t>
      </w:r>
    </w:p>
    <w:p>
      <w:pPr>
        <w:widowControl/>
        <w:shd w:val="clear" w:color="auto" w:fill="FFFFFF"/>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采购人与中标人应当通过电子交易平台在中标通知书发出之日起三十日内，按照采购文件确定的事项签订政府采购合同，并在签订之日起2个工作日内将政府采购合同在浙江政府采购网上公告。</w:t>
      </w:r>
    </w:p>
    <w:p>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25.2中标人按规定的日期、时间、地点，由法定代表人或其授权代表与采购人代表签订合同。如中标人为联合体的，由联合体成员各方法定代表人或其授权代表与采购人代表签订合同。</w:t>
      </w:r>
    </w:p>
    <w:p>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25.3如签订合同并生效后，投标人无故拒绝或延期，除按照合同条款处理外，列入不良行为记录一次，并给予通报。</w:t>
      </w:r>
    </w:p>
    <w:p>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25.4中标投标人拒绝与采购人签订合同的，采购人可以按照评审报告推荐的中标或者成交候选人名单排序，确定下一候选人为中标投标人，也可以重新开展政府采购活动。</w:t>
      </w:r>
    </w:p>
    <w:p>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25.5采购合同由采购人与中标投标人根据采购文件、投标文件等内容通过政府采购电子交易平台在线签订，自动备案。</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26. 履约保证金</w:t>
      </w:r>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拟签订的合同文本要求中标投标人提交履约保证金的，投标人应当以支票、汇票、本票或者金融机构、担保机构出具的保函等非现金形式提交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履约保证金的数额不得超过政府采购合同金额的1%</w:t>
      </w:r>
      <w:r>
        <w:rPr>
          <w:rFonts w:hint="eastAsia" w:ascii="仿宋" w:hAnsi="仿宋" w:eastAsia="仿宋" w:cs="仿宋"/>
          <w:color w:val="auto"/>
          <w:sz w:val="24"/>
          <w:highlight w:val="none"/>
        </w:rPr>
        <w:t>。鼓励和支持投标人以银行、保险公司出具的保函形式提供履约保证金。</w:t>
      </w:r>
      <w:r>
        <w:rPr>
          <w:rFonts w:hint="eastAsia" w:ascii="仿宋" w:hAnsi="仿宋" w:eastAsia="仿宋" w:cs="仿宋"/>
          <w:b/>
          <w:bCs/>
          <w:color w:val="auto"/>
          <w:sz w:val="24"/>
          <w:highlight w:val="none"/>
        </w:rPr>
        <w:t>采购人不得拒收履约保函</w:t>
      </w:r>
      <w:r>
        <w:rPr>
          <w:rFonts w:hint="eastAsia" w:ascii="仿宋" w:hAnsi="仿宋" w:eastAsia="仿宋" w:cs="仿宋"/>
          <w:color w:val="auto"/>
          <w:sz w:val="24"/>
          <w:highlight w:val="none"/>
        </w:rPr>
        <w:t>，项目验收结束后应及时退还，延迟退还的，应当按照合同约定和法律规定承担相应的赔偿责任。</w:t>
      </w:r>
    </w:p>
    <w:p>
      <w:pPr>
        <w:snapToGrid w:val="0"/>
        <w:spacing w:line="360" w:lineRule="auto"/>
        <w:ind w:firstLine="480" w:firstLineChars="200"/>
        <w:rPr>
          <w:rFonts w:ascii="仿宋" w:hAnsi="仿宋" w:eastAsia="仿宋" w:cs="仿宋"/>
          <w:color w:val="auto"/>
          <w:sz w:val="24"/>
          <w:highlight w:val="none"/>
        </w:rPr>
      </w:pPr>
      <w:bookmarkStart w:id="19" w:name="_Hlk125841185"/>
      <w:r>
        <w:rPr>
          <w:rFonts w:hint="eastAsia" w:ascii="仿宋" w:hAnsi="仿宋" w:eastAsia="仿宋" w:cs="仿宋"/>
          <w:color w:val="auto"/>
          <w:sz w:val="24"/>
          <w:highlight w:val="none"/>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27.预付款</w:t>
      </w:r>
    </w:p>
    <w:bookmarkEnd w:id="19"/>
    <w:p>
      <w:pPr>
        <w:tabs>
          <w:tab w:val="left" w:pos="0"/>
        </w:tabs>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投标人为大型企业的项目或者以人工投入为主且实行按月定期结算支付款项的项目，预付款可低于上述比例或者不约定预付款。在签订合同时，投标人明确表示无需预付款或者主动要求降低预付款比例的，采购单位可不适用前述规定。采购单位根据项目特点、投标人诚信等因素，可以要求投标人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投标人可登录政采云前台大厅选择金融服务 - 【保函保险服务】出具预付款保函，具体步骤：选择产品—填写投标人信息—选择中标项目—确认信息—等待保险/保函受理—确认保单—支付保费—成功出单。政采云金融专线400-903-9583。</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lang w:val="zh-CN"/>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28. 电子交易活动的中止。</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采购过程中出现以下情形，导致电子交易平台无法正常运行，或者无法保证电子交易的公平、公正和安全时，采购代理机构可中止电子交易活动：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28.1电子交易平台发生故障而无法登录访问的；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28.2电子交易平台应用或数据库出现错误，不能进行正常操作的；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28.3电子交易平台发现严重安全漏洞，有潜在泄密危险的；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28.4病毒发作导致不能进行正常操作的；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28.5其他无法保证电子交易的公平、公正和安全的情况。</w:t>
      </w:r>
    </w:p>
    <w:p>
      <w:pPr>
        <w:snapToGrid w:val="0"/>
        <w:spacing w:line="360" w:lineRule="auto"/>
        <w:rPr>
          <w:rFonts w:ascii="仿宋" w:hAnsi="仿宋" w:eastAsia="仿宋" w:cs="仿宋"/>
          <w:color w:val="auto"/>
          <w:sz w:val="24"/>
          <w:szCs w:val="20"/>
          <w:highlight w:val="none"/>
        </w:rPr>
      </w:pPr>
      <w:r>
        <w:rPr>
          <w:rFonts w:hint="eastAsia" w:ascii="仿宋" w:hAnsi="仿宋" w:eastAsia="仿宋" w:cs="仿宋"/>
          <w:b/>
          <w:bCs/>
          <w:color w:val="auto"/>
          <w:sz w:val="24"/>
          <w:szCs w:val="20"/>
          <w:highlight w:val="none"/>
        </w:rPr>
        <w:t>29.</w:t>
      </w:r>
      <w:r>
        <w:rPr>
          <w:rFonts w:hint="eastAsia" w:ascii="仿宋" w:hAnsi="仿宋" w:eastAsia="仿宋" w:cs="仿宋"/>
          <w:color w:val="auto"/>
          <w:highlight w:val="none"/>
        </w:rPr>
        <w:t xml:space="preserve"> </w:t>
      </w:r>
      <w:r>
        <w:rPr>
          <w:rFonts w:hint="eastAsia" w:ascii="仿宋" w:hAnsi="仿宋" w:eastAsia="仿宋" w:cs="仿宋"/>
          <w:color w:val="auto"/>
          <w:sz w:val="24"/>
          <w:szCs w:val="2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widowControl/>
        <w:shd w:val="clear" w:color="auto" w:fill="FFFFFF"/>
        <w:adjustRightInd/>
        <w:snapToGrid w:val="0"/>
        <w:spacing w:line="360" w:lineRule="auto"/>
        <w:ind w:firstLine="480" w:firstLineChars="200"/>
        <w:contextualSpacing/>
        <w:jc w:val="left"/>
        <w:rPr>
          <w:rFonts w:ascii="仿宋" w:hAnsi="仿宋" w:eastAsia="仿宋" w:cs="仿宋"/>
          <w:color w:val="auto"/>
          <w:kern w:val="0"/>
          <w:sz w:val="24"/>
          <w:highlight w:val="none"/>
        </w:rPr>
      </w:pP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pPr>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30.验收</w:t>
      </w:r>
    </w:p>
    <w:bookmarkEnd w:id="12"/>
    <w:bookmarkEnd w:id="13"/>
    <w:bookmarkEnd w:id="15"/>
    <w:p>
      <w:pPr>
        <w:snapToGrid w:val="0"/>
        <w:spacing w:line="360" w:lineRule="auto"/>
        <w:ind w:firstLine="480" w:firstLineChars="200"/>
        <w:rPr>
          <w:rFonts w:ascii="仿宋" w:hAnsi="仿宋" w:eastAsia="仿宋" w:cs="仿宋"/>
          <w:color w:val="auto"/>
          <w:sz w:val="24"/>
          <w:highlight w:val="none"/>
        </w:rPr>
      </w:pPr>
      <w:bookmarkStart w:id="20" w:name="第四部分"/>
      <w:r>
        <w:rPr>
          <w:rFonts w:hint="eastAsia" w:ascii="仿宋" w:hAnsi="仿宋" w:eastAsia="仿宋" w:cs="仿宋"/>
          <w:color w:val="auto"/>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30.2采购人可以邀请参加本项目的其他投标人或者第三方机构参与验收。参与验收的投标人或者第三方机构的意见作为验收书的参考资料一并存档。</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30.4验收合格的项目，采购人将根据采购合同的约定及时向投标人支付采购资金、退还履约保证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30.5对于满足合同约定的采购资金支付条件的，投标人可通过政采云平台提起在线支付申请、查询支付结果，路径为政采云-我的工作台-合同管理-支付管理。对于投标人提起在线支付申请的，采购人应当按规定做好审核并完成支付。</w:t>
      </w:r>
    </w:p>
    <w:p>
      <w:pPr>
        <w:snapToGrid w:val="0"/>
        <w:spacing w:line="360" w:lineRule="auto"/>
        <w:ind w:firstLine="480" w:firstLineChars="200"/>
        <w:rPr>
          <w:rFonts w:ascii="仿宋" w:hAnsi="仿宋" w:eastAsia="仿宋" w:cs="仿宋"/>
          <w:color w:val="auto"/>
          <w:sz w:val="24"/>
          <w:highlight w:val="none"/>
        </w:rPr>
      </w:pPr>
    </w:p>
    <w:p>
      <w:pPr>
        <w:widowControl/>
        <w:adjustRightInd/>
        <w:jc w:val="left"/>
        <w:rPr>
          <w:rFonts w:ascii="仿宋" w:hAnsi="仿宋" w:eastAsia="仿宋" w:cs="仿宋"/>
          <w:b/>
          <w:color w:val="auto"/>
          <w:sz w:val="36"/>
          <w:szCs w:val="20"/>
          <w:highlight w:val="none"/>
        </w:rPr>
      </w:pPr>
      <w:bookmarkStart w:id="21" w:name="_Hlt68072998"/>
      <w:bookmarkEnd w:id="21"/>
      <w:bookmarkStart w:id="22" w:name="_Hlt74730295"/>
      <w:bookmarkEnd w:id="22"/>
      <w:bookmarkStart w:id="23" w:name="_Hlt68072990"/>
      <w:bookmarkEnd w:id="23"/>
      <w:bookmarkStart w:id="24" w:name="_Hlt75236011"/>
      <w:bookmarkEnd w:id="24"/>
      <w:bookmarkStart w:id="25" w:name="_Hlt75236290"/>
      <w:bookmarkEnd w:id="25"/>
      <w:bookmarkStart w:id="26" w:name="_Hlt74707468"/>
      <w:bookmarkEnd w:id="26"/>
      <w:bookmarkStart w:id="27" w:name="_Hlt75236101"/>
      <w:bookmarkEnd w:id="27"/>
      <w:bookmarkStart w:id="28" w:name="_Hlt74714665"/>
      <w:bookmarkEnd w:id="28"/>
      <w:bookmarkStart w:id="29" w:name="_Hlt68403820"/>
      <w:bookmarkEnd w:id="29"/>
      <w:bookmarkStart w:id="30" w:name="_Hlt74729768"/>
      <w:bookmarkEnd w:id="30"/>
      <w:bookmarkStart w:id="31" w:name="_Hlt68057669"/>
      <w:bookmarkEnd w:id="31"/>
      <w:bookmarkStart w:id="32" w:name="_Hlt68073093"/>
      <w:bookmarkEnd w:id="32"/>
      <w:r>
        <w:rPr>
          <w:rFonts w:hint="eastAsia" w:ascii="仿宋" w:hAnsi="仿宋" w:eastAsia="仿宋" w:cs="仿宋"/>
          <w:b/>
          <w:color w:val="auto"/>
          <w:sz w:val="36"/>
          <w:szCs w:val="20"/>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  采购需求</w:t>
      </w:r>
    </w:p>
    <w:p>
      <w:pPr>
        <w:adjustRightInd/>
        <w:snapToGrid w:val="0"/>
        <w:spacing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一、项目背景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GNSS是Global Navigation Satellite System的缩写，即全球导航卫星系统，系统能够在地球表面或近地空间的任何地点为用户提供全天候的三维坐标和速度以及时间信息的空基无线电导航定位系统。GNSS包括中国北斗卫星导航系统、美国GPS全球卫星定位系统、俄罗斯GLONASS全球卫星导航系统和欧洲Galileo卫星导航定位系统等。经过多年的发展，GNSS已广泛应用于工业、农业、军事和科学研究等领域，其应用已经渗透到日常生活的方方面面。近年来GNSS接收设备受外部干扰事件时有发生，已经影响到民航、公众移动通信等部门的正常运营，对正常的社会生活秩序造成了不利的影响，对人民群众的生命财产安全造成了潜在的危害。此外，由于GNSS下行链路信号传播到地面接收端后场强值较小，受限于当前传统监测设备灵敏度等因素，GNSS干扰源排查难度较大、效率较低。</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本项目计划购置1套便携式GNSS干扰测向系统，进一步提升GNSS干扰测向定位能力，从而不断提高无线电监测工作效率，补齐工作短板，对促进经济社会发展和服务国防建设起到重要作用。</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采购项目内容为便携式GNSS干扰测向系统购置项目。投标人应根据采购文件所提出的采购内容和技术、服务要求，综合考虑，选择具有最佳性价比的服务团队前来投标。希望投标人以优良的服务和优惠的价格，充分显示竞争实力。</w:t>
      </w:r>
    </w:p>
    <w:p>
      <w:pPr>
        <w:adjustRightInd/>
        <w:snapToGrid w:val="0"/>
        <w:spacing w:line="360" w:lineRule="auto"/>
        <w:outlineLvl w:val="1"/>
        <w:rPr>
          <w:rFonts w:ascii="仿宋" w:hAnsi="仿宋" w:eastAsia="仿宋" w:cs="仿宋"/>
          <w:b/>
          <w:color w:val="auto"/>
          <w:sz w:val="30"/>
          <w:szCs w:val="30"/>
          <w:highlight w:val="none"/>
        </w:rPr>
      </w:pPr>
      <w:bookmarkStart w:id="33" w:name="_Toc2570"/>
      <w:bookmarkStart w:id="34" w:name="_Toc17142"/>
      <w:bookmarkStart w:id="35" w:name="_Toc29111"/>
      <w:bookmarkStart w:id="36" w:name="_Toc1460"/>
      <w:r>
        <w:rPr>
          <w:rFonts w:hint="eastAsia" w:ascii="仿宋" w:hAnsi="仿宋" w:eastAsia="仿宋" w:cs="仿宋"/>
          <w:b/>
          <w:color w:val="auto"/>
          <w:sz w:val="30"/>
          <w:szCs w:val="30"/>
          <w:highlight w:val="none"/>
        </w:rPr>
        <w:t>二、建设目标</w:t>
      </w:r>
      <w:bookmarkEnd w:id="33"/>
    </w:p>
    <w:p>
      <w:pPr>
        <w:spacing w:line="360" w:lineRule="auto"/>
        <w:ind w:firstLine="480" w:firstLineChars="200"/>
        <w:rPr>
          <w:rFonts w:ascii="仿宋" w:hAnsi="仿宋" w:eastAsia="仿宋" w:cs="仿宋"/>
          <w:color w:val="auto"/>
          <w:sz w:val="24"/>
          <w:highlight w:val="none"/>
        </w:rPr>
      </w:pPr>
      <w:bookmarkStart w:id="37" w:name="_Toc3714"/>
      <w:r>
        <w:rPr>
          <w:rFonts w:hint="eastAsia" w:ascii="仿宋" w:hAnsi="仿宋" w:eastAsia="仿宋" w:cs="仿宋"/>
          <w:color w:val="auto"/>
          <w:sz w:val="24"/>
          <w:highlight w:val="none"/>
        </w:rPr>
        <w:t>按照《浙江省经济和信息化厅关于印发浙江省无线电管理“十四五”规划的通知》《省级无线电监测设施建设规范和技术要求（试行）》相关要求，并根据预算安排和实际工作需要，计划购置1套便携式GNSS干扰测向系统（含配套终端）。</w:t>
      </w:r>
    </w:p>
    <w:p>
      <w:pPr>
        <w:adjustRightInd/>
        <w:snapToGrid w:val="0"/>
        <w:spacing w:before="120" w:beforeLines="50"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三、建设内容及要求</w:t>
      </w:r>
    </w:p>
    <w:p>
      <w:pPr>
        <w:spacing w:line="360" w:lineRule="auto"/>
        <w:ind w:firstLine="562" w:firstLineChars="200"/>
        <w:outlineLvl w:val="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1、项目概述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无线电管理“十四五”规划的总体要求，为进一步加强无线电管理，服务和保障全省经济社会发展和军事等重大活动需求，必须借助于先进的干扰排查技术手段实现精准、高效的干扰查处，维护正常稳定的社会生活秩序。本项目建设将围绕加强无线电管理这一中心，突出技术监管和技术支撑两个重点，通过便携式GNSS干扰测向系统购置项目的实施，进一步提升GNSS干扰测向定位能力，适应新时期以用户需求为导向的无线电管理工作，着力保障航空无线电频率秩序及安全，维护好本辖区的空中无线电波秩序，为加强无线电频谱资源的科学管理和构建和谐的电磁环境做出应有的努力。投标人应根据采购文件所提出的采购内容和技术、服务要求，综合考虑，选择具有最佳性价比的服务团队前来投标。希望投标人以优良的服务和优惠的价格，充分显示竞争实力。</w:t>
      </w:r>
    </w:p>
    <w:p>
      <w:pPr>
        <w:spacing w:line="360" w:lineRule="auto"/>
        <w:ind w:firstLine="562" w:firstLineChars="200"/>
        <w:outlineLvl w:val="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2、项目配置清单</w:t>
      </w:r>
    </w:p>
    <w:tbl>
      <w:tblPr>
        <w:tblStyle w:val="6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90"/>
        <w:gridCol w:w="616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4"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290"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设备名称</w:t>
            </w:r>
          </w:p>
        </w:tc>
        <w:tc>
          <w:tcPr>
            <w:tcW w:w="6165"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710"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29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便携式GNSS干扰测向系统</w:t>
            </w:r>
          </w:p>
        </w:tc>
        <w:tc>
          <w:tcPr>
            <w:tcW w:w="6165" w:type="dxa"/>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1）接收机工作频段：至少包含1166-1186MHz、1190-1192MHz、1205-1209MHz、1217-1237MHz、1258-1278MHz、1559-1563MHz、1574-1576MHz</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2）接收机捕获灵敏度：≤-145dBm；</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3）接收机跟踪灵敏度：≤-167dBm；</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4）接收机噪声系数：≤3dB；</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5）天线工作频段：至少包含1160-1600MHz，包含所有GNSS系统频段，垂直+水平极化；</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6）天线增益：G(1200MHz)≥2dBi，G(1500MHz)≥10dBi；</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7）天线线缆：损耗：≤1dB（长度≤3m）；</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8）系统测向精度：≤2°；</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9）启动时间：≤40s（冷启动）、≤3s（热启动）；</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10）搭载方式：手持式（必须具备）、车载、机载</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11）供电方式：锂电池。</w:t>
            </w:r>
          </w:p>
        </w:tc>
        <w:tc>
          <w:tcPr>
            <w:tcW w:w="71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29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配套终端</w:t>
            </w:r>
          </w:p>
        </w:tc>
        <w:tc>
          <w:tcPr>
            <w:tcW w:w="6165" w:type="dxa"/>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为每台（套）便携式GNSS干扰测向系统配置：</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1）轻薄型办公平板电脑；</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2）6GB内存，128GB SSD硬盘；</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3）12吋或以下高清显示屏；</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4）正版操作系统和办公软件。</w:t>
            </w:r>
          </w:p>
        </w:tc>
        <w:tc>
          <w:tcPr>
            <w:tcW w:w="71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1套</w:t>
            </w:r>
          </w:p>
        </w:tc>
      </w:tr>
    </w:tbl>
    <w:p>
      <w:pPr>
        <w:rPr>
          <w:rFonts w:ascii="仿宋" w:hAnsi="仿宋" w:eastAsia="仿宋" w:cs="仿宋"/>
          <w:color w:val="auto"/>
          <w:highlight w:val="none"/>
        </w:rPr>
      </w:pPr>
    </w:p>
    <w:p>
      <w:pPr>
        <w:spacing w:line="360" w:lineRule="auto"/>
        <w:ind w:firstLine="562" w:firstLineChars="200"/>
        <w:outlineLvl w:val="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3、系统功能要求</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以下内容均须提供</w:t>
      </w:r>
      <w:r>
        <w:rPr>
          <w:rFonts w:hint="eastAsia" w:ascii="仿宋" w:hAnsi="仿宋" w:eastAsia="仿宋" w:cs="仿宋"/>
          <w:b/>
          <w:bCs/>
          <w:color w:val="auto"/>
          <w:sz w:val="24"/>
          <w:highlight w:val="none"/>
          <w:u w:val="single"/>
        </w:rPr>
        <w:t>承诺函（逐条响应）</w:t>
      </w:r>
      <w:r>
        <w:rPr>
          <w:rFonts w:hint="eastAsia" w:ascii="仿宋" w:hAnsi="仿宋" w:eastAsia="仿宋" w:cs="仿宋"/>
          <w:b/>
          <w:bCs/>
          <w:color w:val="auto"/>
          <w:sz w:val="24"/>
          <w:highlight w:val="none"/>
        </w:rPr>
        <w:t>并加盖投标人公章，格式不限。无承诺的视作负偏离。</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★（1）应支持主流GNSS系统干扰排查，包括GPS、北斗、GLONASS和Galileo等。</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★（2）具备GNSS卫星实时追踪功能，可以实时显示当前可见的GNSS卫星轨位。</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★（3）具备GNSS信号质量实时显示功能，能够实时显示当前能够接收到GNSS卫星导航信号质量。</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★（4）具备GNSS干扰测向功能，能够对压制式和欺骗式GNSS干扰进行测向。</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★（5）具备多点多站交汇定位功能，可以实现单台设备多点定位，也可由多台设备联合定位。</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（6）具备生成数据报表的功能。</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（7）具备在地图上显示GNSS信号质量的功能。</w:t>
      </w:r>
    </w:p>
    <w:p>
      <w:pPr>
        <w:widowControl/>
        <w:adjustRightInd/>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★（8）具备多样搭载方式，在手持式（必须具备）基础上，实现车载、机载等多种搭载方式。</w:t>
      </w:r>
    </w:p>
    <w:p>
      <w:pPr>
        <w:spacing w:line="360" w:lineRule="auto"/>
        <w:ind w:firstLine="562" w:firstLineChars="200"/>
        <w:outlineLvl w:val="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4、系统技术指标要求</w:t>
      </w:r>
    </w:p>
    <w:p>
      <w:pPr>
        <w:widowControl/>
        <w:spacing w:line="360" w:lineRule="auto"/>
        <w:ind w:firstLine="48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4"/>
          <w:highlight w:val="none"/>
          <w:lang w:bidi="ar"/>
        </w:rPr>
        <w:t>注：①投标人需对技术指标和功能逐条响应。②产品技术指标要求中带★项的参数，必须在投标文件中提供技术支持资料，未提供的评标时不予认可，技术支持资料以制造商公开发布的印刷彩页、使用手册等的技术支持资料或该资料在生产厂商官方网站的下载或第三方检测机构出具的检测报告为依据，如经审查存在不一致或未在投标文件提供证明材料，视作该响应指标存在负偏离。③未带★的技术指标要求须提供</w:t>
      </w:r>
      <w:r>
        <w:rPr>
          <w:rFonts w:hint="eastAsia" w:ascii="仿宋" w:hAnsi="仿宋" w:eastAsia="仿宋" w:cs="仿宋"/>
          <w:b/>
          <w:bCs/>
          <w:color w:val="auto"/>
          <w:sz w:val="24"/>
          <w:highlight w:val="none"/>
        </w:rPr>
        <w:t>《商务技术偏离表》。</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80"/>
        <w:gridCol w:w="477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40" w:type="dxa"/>
            <w:vMerge w:val="restart"/>
            <w:vAlign w:val="center"/>
          </w:tcPr>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280" w:type="dxa"/>
            <w:vMerge w:val="restart"/>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指标名称</w:t>
            </w:r>
          </w:p>
        </w:tc>
        <w:tc>
          <w:tcPr>
            <w:tcW w:w="4770" w:type="dxa"/>
            <w:vMerge w:val="restart"/>
            <w:vAlign w:val="center"/>
          </w:tcPr>
          <w:p>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指标参数</w:t>
            </w:r>
          </w:p>
        </w:tc>
        <w:tc>
          <w:tcPr>
            <w:tcW w:w="732" w:type="dxa"/>
            <w:vMerge w:val="restart"/>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tcPr>
          <w:p>
            <w:pPr>
              <w:jc w:val="center"/>
              <w:rPr>
                <w:rFonts w:ascii="仿宋" w:hAnsi="仿宋" w:eastAsia="仿宋" w:cs="仿宋"/>
                <w:b/>
                <w:bCs/>
                <w:color w:val="auto"/>
                <w:sz w:val="24"/>
                <w:highlight w:val="none"/>
              </w:rPr>
            </w:pPr>
          </w:p>
        </w:tc>
        <w:tc>
          <w:tcPr>
            <w:tcW w:w="2280" w:type="dxa"/>
            <w:vMerge w:val="continue"/>
          </w:tcPr>
          <w:p>
            <w:pPr>
              <w:jc w:val="center"/>
              <w:rPr>
                <w:rFonts w:ascii="仿宋" w:hAnsi="仿宋" w:eastAsia="仿宋" w:cs="仿宋"/>
                <w:b/>
                <w:bCs/>
                <w:color w:val="auto"/>
                <w:sz w:val="24"/>
                <w:highlight w:val="none"/>
              </w:rPr>
            </w:pPr>
          </w:p>
        </w:tc>
        <w:tc>
          <w:tcPr>
            <w:tcW w:w="4770" w:type="dxa"/>
            <w:vMerge w:val="continue"/>
            <w:tcBorders>
              <w:bottom w:val="single" w:color="auto" w:sz="4" w:space="0"/>
            </w:tcBorders>
            <w:vAlign w:val="center"/>
          </w:tcPr>
          <w:p>
            <w:pPr>
              <w:jc w:val="center"/>
              <w:rPr>
                <w:rFonts w:ascii="仿宋" w:hAnsi="仿宋" w:eastAsia="仿宋" w:cs="仿宋"/>
                <w:b/>
                <w:bCs/>
                <w:color w:val="auto"/>
                <w:sz w:val="24"/>
                <w:highlight w:val="none"/>
              </w:rPr>
            </w:pPr>
          </w:p>
        </w:tc>
        <w:tc>
          <w:tcPr>
            <w:tcW w:w="732" w:type="dxa"/>
            <w:vMerge w:val="continue"/>
          </w:tcPr>
          <w:p>
            <w:pPr>
              <w:jc w:val="center"/>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★接收机工作频段</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至少包含1166-1186MHz、1190-1192MHz、1205-1209MHz、1217-1237MHz、1258-1278MHz、1559-1563MHz、1574-1576MHz</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★接收机捕获灵敏度</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≤-145dBm</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rPr>
              <w:t>接收机跟踪灵敏度</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≤-167dBm</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接收机噪声系数</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≤3dB</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rPr>
              <w:t>天线工作频段</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至少包含1160-1600MHz，包含所有GNSS系统频段，垂直+水平极化</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★天线增益</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G(1200MHz)≥2dBi，G(1500MHz)≥10dBi</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天线线缆</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损耗：≤1dB（长度≤3m）</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系统测向精度</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启动时间</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≤40s（冷启动）、≤3s（热启动）</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2280" w:type="dxa"/>
            <w:vAlign w:val="center"/>
          </w:tcPr>
          <w:p>
            <w:pPr>
              <w:jc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搭载方式</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手持式（必须具备）、车载、机载</w:t>
            </w:r>
          </w:p>
        </w:tc>
        <w:tc>
          <w:tcPr>
            <w:tcW w:w="73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228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供电方式</w:t>
            </w:r>
          </w:p>
        </w:tc>
        <w:tc>
          <w:tcPr>
            <w:tcW w:w="477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锂电池</w:t>
            </w:r>
          </w:p>
        </w:tc>
        <w:tc>
          <w:tcPr>
            <w:tcW w:w="732" w:type="dxa"/>
            <w:vAlign w:val="center"/>
          </w:tcPr>
          <w:p>
            <w:pPr>
              <w:jc w:val="center"/>
              <w:rPr>
                <w:rFonts w:ascii="仿宋" w:hAnsi="仿宋" w:eastAsia="仿宋" w:cs="仿宋"/>
                <w:color w:val="auto"/>
                <w:sz w:val="24"/>
                <w:highlight w:val="none"/>
              </w:rPr>
            </w:pPr>
          </w:p>
        </w:tc>
      </w:tr>
    </w:tbl>
    <w:p>
      <w:pPr>
        <w:adjustRightInd/>
        <w:snapToGrid w:val="0"/>
        <w:spacing w:before="120" w:beforeLines="50" w:line="360" w:lineRule="auto"/>
        <w:outlineLvl w:val="1"/>
        <w:rPr>
          <w:rFonts w:ascii="仿宋" w:hAnsi="仿宋" w:eastAsia="仿宋" w:cs="仿宋"/>
          <w:b/>
          <w:color w:val="auto"/>
          <w:sz w:val="30"/>
          <w:szCs w:val="30"/>
          <w:highlight w:val="none"/>
        </w:rPr>
      </w:pPr>
    </w:p>
    <w:p>
      <w:pPr>
        <w:adjustRightInd/>
        <w:snapToGrid w:val="0"/>
        <w:spacing w:before="120" w:beforeLines="50"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四、实施要求</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 具体要求</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1）包括运输、保险、卸货到采购人指定地点、保管、开箱验收（箱体外观无人为损坏情况下）、安装调试、检测、试运行、检验、最终验收并交付。</w:t>
      </w:r>
    </w:p>
    <w:p>
      <w:pPr>
        <w:tabs>
          <w:tab w:val="left" w:pos="5520"/>
        </w:tabs>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2）到货地点：采购人指定地点；</w:t>
      </w:r>
    </w:p>
    <w:p>
      <w:pPr>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3）交货方式：1、现场交货；2、供货时间：投标人承诺在90天内完成项目设备供货。</w:t>
      </w:r>
    </w:p>
    <w:p>
      <w:pPr>
        <w:widowControl/>
        <w:autoSpaceDE w:val="0"/>
        <w:autoSpaceDN w:val="0"/>
        <w:snapToGrid w:val="0"/>
        <w:spacing w:line="360" w:lineRule="auto"/>
        <w:ind w:firstLine="480" w:firstLineChars="200"/>
        <w:textAlignment w:val="bottom"/>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snapToGrid w:val="0"/>
          <w:color w:val="auto"/>
          <w:kern w:val="0"/>
          <w:sz w:val="24"/>
          <w:highlight w:val="none"/>
        </w:rPr>
        <w:t>安装地点：</w:t>
      </w:r>
      <w:r>
        <w:rPr>
          <w:rFonts w:hint="eastAsia" w:ascii="仿宋" w:hAnsi="仿宋" w:eastAsia="仿宋" w:cs="仿宋"/>
          <w:color w:val="auto"/>
          <w:sz w:val="24"/>
          <w:highlight w:val="none"/>
        </w:rPr>
        <w:t>采购人指定地点；</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5）投标人应在投标文件中提供其安装调试过程中需采购人配合的内容；</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6）实施团队：投标人需为本项目顺利实施建立必要的实施团队，指定唯一的项目经理。随投标文件提供实施团队的建立方案，并提供社保记录、以往项目合同等可以证明实施团队的能力的文件。</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6）实施周期：见本章“七、实施周期”。如在合同约定时间内由于中标人的原因不能完成安装和调试，中标人应承担由此给采购人造成的损失。</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7）试运行：设备交付后须按要求进行试运行，期间发生问题须及时解决。</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8）最终验收：</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设备安装调试完毕后，由采购人根据合同、采购文件、投标文件以及国家无线电监测中心相关技术文件和标准验收。硬件技术指标采取标准场地验收，软件功能采取安装现场操作比对和测试指标比对验收。</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中标人应提供产品的有效检验文件及供货清单，经采购人认可后，与合同的性能指标一起作为产品验收标准。采购人对产品验收合格后，双方共同签署验收合格证书。验收中发现产品达不到验收标准或合同规定的性能指标，中标人必须更换相关零部件，甚至于更换产品（相关费用由中标人承担）。并且赔偿由此给采购人造成的损失。</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连续无故障运行满15天。</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9）其他要求详见采购合同。</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 售后服务</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1）质保期</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质保期不少于3年，质保期从最终验收通过之日起计算。</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2）售后服务机构</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中标人在中华人民共和国国内应设有维修中心，维修中心应能提供快捷、周到、规范的服务，在质保期到期后至少提供10年的维修服务，维修配件按成本价计算。</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3）售后服务响应</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质保期内保养维护维修，提供 7×24 小时电话技术支持。能够即时响应，随时电话或书面解答采购人的疑问，紧急事故处理要求48小时内到达现场。随投标提供售后服务团队清单，并指定唯一的服务经理，提供售后服务方案。</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4）售后服务内容</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质保期内，中标人应提供正常保养服务，因产品制造质量不良而产生损坏或不能正常工作，中标人应提供维修直至更换，费用由中标人承担（包括返厂维修）。维修周期应不影响招标人工作开展。售后服务方案应明确维修的时间周期。</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5）售后服务收费</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在质保期内，中标人提供服务，质保期将满前，中标人须对设备进行全面检测一次，解决检测出的问题，并向采购人提供完整的书面报告。</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质保期满后，中标人提供最优惠的维修价格（人工费、材料费、设备费等），并在投标文件中进行承诺，在设备寿命期内，保证维修配件的供应和及时维修，维修价格保持不变（政策调整因素除外）。</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6）投标人应在投标文件中对以上内容进行详细、明确的阐述。</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 培训</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为使采购人能正确使用设备，对采购人相关人员进行操作、维修的培训，使设备能正确的为采购人使用并达到采购人的工作使用效果。</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1）需要培训的人数：2人以上</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2）培训方式：现场培训</w:t>
      </w:r>
    </w:p>
    <w:p>
      <w:pPr>
        <w:adjustRightInd/>
        <w:snapToGrid w:val="0"/>
        <w:spacing w:before="120" w:beforeLines="50"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五、现场演示</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设置现场演示环节，投标人需提供现场演示。每个投标人现场演示不超过15分钟。演示顺序按投标文件解密先后次序。演示所需信号源、数据等配套软硬件由投标人自备。演示内容详见本采购文件第五部分评分细则及标准。</w:t>
      </w:r>
    </w:p>
    <w:p>
      <w:pPr>
        <w:adjustRightInd/>
        <w:snapToGrid w:val="0"/>
        <w:spacing w:before="120" w:beforeLines="50"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六、其它要求</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 提供有效期内的质量管理体系认证证书、环境管理体系认证证书、信息技术服务管理体系认证证书和信息安全管理体系认证证书。</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 提供不少于2个2021年1月1日以来（以合同签订时间为准）无线电监测领域同类项目业绩。</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 投标人应在投标文件中对采购文件技术规范的要求逐条加以说明，并在偏离表中体现。产品技术规格中带★项的参数，必须按采购文件要求在投标文件中提供相关证明材料（如：承诺函、功能截图或照片、技术支持材料等），未提供的评标时不予认可。技术支持资料以制造商公开发布的印刷彩页、使用手册等技术资料或在生产厂商官方网站下载的资料或第三方检测机构出具的检测报告为依据。如经审查存在不一致或未在投标文件提供证明材料，视作该响应指标存在负偏离。</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4. 投标方案需集成度高，针对性强，完全满足项目需求；质量保障措施可行，切合本项目实际；实施计划科学合理。</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5. 提供项目实施方案，包括但不限于人员配置、安全保障措施等。</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6. 提供站点改造施工技术方案。</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7. 投标产品列入财政部、发展改革委发布的节能产品品目清单的，提供国家市场监督管理总局公布的《参与实施政府采购节能产品认证机构名录》内的认证机构出具的、处于有效期之内的节能标志产品认证证书；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8. 要求投标人拥有完善的售后服务体系：</w:t>
      </w:r>
    </w:p>
    <w:p>
      <w:pPr>
        <w:snapToGrid w:val="0"/>
        <w:spacing w:line="360" w:lineRule="auto"/>
        <w:ind w:firstLine="720" w:firstLineChars="300"/>
        <w:jc w:val="left"/>
        <w:rPr>
          <w:rFonts w:ascii="Calibri" w:hAnsi="Calibri" w:eastAsia="仿宋" w:cs="Arial"/>
          <w:color w:val="auto"/>
          <w:sz w:val="24"/>
          <w:highlight w:val="none"/>
        </w:rPr>
      </w:pPr>
      <w:r>
        <w:rPr>
          <w:rFonts w:hint="eastAsia" w:ascii="Calibri" w:hAnsi="Calibri" w:eastAsia="仿宋" w:cs="Arial"/>
          <w:color w:val="auto"/>
          <w:sz w:val="24"/>
          <w:highlight w:val="none"/>
        </w:rPr>
        <w:t>8.1列明售后服务机构网点，服务人员配置、售后响应时间，提供售后服务和技术支持方案；</w:t>
      </w:r>
    </w:p>
    <w:p>
      <w:pPr>
        <w:snapToGrid w:val="0"/>
        <w:spacing w:line="360" w:lineRule="auto"/>
        <w:ind w:firstLine="720" w:firstLineChars="300"/>
        <w:jc w:val="left"/>
        <w:rPr>
          <w:rFonts w:ascii="Calibri" w:hAnsi="Calibri" w:eastAsia="仿宋" w:cs="Arial"/>
          <w:color w:val="auto"/>
          <w:sz w:val="24"/>
          <w:highlight w:val="none"/>
        </w:rPr>
      </w:pPr>
      <w:r>
        <w:rPr>
          <w:rFonts w:hint="eastAsia" w:ascii="Calibri" w:hAnsi="Calibri" w:eastAsia="仿宋" w:cs="Arial"/>
          <w:color w:val="auto"/>
          <w:sz w:val="24"/>
          <w:highlight w:val="none"/>
        </w:rPr>
        <w:t>8.2提供生产厂家供货保障、产品质量保障（提供原厂售后服务承诺函）；</w:t>
      </w:r>
    </w:p>
    <w:p>
      <w:pPr>
        <w:snapToGrid w:val="0"/>
        <w:spacing w:line="360" w:lineRule="auto"/>
        <w:ind w:firstLine="720" w:firstLineChars="300"/>
        <w:jc w:val="left"/>
        <w:rPr>
          <w:rFonts w:ascii="Calibri" w:hAnsi="Calibri" w:eastAsia="仿宋" w:cs="Arial"/>
          <w:color w:val="auto"/>
          <w:sz w:val="24"/>
          <w:highlight w:val="none"/>
        </w:rPr>
      </w:pPr>
      <w:r>
        <w:rPr>
          <w:rFonts w:hint="eastAsia" w:ascii="Calibri" w:hAnsi="Calibri" w:eastAsia="仿宋" w:cs="Arial"/>
          <w:color w:val="auto"/>
          <w:sz w:val="24"/>
          <w:highlight w:val="none"/>
        </w:rPr>
        <w:t>8.3提供备品备件；</w:t>
      </w:r>
    </w:p>
    <w:p>
      <w:pPr>
        <w:snapToGrid w:val="0"/>
        <w:spacing w:line="360" w:lineRule="auto"/>
        <w:ind w:firstLine="720" w:firstLineChars="300"/>
        <w:jc w:val="left"/>
        <w:rPr>
          <w:rFonts w:ascii="Calibri" w:hAnsi="Calibri" w:eastAsia="仿宋" w:cs="Arial"/>
          <w:color w:val="auto"/>
          <w:sz w:val="24"/>
          <w:highlight w:val="none"/>
        </w:rPr>
      </w:pPr>
      <w:r>
        <w:rPr>
          <w:rFonts w:hint="eastAsia" w:ascii="Calibri" w:hAnsi="Calibri" w:eastAsia="仿宋" w:cs="Arial"/>
          <w:color w:val="auto"/>
          <w:sz w:val="24"/>
          <w:highlight w:val="none"/>
        </w:rPr>
        <w:t>8.4承诺保修期内每年上门巡检售后服务次数不少于2次。</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9. 投标人需对质保期作出承诺。在质保期内不得再额外收取任何费用。质保期满后，承诺继续提供维护服务，相关费用依据上一年度项目运营费用提供明细清单。</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10. 投标人需提供培训计划（包括培训内容、培训地点、培训师资、培训人员数量等）。</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11. 投标人须充分考虑相关不确定因素导致实施周期变更或延长，所产生的相关费用。承诺在项目实施过程中不得藉此要求增加任何费用。</w:t>
      </w:r>
    </w:p>
    <w:p>
      <w:pPr>
        <w:snapToGrid w:val="0"/>
        <w:spacing w:line="360" w:lineRule="auto"/>
        <w:ind w:firstLine="480" w:firstLineChars="200"/>
        <w:jc w:val="left"/>
        <w:rPr>
          <w:rFonts w:ascii="Calibri" w:hAnsi="Calibri" w:eastAsia="仿宋" w:cs="Arial"/>
          <w:color w:val="auto"/>
          <w:sz w:val="24"/>
          <w:highlight w:val="none"/>
        </w:rPr>
      </w:pPr>
      <w:r>
        <w:rPr>
          <w:rFonts w:hint="eastAsia" w:ascii="Calibri" w:hAnsi="Calibri" w:eastAsia="仿宋" w:cs="Arial"/>
          <w:color w:val="auto"/>
          <w:sz w:val="24"/>
          <w:highlight w:val="none"/>
        </w:rPr>
        <w:t>12. 中标人须在中标后1周内向采购人提交项目实施计划方案表，该计划方案将作为本项目采购人对中标人的考核标准。</w:t>
      </w:r>
    </w:p>
    <w:p>
      <w:pPr>
        <w:adjustRightInd/>
        <w:snapToGrid w:val="0"/>
        <w:spacing w:before="120" w:beforeLines="50"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七、实施周期</w:t>
      </w:r>
    </w:p>
    <w:p>
      <w:pPr>
        <w:snapToGrid w:val="0"/>
        <w:spacing w:line="360" w:lineRule="auto"/>
        <w:ind w:firstLine="480" w:firstLineChars="200"/>
        <w:jc w:val="left"/>
        <w:rPr>
          <w:rFonts w:ascii="仿宋" w:hAnsi="仿宋" w:eastAsia="仿宋" w:cs="仿宋"/>
          <w:color w:val="auto"/>
          <w:szCs w:val="21"/>
          <w:highlight w:val="none"/>
        </w:rPr>
      </w:pPr>
      <w:r>
        <w:rPr>
          <w:rFonts w:hint="eastAsia" w:ascii="仿宋" w:hAnsi="仿宋" w:eastAsia="仿宋" w:cs="仿宋"/>
          <w:color w:val="auto"/>
          <w:sz w:val="24"/>
          <w:highlight w:val="none"/>
        </w:rPr>
        <w:t>从合同签订之日起90天内完成设备交货，进入试运行阶段，试运行期连续无故障时间不少于15天，试运行期满后进行最终验收。如在合同约定时间内由于中标人的原因不能完成验收，中标人应承担由此给采购人造成的损失。</w:t>
      </w:r>
    </w:p>
    <w:p>
      <w:pPr>
        <w:adjustRightInd/>
        <w:snapToGrid w:val="0"/>
        <w:spacing w:before="120" w:beforeLines="50"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八、付款</w:t>
      </w:r>
    </w:p>
    <w:p>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 履约保证金</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履约保证金金额：面向大型企业收取合同金额的1%；面向中小型企业免收。</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履约保证金缴纳形式：支票、汇票、本票或者金融机构、担保机构出具的保函等非现金形式提交</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履约保证金缴纳时间：合同签订之日起15个工作日内</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履约保证金有效期：合同签订之日起至项目最终验收通过</w:t>
      </w:r>
    </w:p>
    <w:p>
      <w:pPr>
        <w:snapToGrid w:val="0"/>
        <w:spacing w:line="360" w:lineRule="auto"/>
        <w:ind w:firstLine="480" w:firstLineChars="200"/>
        <w:jc w:val="left"/>
        <w:rPr>
          <w:rFonts w:ascii="仿宋" w:hAnsi="仿宋" w:eastAsia="仿宋" w:cs="仿宋"/>
          <w:b/>
          <w:bCs/>
          <w:color w:val="auto"/>
          <w:szCs w:val="28"/>
          <w:highlight w:val="none"/>
        </w:rPr>
      </w:pPr>
      <w:r>
        <w:rPr>
          <w:rFonts w:hint="eastAsia" w:ascii="仿宋" w:hAnsi="仿宋" w:eastAsia="仿宋" w:cs="仿宋"/>
          <w:color w:val="auto"/>
          <w:sz w:val="24"/>
          <w:highlight w:val="none"/>
        </w:rPr>
        <w:t>履约保证金退还：项目最终验收通过，采购人收到中标人提供的履约保证金收据后15个工作日内退还。</w:t>
      </w:r>
    </w:p>
    <w:p>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 付款</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第一笔付款为预付款：</w:t>
      </w:r>
      <w:r>
        <w:rPr>
          <w:rFonts w:hint="eastAsia" w:ascii="仿宋" w:hAnsi="仿宋" w:eastAsia="仿宋" w:cs="仿宋"/>
          <w:color w:val="auto"/>
          <w:sz w:val="24"/>
          <w:highlight w:val="none"/>
        </w:rPr>
        <w:t>合同生效且采购人收到中标人提供的同等金额的正规发票及履约保证金后，在履行财政相关资金审批手续后 7个工作日内，向中标人支付合同总价 70%的合同款；</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第二笔付款为最终验收付款：</w:t>
      </w:r>
      <w:r>
        <w:rPr>
          <w:rFonts w:hint="eastAsia" w:ascii="仿宋" w:hAnsi="仿宋" w:eastAsia="仿宋" w:cs="仿宋"/>
          <w:color w:val="auto"/>
          <w:sz w:val="24"/>
          <w:highlight w:val="none"/>
        </w:rPr>
        <w:t>系统试运行达到验收要求后，采购人组织最终验收，验收合格后，采购人收到中标人提供的同等金额的正规发票后，在履行财政相关资金审批手续后 7 个工作日内，向中标人支付合同总价 30% 的合同款。</w:t>
      </w:r>
    </w:p>
    <w:p>
      <w:pPr>
        <w:adjustRightInd/>
        <w:snapToGrid w:val="0"/>
        <w:spacing w:before="120" w:beforeLines="50" w:line="360" w:lineRule="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九、特别提示</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如采购文件中遗漏了必须具备的内容或服务，请投标人在投标文件中补充，并提出解决方案供采购人参考；中标投标人有义务保证采购人采购项目的完整性。</w:t>
      </w:r>
      <w:bookmarkEnd w:id="34"/>
      <w:bookmarkEnd w:id="35"/>
      <w:bookmarkEnd w:id="36"/>
      <w:bookmarkEnd w:id="37"/>
      <w:r>
        <w:rPr>
          <w:rFonts w:hint="eastAsia" w:ascii="Calibri" w:hAnsi="Calibri" w:eastAsia="仿宋"/>
          <w:color w:val="auto"/>
          <w:kern w:val="0"/>
          <w:sz w:val="24"/>
          <w:highlight w:val="none"/>
        </w:rPr>
        <w:t>以上所提及的费用均包含在投标总价中。</w:t>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  评标办法</w:t>
      </w:r>
    </w:p>
    <w:p>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675"/>
        <w:gridCol w:w="957"/>
        <w:gridCol w:w="1000"/>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snapToGrid w:val="0"/>
              <w:spacing w:line="360" w:lineRule="auto"/>
              <w:jc w:val="center"/>
              <w:rPr>
                <w:rFonts w:ascii="仿宋" w:hAnsi="仿宋" w:eastAsia="仿宋" w:cs="仿宋"/>
                <w:b/>
                <w:bCs/>
                <w:color w:val="auto"/>
                <w:sz w:val="24"/>
                <w:highlight w:val="none"/>
              </w:rPr>
            </w:pPr>
            <w:bookmarkStart w:id="38" w:name="_Hlk128675628"/>
            <w:r>
              <w:rPr>
                <w:rFonts w:hint="eastAsia" w:ascii="仿宋" w:hAnsi="仿宋" w:eastAsia="仿宋" w:cs="仿宋"/>
                <w:b/>
                <w:bCs/>
                <w:color w:val="auto"/>
                <w:sz w:val="24"/>
                <w:highlight w:val="none"/>
              </w:rPr>
              <w:t>序号</w:t>
            </w:r>
          </w:p>
        </w:tc>
        <w:tc>
          <w:tcPr>
            <w:tcW w:w="5675"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主观分/客观分属性</w:t>
            </w:r>
          </w:p>
        </w:tc>
        <w:tc>
          <w:tcPr>
            <w:tcW w:w="1221" w:type="dxa"/>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商务分（10分）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自2021年1月1日以来（以合同签订时间为准），投标人在无线电监测领域同类项目业绩，每个合同得1.5分，最高得3分。</w:t>
            </w:r>
          </w:p>
          <w:p>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【证明材料：须提供合同复印件并加盖投标人公章。】</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同类产品业绩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投标人具备下列证书且在有效期内的，每项得1.5分，最高得6分，没有不得分：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（1）质量管理体系认证（认证依据：GB/T19001/ISO9001）；</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（2）环境管理体系认证（认证依据：GB/T24001/ISO14001）；</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（3）信息技术服务管理体系认证（认证依据：GB/T24405/ISO/IEC 20000）；</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（4）信息安全管理体系认证（认证依据：GB/T 22080/ISO/IEC 27001）。</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【证明材料：须提供有效证书复印件或国家市场监督管理总局网站|全国认证认可信息公共服务平台（http://cx.cnca.cn/CertECloud/index/index/page）查询截图并加盖投标人公章，不提供或者不能提供有效证明的不得分。】</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6</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w:t>
            </w:r>
            <w:bookmarkStart w:id="57" w:name="_GoBack"/>
            <w:bookmarkEnd w:id="57"/>
            <w:r>
              <w:rPr>
                <w:rFonts w:hint="eastAsia" w:ascii="仿宋" w:hAnsi="仿宋" w:eastAsia="仿宋" w:cs="仿宋"/>
                <w:color w:val="auto"/>
                <w:sz w:val="24"/>
                <w:highlight w:val="none"/>
              </w:rPr>
              <w:t>境标志产品认证证书，得0.5分。</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节能环保产品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color w:val="auto"/>
                <w:highlight w:val="none"/>
              </w:rPr>
            </w:pPr>
            <w:r>
              <w:rPr>
                <w:rFonts w:hint="eastAsia" w:ascii="仿宋" w:hAnsi="仿宋" w:eastAsia="仿宋" w:cs="仿宋"/>
                <w:color w:val="auto"/>
                <w:sz w:val="24"/>
                <w:highlight w:val="none"/>
              </w:rPr>
              <w:t>所投产品是否满足采购文件的建设内容及要求、实施要求，全部满足的得29分。带★的功能或技术指标不满足，每项扣3分；其他的功能或技术指标不满足，每项扣1分。扣完为止，投标响应缺项视同不满足。</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具体由评委根据投标单位的投标文件中产品情况、《技术要求响应表》、《仪器彩页说明书》等有关资料及质量保证说明等情况打分。产品技术规格中带★项的参数，必须在投标文件中提供技术支持资料，未提供的评标时不予认可，技术支持资料以制造商公开发布的印刷彩页、使用手册等或第三方检测机构出具的检测报告为依据。如经审查存在不一致或未在投标文件提供证明材料，视作该响应指标存在负偏离。</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29</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系统主要功能要求和技术指标要求的符合性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42" w:type="dxa"/>
            <w:vMerge w:val="restart"/>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（1）有完善售后服务体系、售后服务响应速度快、技术支持能力的得2分，存在不足或未体现相关内容的不得分;</w:t>
            </w:r>
          </w:p>
        </w:tc>
        <w:tc>
          <w:tcPr>
            <w:tcW w:w="957" w:type="dxa"/>
            <w:vAlign w:val="center"/>
          </w:tcPr>
          <w:p>
            <w:pPr>
              <w:snapToGrid w:val="0"/>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2</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主观分</w:t>
            </w:r>
          </w:p>
        </w:tc>
        <w:tc>
          <w:tcPr>
            <w:tcW w:w="1221" w:type="dxa"/>
            <w:vMerge w:val="restart"/>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42" w:type="dxa"/>
            <w:vMerge w:val="continue"/>
            <w:vAlign w:val="center"/>
          </w:tcPr>
          <w:p>
            <w:pPr>
              <w:snapToGrid w:val="0"/>
              <w:spacing w:line="360" w:lineRule="auto"/>
            </w:pPr>
          </w:p>
        </w:tc>
        <w:tc>
          <w:tcPr>
            <w:tcW w:w="5675"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（2）售后人员保障:有专人负责项目售后服务的得1分;</w:t>
            </w:r>
          </w:p>
        </w:tc>
        <w:tc>
          <w:tcPr>
            <w:tcW w:w="957" w:type="dxa"/>
            <w:vAlign w:val="center"/>
          </w:tcPr>
          <w:p>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p>
        </w:tc>
        <w:tc>
          <w:tcPr>
            <w:tcW w:w="1000" w:type="dxa"/>
            <w:vAlign w:val="center"/>
          </w:tcPr>
          <w:p>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客观分</w:t>
            </w:r>
          </w:p>
        </w:tc>
        <w:tc>
          <w:tcPr>
            <w:tcW w:w="1221" w:type="dxa"/>
            <w:vMerge w:val="continue"/>
            <w:vAlign w:val="center"/>
          </w:tcPr>
          <w:p>
            <w:pPr>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42" w:type="dxa"/>
            <w:vMerge w:val="continue"/>
            <w:vAlign w:val="center"/>
          </w:tcPr>
          <w:p>
            <w:pPr>
              <w:snapToGrid w:val="0"/>
              <w:spacing w:line="360" w:lineRule="auto"/>
              <w:rPr>
                <w:rFonts w:hint="eastAsia" w:ascii="仿宋" w:hAnsi="仿宋" w:eastAsia="仿宋" w:cs="仿宋"/>
                <w:color w:val="auto"/>
                <w:sz w:val="24"/>
                <w:highlight w:val="none"/>
              </w:rPr>
            </w:pPr>
          </w:p>
        </w:tc>
        <w:tc>
          <w:tcPr>
            <w:tcW w:w="5675"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（3）承诺保修期内每年上门巡检售后服务次数不少于1次的得2分，不满足不得分。</w:t>
            </w:r>
          </w:p>
        </w:tc>
        <w:tc>
          <w:tcPr>
            <w:tcW w:w="957" w:type="dxa"/>
            <w:vAlign w:val="center"/>
          </w:tcPr>
          <w:p>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w:t>
            </w:r>
          </w:p>
        </w:tc>
        <w:tc>
          <w:tcPr>
            <w:tcW w:w="1000" w:type="dxa"/>
            <w:vAlign w:val="center"/>
          </w:tcPr>
          <w:p>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客观分</w:t>
            </w:r>
          </w:p>
        </w:tc>
        <w:tc>
          <w:tcPr>
            <w:tcW w:w="1221" w:type="dxa"/>
            <w:vMerge w:val="continue"/>
            <w:vAlign w:val="center"/>
          </w:tcPr>
          <w:p>
            <w:pPr>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培训方案（包括培训内容、培训地点、培训师资、培训人员数量等）。内容合理、详细完善、培训目标明确的得2分；方案较合理，内容部分欠缺的得1分；未提供或不满足的得0分。</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主观分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投标人承诺在90天内完成项目设备供货的得1分，不提供不得分。</w:t>
            </w:r>
          </w:p>
          <w:p>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【证明材料：提供承诺函并加盖投标人公章，格式不限。】</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（1）质保期承诺满足采购需求的得1分。</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（2）优于质保期承诺的酌情加分(长于质保期承诺一年及以上的加2分，长于质保期承诺超半年以上不足年的加1分)。非全部产品统一延长质保期的按最短质保期为准。不满足不得分。</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【证明材料：提供承诺函并加盖投标人公章，格式不限。】</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投标人具有的项目实际案例，并通过现场演示的方式进行演示，未演示得0分，演示时间不超过15分钟。演示内容至少包含：</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（1）GNSS卫星实时追踪功能，可以实时显示当前可见的GNSS卫星轨位。</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（2）GNSS信号质量实时显示功能，能够实时显示当前能够接收到GNSS卫星导航信号质量。</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（3）具备GNSS干扰测向功能，能够对压制式和欺骗式GNSS干扰进行测向。</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（4）具备多点多站交汇定位功能，可以实现单台设备多点定位，也可由多台设备联合定位。</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每点功能满足需求的得5分，功能点未演示或不满足要求的不得分，最高得20分。</w:t>
            </w:r>
          </w:p>
        </w:tc>
        <w:tc>
          <w:tcPr>
            <w:tcW w:w="957"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20</w:t>
            </w:r>
          </w:p>
        </w:tc>
        <w:tc>
          <w:tcPr>
            <w:tcW w:w="1000"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报价部分（30分）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numPr>
                <w:ilvl w:val="0"/>
                <w:numId w:val="3"/>
              </w:numPr>
              <w:snapToGrid w:val="0"/>
              <w:spacing w:line="360" w:lineRule="auto"/>
              <w:ind w:left="0" w:firstLine="0"/>
              <w:jc w:val="center"/>
              <w:rPr>
                <w:rFonts w:ascii="仿宋" w:hAnsi="仿宋" w:eastAsia="仿宋" w:cs="仿宋"/>
                <w:b/>
                <w:bCs/>
                <w:color w:val="auto"/>
                <w:sz w:val="24"/>
                <w:highlight w:val="none"/>
              </w:rPr>
            </w:pPr>
          </w:p>
        </w:tc>
        <w:tc>
          <w:tcPr>
            <w:tcW w:w="5675"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有效投标报价的最低价作为评标基准价，其最低报价为满分；按［投标报价得分=（评标基准价/投标报价）*30］的计算公式计算。</w:t>
            </w:r>
          </w:p>
          <w:p>
            <w:pPr>
              <w:widowControl/>
              <w:shd w:val="clear" w:color="auto" w:fill="FFFFFF"/>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5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000" w:type="dxa"/>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客观分</w:t>
            </w:r>
          </w:p>
        </w:tc>
        <w:tc>
          <w:tcPr>
            <w:tcW w:w="1221" w:type="dxa"/>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p>
        </w:tc>
      </w:tr>
      <w:bookmarkEnd w:id="38"/>
    </w:tbl>
    <w:p>
      <w:pPr>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widowControl/>
        <w:adjustRightInd/>
        <w:jc w:val="left"/>
        <w:rPr>
          <w:rFonts w:ascii="仿宋" w:hAnsi="仿宋" w:eastAsia="仿宋" w:cs="仿宋"/>
          <w:b/>
          <w:color w:val="auto"/>
          <w:sz w:val="32"/>
          <w:highlight w:val="none"/>
        </w:rPr>
      </w:pPr>
    </w:p>
    <w:p>
      <w:pPr>
        <w:snapToGrid w:val="0"/>
        <w:spacing w:line="360" w:lineRule="auto"/>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综合评分法，是指投标文件满足采购文件全部实质性要求，且按照评审因素的量化指标评审得分最高的投标人为中标候选人的评标方法。</w:t>
      </w:r>
    </w:p>
    <w:p>
      <w:pPr>
        <w:snapToGrid w:val="0"/>
        <w:spacing w:line="360" w:lineRule="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二、评标标准</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napToGrid w:val="0"/>
        <w:spacing w:line="360" w:lineRule="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评标委员会应当对符合资格的投标人的投标文件进行符合性审查，以确定其是否满足采购文件的实质性要求。不满足采购文件的实质性要求的，投标无效。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评标委员会应当按照采购文件中规定的评标方法和标准，对符合性审查合格的投标文件进行商务和技术评估，综合比较与评价。</w:t>
      </w:r>
    </w:p>
    <w:p>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推进采购需求和评审因素编制的科学化和精细化，评审小组成员个人主观打分偏离所有评审小组成员主观打分平均值30%以上的，由评审委员会启动评分畸高、畸低行为认定程序，限制专家自由裁量权。</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spacing w:line="360" w:lineRule="auto"/>
        <w:ind w:firstLine="480" w:firstLineChars="200"/>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3.4.1投标文件报价出现前后不一致的，按照下列规定修正：</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3.4.3投标报价超过采购文件中规定的预算金额或者最高限价的，投标无效。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得分次高的投标人为排名第二的中标候选人。</w:t>
      </w:r>
      <w:r>
        <w:rPr>
          <w:rFonts w:hint="eastAsia" w:ascii="仿宋" w:hAnsi="仿宋" w:eastAsia="仿宋" w:cs="仿宋"/>
          <w:color w:val="auto"/>
          <w:kern w:val="0"/>
          <w:sz w:val="24"/>
          <w:highlight w:val="none"/>
          <w:u w:val="single"/>
        </w:rPr>
        <w:t>本项目中标候选人推荐1名</w:t>
      </w:r>
      <w:r>
        <w:rPr>
          <w:rFonts w:hint="eastAsia" w:ascii="仿宋" w:hAnsi="仿宋" w:eastAsia="仿宋" w:cs="仿宋"/>
          <w:color w:val="auto"/>
          <w:kern w:val="0"/>
          <w:sz w:val="24"/>
          <w:highlight w:val="none"/>
        </w:rPr>
        <w:t>。</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bookmarkEnd w:id="20"/>
    <w:p>
      <w:pPr>
        <w:spacing w:line="360" w:lineRule="auto"/>
        <w:ind w:firstLine="482" w:firstLineChars="200"/>
        <w:rPr>
          <w:rFonts w:ascii="仿宋" w:hAnsi="仿宋" w:eastAsia="仿宋" w:cs="仿宋"/>
          <w:color w:val="auto"/>
          <w:kern w:val="0"/>
          <w:sz w:val="24"/>
          <w:highlight w:val="none"/>
        </w:rPr>
      </w:pPr>
      <w:bookmarkStart w:id="39" w:name="第五部分"/>
      <w:bookmarkStart w:id="40" w:name="_Toc86217003"/>
      <w:r>
        <w:rPr>
          <w:rFonts w:hint="eastAsia" w:ascii="仿宋" w:hAnsi="仿宋" w:eastAsia="仿宋" w:cs="仿宋"/>
          <w:b/>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firstLine="482" w:firstLineChars="200"/>
        <w:rPr>
          <w:rFonts w:ascii="仿宋" w:hAnsi="仿宋" w:eastAsia="仿宋" w:cs="仿宋"/>
          <w:color w:val="auto"/>
          <w:sz w:val="24"/>
          <w:szCs w:val="21"/>
          <w:highlight w:val="none"/>
        </w:rPr>
      </w:pPr>
      <w:r>
        <w:rPr>
          <w:rFonts w:hint="eastAsia" w:ascii="仿宋" w:hAnsi="仿宋" w:eastAsia="仿宋" w:cs="仿宋"/>
          <w:b/>
          <w:color w:val="auto"/>
          <w:kern w:val="0"/>
          <w:sz w:val="24"/>
          <w:highlight w:val="none"/>
        </w:rPr>
        <w:t>4.2投标无效。</w:t>
      </w:r>
      <w:r>
        <w:rPr>
          <w:rFonts w:hint="eastAsia" w:ascii="仿宋" w:hAnsi="仿宋" w:eastAsia="仿宋" w:cs="仿宋"/>
          <w:color w:val="auto"/>
          <w:sz w:val="24"/>
          <w:szCs w:val="21"/>
          <w:highlight w:val="none"/>
        </w:rPr>
        <w:t>有下列情况之一的，投标无效：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4.2.1投标人不具备采购文件中规定的资格要求的（投标人未提供有效的资格文件的，视为投标人不具备采购文件中规定的资格要求）；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4.2.2投标文件未按照采购文件要求签署、盖章的；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4.2.5投标文件中承诺的投标有效期少于采购文件中载明的投标有效期的；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4.2.7投标报价超过采购文件中规定的预算金额或者最高限价的;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4.2.13投标文件不满足采购文件的其它实质性要求的；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4.2.14法律、法规、规章（适用本省的）及省级以上规范性文件（适用本省的）规定的其他无效情形。</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5.废标。</w:t>
      </w:r>
      <w:r>
        <w:rPr>
          <w:rFonts w:hint="eastAsia" w:ascii="仿宋" w:hAnsi="仿宋" w:eastAsia="仿宋" w:cs="仿宋"/>
          <w:color w:val="auto"/>
          <w:sz w:val="24"/>
          <w:highlight w:val="none"/>
        </w:rPr>
        <w:t>根据《中华人民共和国政府采购法》第三十六条之规定，在采购中，出现下列情形之一的，应予废标：</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5.1符合专业条件的投标人或者对采购文件作实质响应的投标人不足3家的；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5.3投标人的报价均超过了采购预算，采购人不能支付的；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废标后，采购代理机构应当将废标理由通知所有投标人。</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6.修改采购文件，重新组织采购活动。</w:t>
      </w:r>
      <w:r>
        <w:rPr>
          <w:rFonts w:hint="eastAsia" w:ascii="仿宋" w:hAnsi="仿宋" w:eastAsia="仿宋" w:cs="仿宋"/>
          <w:color w:val="auto"/>
          <w:sz w:val="24"/>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7.重新开展采购。</w:t>
      </w:r>
      <w:r>
        <w:rPr>
          <w:rFonts w:hint="eastAsia" w:ascii="仿宋" w:hAnsi="仿宋" w:eastAsia="仿宋" w:cs="仿宋"/>
          <w:color w:val="auto"/>
          <w:sz w:val="24"/>
          <w:highlight w:val="none"/>
        </w:rPr>
        <w:t>有政府采购法第七十一条、第七十二条规定的违法行为之一，影响或者可能影响中标结果的，依照下列规定处理：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7.1未确定中标投标人的，终止本次政府采购活动，重新开展政府采购活动。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7.2已确定中标投标人但尚未签订政府采购合同的，中标结果无效，从合格的中标候选人中另行确定中标投标人；没有合格的中标候选人的，重新开展政府采购活动。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7.3政府采购合同已签订但尚未履行的，撤销合同，从合格的中标候选人中另行确定中标投标人；没有合格的中标候选人的，重新开展政府采购活动。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7.4政府采购合同已经履行，给采购人、投标人造成损失的，由责任人承担赔偿责任。</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rPr>
          <w:rFonts w:ascii="仿宋" w:hAnsi="仿宋" w:eastAsia="仿宋" w:cs="仿宋"/>
          <w:b/>
          <w:color w:val="auto"/>
          <w:sz w:val="32"/>
          <w:szCs w:val="32"/>
          <w:highlight w:val="none"/>
        </w:rPr>
      </w:pPr>
    </w:p>
    <w:p>
      <w:pPr>
        <w:widowControl/>
        <w:adjustRightInd/>
        <w:jc w:val="left"/>
        <w:rPr>
          <w:rFonts w:ascii="仿宋" w:hAnsi="仿宋" w:eastAsia="仿宋" w:cs="仿宋"/>
          <w:b/>
          <w:color w:val="auto"/>
          <w:sz w:val="36"/>
          <w:szCs w:val="36"/>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第五部分  拟签订的合同文本</w:t>
      </w:r>
    </w:p>
    <w:p>
      <w:pPr>
        <w:snapToGrid w:val="0"/>
        <w:spacing w:line="360" w:lineRule="auto"/>
        <w:ind w:firstLine="420" w:firstLineChars="200"/>
        <w:jc w:val="center"/>
        <w:rPr>
          <w:rFonts w:ascii="仿宋" w:hAnsi="仿宋" w:eastAsia="仿宋" w:cs="仿宋"/>
          <w:color w:val="auto"/>
          <w:highlight w:val="none"/>
        </w:rPr>
      </w:pPr>
      <w:r>
        <w:rPr>
          <w:rFonts w:hint="eastAsia" w:ascii="仿宋" w:hAnsi="仿宋" w:eastAsia="仿宋" w:cs="仿宋"/>
          <w:color w:val="auto"/>
          <w:highlight w:val="none"/>
        </w:rPr>
        <w:t>（供参考，最终以甲乙双方协商签订的合同条款为准）</w:t>
      </w:r>
    </w:p>
    <w:p>
      <w:pPr>
        <w:tabs>
          <w:tab w:val="left" w:pos="3345"/>
        </w:tabs>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合同编号：</w:t>
      </w:r>
    </w:p>
    <w:p>
      <w:pPr>
        <w:tabs>
          <w:tab w:val="left" w:pos="3345"/>
        </w:tabs>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p>
      <w:pPr>
        <w:tabs>
          <w:tab w:val="left" w:pos="3345"/>
        </w:tabs>
        <w:spacing w:line="360" w:lineRule="auto"/>
        <w:rPr>
          <w:rFonts w:ascii="仿宋" w:hAnsi="仿宋" w:eastAsia="仿宋" w:cs="仿宋"/>
          <w:b/>
          <w:bCs/>
          <w:color w:val="auto"/>
          <w:highlight w:val="none"/>
        </w:rPr>
      </w:pPr>
      <w:r>
        <w:rPr>
          <w:rFonts w:hint="eastAsia" w:ascii="仿宋" w:hAnsi="仿宋" w:eastAsia="仿宋" w:cs="仿宋"/>
          <w:b/>
          <w:bCs/>
          <w:color w:val="auto"/>
          <w:sz w:val="24"/>
          <w:highlight w:val="none"/>
        </w:rPr>
        <w:t>项目名称：便携式GNSS干扰测向系统购置项目</w:t>
      </w:r>
    </w:p>
    <w:p>
      <w:pPr>
        <w:tabs>
          <w:tab w:val="left" w:pos="3420"/>
        </w:tabs>
        <w:spacing w:line="360" w:lineRule="auto"/>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项</w:t>
      </w:r>
    </w:p>
    <w:p>
      <w:pPr>
        <w:tabs>
          <w:tab w:val="left" w:pos="3420"/>
        </w:tabs>
        <w:spacing w:line="360" w:lineRule="auto"/>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目</w:t>
      </w:r>
    </w:p>
    <w:p>
      <w:pPr>
        <w:tabs>
          <w:tab w:val="left" w:pos="3420"/>
        </w:tabs>
        <w:spacing w:line="360" w:lineRule="auto"/>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合</w:t>
      </w:r>
    </w:p>
    <w:p>
      <w:pPr>
        <w:tabs>
          <w:tab w:val="left" w:pos="3420"/>
        </w:tabs>
        <w:spacing w:line="360" w:lineRule="auto"/>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同</w:t>
      </w:r>
    </w:p>
    <w:p>
      <w:pPr>
        <w:tabs>
          <w:tab w:val="left" w:pos="3420"/>
        </w:tabs>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84"/>
          <w:szCs w:val="84"/>
          <w:highlight w:val="none"/>
        </w:rPr>
        <w:t>书</w:t>
      </w: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autoSpaceDE w:val="0"/>
        <w:autoSpaceDN w:val="0"/>
        <w:snapToGrid w:val="0"/>
        <w:spacing w:line="360" w:lineRule="auto"/>
        <w:ind w:firstLine="2754" w:firstLineChars="1143"/>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u w:val="single"/>
        </w:rPr>
        <w:t>浙江省无线电监测中心</w:t>
      </w:r>
    </w:p>
    <w:p>
      <w:pPr>
        <w:autoSpaceDE w:val="0"/>
        <w:autoSpaceDN w:val="0"/>
        <w:snapToGrid w:val="0"/>
        <w:spacing w:line="360" w:lineRule="auto"/>
        <w:ind w:firstLine="2754" w:firstLineChars="1143"/>
        <w:textAlignment w:val="bottom"/>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p>
    <w:p>
      <w:pPr>
        <w:autoSpaceDE w:val="0"/>
        <w:autoSpaceDN w:val="0"/>
        <w:snapToGrid w:val="0"/>
        <w:spacing w:line="360" w:lineRule="auto"/>
        <w:ind w:firstLine="2754" w:firstLineChars="1143"/>
        <w:textAlignment w:val="bottom"/>
        <w:rPr>
          <w:rFonts w:ascii="仿宋" w:hAnsi="仿宋" w:eastAsia="仿宋" w:cs="仿宋"/>
          <w:b/>
          <w:color w:val="auto"/>
          <w:sz w:val="24"/>
          <w:highlight w:val="none"/>
          <w:u w:val="single"/>
        </w:rPr>
      </w:pPr>
      <w:r>
        <w:rPr>
          <w:rFonts w:hint="eastAsia" w:ascii="仿宋" w:hAnsi="仿宋" w:eastAsia="仿宋" w:cs="仿宋"/>
          <w:b/>
          <w:color w:val="auto"/>
          <w:sz w:val="24"/>
          <w:highlight w:val="none"/>
        </w:rPr>
        <w:t>鉴证方(招标机构):</w:t>
      </w:r>
      <w:r>
        <w:rPr>
          <w:rFonts w:hint="eastAsia" w:ascii="仿宋" w:hAnsi="仿宋" w:eastAsia="仿宋" w:cs="仿宋"/>
          <w:b/>
          <w:color w:val="auto"/>
          <w:sz w:val="24"/>
          <w:highlight w:val="none"/>
          <w:u w:val="single"/>
        </w:rPr>
        <w:t>浙江XX招（投）标公司</w:t>
      </w:r>
    </w:p>
    <w:p>
      <w:pPr>
        <w:autoSpaceDE w:val="0"/>
        <w:autoSpaceDN w:val="0"/>
        <w:snapToGrid w:val="0"/>
        <w:spacing w:line="360" w:lineRule="auto"/>
        <w:ind w:firstLine="2754" w:firstLineChars="1143"/>
        <w:textAlignment w:val="bottom"/>
        <w:rPr>
          <w:rFonts w:ascii="仿宋" w:hAnsi="仿宋" w:eastAsia="仿宋" w:cs="仿宋"/>
          <w:b/>
          <w:color w:val="auto"/>
          <w:sz w:val="24"/>
          <w:highlight w:val="none"/>
        </w:rPr>
      </w:pPr>
    </w:p>
    <w:p>
      <w:pPr>
        <w:tabs>
          <w:tab w:val="left" w:pos="1440"/>
          <w:tab w:val="left" w:pos="3420"/>
        </w:tabs>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2024年xx月</w:t>
      </w:r>
      <w:r>
        <w:rPr>
          <w:rFonts w:hint="eastAsia" w:ascii="仿宋" w:hAnsi="仿宋" w:eastAsia="仿宋" w:cs="仿宋"/>
          <w:color w:val="auto"/>
          <w:highlight w:val="none"/>
        </w:rPr>
        <w:br w:type="page"/>
      </w:r>
      <w:r>
        <w:rPr>
          <w:rFonts w:hint="eastAsia" w:ascii="仿宋" w:hAnsi="仿宋" w:eastAsia="仿宋" w:cs="仿宋"/>
          <w:color w:val="auto"/>
          <w:sz w:val="24"/>
          <w:highlight w:val="none"/>
        </w:rPr>
        <w:t xml:space="preserve">甲方：浙江省无线电监测中心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     联系电话：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联系地址：杭州市延安路501号联通大楼11-12楼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甲方账户信息：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开户银行：中信银行钱江支行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账号： 7331710182600090086</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账户名：浙江省无线电监测中心</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联系电话：</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联系地址：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乙方账户信息：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账户名：</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采购代理机构：浙江省成套工程有限公司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签约时间：2024年  月   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签约地点：浙江省杭州市</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u w:val="single"/>
        </w:rPr>
        <w:t>浙江省成套工程有限公司</w:t>
      </w:r>
      <w:r>
        <w:rPr>
          <w:rFonts w:hint="eastAsia" w:ascii="仿宋" w:hAnsi="仿宋" w:eastAsia="仿宋" w:cs="仿宋"/>
          <w:color w:val="auto"/>
          <w:sz w:val="24"/>
          <w:highlight w:val="none"/>
        </w:rPr>
        <w:t>受</w:t>
      </w:r>
      <w:r>
        <w:rPr>
          <w:rFonts w:hint="eastAsia" w:ascii="仿宋" w:hAnsi="仿宋" w:eastAsia="仿宋" w:cs="仿宋"/>
          <w:color w:val="auto"/>
          <w:sz w:val="24"/>
          <w:highlight w:val="none"/>
          <w:u w:val="single"/>
        </w:rPr>
        <w:t>浙江省无线电监测中心</w:t>
      </w:r>
      <w:r>
        <w:rPr>
          <w:rFonts w:hint="eastAsia" w:ascii="仿宋" w:hAnsi="仿宋" w:eastAsia="仿宋" w:cs="仿宋"/>
          <w:color w:val="auto"/>
          <w:sz w:val="24"/>
          <w:highlight w:val="none"/>
        </w:rPr>
        <w:t>委托，就</w:t>
      </w:r>
      <w:r>
        <w:rPr>
          <w:rFonts w:hint="eastAsia" w:ascii="仿宋" w:hAnsi="仿宋" w:eastAsia="仿宋" w:cs="仿宋"/>
          <w:color w:val="auto"/>
          <w:sz w:val="24"/>
          <w:highlight w:val="none"/>
          <w:u w:val="single"/>
        </w:rPr>
        <w:t>便携式GNSS干扰测向系统购置项目</w:t>
      </w:r>
      <w:r>
        <w:rPr>
          <w:rFonts w:hint="eastAsia" w:ascii="仿宋" w:hAnsi="仿宋" w:eastAsia="仿宋" w:cs="仿宋"/>
          <w:color w:val="auto"/>
          <w:sz w:val="24"/>
          <w:highlight w:val="none"/>
        </w:rPr>
        <w:t>进行公开采购，经过公开招标，确定标项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供货单位为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。甲乙双方经平等协商达成一致意见，就本采购事项达成以下条款：</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第一条：采购物品清单及合同价格</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306"/>
        <w:gridCol w:w="1979"/>
        <w:gridCol w:w="691"/>
        <w:gridCol w:w="735"/>
        <w:gridCol w:w="109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8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2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货物名称</w:t>
            </w:r>
          </w:p>
        </w:tc>
        <w:tc>
          <w:tcPr>
            <w:tcW w:w="10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厂牌、型号</w:t>
            </w:r>
          </w:p>
        </w:tc>
        <w:tc>
          <w:tcPr>
            <w:tcW w:w="3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3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单价</w:t>
            </w:r>
          </w:p>
        </w:tc>
        <w:tc>
          <w:tcPr>
            <w:tcW w:w="9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38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2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c>
          <w:tcPr>
            <w:tcW w:w="10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（详细技术指标见配置清单）</w:t>
            </w:r>
          </w:p>
        </w:tc>
        <w:tc>
          <w:tcPr>
            <w:tcW w:w="3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3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62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合同总价（人民币，含税）</w:t>
            </w:r>
          </w:p>
        </w:tc>
        <w:tc>
          <w:tcPr>
            <w:tcW w:w="3373" w:type="pct"/>
            <w:gridSpan w:val="5"/>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auto"/>
                <w:sz w:val="24"/>
                <w:highlight w:val="none"/>
              </w:rPr>
            </w:pPr>
          </w:p>
        </w:tc>
      </w:tr>
    </w:tbl>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注：1.以上合同总价包括将货物运抵浙江省无线电监测中心指定地点的运费及安装调试、培训等一切费用。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2.乙方提供的发票必须是正式合法有效、符合甲方要求的发票。</w:t>
      </w:r>
    </w:p>
    <w:p>
      <w:pPr>
        <w:snapToGrid w:val="0"/>
        <w:spacing w:line="360" w:lineRule="auto"/>
        <w:rPr>
          <w:rFonts w:ascii="仿宋" w:hAnsi="仿宋" w:eastAsia="仿宋" w:cs="仿宋"/>
          <w:b/>
          <w:bCs/>
          <w:color w:val="auto"/>
          <w:sz w:val="24"/>
          <w:highlight w:val="none"/>
        </w:rPr>
      </w:pP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第二条：质量保证</w:t>
      </w:r>
    </w:p>
    <w:p>
      <w:pPr>
        <w:snapToGrid w:val="0"/>
        <w:spacing w:line="360" w:lineRule="auto"/>
        <w:ind w:right="23" w:rightChars="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乙方保证所供商品是一年以内生产的（计算机必须为</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X</w:t>
      </w:r>
      <w:r>
        <w:rPr>
          <w:rFonts w:hint="eastAsia" w:ascii="仿宋" w:hAnsi="仿宋" w:eastAsia="仿宋" w:cs="仿宋"/>
          <w:color w:val="auto"/>
          <w:sz w:val="24"/>
          <w:highlight w:val="none"/>
        </w:rPr>
        <w:t>月以后生产的产品），符合国家法律规定和技术规格、质量标准的出厂原装合格产品；进口商品是获得国家商检局颁布安全许可证的出厂原装合格产品。如发生所供商品与合同（型号、指标、性能等）不符，甲方有权拒收或退货，由此产生的一切责任和后果由乙方承担。</w:t>
      </w:r>
    </w:p>
    <w:p>
      <w:pPr>
        <w:snapToGrid w:val="0"/>
        <w:spacing w:line="360" w:lineRule="auto"/>
        <w:rPr>
          <w:rFonts w:ascii="仿宋" w:hAnsi="仿宋" w:eastAsia="仿宋" w:cs="仿宋"/>
          <w:b/>
          <w:bCs/>
          <w:color w:val="auto"/>
          <w:sz w:val="24"/>
          <w:highlight w:val="none"/>
        </w:rPr>
      </w:pP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第三条：交货时间、地点</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实施周期：</w:t>
      </w:r>
      <w:r>
        <w:rPr>
          <w:rFonts w:hint="eastAsia" w:ascii="仿宋" w:hAnsi="仿宋" w:eastAsia="仿宋" w:cs="仿宋"/>
          <w:color w:val="auto"/>
          <w:kern w:val="0"/>
          <w:sz w:val="24"/>
          <w:highlight w:val="none"/>
        </w:rPr>
        <w:t>从合同签订之日起90天内完成设备交货</w:t>
      </w:r>
      <w:r>
        <w:rPr>
          <w:rFonts w:hint="eastAsia" w:ascii="仿宋" w:hAnsi="仿宋" w:eastAsia="仿宋" w:cs="仿宋"/>
          <w:snapToGrid w:val="0"/>
          <w:color w:val="auto"/>
          <w:kern w:val="0"/>
          <w:sz w:val="24"/>
          <w:highlight w:val="none"/>
        </w:rPr>
        <w:t>，进入试运行阶段，</w:t>
      </w:r>
      <w:r>
        <w:rPr>
          <w:rFonts w:hint="eastAsia" w:ascii="仿宋" w:hAnsi="仿宋" w:eastAsia="仿宋" w:cs="仿宋"/>
          <w:color w:val="auto"/>
          <w:kern w:val="0"/>
          <w:sz w:val="24"/>
          <w:highlight w:val="none"/>
        </w:rPr>
        <w:t>试运行期连续无故障时间不少于15天，</w:t>
      </w:r>
      <w:r>
        <w:rPr>
          <w:rFonts w:hint="eastAsia" w:ascii="仿宋" w:hAnsi="仿宋" w:eastAsia="仿宋" w:cs="仿宋"/>
          <w:bCs/>
          <w:snapToGrid w:val="0"/>
          <w:color w:val="auto"/>
          <w:kern w:val="0"/>
          <w:sz w:val="24"/>
          <w:highlight w:val="none"/>
        </w:rPr>
        <w:t>试运行期满后进行最终验收</w:t>
      </w:r>
      <w:r>
        <w:rPr>
          <w:rFonts w:hint="eastAsia" w:ascii="仿宋" w:hAnsi="仿宋" w:eastAsia="仿宋" w:cs="仿宋"/>
          <w:b/>
          <w:bCs/>
          <w:snapToGrid w:val="0"/>
          <w:color w:val="auto"/>
          <w:kern w:val="0"/>
          <w:sz w:val="24"/>
          <w:highlight w:val="none"/>
        </w:rPr>
        <w:t>。</w:t>
      </w:r>
      <w:r>
        <w:rPr>
          <w:rFonts w:hint="eastAsia" w:ascii="仿宋" w:hAnsi="仿宋" w:eastAsia="仿宋" w:cs="仿宋"/>
          <w:snapToGrid w:val="0"/>
          <w:color w:val="auto"/>
          <w:kern w:val="0"/>
          <w:sz w:val="24"/>
          <w:highlight w:val="none"/>
        </w:rPr>
        <w:t>如在合同约定时间内由于乙方的原因不能完成验收，乙方应承担由此给甲方造成的损失。</w:t>
      </w:r>
    </w:p>
    <w:p>
      <w:pPr>
        <w:snapToGrid w:val="0"/>
        <w:spacing w:line="360" w:lineRule="auto"/>
        <w:ind w:right="-514" w:rightChars="-245" w:firstLine="480" w:firstLineChars="200"/>
        <w:rPr>
          <w:rFonts w:ascii="仿宋" w:hAnsi="仿宋" w:eastAsia="仿宋" w:cs="仿宋"/>
          <w:b/>
          <w:snapToGrid w:val="0"/>
          <w:color w:val="auto"/>
          <w:kern w:val="0"/>
          <w:sz w:val="24"/>
          <w:highlight w:val="none"/>
        </w:rPr>
      </w:pPr>
      <w:r>
        <w:rPr>
          <w:rFonts w:hint="eastAsia" w:ascii="仿宋" w:hAnsi="仿宋" w:eastAsia="仿宋" w:cs="仿宋"/>
          <w:color w:val="auto"/>
          <w:kern w:val="0"/>
          <w:sz w:val="24"/>
          <w:highlight w:val="none"/>
        </w:rPr>
        <w:t>交付地点：甲方指定地点，具体以甲方通知的交货地点为准。</w:t>
      </w:r>
    </w:p>
    <w:p>
      <w:pPr>
        <w:snapToGrid w:val="0"/>
        <w:spacing w:line="360" w:lineRule="auto"/>
        <w:rPr>
          <w:rFonts w:ascii="仿宋" w:hAnsi="仿宋" w:eastAsia="仿宋" w:cs="仿宋"/>
          <w:b/>
          <w:bCs/>
          <w:color w:val="auto"/>
          <w:sz w:val="24"/>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b/>
          <w:bCs/>
          <w:color w:val="auto"/>
          <w:sz w:val="24"/>
          <w:highlight w:val="none"/>
        </w:rPr>
        <w:t>第四条：售后服务</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1）质保期</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质保期【  】年，质保期从最终验收通过之日起计算。在质保保修期内不得再额外收取任何费用。质保期满后，承诺继续提供维护服务，相关费用依据上一年度项目运营费用提供明细清单，具体内容双方另行协商。</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2）售后服务机构</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乙方在中华人民共和国境内应设有维修中心，维修中心应能提供快捷、周到、规范的服务，在质保期到期后至少提供10年的维修服务，维修配件按成本价计算。</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乙方指定本项目唯一项目经理：     ，联系电话：                  。</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3）售后服务响应</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质保期内提供维护保养并提供 7×24 小时电话技术支持。能够即时响应，随时电话或书面解答甲方的疑问，紧急事故处理要求48小时内到达现场。</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4）售后服务内容</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在质保期内，乙方应提供正常保养服务，因产品制造质量不良而产生损坏或不能正常工作，乙方应提供维修直至更换，费用由乙方承担（包括返厂维修）。</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提供技术服务，乙方应提供原厂应用数据处理软件，并提供升级服务（指涉及数据处理软件的产品）。</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无条件提供联网接口。</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5）售后服务收费</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在质保期内，乙方提供服务，质保期将满前，乙方须对设备进行全面检测一次，解决检测出的问题，并向甲方提供完整的书面报告。</w:t>
      </w:r>
    </w:p>
    <w:p>
      <w:pPr>
        <w:pStyle w:val="25"/>
        <w:snapToGrid w:val="0"/>
        <w:ind w:right="23" w:rightChars="11"/>
        <w:rPr>
          <w:rFonts w:ascii="仿宋" w:hAnsi="仿宋" w:eastAsia="仿宋" w:cs="仿宋"/>
          <w:color w:val="auto"/>
          <w:highlight w:val="none"/>
        </w:rPr>
      </w:pPr>
      <w:r>
        <w:rPr>
          <w:rFonts w:hint="eastAsia" w:ascii="仿宋" w:hAnsi="仿宋" w:eastAsia="仿宋" w:cs="仿宋"/>
          <w:color w:val="auto"/>
          <w:highlight w:val="none"/>
        </w:rPr>
        <w:t>质保期满后，乙方须提供最优惠的维修价格（包括但不限于人工费、材料费、设备费等），并在投标文件中进行承诺，在设备寿命期内，保证维修配件的供应和及时维修，维修价格保持不变（政策调整因素除外）。</w:t>
      </w:r>
    </w:p>
    <w:p>
      <w:pPr>
        <w:snapToGrid w:val="0"/>
        <w:spacing w:line="360" w:lineRule="auto"/>
        <w:rPr>
          <w:rFonts w:ascii="仿宋" w:hAnsi="仿宋" w:eastAsia="仿宋" w:cs="仿宋"/>
          <w:b/>
          <w:bCs/>
          <w:color w:val="auto"/>
          <w:sz w:val="24"/>
          <w:highlight w:val="none"/>
        </w:rPr>
      </w:pP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第五条：验收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将所供商品运至交货地点，安装完成后进入试运行，试运行达到验收要求后，甲方组织最终验收。乙方应提供产品质量标准、说明书、质量保证书等必备的资料；软件产品必须为原厂商获得知识产权的合格产品；必须提供由原厂商提供的知识产权证书（Copyright）。软件产品在质保期内维修、维护，提供软件升级；提供人员技术培训和提供与软件使用相关的文档资料。最终验收相关费用由乙方承担。</w:t>
      </w:r>
    </w:p>
    <w:p>
      <w:pPr>
        <w:snapToGrid w:val="0"/>
        <w:spacing w:line="360" w:lineRule="auto"/>
        <w:ind w:right="23" w:rightChars="11"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360" w:lineRule="auto"/>
        <w:rPr>
          <w:rFonts w:ascii="仿宋" w:hAnsi="仿宋" w:eastAsia="仿宋" w:cs="仿宋"/>
          <w:b/>
          <w:bCs/>
          <w:color w:val="auto"/>
          <w:sz w:val="24"/>
          <w:highlight w:val="none"/>
        </w:rPr>
      </w:pP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第六条：货款的支付</w:t>
      </w:r>
    </w:p>
    <w:p>
      <w:pPr>
        <w:autoSpaceDE w:val="0"/>
        <w:autoSpaceDN w:val="0"/>
        <w:snapToGrid w:val="0"/>
        <w:spacing w:line="360" w:lineRule="auto"/>
        <w:ind w:firstLine="482" w:firstLineChars="200"/>
        <w:textAlignment w:val="bottom"/>
        <w:rPr>
          <w:rFonts w:ascii="仿宋" w:hAnsi="仿宋" w:eastAsia="仿宋" w:cs="仿宋"/>
          <w:color w:val="auto"/>
          <w:sz w:val="24"/>
          <w:highlight w:val="none"/>
        </w:rPr>
      </w:pPr>
      <w:r>
        <w:rPr>
          <w:rFonts w:hint="eastAsia" w:ascii="仿宋" w:hAnsi="仿宋" w:eastAsia="仿宋" w:cs="仿宋"/>
          <w:b/>
          <w:bCs/>
          <w:color w:val="auto"/>
          <w:sz w:val="24"/>
          <w:highlight w:val="none"/>
        </w:rPr>
        <w:t>1.履约保证金</w:t>
      </w:r>
    </w:p>
    <w:p>
      <w:pPr>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履约保证金金额：面向大型企业收取合同金额的1% ；面向中小型企业免收</w:t>
      </w:r>
    </w:p>
    <w:p>
      <w:pPr>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履约保证金缴纳形式：支票、汇票、本票或者金融机构、担保机构出具的保函等非现金形式提交</w:t>
      </w:r>
    </w:p>
    <w:p>
      <w:pPr>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履约保证金缴纳时间：合同签订之日起15个工作日内</w:t>
      </w:r>
    </w:p>
    <w:p>
      <w:pPr>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履约保证金有效期：合同签订之日起至项目最终验收通过</w:t>
      </w:r>
    </w:p>
    <w:p>
      <w:pPr>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履约保证金退还：项目最终验收通过15个工作日内退还。</w:t>
      </w:r>
    </w:p>
    <w:p>
      <w:pPr>
        <w:autoSpaceDE w:val="0"/>
        <w:autoSpaceDN w:val="0"/>
        <w:snapToGrid w:val="0"/>
        <w:spacing w:line="360" w:lineRule="auto"/>
        <w:ind w:firstLine="482" w:firstLineChars="200"/>
        <w:textAlignment w:val="bottom"/>
        <w:rPr>
          <w:rFonts w:ascii="仿宋" w:hAnsi="仿宋" w:eastAsia="仿宋" w:cs="仿宋"/>
          <w:b/>
          <w:bCs/>
          <w:color w:val="auto"/>
          <w:sz w:val="24"/>
          <w:highlight w:val="none"/>
        </w:rPr>
      </w:pPr>
      <w:r>
        <w:rPr>
          <w:rFonts w:hint="eastAsia" w:ascii="仿宋" w:hAnsi="仿宋" w:eastAsia="仿宋" w:cs="仿宋"/>
          <w:b/>
          <w:bCs/>
          <w:color w:val="auto"/>
          <w:sz w:val="24"/>
          <w:highlight w:val="none"/>
        </w:rPr>
        <w:t>2.付款</w:t>
      </w:r>
    </w:p>
    <w:p>
      <w:pPr>
        <w:autoSpaceDE w:val="0"/>
        <w:autoSpaceDN w:val="0"/>
        <w:snapToGrid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第一笔付款为预付款：合同生效且甲方收到乙方提供的同等金额的正规发票后，在履行财政相关资金审批手续后7个工作日内向乙方支付合同总价70%的合同款；</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二笔付款为最终验收付款：系统试运行达到验收要求后，甲方组织最终验收，验收合格后，甲方收到乙方提供的同等金额的正规发票后，在履行财政相关资金审批手续后7个工作日内向甲方支付合同总价30%的合同款。</w:t>
      </w:r>
    </w:p>
    <w:p>
      <w:pPr>
        <w:snapToGrid w:val="0"/>
        <w:spacing w:line="360" w:lineRule="auto"/>
        <w:ind w:right="-514" w:rightChars="-245"/>
        <w:rPr>
          <w:rFonts w:ascii="仿宋" w:hAnsi="仿宋" w:eastAsia="仿宋" w:cs="仿宋"/>
          <w:b/>
          <w:bCs/>
          <w:color w:val="auto"/>
          <w:sz w:val="24"/>
          <w:highlight w:val="none"/>
        </w:rPr>
      </w:pPr>
    </w:p>
    <w:p>
      <w:pPr>
        <w:snapToGrid w:val="0"/>
        <w:spacing w:line="360" w:lineRule="auto"/>
        <w:ind w:right="-514" w:rightChars="-245"/>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第七条：违约责任</w:t>
      </w:r>
    </w:p>
    <w:p>
      <w:pPr>
        <w:snapToGrid w:val="0"/>
        <w:spacing w:line="360" w:lineRule="auto"/>
        <w:ind w:right="23" w:rightChars="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1.乙方逾期履行合同的，自逾期之日起，向甲方每日偿付合同总价千分之一的滞纳金，乙方逾期超过十日的，甲方有权解除合同。</w:t>
      </w:r>
    </w:p>
    <w:p>
      <w:pPr>
        <w:snapToGrid w:val="0"/>
        <w:spacing w:line="360" w:lineRule="auto"/>
        <w:ind w:right="23" w:rightChars="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2.甲方因自身原因逾期支付货款的，自逾期之日起，向乙方每日偿付未付价款万分之一的滞纳金，滞纳金最高不超过未付价款的1%。</w:t>
      </w:r>
    </w:p>
    <w:p>
      <w:pPr>
        <w:snapToGrid w:val="0"/>
        <w:spacing w:line="360" w:lineRule="auto"/>
        <w:ind w:right="23" w:rightChars="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 如验收不能达到相应质量功能（性能）标准，乙方要支付给甲方总货款的20％作为违约赔偿金。货物由乙方在验收后一周内撤出，所需费用均由乙方承担。如乙方在一个月内不处理（搬走）货物，视为乙方放弃该货物，甲方有权自行处置（包括废物处理），处置费用由乙方承担。同时，乙方退回已收取的货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4．因乙方提供的货物存在质量问题，影响甲方正常使用，由此给甲方造成的损失，由乙方承担。并支付给甲方总货款的10％作为违约赔偿金。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5．任何一方违反本合同导致本合同无法继续履行的，守约方有权要求违约方支付总货款的20%作为违约赔偿金。</w:t>
      </w:r>
    </w:p>
    <w:p>
      <w:pPr>
        <w:snapToGrid w:val="0"/>
        <w:spacing w:line="360" w:lineRule="auto"/>
        <w:ind w:right="-514" w:rightChars="-245"/>
        <w:rPr>
          <w:rFonts w:ascii="仿宋" w:hAnsi="仿宋" w:eastAsia="仿宋" w:cs="仿宋"/>
          <w:b/>
          <w:bCs/>
          <w:color w:val="auto"/>
          <w:sz w:val="24"/>
          <w:highlight w:val="none"/>
        </w:rPr>
      </w:pPr>
    </w:p>
    <w:p>
      <w:pPr>
        <w:snapToGrid w:val="0"/>
        <w:spacing w:line="360" w:lineRule="auto"/>
        <w:ind w:right="-514" w:rightChars="-245"/>
        <w:rPr>
          <w:rFonts w:ascii="仿宋" w:hAnsi="仿宋" w:eastAsia="仿宋" w:cs="仿宋"/>
          <w:b/>
          <w:bCs/>
          <w:color w:val="auto"/>
          <w:sz w:val="24"/>
          <w:highlight w:val="none"/>
        </w:rPr>
      </w:pPr>
      <w:r>
        <w:rPr>
          <w:rFonts w:hint="eastAsia" w:ascii="仿宋" w:hAnsi="仿宋" w:eastAsia="仿宋" w:cs="仿宋"/>
          <w:b/>
          <w:bCs/>
          <w:color w:val="auto"/>
          <w:sz w:val="24"/>
          <w:highlight w:val="none"/>
        </w:rPr>
        <w:t>第八条：争议解决</w:t>
      </w:r>
    </w:p>
    <w:p>
      <w:pPr>
        <w:snapToGrid w:val="0"/>
        <w:spacing w:line="360" w:lineRule="auto"/>
        <w:ind w:right="23" w:rightChars="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本合同未尽事宜由三方协商解决，如协商不成，三方同意将本合同引起的争议提交杭州仲裁委员会仲裁解决，仲裁为终局。</w:t>
      </w:r>
    </w:p>
    <w:p>
      <w:pPr>
        <w:snapToGrid w:val="0"/>
        <w:spacing w:line="360" w:lineRule="auto"/>
        <w:ind w:right="23" w:rightChars="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若发生争议，守约方为维护自身的合法权益而支出的合理费用，应由违约方承担，该费用包括但不限于律师费、保险费、保全费、仲裁费、差旅费等。</w:t>
      </w:r>
    </w:p>
    <w:p>
      <w:pPr>
        <w:snapToGrid w:val="0"/>
        <w:spacing w:line="360" w:lineRule="auto"/>
        <w:ind w:right="-514" w:rightChars="-245"/>
        <w:rPr>
          <w:rFonts w:ascii="仿宋" w:hAnsi="仿宋" w:eastAsia="仿宋" w:cs="仿宋"/>
          <w:b/>
          <w:bCs/>
          <w:color w:val="auto"/>
          <w:sz w:val="24"/>
          <w:highlight w:val="none"/>
        </w:rPr>
      </w:pPr>
    </w:p>
    <w:p>
      <w:pPr>
        <w:snapToGrid w:val="0"/>
        <w:spacing w:line="360" w:lineRule="auto"/>
        <w:ind w:right="-514" w:rightChars="-245"/>
        <w:rPr>
          <w:rFonts w:ascii="仿宋" w:hAnsi="仿宋" w:eastAsia="仿宋" w:cs="仿宋"/>
          <w:b/>
          <w:bCs/>
          <w:color w:val="auto"/>
          <w:sz w:val="24"/>
          <w:highlight w:val="none"/>
        </w:rPr>
      </w:pPr>
      <w:r>
        <w:rPr>
          <w:rFonts w:hint="eastAsia" w:ascii="仿宋" w:hAnsi="仿宋" w:eastAsia="仿宋" w:cs="仿宋"/>
          <w:b/>
          <w:bCs/>
          <w:color w:val="auto"/>
          <w:sz w:val="24"/>
          <w:highlight w:val="none"/>
        </w:rPr>
        <w:t>第九条：合同生效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本合同未尽事宜，由甲、乙、丙三方协商解决，协商一致签订的书面材料作为本合同的补充协议，与本合同具有同等法律效力。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本合同有关的附件（配置清单及售后服务承诺）作为合同不可分割的部分，与本合同本身具有同等法律效力。本合同一式伍份，甲乙双方各执贰份，采购代理机构执壹份，经三方签字、盖公章后生效。</w:t>
      </w:r>
    </w:p>
    <w:p>
      <w:pPr>
        <w:snapToGrid w:val="0"/>
        <w:spacing w:line="360" w:lineRule="auto"/>
        <w:ind w:right="-514" w:rightChars="-245"/>
        <w:rPr>
          <w:rFonts w:ascii="仿宋" w:hAnsi="仿宋" w:eastAsia="仿宋" w:cs="仿宋"/>
          <w:b/>
          <w:bCs/>
          <w:color w:val="auto"/>
          <w:sz w:val="24"/>
          <w:highlight w:val="none"/>
        </w:rPr>
      </w:pPr>
    </w:p>
    <w:p>
      <w:pPr>
        <w:snapToGrid w:val="0"/>
        <w:spacing w:line="360" w:lineRule="auto"/>
        <w:ind w:right="-514" w:rightChars="-245"/>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第十条：合同的修改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任何一方若要求对合同及附件进行修改，都须以书面形式提出，并列出修改内容。所作的修改在三方签署书面的修改协议时生效。修改协议将修改或替代有关的合同及其附件或先前的任何修改协议中所有不一致的条款。</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3"/>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甲方：（公章）浙江省无线电监测中心</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甲方代表：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乙方代表：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地址：浙江省杭州市延安路501-509号</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邮编：310000</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传真：0571-85106131</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开户银行：浙商银行杭州武林支行</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帐号：3310011310120100020696</w:t>
            </w:r>
          </w:p>
        </w:tc>
        <w:tc>
          <w:tcPr>
            <w:tcW w:w="23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bl>
    <w:p>
      <w:pPr>
        <w:pStyle w:val="2"/>
        <w:ind w:firstLine="0" w:firstLineChars="0"/>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合同鉴证：浙江省成套工程有限公司（公章）</w:t>
      </w:r>
    </w:p>
    <w:p>
      <w:pPr>
        <w:rPr>
          <w:rFonts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4"/>
          <w:highlight w:val="none"/>
        </w:rPr>
        <w:t>附件：配置清单</w:t>
      </w:r>
    </w:p>
    <w:p>
      <w:pPr>
        <w:jc w:val="right"/>
        <w:rPr>
          <w:rFonts w:ascii="仿宋" w:hAnsi="仿宋" w:eastAsia="仿宋" w:cs="仿宋"/>
          <w:color w:val="auto"/>
          <w:sz w:val="24"/>
          <w:highlight w:val="none"/>
        </w:rPr>
      </w:pPr>
      <w:r>
        <w:rPr>
          <w:rFonts w:hint="eastAsia" w:ascii="仿宋" w:hAnsi="仿宋" w:eastAsia="仿宋" w:cs="仿宋"/>
          <w:color w:val="auto"/>
          <w:sz w:val="24"/>
          <w:highlight w:val="none"/>
        </w:rPr>
        <w:t>元人民币</w:t>
      </w:r>
    </w:p>
    <w:tbl>
      <w:tblPr>
        <w:tblStyle w:val="6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2149"/>
        <w:gridCol w:w="833"/>
        <w:gridCol w:w="833"/>
        <w:gridCol w:w="833"/>
        <w:gridCol w:w="972"/>
        <w:gridCol w:w="722"/>
        <w:gridCol w:w="947"/>
        <w:gridCol w:w="1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序号</w:t>
            </w:r>
          </w:p>
        </w:tc>
        <w:tc>
          <w:tcPr>
            <w:tcW w:w="1158"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名称</w:t>
            </w: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数量</w:t>
            </w: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单位</w:t>
            </w: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品牌</w:t>
            </w: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型号</w:t>
            </w:r>
          </w:p>
        </w:tc>
        <w:tc>
          <w:tcPr>
            <w:tcW w:w="38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产地</w:t>
            </w: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单价</w:t>
            </w: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bCs/>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9"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仿宋" w:hAnsi="仿宋" w:eastAsia="仿宋" w:cs="仿宋"/>
                <w:color w:val="auto"/>
                <w:spacing w:val="-6"/>
                <w:sz w:val="24"/>
                <w:highlight w:val="none"/>
              </w:rPr>
            </w:pPr>
          </w:p>
        </w:tc>
        <w:tc>
          <w:tcPr>
            <w:tcW w:w="1158"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color w:val="auto"/>
                <w:spacing w:val="-6"/>
                <w:sz w:val="24"/>
                <w:highlight w:val="none"/>
              </w:rPr>
            </w:pPr>
          </w:p>
        </w:tc>
        <w:tc>
          <w:tcPr>
            <w:tcW w:w="524"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auto"/>
                <w:spacing w:val="-6"/>
                <w:sz w:val="24"/>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1418"/>
              </w:tabs>
              <w:spacing w:line="276"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投标总价：   </w:t>
            </w:r>
            <w:r>
              <w:rPr>
                <w:rFonts w:hint="eastAsia" w:ascii="仿宋" w:hAnsi="仿宋" w:eastAsia="仿宋" w:cs="仿宋"/>
                <w:color w:val="auto"/>
                <w:sz w:val="24"/>
                <w:highlight w:val="none"/>
              </w:rPr>
              <w:t>元</w:t>
            </w:r>
          </w:p>
        </w:tc>
      </w:tr>
    </w:tbl>
    <w:p>
      <w:pPr>
        <w:widowControl/>
        <w:jc w:val="left"/>
        <w:rPr>
          <w:rFonts w:ascii="仿宋" w:hAnsi="仿宋" w:eastAsia="仿宋" w:cs="仿宋"/>
          <w:color w:val="auto"/>
          <w:highlight w:val="none"/>
        </w:rPr>
      </w:pPr>
    </w:p>
    <w:p>
      <w:pPr>
        <w:widowControl/>
        <w:spacing w:before="120" w:beforeLines="50" w:after="120" w:afterLines="50" w:line="720" w:lineRule="auto"/>
        <w:rPr>
          <w:rFonts w:ascii="仿宋" w:hAnsi="仿宋" w:eastAsia="仿宋" w:cs="仿宋"/>
          <w:b/>
          <w:bCs/>
          <w:color w:val="auto"/>
          <w:sz w:val="52"/>
          <w:szCs w:val="52"/>
          <w:highlight w:val="none"/>
        </w:rPr>
      </w:pPr>
      <w:r>
        <w:rPr>
          <w:rFonts w:hint="eastAsia" w:ascii="仿宋" w:hAnsi="仿宋" w:eastAsia="仿宋" w:cs="仿宋"/>
          <w:color w:val="auto"/>
          <w:highlight w:val="none"/>
        </w:rPr>
        <w:br w:type="page"/>
      </w:r>
    </w:p>
    <w:p>
      <w:pPr>
        <w:widowControl/>
        <w:spacing w:before="120" w:beforeLines="50" w:after="120" w:afterLines="50" w:line="720" w:lineRule="auto"/>
        <w:jc w:val="center"/>
        <w:rPr>
          <w:rFonts w:ascii="仿宋" w:hAnsi="仿宋" w:eastAsia="仿宋" w:cs="仿宋"/>
          <w:b/>
          <w:bCs/>
          <w:color w:val="auto"/>
          <w:sz w:val="52"/>
          <w:szCs w:val="52"/>
          <w:highlight w:val="none"/>
        </w:rPr>
      </w:pPr>
    </w:p>
    <w:p>
      <w:pPr>
        <w:widowControl/>
        <w:spacing w:before="120" w:beforeLines="50" w:after="120" w:afterLines="50" w:line="72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廉</w:t>
      </w:r>
    </w:p>
    <w:p>
      <w:pPr>
        <w:widowControl/>
        <w:spacing w:before="120" w:beforeLines="50" w:after="120" w:afterLines="50" w:line="72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政</w:t>
      </w:r>
    </w:p>
    <w:p>
      <w:pPr>
        <w:widowControl/>
        <w:spacing w:before="120" w:beforeLines="50" w:after="120" w:afterLines="50" w:line="72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合</w:t>
      </w:r>
    </w:p>
    <w:p>
      <w:pPr>
        <w:widowControl/>
        <w:spacing w:before="120" w:beforeLines="50" w:after="120" w:afterLines="50" w:line="72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同</w:t>
      </w:r>
    </w:p>
    <w:p>
      <w:pPr>
        <w:widowControl/>
        <w:spacing w:before="120" w:beforeLines="50" w:after="120" w:afterLines="50" w:line="720" w:lineRule="auto"/>
        <w:jc w:val="center"/>
        <w:rPr>
          <w:rFonts w:ascii="仿宋" w:hAnsi="仿宋" w:eastAsia="仿宋" w:cs="仿宋"/>
          <w:b/>
          <w:bCs/>
          <w:color w:val="auto"/>
          <w:sz w:val="32"/>
          <w:szCs w:val="32"/>
          <w:highlight w:val="none"/>
        </w:rPr>
      </w:pPr>
    </w:p>
    <w:p>
      <w:pPr>
        <w:autoSpaceDE w:val="0"/>
        <w:autoSpaceDN w:val="0"/>
        <w:snapToGrid w:val="0"/>
        <w:spacing w:line="360" w:lineRule="auto"/>
        <w:jc w:val="center"/>
        <w:textAlignment w:val="bottom"/>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甲方：</w:t>
      </w:r>
      <w:r>
        <w:rPr>
          <w:rFonts w:hint="eastAsia" w:ascii="仿宋" w:hAnsi="仿宋" w:eastAsia="仿宋" w:cs="仿宋"/>
          <w:b/>
          <w:color w:val="auto"/>
          <w:sz w:val="32"/>
          <w:szCs w:val="32"/>
          <w:highlight w:val="none"/>
          <w:u w:val="single"/>
        </w:rPr>
        <w:t>浙江省无线电监测中心</w:t>
      </w:r>
    </w:p>
    <w:p>
      <w:pPr>
        <w:autoSpaceDE w:val="0"/>
        <w:autoSpaceDN w:val="0"/>
        <w:snapToGrid w:val="0"/>
        <w:spacing w:line="360" w:lineRule="auto"/>
        <w:ind w:firstLine="2570" w:firstLineChars="800"/>
        <w:textAlignment w:val="bottom"/>
        <w:rPr>
          <w:rFonts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乙方：</w:t>
      </w:r>
      <w:r>
        <w:rPr>
          <w:rFonts w:hint="eastAsia" w:ascii="仿宋" w:hAnsi="仿宋" w:eastAsia="仿宋" w:cs="仿宋"/>
          <w:b/>
          <w:color w:val="auto"/>
          <w:sz w:val="32"/>
          <w:szCs w:val="32"/>
          <w:highlight w:val="none"/>
          <w:u w:val="single"/>
        </w:rPr>
        <w:t xml:space="preserve">                   </w:t>
      </w:r>
    </w:p>
    <w:p>
      <w:pPr>
        <w:pStyle w:val="2"/>
        <w:ind w:firstLine="0" w:firstLineChars="0"/>
        <w:jc w:val="center"/>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t>2024年X月</w:t>
      </w:r>
    </w:p>
    <w:p>
      <w:pPr>
        <w:widowControl/>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浙江省无线电监测中心       </w:t>
      </w:r>
    </w:p>
    <w:p>
      <w:pPr>
        <w:pStyle w:val="2"/>
        <w:spacing w:line="400" w:lineRule="exact"/>
        <w:ind w:firstLine="0" w:firstLineChars="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Style w:val="2"/>
        <w:spacing w:line="400" w:lineRule="exact"/>
        <w:ind w:firstLine="0" w:firstLineChars="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联系地址：</w:t>
      </w:r>
      <w:r>
        <w:rPr>
          <w:rFonts w:hint="eastAsia" w:ascii="仿宋" w:hAnsi="仿宋" w:eastAsia="仿宋" w:cs="仿宋"/>
          <w:color w:val="auto"/>
          <w:sz w:val="24"/>
          <w:highlight w:val="none"/>
          <w:u w:val="single"/>
        </w:rPr>
        <w:t>浙江省杭州市延安路501号联通大楼11-13楼</w:t>
      </w:r>
    </w:p>
    <w:p>
      <w:pPr>
        <w:widowControl/>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pStyle w:val="2"/>
        <w:spacing w:line="400" w:lineRule="exact"/>
        <w:ind w:firstLine="0" w:firstLineChars="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p>
    <w:p>
      <w:pPr>
        <w:pStyle w:val="2"/>
        <w:spacing w:line="400" w:lineRule="exact"/>
        <w:ind w:firstLine="0" w:firstLineChars="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联系地址：</w:t>
      </w:r>
      <w:r>
        <w:rPr>
          <w:rFonts w:hint="eastAsia" w:ascii="仿宋" w:hAnsi="仿宋" w:eastAsia="仿宋" w:cs="仿宋"/>
          <w:color w:val="auto"/>
          <w:sz w:val="24"/>
          <w:highlight w:val="none"/>
          <w:u w:val="single"/>
        </w:rPr>
        <w:t xml:space="preserve"> </w:t>
      </w:r>
    </w:p>
    <w:p>
      <w:pPr>
        <w:widowControl/>
        <w:spacing w:before="120" w:beforeLines="50" w:after="120" w:afterLines="50"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便携式GNSS干扰测向系统购置项目</w:t>
      </w:r>
    </w:p>
    <w:p>
      <w:pPr>
        <w:spacing w:line="400" w:lineRule="exact"/>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 xml:space="preserve"> </w:t>
      </w:r>
    </w:p>
    <w:p>
      <w:pPr>
        <w:widowControl/>
        <w:spacing w:line="400" w:lineRule="exact"/>
        <w:rPr>
          <w:rFonts w:ascii="仿宋" w:hAnsi="仿宋" w:eastAsia="仿宋" w:cs="仿宋"/>
          <w:color w:val="auto"/>
          <w:sz w:val="24"/>
          <w:szCs w:val="21"/>
          <w:highlight w:val="none"/>
        </w:rPr>
      </w:pPr>
    </w:p>
    <w:p>
      <w:pPr>
        <w:widowControl/>
        <w:spacing w:line="40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为加强工程建设中的廉政建设，规范工程建设过程中甲、乙双方的各项活动，防止发生各种谋取不正当利益的违法违纪行为，保护国家、集体和当事人的合法权益，充分体现公平、公正、廉洁、诚信合作的精神，抵制商业贿赂、不正当竞争和商业欺诈，甲、乙双方根据国家有关工程建设的法律法规和廉政建设责任制规定，特订立本廉政合同。</w:t>
      </w:r>
    </w:p>
    <w:p>
      <w:pPr>
        <w:widowControl/>
        <w:numPr>
          <w:ilvl w:val="0"/>
          <w:numId w:val="4"/>
        </w:numPr>
        <w:spacing w:before="120" w:beforeLines="50" w:after="120" w:afterLines="50" w:line="400" w:lineRule="exact"/>
        <w:ind w:firstLine="482" w:firstLineChars="200"/>
        <w:rPr>
          <w:rFonts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共同承诺</w:t>
      </w:r>
    </w:p>
    <w:p>
      <w:pPr>
        <w:widowControl/>
        <w:spacing w:line="400" w:lineRule="exact"/>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（一）应严格遵守国家关于市场准入、项目招标投标、工程建设、招标代理管理、市场活动的有关法律、法规、相关政策，以及廉政建设的各项规定。</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（二）严格执行建设工程项目招投标文件及合同文件，自觉按合同办事。</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（三）业务活动必须坚持公开、公平、公正、诚信、透明的原则（法律法规另有规定除外），不得为获取不正当的利益，损害国家、集体和对方利益，不得违反工程建设管理的规章制度。</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（四）发现对方在业务活动中有违规、违纪、违法行为的，有义务及时向对方监督部门举报，情节严重的，应向其上级主管部门或纪检监察、司法等有关机关举报。</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（1）甲方监督部门或监督人及联系方式</w:t>
      </w:r>
    </w:p>
    <w:p>
      <w:pPr>
        <w:widowControl/>
        <w:spacing w:line="400" w:lineRule="exact"/>
        <w:ind w:firstLine="540" w:firstLineChars="225"/>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监督人：</w:t>
      </w:r>
      <w:r>
        <w:rPr>
          <w:rFonts w:hint="eastAsia" w:ascii="仿宋" w:hAnsi="仿宋" w:eastAsia="仿宋" w:cs="仿宋"/>
          <w:color w:val="auto"/>
          <w:sz w:val="24"/>
          <w:szCs w:val="21"/>
          <w:highlight w:val="none"/>
          <w:u w:val="single"/>
        </w:rPr>
        <w:t xml:space="preserve">                       </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监督电话：</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（2）乙方监督部门或监督人及联系方式</w:t>
      </w:r>
    </w:p>
    <w:p>
      <w:pPr>
        <w:widowControl/>
        <w:spacing w:line="400" w:lineRule="exact"/>
        <w:ind w:firstLine="540" w:firstLineChars="225"/>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监督人：</w:t>
      </w:r>
      <w:r>
        <w:rPr>
          <w:rFonts w:hint="eastAsia" w:ascii="仿宋" w:hAnsi="仿宋" w:eastAsia="仿宋" w:cs="仿宋"/>
          <w:color w:val="auto"/>
          <w:sz w:val="24"/>
          <w:szCs w:val="21"/>
          <w:highlight w:val="none"/>
          <w:u w:val="single"/>
        </w:rPr>
        <w:t xml:space="preserve">                      </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监督电话：</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w:t>
      </w:r>
    </w:p>
    <w:p>
      <w:pPr>
        <w:widowControl/>
        <w:spacing w:before="120" w:beforeLines="50" w:after="120" w:afterLines="50" w:line="400" w:lineRule="exact"/>
        <w:ind w:firstLine="482" w:firstLineChars="200"/>
        <w:rPr>
          <w:rFonts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第二条 甲方的责任</w:t>
      </w:r>
    </w:p>
    <w:p>
      <w:pPr>
        <w:widowControl/>
        <w:spacing w:line="400" w:lineRule="exact"/>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甲方的领导和从事该建设工程项目的工作人员，在工程建设的事前、事中、事后应遵守以下规定：</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（一）不准向乙方和相关单位索要或接受回扣、礼金、有价证券、贵重物品和好处费、感谢费等。</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（二）不准在乙方和相关单位报销任何应由甲方或个人支付的费用。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（三）不准要求、暗示或接受乙方和相关单位为个人装修住房、婚丧嫁娶、配偶子女的工作安排以及出国（境）、旅游等提供方便。</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（四）不准参加乙方和相关单位安排的有可能影响公正执行公务的宴请、娱乐等活动。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（五）不准向乙方和相关单位介绍和甲方项目合同有关的业务活动。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（六）甲方配偶、子女、亲属不得参与甲方项目合同有关的业务活动。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（七）不得以任何理由要求乙方和相关单位购买项目工程合同规定以外的材料、设备等。</w:t>
      </w:r>
    </w:p>
    <w:p>
      <w:pPr>
        <w:widowControl/>
        <w:spacing w:before="120" w:beforeLines="50" w:after="120" w:afterLines="50" w:line="400" w:lineRule="exact"/>
        <w:ind w:firstLine="482" w:firstLineChars="200"/>
        <w:rPr>
          <w:rFonts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第三条 乙方的责任</w:t>
      </w:r>
    </w:p>
    <w:p>
      <w:pPr>
        <w:widowControl/>
        <w:spacing w:line="400" w:lineRule="exact"/>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应与甲方保持正常的业务交往，按照有关法律、法规和程序开展业务工作，严格执行工程建设的有关方针、政策，尤其是无线电管理有关强制性标准和规范，并遵守以下规定：</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（一）不准以任何理由向甲方及其工作人员索要、接受或赠送礼金、有价证券、贵重物品及回扣、好处费、感谢费等。</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（二）不准以任何理由为甲方及其工作人员和相关单位报销应由甲方或个人支付的费用。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（三）不准接受或暗示为甲方、相关单位或个人装修住房、婚丧嫁娶、配偶子女的工作安排以及出国（境）、旅游等提供方便。</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（四）不准以任何理由为甲方、相关单位或个人安排有可能影响公正执行公务的宴请、健身、娱乐等活动。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（五）不准向乙方代理项目的投标人和相关单位索要或接受回扣、礼金、有价证券、贵重物品和好处费、感谢费等。</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（六）不准在乙方代理项目的投标人和相关单位报销任何应由乙方或个人支付的费用。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（七）不准要求、暗示或接受乙方代理项目的投标人和相关单位为个人装修住房、婚丧嫁娶、配偶子女的工作安排以及出国（境）、旅游等提供方便。</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（八）不准参加乙方代理项目的投标人和相关单位组织的有可能影响公正执行公务的宴请、娱乐等活动。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（九）不准向乙方代理项目的投标人和相关单位介绍和甲方第三方监测和监测管理项目合同有关的业务活动。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（十）乙方配偶、子女、亲属不得参与甲方项目合同有关的业务活动。</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（十一）不得以任何理由要求乙方代理项目的投标人和相关单位购买项目工程合同规定以外的材料、设备等。</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十二）若甲方工作人员在日常业务过程中有索贿行为，乙方必须拒绝，并向甲方监督部门投诉。若乙方对甲方工作人员的索贿行为不拒绝、不申报，并满足其要求的，则该行为应视同乙方的贿赂行为，乙方应承担相应责任。</w:t>
      </w:r>
    </w:p>
    <w:p>
      <w:pPr>
        <w:widowControl/>
        <w:spacing w:before="120" w:beforeLines="50" w:after="120" w:afterLines="50" w:line="400" w:lineRule="exact"/>
        <w:ind w:firstLine="482" w:firstLineChars="200"/>
        <w:rPr>
          <w:rFonts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第四条 违约责任</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（一）甲方工作人员有违反本合同第一、二条责任行为的，按照管理权限，依据有关法律法规和规定给予党纪、政纪处分或组织处理；涉嫌犯罪的，移交司法机关追究刑事责任。</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（二）乙方工作人员有违反本合同第一、三条责任行为的，按照管理权限，依据有关法律法规和规定给予党纪、政纪处分或组织处理；涉嫌犯罪的，移交司法机关追究刑事责任。</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（三）乙方及其业务人员因违反本合同规定给甲方造成损失的，应承担赔偿责任。</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（四）双方业务关系的变更和解除，不影响甲方按本合同规定向乙方追究责任及要求赔偿损失的权利。</w:t>
      </w:r>
    </w:p>
    <w:p>
      <w:pPr>
        <w:widowControl/>
        <w:spacing w:before="120" w:beforeLines="50" w:after="120" w:afterLines="50" w:line="400" w:lineRule="exact"/>
        <w:ind w:firstLine="482" w:firstLineChars="200"/>
        <w:rPr>
          <w:rFonts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第五条 争议解决</w:t>
      </w:r>
    </w:p>
    <w:p>
      <w:pPr>
        <w:widowControl/>
        <w:spacing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本合同未尽事宜由双方协商解决，如协商不成，双方同意将本合同引起的争议提交杭州仲裁委员会仲裁解决，仲裁为终局。</w:t>
      </w:r>
    </w:p>
    <w:p>
      <w:pPr>
        <w:widowControl/>
        <w:spacing w:before="120" w:beforeLines="50" w:after="120" w:afterLines="50" w:line="400" w:lineRule="exact"/>
        <w:ind w:firstLine="540" w:firstLineChars="225"/>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若发生争议，守约方为维护自身的合法权益而支出的合理费用，应由违约方承担，该费用包括但不限于律师费、保险费、保全费、仲裁费、差旅费等。</w:t>
      </w:r>
    </w:p>
    <w:p>
      <w:pPr>
        <w:pStyle w:val="2"/>
        <w:ind w:firstLine="48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本合同未尽事宜，由甲、乙双方协商解决，协商一致签订的书面材料作为本合同的补充协议，与本合同具有同等法律效力。</w:t>
      </w:r>
    </w:p>
    <w:p>
      <w:pPr>
        <w:widowControl/>
        <w:spacing w:before="120" w:beforeLines="50" w:after="120" w:afterLines="50" w:line="400" w:lineRule="exact"/>
        <w:ind w:firstLine="482" w:firstLineChars="200"/>
        <w:rPr>
          <w:rFonts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第六条  合同生效</w:t>
      </w:r>
    </w:p>
    <w:p>
      <w:pPr>
        <w:widowControl/>
        <w:spacing w:before="120" w:beforeLines="50" w:after="120" w:afterLines="50" w:line="400" w:lineRule="exact"/>
        <w:ind w:firstLine="480" w:firstLineChars="200"/>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本合同一式贰份，甲、乙双方各执壹份，自双方签字、盖公章之日起生效。</w:t>
      </w:r>
    </w:p>
    <w:tbl>
      <w:tblPr>
        <w:tblStyle w:val="63"/>
        <w:tblW w:w="5000" w:type="pct"/>
        <w:tblInd w:w="0" w:type="dxa"/>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2500" w:type="pct"/>
            <w:vAlign w:val="center"/>
          </w:tcPr>
          <w:p>
            <w:pPr>
              <w:widowControl/>
              <w:spacing w:line="400" w:lineRule="exact"/>
              <w:rPr>
                <w:rFonts w:ascii="仿宋" w:hAnsi="仿宋" w:eastAsia="仿宋" w:cs="仿宋"/>
                <w:color w:val="auto"/>
                <w:kern w:val="0"/>
                <w:sz w:val="24"/>
                <w:szCs w:val="21"/>
                <w:highlight w:val="none"/>
              </w:rPr>
            </w:pPr>
            <w:r>
              <w:rPr>
                <w:rFonts w:hint="eastAsia" w:ascii="仿宋" w:hAnsi="仿宋" w:eastAsia="仿宋" w:cs="仿宋"/>
                <w:color w:val="auto"/>
                <w:sz w:val="24"/>
                <w:szCs w:val="21"/>
                <w:highlight w:val="none"/>
              </w:rPr>
              <w:t>甲方：浙江省无线电监测中心</w:t>
            </w:r>
          </w:p>
        </w:tc>
        <w:tc>
          <w:tcPr>
            <w:tcW w:w="2500" w:type="pct"/>
            <w:vAlign w:val="center"/>
          </w:tcPr>
          <w:p>
            <w:pPr>
              <w:widowControl/>
              <w:spacing w:line="400" w:lineRule="exact"/>
              <w:rPr>
                <w:rFonts w:ascii="仿宋" w:hAnsi="仿宋" w:eastAsia="仿宋" w:cs="仿宋"/>
                <w:color w:val="auto"/>
                <w:kern w:val="0"/>
                <w:sz w:val="24"/>
                <w:szCs w:val="21"/>
                <w:highlight w:val="none"/>
              </w:rPr>
            </w:pPr>
            <w:r>
              <w:rPr>
                <w:rFonts w:hint="eastAsia" w:ascii="仿宋" w:hAnsi="仿宋" w:eastAsia="仿宋" w:cs="仿宋"/>
                <w:color w:val="auto"/>
                <w:sz w:val="24"/>
                <w:szCs w:val="21"/>
                <w:highlight w:val="none"/>
              </w:rPr>
              <w:t xml:space="preserve">乙方： </w:t>
            </w:r>
          </w:p>
        </w:tc>
      </w:tr>
      <w:tr>
        <w:tblPrEx>
          <w:tblCellMar>
            <w:top w:w="0" w:type="dxa"/>
            <w:left w:w="108" w:type="dxa"/>
            <w:bottom w:w="0" w:type="dxa"/>
            <w:right w:w="108" w:type="dxa"/>
          </w:tblCellMar>
        </w:tblPrEx>
        <w:trPr>
          <w:trHeight w:val="800" w:hRule="atLeast"/>
        </w:trPr>
        <w:tc>
          <w:tcPr>
            <w:tcW w:w="2500" w:type="pct"/>
            <w:vAlign w:val="center"/>
          </w:tcPr>
          <w:p>
            <w:pPr>
              <w:widowControl/>
              <w:spacing w:line="400" w:lineRule="exact"/>
              <w:rPr>
                <w:rFonts w:ascii="仿宋" w:hAnsi="仿宋" w:eastAsia="仿宋" w:cs="仿宋"/>
                <w:color w:val="auto"/>
                <w:kern w:val="0"/>
                <w:sz w:val="24"/>
                <w:szCs w:val="21"/>
                <w:highlight w:val="none"/>
                <w:u w:val="single"/>
              </w:rPr>
            </w:pPr>
            <w:r>
              <w:rPr>
                <w:rFonts w:hint="eastAsia" w:ascii="仿宋" w:hAnsi="仿宋" w:eastAsia="仿宋" w:cs="仿宋"/>
                <w:color w:val="auto"/>
                <w:sz w:val="24"/>
                <w:szCs w:val="21"/>
                <w:highlight w:val="none"/>
              </w:rPr>
              <w:t>法人或委托代理人：（签字）</w:t>
            </w:r>
            <w:r>
              <w:rPr>
                <w:rFonts w:hint="eastAsia" w:ascii="仿宋" w:hAnsi="仿宋" w:eastAsia="仿宋" w:cs="仿宋"/>
                <w:color w:val="auto"/>
                <w:sz w:val="24"/>
                <w:szCs w:val="21"/>
                <w:highlight w:val="none"/>
                <w:u w:val="single"/>
              </w:rPr>
              <w:t xml:space="preserve">               </w:t>
            </w:r>
          </w:p>
        </w:tc>
        <w:tc>
          <w:tcPr>
            <w:tcW w:w="2500" w:type="pct"/>
            <w:vAlign w:val="center"/>
          </w:tcPr>
          <w:p>
            <w:pPr>
              <w:widowControl/>
              <w:spacing w:line="400" w:lineRule="exact"/>
              <w:rPr>
                <w:rFonts w:ascii="仿宋" w:hAnsi="仿宋" w:eastAsia="仿宋" w:cs="仿宋"/>
                <w:color w:val="auto"/>
                <w:kern w:val="0"/>
                <w:sz w:val="24"/>
                <w:szCs w:val="21"/>
                <w:highlight w:val="none"/>
                <w:u w:val="single"/>
              </w:rPr>
            </w:pPr>
            <w:r>
              <w:rPr>
                <w:rFonts w:hint="eastAsia" w:ascii="仿宋" w:hAnsi="仿宋" w:eastAsia="仿宋" w:cs="仿宋"/>
                <w:color w:val="auto"/>
                <w:sz w:val="24"/>
                <w:szCs w:val="21"/>
                <w:highlight w:val="none"/>
              </w:rPr>
              <w:t>法人或委托代理人：（签字）</w:t>
            </w:r>
            <w:r>
              <w:rPr>
                <w:rFonts w:hint="eastAsia" w:ascii="仿宋" w:hAnsi="仿宋" w:eastAsia="仿宋" w:cs="仿宋"/>
                <w:color w:val="auto"/>
                <w:sz w:val="24"/>
                <w:szCs w:val="21"/>
                <w:highlight w:val="none"/>
                <w:u w:val="single"/>
              </w:rPr>
              <w:t xml:space="preserve">                </w:t>
            </w:r>
          </w:p>
        </w:tc>
      </w:tr>
      <w:tr>
        <w:tblPrEx>
          <w:tblCellMar>
            <w:top w:w="0" w:type="dxa"/>
            <w:left w:w="108" w:type="dxa"/>
            <w:bottom w:w="0" w:type="dxa"/>
            <w:right w:w="108" w:type="dxa"/>
          </w:tblCellMar>
        </w:tblPrEx>
        <w:tc>
          <w:tcPr>
            <w:tcW w:w="2500" w:type="pct"/>
            <w:vAlign w:val="center"/>
          </w:tcPr>
          <w:p>
            <w:pPr>
              <w:widowControl/>
              <w:spacing w:line="400" w:lineRule="exact"/>
              <w:rPr>
                <w:rFonts w:ascii="仿宋" w:hAnsi="仿宋" w:eastAsia="仿宋" w:cs="仿宋"/>
                <w:color w:val="auto"/>
                <w:kern w:val="0"/>
                <w:sz w:val="24"/>
                <w:szCs w:val="21"/>
                <w:highlight w:val="none"/>
              </w:rPr>
            </w:pPr>
            <w:r>
              <w:rPr>
                <w:rFonts w:hint="eastAsia" w:ascii="仿宋" w:hAnsi="仿宋" w:eastAsia="仿宋" w:cs="仿宋"/>
                <w:color w:val="auto"/>
                <w:sz w:val="24"/>
                <w:szCs w:val="21"/>
                <w:highlight w:val="none"/>
              </w:rPr>
              <w:t>签订日期：2024年   月   日</w:t>
            </w:r>
          </w:p>
        </w:tc>
        <w:tc>
          <w:tcPr>
            <w:tcW w:w="2500" w:type="pct"/>
            <w:vAlign w:val="center"/>
          </w:tcPr>
          <w:p>
            <w:pPr>
              <w:widowControl/>
              <w:spacing w:line="400" w:lineRule="exact"/>
              <w:rPr>
                <w:rFonts w:ascii="仿宋" w:hAnsi="仿宋" w:eastAsia="仿宋" w:cs="仿宋"/>
                <w:color w:val="auto"/>
                <w:kern w:val="0"/>
                <w:sz w:val="24"/>
                <w:szCs w:val="21"/>
                <w:highlight w:val="none"/>
              </w:rPr>
            </w:pPr>
            <w:r>
              <w:rPr>
                <w:rFonts w:hint="eastAsia" w:ascii="仿宋" w:hAnsi="仿宋" w:eastAsia="仿宋" w:cs="仿宋"/>
                <w:color w:val="auto"/>
                <w:sz w:val="24"/>
                <w:szCs w:val="21"/>
                <w:highlight w:val="none"/>
              </w:rPr>
              <w:t>签订日期：2024年   月   日</w:t>
            </w:r>
          </w:p>
        </w:tc>
      </w:tr>
    </w:tbl>
    <w:p>
      <w:pPr>
        <w:rPr>
          <w:rFonts w:ascii="仿宋" w:hAnsi="仿宋" w:eastAsia="仿宋" w:cs="仿宋"/>
          <w:color w:val="auto"/>
          <w:highlight w:val="none"/>
        </w:rPr>
      </w:pPr>
    </w:p>
    <w:p>
      <w:pPr>
        <w:widowControl/>
        <w:adjustRightInd/>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bookmarkEnd w:id="39"/>
    <w:bookmarkEnd w:id="40"/>
    <w:p>
      <w:pPr>
        <w:spacing w:line="360" w:lineRule="auto"/>
        <w:ind w:left="-420" w:leftChars="-200" w:right="-420" w:rightChars="-200" w:firstLine="723" w:firstLineChars="200"/>
        <w:jc w:val="center"/>
        <w:outlineLvl w:val="0"/>
        <w:rPr>
          <w:rFonts w:ascii="仿宋" w:hAnsi="仿宋" w:eastAsia="仿宋" w:cs="仿宋"/>
          <w:b/>
          <w:color w:val="auto"/>
          <w:sz w:val="36"/>
          <w:szCs w:val="20"/>
          <w:highlight w:val="none"/>
        </w:rPr>
      </w:pPr>
      <w:bookmarkStart w:id="41" w:name="_Hlk125843013"/>
      <w:r>
        <w:rPr>
          <w:rFonts w:hint="eastAsia" w:ascii="仿宋" w:hAnsi="仿宋" w:eastAsia="仿宋" w:cs="仿宋"/>
          <w:b/>
          <w:color w:val="auto"/>
          <w:sz w:val="36"/>
          <w:szCs w:val="20"/>
          <w:highlight w:val="none"/>
        </w:rPr>
        <w:t>第六部分  应提交的有关格式范例</w:t>
      </w:r>
    </w:p>
    <w:p>
      <w:pPr>
        <w:spacing w:line="360" w:lineRule="auto"/>
        <w:jc w:val="center"/>
        <w:rPr>
          <w:rFonts w:ascii="仿宋" w:hAnsi="仿宋" w:eastAsia="仿宋" w:cs="仿宋"/>
          <w:b/>
          <w:color w:val="auto"/>
          <w:kern w:val="0"/>
          <w:sz w:val="36"/>
          <w:szCs w:val="36"/>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rPr>
          <w:rFonts w:ascii="仿宋" w:hAnsi="仿宋" w:eastAsia="仿宋" w:cs="仿宋"/>
          <w:b/>
          <w:color w:val="auto"/>
          <w:kern w:val="0"/>
          <w:sz w:val="36"/>
          <w:szCs w:val="36"/>
          <w:highlight w:val="none"/>
        </w:rPr>
      </w:pPr>
    </w:p>
    <w:p>
      <w:pPr>
        <w:spacing w:line="360" w:lineRule="auto"/>
        <w:jc w:val="center"/>
        <w:outlineLvl w:val="2"/>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bookmarkEnd w:id="41"/>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浙江省无线电监测中心、浙江省成套工程有限公司：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我方参与便携式GNSS干扰测向系统购置项目【招标编号：ZJCT8-WXD202403】政府采购活动，郑重承诺：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1、单位负责人为同一人或者存在直接控股、管理关系的不同投标人参加同一合同项下的政府采购活动的；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要求以联合体形式参加的，提供联合协议（附件5）和中小企业声明函（附件7），联合协议中中小企业合同金额应当达到招标公告载明的比例；如果投标人本身提供所有标的均由中小企业承接的，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widowControl/>
        <w:spacing w:line="360" w:lineRule="auto"/>
        <w:ind w:left="150"/>
        <w:jc w:val="center"/>
        <w:rPr>
          <w:rFonts w:ascii="仿宋" w:hAnsi="仿宋" w:eastAsia="仿宋" w:cs="仿宋"/>
          <w:b/>
          <w:color w:val="auto"/>
          <w:kern w:val="0"/>
          <w:sz w:val="32"/>
          <w:szCs w:val="32"/>
          <w:highlight w:val="none"/>
        </w:rPr>
      </w:pP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要求合同分包的，提供分包意向协议（附件6）和中小企业声明函（附件7），分包意向协议中中小企业合同金额应当达到招标公告载明的比例；如果投标人本身提供所有标的均由中小企业承接的，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rPr>
          <w:rFonts w:ascii="仿宋" w:hAnsi="仿宋" w:eastAsia="仿宋" w:cs="仿宋"/>
          <w:b/>
          <w:color w:val="auto"/>
          <w:kern w:val="0"/>
          <w:sz w:val="24"/>
          <w:highlight w:val="none"/>
        </w:rPr>
      </w:pPr>
    </w:p>
    <w:p>
      <w:pPr>
        <w:spacing w:line="360" w:lineRule="auto"/>
        <w:jc w:val="center"/>
        <w:outlineLvl w:val="2"/>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（1）投标函…………………………………………………………………………（页码）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（5）商务技术偏离表………………………………………………………………（页码）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（6）评标标准相应的商务技术资料………………………………………………（页码）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（7）类似项目业绩一览表…………………………………………………………（页码）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（8）投标标的清单…………………………………………………………………（页码）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（9）常用配件（备品、备件）清单………………………………………………（页码）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（10）节能产品、环境标志产品认证证书…………………………………………（页码）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（11）售后服务情况表………………………………………………………………（页码）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（12）政府采购投标人廉洁自律承诺书……………………………………………（页码）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（13）投标人认为有必要的其他内容………………………………………………（页码）</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一、投标函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浙江省无线电监测中心、浙江省成套工程有限公司：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我方参加你方组织的便携式GNSS干扰测向系统购置项目【招标编号：ZJCT8-WXD202403】招标的有关活动，并对此项目进行投标。为此：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2" w:name="_Hlk101257010"/>
      <w:r>
        <w:rPr>
          <w:rFonts w:hint="eastAsia" w:ascii="仿宋" w:hAnsi="仿宋" w:eastAsia="仿宋" w:cs="仿宋"/>
          <w:color w:val="auto"/>
          <w:sz w:val="24"/>
          <w:highlight w:val="none"/>
        </w:rPr>
        <w:t>（如果有)</w:t>
      </w:r>
      <w:bookmarkEnd w:id="42"/>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2.2.5商务技术偏离表；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2.2.7类似项目业绩一览表；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2.2.8投标标的清单；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2.2.9常用配件（备品、备件）清单；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2.2.10节能产品、环境标志产品认证证书；</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2.2.2售后服务情况表；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2.2.12政府采购投标人廉洁自律承诺书；</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2.2.13投标人认为有必要的其他内容。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2.3.2报价组成明细表；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2.3.3报价情况说明（如投标人报价低于项目预算50%的，应当提交本文档，详细阐述不影响产品质量或者诚信履约的具体原因）</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2.3.4中小企业声明函（如果有）；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2.3.5交纳采购代理服务费承诺书。</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3、我方承诺除商务技术偏离表列出的偏离外，我方响应采购文件的全部要求。对投标文件中材料的真实性、合法性负责。</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before="50" w:after="50" w:line="360" w:lineRule="auto"/>
        <w:jc w:val="center"/>
        <w:outlineLvl w:val="3"/>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浙江省无线电监测中心、浙江省成套工程有限公司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bookmarkStart w:id="43" w:name="_Hlk125844109"/>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便携式GNSS干扰测向系统购置项目【招标编号：ZJCT8-WXD202403】</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ind w:left="4200" w:leftChars="20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rPr>
          <w:rFonts w:ascii="仿宋" w:hAnsi="仿宋" w:eastAsia="仿宋" w:cs="仿宋"/>
          <w:color w:val="auto"/>
          <w:sz w:val="24"/>
          <w:highlight w:val="none"/>
        </w:rPr>
      </w:pPr>
    </w:p>
    <w:bookmarkEnd w:id="43"/>
    <w:p>
      <w:pPr>
        <w:snapToGrid w:val="0"/>
        <w:spacing w:before="50" w:after="50" w:line="360" w:lineRule="auto"/>
        <w:jc w:val="center"/>
        <w:outlineLvl w:val="3"/>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浙江省无线电监测中心、浙江省成套工程有限公司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便携式GNSS干扰测向系统购置项目【招标编号：ZJCT8-WXD202403】</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pacing w:line="480" w:lineRule="exact"/>
        <w:ind w:firstLine="480" w:firstLineChars="200"/>
        <w:rPr>
          <w:rFonts w:ascii="仿宋" w:hAnsi="仿宋" w:eastAsia="仿宋" w:cs="仿宋"/>
          <w:color w:val="auto"/>
          <w:sz w:val="24"/>
          <w:highlight w:val="none"/>
          <w:lang w:val="zh-CN"/>
        </w:rPr>
      </w:pP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left="4200" w:leftChars="2000"/>
        <w:jc w:val="left"/>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napToGrid w:val="0"/>
        <w:spacing w:before="50" w:after="50" w:line="360" w:lineRule="auto"/>
        <w:ind w:left="-420" w:leftChars="-200" w:right="-420" w:rightChars="-200"/>
        <w:jc w:val="center"/>
        <w:outlineLvl w:val="3"/>
        <w:rPr>
          <w:rFonts w:ascii="仿宋" w:hAnsi="仿宋" w:eastAsia="仿宋" w:cs="仿宋"/>
          <w:b/>
          <w:color w:val="auto"/>
          <w:kern w:val="0"/>
          <w:sz w:val="32"/>
          <w:szCs w:val="32"/>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kern w:val="0"/>
          <w:sz w:val="32"/>
          <w:szCs w:val="32"/>
          <w:highlight w:val="none"/>
          <w:lang w:val="zh-CN"/>
        </w:rPr>
        <w:t>法定代表人、单位负责人或自然人本人的身份证明</w:t>
      </w:r>
    </w:p>
    <w:p>
      <w:pPr>
        <w:snapToGrid w:val="0"/>
        <w:spacing w:before="50" w:after="50" w:line="360" w:lineRule="auto"/>
        <w:ind w:left="-420" w:leftChars="-200" w:right="-420" w:rightChars="-200"/>
        <w:jc w:val="center"/>
        <w:outlineLvl w:val="3"/>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（适用于法定代表人、单位负责人或者自然人本人代表投标人参加投标）</w:t>
      </w:r>
    </w:p>
    <w:p>
      <w:pPr>
        <w:adjustRightInd/>
        <w:spacing w:line="360" w:lineRule="auto"/>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spacing w:line="360" w:lineRule="auto"/>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pPr>
              <w:spacing w:line="360" w:lineRule="auto"/>
              <w:rPr>
                <w:rFonts w:ascii="仿宋" w:hAnsi="仿宋" w:eastAsia="仿宋" w:cs="仿宋"/>
                <w:bCs/>
                <w:color w:val="auto"/>
                <w:sz w:val="24"/>
                <w:szCs w:val="21"/>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02"/>
        <w:gridCol w:w="34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7"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02"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02"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01"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402"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投标文件按照采购文件要求签署、盖章。</w:t>
            </w:r>
          </w:p>
        </w:tc>
        <w:tc>
          <w:tcPr>
            <w:tcW w:w="3402"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01"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402"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投标文件中承诺的投标有效期不少于采购文件中载明的投标有效期。</w:t>
            </w:r>
          </w:p>
        </w:tc>
        <w:tc>
          <w:tcPr>
            <w:tcW w:w="3402"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01"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402"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投标文件满足采购文件的其它实质性要求。</w:t>
            </w:r>
          </w:p>
        </w:tc>
        <w:tc>
          <w:tcPr>
            <w:tcW w:w="3402"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采购文件其它实质性要求相应的材料（“▲”系指实质性要求条款，采购文件无其它实质性要求的，无需提供）</w:t>
            </w:r>
          </w:p>
        </w:tc>
        <w:tc>
          <w:tcPr>
            <w:tcW w:w="1701"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6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340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402"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402"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61"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402" w:type="dxa"/>
            <w:vAlign w:val="center"/>
          </w:tcPr>
          <w:p>
            <w:pPr>
              <w:jc w:val="center"/>
              <w:rPr>
                <w:rFonts w:ascii="仿宋" w:hAnsi="仿宋" w:eastAsia="仿宋" w:cs="仿宋"/>
                <w:b/>
                <w:color w:val="auto"/>
                <w:kern w:val="0"/>
                <w:sz w:val="32"/>
                <w:szCs w:val="32"/>
                <w:highlight w:val="none"/>
              </w:rPr>
            </w:pPr>
          </w:p>
        </w:tc>
        <w:tc>
          <w:tcPr>
            <w:tcW w:w="3402" w:type="dxa"/>
            <w:vAlign w:val="center"/>
          </w:tcPr>
          <w:p>
            <w:pPr>
              <w:jc w:val="center"/>
              <w:rPr>
                <w:rFonts w:ascii="仿宋" w:hAnsi="仿宋" w:eastAsia="仿宋" w:cs="仿宋"/>
                <w:b/>
                <w:color w:val="auto"/>
                <w:kern w:val="0"/>
                <w:sz w:val="32"/>
                <w:szCs w:val="32"/>
                <w:highlight w:val="none"/>
              </w:rPr>
            </w:pPr>
          </w:p>
        </w:tc>
        <w:tc>
          <w:tcPr>
            <w:tcW w:w="1361" w:type="dxa"/>
            <w:vAlign w:val="center"/>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402" w:type="dxa"/>
            <w:vAlign w:val="center"/>
          </w:tcPr>
          <w:p>
            <w:pPr>
              <w:jc w:val="center"/>
              <w:rPr>
                <w:rFonts w:ascii="仿宋" w:hAnsi="仿宋" w:eastAsia="仿宋" w:cs="仿宋"/>
                <w:b/>
                <w:color w:val="auto"/>
                <w:kern w:val="0"/>
                <w:sz w:val="32"/>
                <w:szCs w:val="32"/>
                <w:highlight w:val="none"/>
              </w:rPr>
            </w:pPr>
          </w:p>
        </w:tc>
        <w:tc>
          <w:tcPr>
            <w:tcW w:w="3402" w:type="dxa"/>
            <w:vAlign w:val="center"/>
          </w:tcPr>
          <w:p>
            <w:pPr>
              <w:jc w:val="center"/>
              <w:rPr>
                <w:rFonts w:ascii="仿宋" w:hAnsi="仿宋" w:eastAsia="仿宋" w:cs="仿宋"/>
                <w:b/>
                <w:color w:val="auto"/>
                <w:kern w:val="0"/>
                <w:sz w:val="32"/>
                <w:szCs w:val="32"/>
                <w:highlight w:val="none"/>
              </w:rPr>
            </w:pPr>
          </w:p>
        </w:tc>
        <w:tc>
          <w:tcPr>
            <w:tcW w:w="1361" w:type="dxa"/>
            <w:vAlign w:val="center"/>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402" w:type="dxa"/>
            <w:vAlign w:val="center"/>
          </w:tcPr>
          <w:p>
            <w:pPr>
              <w:jc w:val="center"/>
              <w:rPr>
                <w:rFonts w:ascii="仿宋" w:hAnsi="仿宋" w:eastAsia="仿宋" w:cs="仿宋"/>
                <w:b/>
                <w:color w:val="auto"/>
                <w:kern w:val="0"/>
                <w:sz w:val="32"/>
                <w:szCs w:val="32"/>
                <w:highlight w:val="none"/>
              </w:rPr>
            </w:pPr>
          </w:p>
        </w:tc>
        <w:tc>
          <w:tcPr>
            <w:tcW w:w="3402" w:type="dxa"/>
            <w:vAlign w:val="center"/>
          </w:tcPr>
          <w:p>
            <w:pPr>
              <w:jc w:val="center"/>
              <w:rPr>
                <w:rFonts w:ascii="仿宋" w:hAnsi="仿宋" w:eastAsia="仿宋" w:cs="仿宋"/>
                <w:b/>
                <w:color w:val="auto"/>
                <w:kern w:val="0"/>
                <w:sz w:val="32"/>
                <w:szCs w:val="32"/>
                <w:highlight w:val="none"/>
              </w:rPr>
            </w:pPr>
          </w:p>
        </w:tc>
        <w:tc>
          <w:tcPr>
            <w:tcW w:w="1361" w:type="dxa"/>
            <w:vAlign w:val="center"/>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投标人保证：除商务技术偏离表列出的偏离外，投标人响应采购文件的全部要求</w:t>
      </w:r>
    </w:p>
    <w:p>
      <w:pPr>
        <w:ind w:firstLine="2891" w:firstLineChars="900"/>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（按采购文件第四部分评标办法前附表中“投标文件中评标标准相应的商务技术资料目录”提供资料。）</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七、类似项目业绩一览表</w:t>
      </w:r>
    </w:p>
    <w:p>
      <w:pPr>
        <w:adjustRightInd/>
        <w:spacing w:line="360" w:lineRule="auto"/>
        <w:ind w:left="480" w:hanging="480" w:hangingChars="200"/>
        <w:rPr>
          <w:rFonts w:ascii="仿宋" w:hAnsi="仿宋" w:eastAsia="仿宋" w:cs="仿宋"/>
          <w:color w:val="auto"/>
          <w:sz w:val="24"/>
          <w:highlight w:val="none"/>
        </w:rPr>
      </w:pPr>
    </w:p>
    <w:tbl>
      <w:tblPr>
        <w:tblStyle w:val="6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830"/>
        <w:gridCol w:w="1701"/>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合同金额</w:t>
            </w:r>
          </w:p>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采购单位联系人</w:t>
            </w:r>
          </w:p>
          <w:p>
            <w:pPr>
              <w:adjustRightInd/>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tcPr>
          <w:p>
            <w:pPr>
              <w:adjustRightInd/>
              <w:jc w:val="center"/>
              <w:rPr>
                <w:rFonts w:ascii="仿宋" w:hAnsi="仿宋" w:eastAsia="仿宋" w:cs="仿宋"/>
                <w:color w:val="auto"/>
                <w:sz w:val="24"/>
                <w:highlight w:val="none"/>
              </w:rPr>
            </w:pPr>
          </w:p>
        </w:tc>
      </w:tr>
    </w:tbl>
    <w:p>
      <w:pPr>
        <w:adjustRightInd/>
        <w:spacing w:line="360" w:lineRule="auto"/>
        <w:ind w:left="480" w:hanging="480" w:hangingChars="200"/>
        <w:rPr>
          <w:rFonts w:ascii="仿宋" w:hAnsi="仿宋" w:eastAsia="仿宋" w:cs="仿宋"/>
          <w:color w:val="auto"/>
          <w:sz w:val="24"/>
          <w:highlight w:val="none"/>
        </w:rPr>
      </w:pPr>
    </w:p>
    <w:p>
      <w:pPr>
        <w:adjustRightInd/>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说明：</w:t>
      </w:r>
    </w:p>
    <w:p>
      <w:pPr>
        <w:adjustRightInd/>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1、投标人须提供上述业绩证明资料复印件；</w:t>
      </w:r>
    </w:p>
    <w:p>
      <w:pPr>
        <w:adjustRightInd/>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2、所有合同复印件应清晰，应能体现合同签订时间、双方签字盖章等内容；</w:t>
      </w:r>
    </w:p>
    <w:p>
      <w:pPr>
        <w:adjustRightInd/>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3、投标人应在不涉及商业秘密的前提下尽可能提供详细的合同复印件内容。</w:t>
      </w:r>
    </w:p>
    <w:p>
      <w:pPr>
        <w:snapToGrid w:val="0"/>
        <w:spacing w:line="360" w:lineRule="auto"/>
        <w:ind w:left="4200" w:leftChars="2000"/>
        <w:jc w:val="left"/>
        <w:rPr>
          <w:rFonts w:ascii="仿宋" w:hAnsi="仿宋" w:eastAsia="仿宋" w:cs="仿宋"/>
          <w:color w:val="auto"/>
          <w:sz w:val="24"/>
          <w:highlight w:val="none"/>
        </w:rPr>
      </w:pPr>
    </w:p>
    <w:p>
      <w:pPr>
        <w:snapToGrid w:val="0"/>
        <w:spacing w:line="360" w:lineRule="auto"/>
        <w:ind w:left="4200" w:leftChars="2000"/>
        <w:jc w:val="left"/>
        <w:rPr>
          <w:rFonts w:ascii="仿宋" w:hAnsi="仿宋" w:eastAsia="仿宋" w:cs="仿宋"/>
          <w:color w:val="auto"/>
          <w:sz w:val="24"/>
          <w:highlight w:val="none"/>
        </w:rPr>
      </w:pP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八、投标标的清单</w:t>
      </w:r>
    </w:p>
    <w:tbl>
      <w:tblPr>
        <w:tblStyle w:val="63"/>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14"/>
        <w:gridCol w:w="2268"/>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widowControl/>
        <w:spacing w:line="360" w:lineRule="auto"/>
        <w:ind w:left="150"/>
        <w:jc w:val="center"/>
        <w:rPr>
          <w:rFonts w:ascii="仿宋" w:hAnsi="仿宋" w:eastAsia="仿宋" w:cs="仿宋"/>
          <w:b/>
          <w:color w:val="auto"/>
          <w:kern w:val="0"/>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九、常用配件（备品、备件）清单</w:t>
      </w:r>
    </w:p>
    <w:p>
      <w:pPr>
        <w:adjustRightInd/>
        <w:spacing w:line="360" w:lineRule="atLeast"/>
        <w:jc w:val="left"/>
        <w:rPr>
          <w:rFonts w:ascii="仿宋" w:hAnsi="仿宋" w:eastAsia="仿宋" w:cs="仿宋"/>
          <w:color w:val="auto"/>
          <w:sz w:val="24"/>
          <w:highlight w:val="none"/>
        </w:rPr>
      </w:pPr>
    </w:p>
    <w:tbl>
      <w:tblPr>
        <w:tblStyle w:val="63"/>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01"/>
        <w:gridCol w:w="1431"/>
        <w:gridCol w:w="964"/>
        <w:gridCol w:w="1814"/>
        <w:gridCol w:w="12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701"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配件名称</w:t>
            </w:r>
          </w:p>
        </w:tc>
        <w:tc>
          <w:tcPr>
            <w:tcW w:w="1431"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单价（元）</w:t>
            </w:r>
          </w:p>
        </w:tc>
        <w:tc>
          <w:tcPr>
            <w:tcW w:w="964"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814"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品牌</w:t>
            </w:r>
          </w:p>
        </w:tc>
        <w:tc>
          <w:tcPr>
            <w:tcW w:w="1242"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产地</w:t>
            </w:r>
          </w:p>
        </w:tc>
        <w:tc>
          <w:tcPr>
            <w:tcW w:w="1701"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37" w:type="dxa"/>
            <w:vAlign w:val="center"/>
          </w:tcPr>
          <w:p>
            <w:pPr>
              <w:adjustRightInd/>
              <w:spacing w:line="36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1" w:type="dxa"/>
            <w:vAlign w:val="center"/>
          </w:tcPr>
          <w:p>
            <w:pPr>
              <w:adjustRightInd/>
              <w:spacing w:line="360" w:lineRule="atLeast"/>
              <w:jc w:val="center"/>
              <w:rPr>
                <w:rFonts w:ascii="仿宋" w:hAnsi="仿宋" w:eastAsia="仿宋" w:cs="仿宋"/>
                <w:color w:val="auto"/>
                <w:sz w:val="24"/>
                <w:highlight w:val="none"/>
              </w:rPr>
            </w:pPr>
          </w:p>
        </w:tc>
        <w:tc>
          <w:tcPr>
            <w:tcW w:w="1431" w:type="dxa"/>
            <w:vAlign w:val="center"/>
          </w:tcPr>
          <w:p>
            <w:pPr>
              <w:adjustRightInd/>
              <w:spacing w:line="360" w:lineRule="atLeast"/>
              <w:jc w:val="center"/>
              <w:rPr>
                <w:rFonts w:ascii="仿宋" w:hAnsi="仿宋" w:eastAsia="仿宋" w:cs="仿宋"/>
                <w:color w:val="auto"/>
                <w:sz w:val="24"/>
                <w:highlight w:val="none"/>
              </w:rPr>
            </w:pPr>
          </w:p>
        </w:tc>
        <w:tc>
          <w:tcPr>
            <w:tcW w:w="964" w:type="dxa"/>
            <w:vAlign w:val="center"/>
          </w:tcPr>
          <w:p>
            <w:pPr>
              <w:adjustRightInd/>
              <w:spacing w:line="360" w:lineRule="atLeast"/>
              <w:jc w:val="center"/>
              <w:rPr>
                <w:rFonts w:ascii="仿宋" w:hAnsi="仿宋" w:eastAsia="仿宋" w:cs="仿宋"/>
                <w:color w:val="auto"/>
                <w:sz w:val="24"/>
                <w:highlight w:val="none"/>
              </w:rPr>
            </w:pPr>
          </w:p>
        </w:tc>
        <w:tc>
          <w:tcPr>
            <w:tcW w:w="1814" w:type="dxa"/>
            <w:vAlign w:val="center"/>
          </w:tcPr>
          <w:p>
            <w:pPr>
              <w:adjustRightInd/>
              <w:spacing w:line="360" w:lineRule="atLeast"/>
              <w:jc w:val="center"/>
              <w:rPr>
                <w:rFonts w:ascii="仿宋" w:hAnsi="仿宋" w:eastAsia="仿宋" w:cs="仿宋"/>
                <w:color w:val="auto"/>
                <w:sz w:val="24"/>
                <w:highlight w:val="none"/>
              </w:rPr>
            </w:pPr>
          </w:p>
        </w:tc>
        <w:tc>
          <w:tcPr>
            <w:tcW w:w="1242" w:type="dxa"/>
            <w:vAlign w:val="center"/>
          </w:tcPr>
          <w:p>
            <w:pPr>
              <w:adjustRightInd/>
              <w:spacing w:line="360" w:lineRule="atLeast"/>
              <w:jc w:val="center"/>
              <w:rPr>
                <w:rFonts w:ascii="仿宋" w:hAnsi="仿宋" w:eastAsia="仿宋" w:cs="仿宋"/>
                <w:color w:val="auto"/>
                <w:sz w:val="24"/>
                <w:highlight w:val="none"/>
              </w:rPr>
            </w:pPr>
          </w:p>
        </w:tc>
        <w:tc>
          <w:tcPr>
            <w:tcW w:w="1701" w:type="dxa"/>
            <w:vAlign w:val="center"/>
          </w:tcPr>
          <w:p>
            <w:pPr>
              <w:adjustRightInd/>
              <w:spacing w:line="360" w:lineRule="atLeas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37" w:type="dxa"/>
            <w:vAlign w:val="center"/>
          </w:tcPr>
          <w:p>
            <w:pPr>
              <w:adjustRightInd/>
              <w:spacing w:line="36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1" w:type="dxa"/>
            <w:vAlign w:val="center"/>
          </w:tcPr>
          <w:p>
            <w:pPr>
              <w:adjustRightInd/>
              <w:spacing w:line="360" w:lineRule="atLeast"/>
              <w:jc w:val="center"/>
              <w:rPr>
                <w:rFonts w:ascii="仿宋" w:hAnsi="仿宋" w:eastAsia="仿宋" w:cs="仿宋"/>
                <w:color w:val="auto"/>
                <w:sz w:val="24"/>
                <w:highlight w:val="none"/>
              </w:rPr>
            </w:pPr>
          </w:p>
        </w:tc>
        <w:tc>
          <w:tcPr>
            <w:tcW w:w="1431" w:type="dxa"/>
            <w:vAlign w:val="center"/>
          </w:tcPr>
          <w:p>
            <w:pPr>
              <w:adjustRightInd/>
              <w:spacing w:line="360" w:lineRule="atLeast"/>
              <w:jc w:val="center"/>
              <w:rPr>
                <w:rFonts w:ascii="仿宋" w:hAnsi="仿宋" w:eastAsia="仿宋" w:cs="仿宋"/>
                <w:color w:val="auto"/>
                <w:sz w:val="24"/>
                <w:highlight w:val="none"/>
              </w:rPr>
            </w:pPr>
          </w:p>
        </w:tc>
        <w:tc>
          <w:tcPr>
            <w:tcW w:w="964" w:type="dxa"/>
            <w:vAlign w:val="center"/>
          </w:tcPr>
          <w:p>
            <w:pPr>
              <w:adjustRightInd/>
              <w:spacing w:line="360" w:lineRule="atLeast"/>
              <w:jc w:val="center"/>
              <w:rPr>
                <w:rFonts w:ascii="仿宋" w:hAnsi="仿宋" w:eastAsia="仿宋" w:cs="仿宋"/>
                <w:color w:val="auto"/>
                <w:sz w:val="24"/>
                <w:highlight w:val="none"/>
              </w:rPr>
            </w:pPr>
          </w:p>
        </w:tc>
        <w:tc>
          <w:tcPr>
            <w:tcW w:w="1814" w:type="dxa"/>
            <w:vAlign w:val="center"/>
          </w:tcPr>
          <w:p>
            <w:pPr>
              <w:adjustRightInd/>
              <w:spacing w:line="360" w:lineRule="atLeast"/>
              <w:jc w:val="center"/>
              <w:rPr>
                <w:rFonts w:ascii="仿宋" w:hAnsi="仿宋" w:eastAsia="仿宋" w:cs="仿宋"/>
                <w:color w:val="auto"/>
                <w:sz w:val="24"/>
                <w:highlight w:val="none"/>
              </w:rPr>
            </w:pPr>
          </w:p>
        </w:tc>
        <w:tc>
          <w:tcPr>
            <w:tcW w:w="1242" w:type="dxa"/>
            <w:vAlign w:val="center"/>
          </w:tcPr>
          <w:p>
            <w:pPr>
              <w:adjustRightInd/>
              <w:spacing w:line="360" w:lineRule="atLeast"/>
              <w:jc w:val="center"/>
              <w:rPr>
                <w:rFonts w:ascii="仿宋" w:hAnsi="仿宋" w:eastAsia="仿宋" w:cs="仿宋"/>
                <w:color w:val="auto"/>
                <w:sz w:val="24"/>
                <w:highlight w:val="none"/>
              </w:rPr>
            </w:pPr>
          </w:p>
        </w:tc>
        <w:tc>
          <w:tcPr>
            <w:tcW w:w="1701" w:type="dxa"/>
            <w:vAlign w:val="center"/>
          </w:tcPr>
          <w:p>
            <w:pPr>
              <w:adjustRightInd/>
              <w:spacing w:line="360" w:lineRule="atLeas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37" w:type="dxa"/>
            <w:vAlign w:val="center"/>
          </w:tcPr>
          <w:p>
            <w:pPr>
              <w:adjustRightInd/>
              <w:spacing w:line="36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701" w:type="dxa"/>
            <w:vAlign w:val="center"/>
          </w:tcPr>
          <w:p>
            <w:pPr>
              <w:adjustRightInd/>
              <w:spacing w:line="360" w:lineRule="atLeast"/>
              <w:jc w:val="center"/>
              <w:rPr>
                <w:rFonts w:ascii="仿宋" w:hAnsi="仿宋" w:eastAsia="仿宋" w:cs="仿宋"/>
                <w:color w:val="auto"/>
                <w:sz w:val="24"/>
                <w:highlight w:val="none"/>
              </w:rPr>
            </w:pPr>
          </w:p>
        </w:tc>
        <w:tc>
          <w:tcPr>
            <w:tcW w:w="1431" w:type="dxa"/>
            <w:vAlign w:val="center"/>
          </w:tcPr>
          <w:p>
            <w:pPr>
              <w:adjustRightInd/>
              <w:spacing w:line="360" w:lineRule="atLeast"/>
              <w:jc w:val="center"/>
              <w:rPr>
                <w:rFonts w:ascii="仿宋" w:hAnsi="仿宋" w:eastAsia="仿宋" w:cs="仿宋"/>
                <w:color w:val="auto"/>
                <w:sz w:val="24"/>
                <w:highlight w:val="none"/>
              </w:rPr>
            </w:pPr>
          </w:p>
        </w:tc>
        <w:tc>
          <w:tcPr>
            <w:tcW w:w="964" w:type="dxa"/>
            <w:vAlign w:val="center"/>
          </w:tcPr>
          <w:p>
            <w:pPr>
              <w:adjustRightInd/>
              <w:spacing w:line="360" w:lineRule="atLeast"/>
              <w:jc w:val="center"/>
              <w:rPr>
                <w:rFonts w:ascii="仿宋" w:hAnsi="仿宋" w:eastAsia="仿宋" w:cs="仿宋"/>
                <w:color w:val="auto"/>
                <w:sz w:val="24"/>
                <w:highlight w:val="none"/>
              </w:rPr>
            </w:pPr>
          </w:p>
        </w:tc>
        <w:tc>
          <w:tcPr>
            <w:tcW w:w="1814" w:type="dxa"/>
            <w:vAlign w:val="center"/>
          </w:tcPr>
          <w:p>
            <w:pPr>
              <w:adjustRightInd/>
              <w:spacing w:line="360" w:lineRule="atLeast"/>
              <w:jc w:val="center"/>
              <w:rPr>
                <w:rFonts w:ascii="仿宋" w:hAnsi="仿宋" w:eastAsia="仿宋" w:cs="仿宋"/>
                <w:color w:val="auto"/>
                <w:sz w:val="24"/>
                <w:highlight w:val="none"/>
              </w:rPr>
            </w:pPr>
          </w:p>
        </w:tc>
        <w:tc>
          <w:tcPr>
            <w:tcW w:w="1242" w:type="dxa"/>
            <w:vAlign w:val="center"/>
          </w:tcPr>
          <w:p>
            <w:pPr>
              <w:adjustRightInd/>
              <w:spacing w:line="360" w:lineRule="atLeast"/>
              <w:jc w:val="center"/>
              <w:rPr>
                <w:rFonts w:ascii="仿宋" w:hAnsi="仿宋" w:eastAsia="仿宋" w:cs="仿宋"/>
                <w:color w:val="auto"/>
                <w:sz w:val="24"/>
                <w:highlight w:val="none"/>
              </w:rPr>
            </w:pPr>
          </w:p>
        </w:tc>
        <w:tc>
          <w:tcPr>
            <w:tcW w:w="1701" w:type="dxa"/>
            <w:vAlign w:val="center"/>
          </w:tcPr>
          <w:p>
            <w:pPr>
              <w:adjustRightInd/>
              <w:spacing w:line="360" w:lineRule="atLeast"/>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Cs w:val="21"/>
          <w:highlight w:val="none"/>
        </w:rPr>
      </w:pPr>
      <w:r>
        <w:rPr>
          <w:rFonts w:hint="eastAsia" w:ascii="仿宋" w:hAnsi="仿宋" w:eastAsia="仿宋" w:cs="仿宋"/>
          <w:color w:val="auto"/>
          <w:sz w:val="24"/>
          <w:highlight w:val="none"/>
        </w:rPr>
        <w:t>注：按本格式和要求提供。</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widowControl/>
        <w:spacing w:line="360" w:lineRule="auto"/>
        <w:ind w:left="150"/>
        <w:jc w:val="center"/>
        <w:rPr>
          <w:rFonts w:ascii="仿宋" w:hAnsi="仿宋" w:eastAsia="仿宋" w:cs="仿宋"/>
          <w:b/>
          <w:color w:val="auto"/>
          <w:kern w:val="0"/>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十、节能产品、环境标志产品认证证书</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投标产品列入财政部、发改委、生态环境部等部门发布的品目清单的，须提供国家确定的认证机构出具的、处于有效期之内的节能产品、环境标志产品认证证书复印件。</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十一、售后服务情况表</w:t>
      </w:r>
    </w:p>
    <w:tbl>
      <w:tblPr>
        <w:tblStyle w:val="63"/>
        <w:tblW w:w="9019" w:type="dxa"/>
        <w:tblInd w:w="135" w:type="dxa"/>
        <w:tblLayout w:type="fixed"/>
        <w:tblCellMar>
          <w:top w:w="0" w:type="dxa"/>
          <w:left w:w="108" w:type="dxa"/>
          <w:bottom w:w="0" w:type="dxa"/>
          <w:right w:w="108" w:type="dxa"/>
        </w:tblCellMar>
      </w:tblPr>
      <w:tblGrid>
        <w:gridCol w:w="843"/>
        <w:gridCol w:w="8176"/>
      </w:tblGrid>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售后服务内容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一</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维修网点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二</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维修人员</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三</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免费保修期限</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四</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响应时间</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五</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服务承诺（售后服务范围和内容）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六</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免费保修期后的服务费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8176" w:type="dxa"/>
            <w:tcBorders>
              <w:top w:val="single" w:color="auto" w:sz="4" w:space="0"/>
              <w:left w:val="nil"/>
              <w:bottom w:val="single" w:color="auto" w:sz="4" w:space="0"/>
              <w:right w:val="single" w:color="auto" w:sz="4" w:space="0"/>
            </w:tcBorders>
            <w:vAlign w:val="center"/>
          </w:tcPr>
          <w:p>
            <w:pPr>
              <w:adjustRightInd/>
              <w:jc w:val="center"/>
              <w:rPr>
                <w:rFonts w:ascii="仿宋" w:hAnsi="仿宋" w:eastAsia="仿宋" w:cs="仿宋"/>
                <w:b/>
                <w:bCs/>
                <w:color w:val="auto"/>
                <w:sz w:val="24"/>
                <w:highlight w:val="none"/>
              </w:rPr>
            </w:pPr>
          </w:p>
        </w:tc>
      </w:tr>
    </w:tbl>
    <w:p>
      <w:pPr>
        <w:adjustRightInd/>
        <w:spacing w:line="360" w:lineRule="auto"/>
        <w:rPr>
          <w:rFonts w:ascii="仿宋" w:hAnsi="仿宋" w:eastAsia="仿宋" w:cs="仿宋"/>
          <w:color w:val="auto"/>
          <w:sz w:val="24"/>
          <w:highlight w:val="none"/>
        </w:rPr>
      </w:pPr>
    </w:p>
    <w:p>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注：表中相关内容亦可以附件形式进行描述，内容可自行添加。</w:t>
      </w:r>
    </w:p>
    <w:p>
      <w:pPr>
        <w:snapToGrid w:val="0"/>
        <w:spacing w:line="360" w:lineRule="auto"/>
        <w:ind w:left="4200" w:leftChars="2000"/>
        <w:jc w:val="left"/>
        <w:rPr>
          <w:rFonts w:ascii="仿宋" w:hAnsi="仿宋" w:eastAsia="仿宋" w:cs="仿宋"/>
          <w:color w:val="auto"/>
          <w:sz w:val="24"/>
          <w:highlight w:val="none"/>
        </w:rPr>
      </w:pP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p>
    <w:p>
      <w:pPr>
        <w:snapToGrid w:val="0"/>
        <w:spacing w:line="360" w:lineRule="auto"/>
        <w:ind w:left="4200" w:leftChars="20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sz w:val="24"/>
          <w:highlight w:val="none"/>
        </w:rPr>
        <w:t>：  年   月   日</w:t>
      </w: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十二、政府采购投标人廉洁自律承诺书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浙江省无线电监测中心、浙江省成套工程有限公司</w:t>
      </w:r>
      <w:r>
        <w:rPr>
          <w:rFonts w:hint="eastAsia" w:ascii="仿宋" w:hAnsi="仿宋" w:eastAsia="仿宋" w:cs="仿宋"/>
          <w:color w:val="auto"/>
          <w:kern w:val="0"/>
          <w:sz w:val="24"/>
          <w:highlight w:val="none"/>
          <w:lang w:val="zh-CN"/>
        </w:rPr>
        <w:t>：</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napToGrid w:val="0"/>
        <w:spacing w:line="360" w:lineRule="auto"/>
        <w:jc w:val="center"/>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十三、投标人认为有必要的其他内容</w:t>
      </w: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2"/>
          <w:szCs w:val="32"/>
          <w:highlight w:val="none"/>
        </w:rPr>
      </w:pPr>
    </w:p>
    <w:p>
      <w:pPr>
        <w:autoSpaceDE w:val="0"/>
        <w:autoSpaceDN w:val="0"/>
        <w:spacing w:line="360" w:lineRule="auto"/>
        <w:ind w:firstLine="420"/>
        <w:rPr>
          <w:rFonts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br w:type="page"/>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rPr>
          <w:rFonts w:ascii="仿宋" w:hAnsi="仿宋" w:eastAsia="仿宋" w:cs="仿宋"/>
          <w:b/>
          <w:color w:val="auto"/>
          <w:kern w:val="0"/>
          <w:sz w:val="36"/>
          <w:szCs w:val="36"/>
          <w:highlight w:val="none"/>
        </w:rPr>
      </w:pPr>
    </w:p>
    <w:p>
      <w:pPr>
        <w:spacing w:line="360" w:lineRule="auto"/>
        <w:jc w:val="center"/>
        <w:outlineLvl w:val="2"/>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（2）报价组成明细表………………………………………………………………（页码）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（3）报价情况说明…………………………………………………………………（页码）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（4）中小企业声明函………………………………………………………………（页码）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（5）交纳采购代理服务费承诺书…………………………………………………（页码）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浙江省无线电监测中心、浙江省成套工程有限公司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便携式GNSS干扰测向系统购置项目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ZJCT8-WXD202403】的实施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669" w:type="dxa"/>
            <w:vAlign w:val="center"/>
          </w:tcPr>
          <w:p>
            <w:pPr>
              <w:adjustRightInd/>
              <w:jc w:val="center"/>
              <w:rPr>
                <w:rFonts w:ascii="仿宋" w:hAnsi="仿宋" w:eastAsia="仿宋" w:cs="仿宋"/>
                <w:b/>
                <w:bCs/>
                <w:color w:val="auto"/>
                <w:sz w:val="24"/>
                <w:highlight w:val="none"/>
                <w:lang w:val="en-GB"/>
              </w:rPr>
            </w:pPr>
            <w:r>
              <w:rPr>
                <w:rFonts w:hint="eastAsia" w:ascii="仿宋" w:hAnsi="仿宋" w:eastAsia="仿宋" w:cs="仿宋"/>
                <w:b/>
                <w:bCs/>
                <w:color w:val="auto"/>
                <w:sz w:val="24"/>
                <w:highlight w:val="none"/>
              </w:rPr>
              <w:t>投标总价（元）</w:t>
            </w:r>
          </w:p>
        </w:tc>
        <w:tc>
          <w:tcPr>
            <w:tcW w:w="2835" w:type="dxa"/>
            <w:vAlign w:val="center"/>
          </w:tcPr>
          <w:p>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9" w:type="dxa"/>
            <w:vAlign w:val="center"/>
          </w:tcPr>
          <w:p>
            <w:pPr>
              <w:adjustRightInd/>
              <w:rPr>
                <w:rFonts w:ascii="仿宋" w:hAnsi="仿宋" w:eastAsia="仿宋" w:cs="仿宋"/>
                <w:color w:val="auto"/>
                <w:sz w:val="24"/>
                <w:highlight w:val="none"/>
              </w:rPr>
            </w:pPr>
            <w:r>
              <w:rPr>
                <w:rFonts w:hint="eastAsia" w:ascii="仿宋" w:hAnsi="仿宋" w:eastAsia="仿宋" w:cs="仿宋"/>
                <w:color w:val="auto"/>
                <w:sz w:val="24"/>
                <w:highlight w:val="none"/>
                <w:lang w:val="en-GB"/>
              </w:rPr>
              <w:t>小写：</w:t>
            </w:r>
          </w:p>
        </w:tc>
        <w:tc>
          <w:tcPr>
            <w:tcW w:w="2835" w:type="dxa"/>
            <w:vMerge w:val="restart"/>
            <w:vAlign w:val="center"/>
          </w:tcPr>
          <w:p>
            <w:pPr>
              <w:adjustRightInd/>
              <w:jc w:val="center"/>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9" w:type="dxa"/>
            <w:vAlign w:val="center"/>
          </w:tcPr>
          <w:p>
            <w:pPr>
              <w:adjustRightInd/>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大写：</w:t>
            </w:r>
          </w:p>
        </w:tc>
        <w:tc>
          <w:tcPr>
            <w:tcW w:w="2835" w:type="dxa"/>
            <w:vMerge w:val="continue"/>
            <w:vAlign w:val="center"/>
          </w:tcPr>
          <w:p>
            <w:pPr>
              <w:adjustRightInd/>
              <w:jc w:val="center"/>
              <w:rPr>
                <w:rFonts w:ascii="仿宋" w:hAnsi="仿宋" w:eastAsia="仿宋" w:cs="仿宋"/>
                <w:color w:val="auto"/>
                <w:sz w:val="24"/>
                <w:highlight w:val="none"/>
                <w:lang w:val="en-GB"/>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autoSpaceDE w:val="0"/>
        <w:autoSpaceDN w:val="0"/>
        <w:spacing w:line="360" w:lineRule="auto"/>
        <w:ind w:left="4200" w:leftChars="2000"/>
        <w:rPr>
          <w:rFonts w:ascii="仿宋" w:hAnsi="仿宋" w:eastAsia="仿宋" w:cs="仿宋"/>
          <w:color w:val="auto"/>
          <w:kern w:val="0"/>
          <w:sz w:val="24"/>
          <w:highlight w:val="none"/>
          <w:lang w:val="zh-CN"/>
        </w:rPr>
      </w:pPr>
    </w:p>
    <w:p>
      <w:pPr>
        <w:autoSpaceDE w:val="0"/>
        <w:autoSpaceDN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kern w:val="0"/>
          <w:sz w:val="32"/>
          <w:szCs w:val="32"/>
          <w:highlight w:val="none"/>
        </w:rPr>
        <w:t>二、报价组成明细表</w:t>
      </w:r>
    </w:p>
    <w:tbl>
      <w:tblPr>
        <w:tblStyle w:val="63"/>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851"/>
        <w:gridCol w:w="851"/>
        <w:gridCol w:w="851"/>
        <w:gridCol w:w="1702"/>
        <w:gridCol w:w="1361"/>
        <w:gridCol w:w="1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名称</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单位</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品牌</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型号</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单价（元）</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05"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投标总价（元）</w:t>
            </w:r>
          </w:p>
        </w:tc>
        <w:tc>
          <w:tcPr>
            <w:tcW w:w="4424"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adjustRightInd/>
              <w:spacing w:line="360" w:lineRule="auto"/>
              <w:jc w:val="center"/>
              <w:rPr>
                <w:rFonts w:ascii="仿宋" w:hAnsi="仿宋" w:eastAsia="仿宋" w:cs="仿宋"/>
                <w:color w:val="auto"/>
                <w:spacing w:val="-6"/>
                <w:sz w:val="24"/>
                <w:highlight w:val="none"/>
              </w:rPr>
            </w:pPr>
          </w:p>
        </w:tc>
      </w:tr>
    </w:tbl>
    <w:p>
      <w:pPr>
        <w:spacing w:line="360" w:lineRule="auto"/>
        <w:ind w:left="1080" w:hanging="1080" w:hangingChars="450"/>
        <w:rPr>
          <w:rFonts w:ascii="仿宋" w:hAnsi="仿宋" w:eastAsia="仿宋" w:cs="仿宋"/>
          <w:color w:val="auto"/>
          <w:sz w:val="24"/>
          <w:highlight w:val="none"/>
        </w:rPr>
      </w:pPr>
      <w:r>
        <w:rPr>
          <w:rFonts w:hint="eastAsia" w:ascii="仿宋" w:hAnsi="仿宋" w:eastAsia="仿宋" w:cs="仿宋"/>
          <w:color w:val="auto"/>
          <w:sz w:val="24"/>
          <w:highlight w:val="none"/>
        </w:rPr>
        <w:t>报价说明：</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有关本项目实施所涉及的一切费用均计入报价。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2、此表可增减行数，或投标人自行提供报价格式。</w:t>
      </w:r>
    </w:p>
    <w:p>
      <w:pPr>
        <w:adjustRightInd/>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32"/>
          <w:highlight w:val="none"/>
        </w:rPr>
        <w:t>上表所述“投标总价”应与“开标一览表”中的“投标总价”一致，如有矛盾，以“开标一览表”中的为准。</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djustRightInd/>
        <w:spacing w:line="360" w:lineRule="auto"/>
        <w:ind w:firstLine="480" w:firstLineChars="200"/>
        <w:rPr>
          <w:rFonts w:ascii="仿宋" w:hAnsi="仿宋" w:eastAsia="仿宋" w:cs="仿宋"/>
          <w:color w:val="auto"/>
          <w:sz w:val="24"/>
          <w:szCs w:val="32"/>
          <w:highlight w:val="none"/>
        </w:rPr>
      </w:pPr>
    </w:p>
    <w:p>
      <w:pPr>
        <w:autoSpaceDE w:val="0"/>
        <w:autoSpaceDN w:val="0"/>
        <w:spacing w:line="360" w:lineRule="auto"/>
        <w:ind w:left="4200" w:leftChars="2000"/>
        <w:rPr>
          <w:rFonts w:ascii="仿宋" w:hAnsi="仿宋" w:eastAsia="仿宋" w:cs="仿宋"/>
          <w:color w:val="auto"/>
          <w:kern w:val="0"/>
          <w:sz w:val="24"/>
          <w:highlight w:val="none"/>
        </w:rPr>
      </w:pPr>
    </w:p>
    <w:p>
      <w:pPr>
        <w:autoSpaceDE w:val="0"/>
        <w:autoSpaceDN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200" w:leftChars="200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三、报价情况说明（如果有）</w:t>
      </w:r>
    </w:p>
    <w:p>
      <w:pPr>
        <w:widowControl/>
        <w:spacing w:line="360" w:lineRule="auto"/>
        <w:ind w:firstLine="120" w:firstLineChars="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（如投标人报价低于项目预算50%的，应当提交本文档，详细阐述不影响产品质量或者诚信履约的具体原因。）</w:t>
      </w: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四、中小企业声明函（如果有）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五、交纳采购代理服务费承诺书</w:t>
      </w:r>
    </w:p>
    <w:p>
      <w:pPr>
        <w:adjustRightInd/>
        <w:jc w:val="left"/>
        <w:rPr>
          <w:rFonts w:ascii="仿宋" w:hAnsi="仿宋" w:eastAsia="仿宋" w:cs="仿宋"/>
          <w:b/>
          <w:color w:val="auto"/>
          <w:highlight w:val="none"/>
        </w:rPr>
      </w:pPr>
    </w:p>
    <w:p>
      <w:pPr>
        <w:adjustRightInd/>
        <w:jc w:val="left"/>
        <w:rPr>
          <w:rFonts w:ascii="仿宋" w:hAnsi="仿宋" w:eastAsia="仿宋" w:cs="仿宋"/>
          <w:b/>
          <w:color w:val="auto"/>
          <w:highlight w:val="none"/>
        </w:rPr>
      </w:pPr>
    </w:p>
    <w:p>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浙江省成套工程有限公司：</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我单位在你公司组织的</w:t>
      </w:r>
      <w:r>
        <w:rPr>
          <w:rFonts w:hint="eastAsia" w:ascii="仿宋" w:hAnsi="仿宋" w:eastAsia="仿宋" w:cs="仿宋"/>
          <w:color w:val="auto"/>
          <w:sz w:val="24"/>
          <w:highlight w:val="none"/>
          <w:u w:val="single"/>
        </w:rPr>
        <w:t>便携式GNSS干扰测向系统购置项目</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rPr>
        <w:t>ZJCT8-WXD202403</w:t>
      </w:r>
      <w:r>
        <w:rPr>
          <w:rFonts w:hint="eastAsia" w:ascii="仿宋" w:hAnsi="仿宋" w:eastAsia="仿宋" w:cs="仿宋"/>
          <w:color w:val="auto"/>
          <w:sz w:val="24"/>
          <w:highlight w:val="none"/>
        </w:rPr>
        <w:t>（项目编号）的采购中若获中标，我单位保证按采购文件投标须知前附表的规定，向你公司即浙江省成套工程有限公司支付采购代理服务费。如我单位未按上述承诺支付采购代理服务费，你公司有权取消我单位中标资格，由此产生的一切法律后果和责任由我单位承担。我单位声明放弃对此提出任何异议和追索的权利。</w:t>
      </w:r>
    </w:p>
    <w:p>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pPr>
        <w:autoSpaceDE w:val="0"/>
        <w:autoSpaceDN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200" w:leftChars="200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adjustRightInd/>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投标文件中应提供此函</w:t>
      </w: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bookmarkStart w:id="44" w:name="_Hlk125845340"/>
      <w:r>
        <w:rPr>
          <w:rFonts w:hint="eastAsia" w:ascii="仿宋" w:hAnsi="仿宋" w:eastAsia="仿宋" w:cs="仿宋"/>
          <w:b/>
          <w:color w:val="auto"/>
          <w:kern w:val="0"/>
          <w:sz w:val="36"/>
          <w:szCs w:val="36"/>
          <w:highlight w:val="none"/>
        </w:rPr>
        <w:t>附件</w:t>
      </w:r>
    </w:p>
    <w:p>
      <w:pPr>
        <w:spacing w:line="360" w:lineRule="auto"/>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附件1：残疾人福利性单位声明函</w:t>
      </w:r>
    </w:p>
    <w:bookmarkEnd w:id="44"/>
    <w:p>
      <w:pPr>
        <w:spacing w:line="360" w:lineRule="auto"/>
        <w:jc w:val="center"/>
        <w:rPr>
          <w:rFonts w:ascii="仿宋" w:hAnsi="仿宋" w:eastAsia="仿宋" w:cs="仿宋"/>
          <w:b/>
          <w:color w:val="auto"/>
          <w:spacing w:val="6"/>
          <w:sz w:val="32"/>
          <w:szCs w:val="32"/>
          <w:highlight w:val="none"/>
        </w:rPr>
      </w:pPr>
      <w:bookmarkStart w:id="45" w:name="OLE_LINK14"/>
      <w:bookmarkStart w:id="46" w:name="OLE_LINK13"/>
      <w:r>
        <w:rPr>
          <w:rFonts w:hint="eastAsia" w:ascii="仿宋" w:hAnsi="仿宋" w:eastAsia="仿宋" w:cs="仿宋"/>
          <w:b/>
          <w:color w:val="auto"/>
          <w:spacing w:val="6"/>
          <w:sz w:val="32"/>
          <w:szCs w:val="32"/>
          <w:highlight w:val="none"/>
        </w:rPr>
        <w:t>残疾人福利性单位声明函</w:t>
      </w:r>
    </w:p>
    <w:bookmarkEnd w:id="45"/>
    <w:bookmarkEnd w:id="46"/>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浙江省无线电监测中心</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便携式GNSS干扰测向系统购置项目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bookmarkStart w:id="47" w:name="_Hlk125845405"/>
    </w:p>
    <w:p>
      <w:pPr>
        <w:spacing w:line="360" w:lineRule="auto"/>
        <w:ind w:firstLine="480" w:firstLineChars="200"/>
        <w:rPr>
          <w:rFonts w:ascii="仿宋" w:hAnsi="仿宋" w:eastAsia="仿宋" w:cs="仿宋"/>
          <w:color w:val="auto"/>
          <w:sz w:val="24"/>
          <w:highlight w:val="none"/>
        </w:rPr>
      </w:pPr>
    </w:p>
    <w:p>
      <w:pPr>
        <w:snapToGrid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  期：</w:t>
      </w:r>
    </w:p>
    <w:p>
      <w:pPr>
        <w:spacing w:line="360" w:lineRule="auto"/>
        <w:rPr>
          <w:rFonts w:ascii="仿宋" w:hAnsi="仿宋" w:eastAsia="仿宋" w:cs="仿宋"/>
          <w:b/>
          <w:color w:val="auto"/>
          <w:sz w:val="24"/>
          <w:highlight w:val="none"/>
        </w:rPr>
      </w:pPr>
    </w:p>
    <w:bookmarkEnd w:id="47"/>
    <w:p>
      <w:pPr>
        <w:spacing w:line="360" w:lineRule="auto"/>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一、质疑投标人基本信息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质疑投标人：</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2.质疑投标人若委托代理人进行质疑的，质疑函应按要求列明“授权代表”的有关内容，并在附件中提交由质疑</w:t>
      </w:r>
      <w:r>
        <w:rPr>
          <w:rFonts w:hint="eastAsia" w:ascii="仿宋" w:hAnsi="仿宋" w:eastAsia="仿宋" w:cs="仿宋"/>
          <w:color w:val="auto"/>
          <w:kern w:val="0"/>
          <w:sz w:val="24"/>
          <w:highlight w:val="none"/>
        </w:rPr>
        <w:t>投标人签署的授权委托书。授权委托书应载明代理人的姓名或者名称、代理事项、具体权限、期限和相关事项。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3.质疑投标人若对项目的某一分包进行质疑，质疑函中应列明具体分包号。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6.质疑投标人为自然人的，质疑函应由本人签字；质疑投标人为法人或者其他组织的，质疑函应由法定代表人、主要负责人，或者其授权代表签字或者盖章，并加盖公章。</w:t>
      </w: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一、投诉相关主体基本情况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相关投标人：</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1.投诉人提起投诉时，应当提交投诉书和必要的证明材料，并按照被投诉人和与投诉事项有关的投标人数量提供投诉书副本。</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附件4：业务专用章使用说明函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浙江省无线电监测中心、浙江省成套工程有限公司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 xml:space="preserve"> (投标人全称)是中华人民共和国依法登记注册的合法企业，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你方组织的便携式GNSS干扰测向系统购置项目项目【招标编号：ZJCT8-WXD202403】</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napToGrid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投标单位（法定名称章）：</w:t>
      </w:r>
    </w:p>
    <w:p>
      <w:pPr>
        <w:snapToGrid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hUv9DMCAABw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kA8/2AAAAAoBAAAPAAAAAAAAAAEAIAAAACIAAABkcnMvZG93bnJldi54&#10;bWxQSwECFAAUAAAACACHTuJA5hUv9DMCAABwBAAADgAAAAAAAAABACAAAAAnAQAAZHJzL2Uyb0Rv&#10;Yy54bWxQSwUGAAAAAAYABgBZAQAAzA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pacing w:line="360" w:lineRule="auto"/>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附件5：联合协议</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便携式GNSS干扰测向系统购置项目【招标编号：ZJCT8-WXD202403】</w:t>
      </w:r>
      <w:r>
        <w:rPr>
          <w:rFonts w:hint="eastAsia" w:ascii="仿宋" w:hAnsi="仿宋" w:eastAsia="仿宋" w:cs="仿宋"/>
          <w:color w:val="auto"/>
          <w:kern w:val="0"/>
          <w:sz w:val="24"/>
          <w:highlight w:val="none"/>
          <w:lang w:val="zh-CN"/>
        </w:rPr>
        <w:t>投标。</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lang w:val="zh-CN"/>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lang w:val="zh-CN"/>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8" w:name="_Hlk101131882"/>
      <w:r>
        <w:rPr>
          <w:rFonts w:hint="eastAsia" w:ascii="仿宋" w:hAnsi="仿宋" w:eastAsia="仿宋" w:cs="仿宋"/>
          <w:color w:val="auto"/>
          <w:kern w:val="0"/>
          <w:sz w:val="24"/>
          <w:highlight w:val="none"/>
          <w:u w:val="single"/>
        </w:rPr>
        <w:t>联合体成员X,……</w:t>
      </w:r>
      <w:bookmarkEnd w:id="4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提供的全部货物由小微企业制造，其合同份额占到合同总金额     %以上；……。</w:t>
      </w:r>
      <w:r>
        <w:rPr>
          <w:rFonts w:hint="eastAsia" w:ascii="仿宋" w:hAnsi="仿宋" w:eastAsia="仿宋" w:cs="仿宋"/>
          <w:b/>
          <w:bCs/>
          <w:color w:val="auto"/>
          <w:kern w:val="0"/>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拟享受以上价格扣除政策的，填写有关内容。）</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要求以联合体形式参加的项目或采购包，投标人按采购文件第一部分招标公告申请人的资格要求中规定的联合协议中中小企业、小微企业合同金额应当达到的比例要求填写。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9"/>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1、联合体各方不再单独参加或者与其他投标人另外组成联合体参加同一合同项下的政府采购活动。</w:t>
      </w:r>
    </w:p>
    <w:p>
      <w:pPr>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2、联合体中有同类资质的各方按照联合体分工承担相同工作的，按照资质等级较低的投标人确定资质等级。</w:t>
      </w:r>
    </w:p>
    <w:p>
      <w:pPr>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left="4200" w:leftChars="2000"/>
        <w:jc w:val="left"/>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firstLine="3666" w:firstLineChars="1100"/>
        <w:rPr>
          <w:rFonts w:ascii="仿宋" w:hAnsi="仿宋" w:eastAsia="仿宋" w:cs="仿宋"/>
          <w:b/>
          <w:color w:val="auto"/>
          <w:spacing w:val="6"/>
          <w:sz w:val="32"/>
          <w:szCs w:val="32"/>
          <w:highlight w:val="none"/>
        </w:rPr>
      </w:pPr>
    </w:p>
    <w:p>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附件6：分包意向协议</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便携式GNSS干扰测向系统购置项目【招标编号：ZJCT8-WXD202403】</w:t>
      </w:r>
      <w:r>
        <w:rPr>
          <w:rFonts w:hint="eastAsia" w:ascii="仿宋" w:hAnsi="仿宋" w:eastAsia="仿宋" w:cs="仿宋"/>
          <w:color w:val="auto"/>
          <w:kern w:val="0"/>
          <w:sz w:val="24"/>
          <w:highlight w:val="none"/>
          <w:lang w:val="zh-CN"/>
        </w:rPr>
        <w:t>的中标投标人，将依法采取分包方式履行合同。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（所有分包投标人名称）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（分包投标人1名称）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（分包投标人2名称），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firstLine="480" w:firstLineChars="200"/>
        <w:rPr>
          <w:rFonts w:ascii="仿宋" w:hAnsi="仿宋" w:eastAsia="仿宋" w:cs="仿宋"/>
          <w:color w:val="auto"/>
          <w:kern w:val="0"/>
          <w:sz w:val="24"/>
          <w:highlight w:val="none"/>
          <w:lang w:val="zh-CN"/>
        </w:rPr>
      </w:pP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二、分包投标人中小企业合同份额</w:t>
      </w:r>
    </w:p>
    <w:p>
      <w:pPr>
        <w:snapToGrid w:val="0"/>
        <w:spacing w:line="360" w:lineRule="auto"/>
        <w:ind w:firstLine="480" w:firstLineChars="200"/>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（分包投标人X,……）提供的货物全部由小微企业制造，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拟享受以上价格扣除政策的，填写有关内容。）</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要求合同分包形式参加的项目或采购包，投标人按采购文件第一部分招标公告申请人的资格要求中规定的分包意向协议中中小企业、小微企业合同金额应当达到的比例要求填写。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分包投标人名称(电子签名/公章)：</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left="4200" w:leftChars="20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napToGrid w:val="0"/>
        <w:spacing w:line="360" w:lineRule="auto"/>
        <w:ind w:left="5758" w:leftChars="342" w:hanging="5040" w:hangingChars="210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附件7：中小企业声明函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中小企业声明函（货物）</w:t>
      </w: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浙江省无线电监测中心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便携式GNSS干扰测向系统购置项目 </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便携式GNSS干扰测向系统</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；制造商为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配套终端</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；制造商为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left="4200" w:leftChars="2000"/>
        <w:rPr>
          <w:rFonts w:ascii="仿宋" w:hAnsi="仿宋" w:eastAsia="仿宋" w:cs="仿宋"/>
          <w:color w:val="auto"/>
          <w:sz w:val="24"/>
          <w:highlight w:val="none"/>
        </w:rPr>
      </w:pPr>
      <w:bookmarkStart w:id="50" w:name="_Hlk128685516"/>
      <w:r>
        <w:rPr>
          <w:rFonts w:hint="eastAsia" w:ascii="仿宋" w:hAnsi="仿宋" w:eastAsia="仿宋" w:cs="仿宋"/>
          <w:color w:val="auto"/>
          <w:sz w:val="24"/>
          <w:highlight w:val="none"/>
        </w:rPr>
        <w:t>投标人名称（电子签名）：</w:t>
      </w:r>
    </w:p>
    <w:p>
      <w:pPr>
        <w:spacing w:line="360" w:lineRule="auto"/>
        <w:ind w:left="4200" w:leftChars="2000"/>
        <w:rPr>
          <w:rFonts w:ascii="仿宋" w:hAnsi="仿宋" w:eastAsia="仿宋" w:cs="仿宋"/>
          <w:color w:val="auto"/>
          <w:sz w:val="24"/>
          <w:highlight w:val="none"/>
        </w:rPr>
      </w:pPr>
      <w:r>
        <w:rPr>
          <w:rFonts w:hint="eastAsia" w:ascii="仿宋" w:hAnsi="仿宋" w:eastAsia="仿宋" w:cs="仿宋"/>
          <w:color w:val="auto"/>
          <w:sz w:val="24"/>
          <w:highlight w:val="none"/>
        </w:rPr>
        <w:t>日期：</w:t>
      </w:r>
    </w:p>
    <w:bookmarkEnd w:id="50"/>
    <w:p>
      <w:pPr>
        <w:spacing w:line="360" w:lineRule="auto"/>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auto"/>
          <w:sz w:val="24"/>
          <w:highlight w:val="none"/>
        </w:rPr>
        <w:sectPr>
          <w:headerReference r:id="rId6" w:type="first"/>
          <w:footerReference r:id="rId9" w:type="first"/>
          <w:headerReference r:id="rId5" w:type="default"/>
          <w:footerReference r:id="rId7" w:type="default"/>
          <w:footerReference r:id="rId8" w:type="even"/>
          <w:pgSz w:w="11906" w:h="16838"/>
          <w:pgMar w:top="1418" w:right="1418" w:bottom="1418" w:left="1418" w:header="851" w:footer="992" w:gutter="0"/>
          <w:cols w:space="720" w:num="1"/>
          <w:docGrid w:linePitch="312" w:charSpace="0"/>
        </w:sect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jc w:val="center"/>
        <w:rPr>
          <w:rFonts w:ascii="仿宋" w:hAnsi="仿宋" w:eastAsia="仿宋" w:cs="仿宋"/>
          <w:color w:val="auto"/>
          <w:sz w:val="24"/>
          <w:highlight w:val="none"/>
        </w:rPr>
        <w:sectPr>
          <w:headerReference r:id="rId10" w:type="default"/>
          <w:pgSz w:w="16838" w:h="11906" w:orient="landscape"/>
          <w:pgMar w:top="1418" w:right="1418" w:bottom="1418" w:left="1418" w:header="851" w:footer="992" w:gutter="0"/>
          <w:cols w:space="720" w:num="1"/>
          <w:docGrid w:linePitch="312" w:charSpace="0"/>
        </w:sectPr>
      </w:pPr>
      <w:r>
        <w:rPr>
          <w:rFonts w:hint="eastAsia" w:ascii="仿宋" w:hAnsi="仿宋" w:eastAsia="仿宋" w:cs="仿宋"/>
          <w:color w:val="auto"/>
          <w:highlight w:val="none"/>
        </w:rPr>
        <w:drawing>
          <wp:inline distT="0" distB="0" distL="0" distR="0">
            <wp:extent cx="8790940" cy="56807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t="5169" b="3447"/>
                    <a:stretch>
                      <a:fillRect/>
                    </a:stretch>
                  </pic:blipFill>
                  <pic:spPr>
                    <a:xfrm>
                      <a:off x="0" y="0"/>
                      <a:ext cx="8791200" cy="5680800"/>
                    </a:xfrm>
                    <a:prstGeom prst="rect">
                      <a:avLst/>
                    </a:prstGeom>
                    <a:noFill/>
                    <a:ln>
                      <a:noFill/>
                    </a:ln>
                  </pic:spPr>
                </pic:pic>
              </a:graphicData>
            </a:graphic>
          </wp:inline>
        </w:drawing>
      </w:r>
    </w:p>
    <w:p>
      <w:pPr>
        <w:spacing w:line="360" w:lineRule="auto"/>
        <w:outlineLvl w:val="2"/>
        <w:rPr>
          <w:rFonts w:ascii="仿宋" w:hAnsi="仿宋" w:eastAsia="仿宋" w:cs="仿宋"/>
          <w:b/>
          <w:color w:val="auto"/>
          <w:spacing w:val="6"/>
          <w:sz w:val="32"/>
          <w:szCs w:val="32"/>
          <w:highlight w:val="none"/>
        </w:rPr>
      </w:pPr>
      <w:bookmarkStart w:id="51" w:name="_Toc169"/>
      <w:bookmarkStart w:id="52" w:name="_Toc17998"/>
      <w:r>
        <w:rPr>
          <w:rFonts w:hint="eastAsia" w:ascii="仿宋" w:hAnsi="仿宋" w:eastAsia="仿宋" w:cs="仿宋"/>
          <w:b/>
          <w:color w:val="auto"/>
          <w:spacing w:val="6"/>
          <w:sz w:val="32"/>
          <w:szCs w:val="32"/>
          <w:highlight w:val="none"/>
        </w:rPr>
        <w:t>附件8：样品（演示）授权委托书</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样品（演示）授权委托书</w:t>
      </w:r>
      <w:bookmarkEnd w:id="51"/>
      <w:bookmarkEnd w:id="52"/>
    </w:p>
    <w:p>
      <w:pPr>
        <w:spacing w:line="360" w:lineRule="auto"/>
        <w:jc w:val="left"/>
        <w:rPr>
          <w:rFonts w:ascii="仿宋" w:hAnsi="仿宋" w:eastAsia="仿宋" w:cs="仿宋"/>
          <w:color w:val="auto"/>
          <w:sz w:val="24"/>
          <w:szCs w:val="20"/>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浙江省无线电监测中心、浙江省成套工程有限公司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w:t>
      </w:r>
      <w:r>
        <w:rPr>
          <w:rFonts w:hint="eastAsia" w:ascii="仿宋" w:hAnsi="仿宋" w:eastAsia="仿宋" w:cs="仿宋"/>
          <w:color w:val="auto"/>
          <w:sz w:val="24"/>
          <w:highlight w:val="none"/>
        </w:rPr>
        <w:t>先生/女士</w:t>
      </w:r>
      <w:r>
        <w:rPr>
          <w:rFonts w:hint="eastAsia" w:ascii="仿宋" w:hAnsi="仿宋" w:eastAsia="仿宋" w:cs="仿宋"/>
          <w:color w:val="auto"/>
          <w:kern w:val="0"/>
          <w:sz w:val="24"/>
          <w:highlight w:val="none"/>
          <w:lang w:val="zh-CN"/>
        </w:rPr>
        <w:t>（身份证号码：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），以我方名义前来递交</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u w:val="single"/>
        </w:rPr>
        <w:t xml:space="preserve">便携式GNSS干扰测向系统购置项目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ZJCT8-WXD202403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（标项号（如有）：</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）投标样品或参加演示，并全权负责标后取回样品等其他处理事宜。</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pacing w:line="360" w:lineRule="auto"/>
        <w:jc w:val="left"/>
        <w:rPr>
          <w:rFonts w:ascii="仿宋" w:hAnsi="仿宋" w:eastAsia="仿宋" w:cs="仿宋"/>
          <w:color w:val="auto"/>
          <w:sz w:val="24"/>
          <w:highlight w:val="none"/>
        </w:rPr>
      </w:pPr>
    </w:p>
    <w:p>
      <w:pPr>
        <w:spacing w:line="360" w:lineRule="auto"/>
        <w:jc w:val="left"/>
        <w:rPr>
          <w:rFonts w:ascii="仿宋" w:hAnsi="仿宋" w:eastAsia="仿宋" w:cs="仿宋"/>
          <w:color w:val="auto"/>
          <w:sz w:val="24"/>
          <w:highlight w:val="none"/>
        </w:rPr>
      </w:pPr>
    </w:p>
    <w:p>
      <w:pPr>
        <w:spacing w:line="360" w:lineRule="auto"/>
        <w:ind w:right="1260" w:rightChars="60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投标人名称（公章）：</w:t>
      </w:r>
    </w:p>
    <w:p>
      <w:pPr>
        <w:spacing w:line="360" w:lineRule="auto"/>
        <w:ind w:right="1260" w:rightChars="600"/>
        <w:jc w:val="right"/>
        <w:rPr>
          <w:rFonts w:ascii="仿宋" w:hAnsi="仿宋" w:eastAsia="仿宋" w:cs="仿宋"/>
          <w:color w:val="auto"/>
          <w:sz w:val="24"/>
          <w:highlight w:val="none"/>
        </w:rPr>
      </w:pPr>
      <w:r>
        <w:rPr>
          <w:rFonts w:hint="eastAsia" w:ascii="仿宋" w:hAnsi="仿宋" w:eastAsia="仿宋" w:cs="仿宋"/>
          <w:color w:val="auto"/>
          <w:sz w:val="24"/>
          <w:highlight w:val="none"/>
        </w:rPr>
        <w:t>签发日期：  年  月   日</w:t>
      </w:r>
    </w:p>
    <w:p>
      <w:pPr>
        <w:spacing w:line="360" w:lineRule="auto"/>
        <w:jc w:val="left"/>
        <w:rPr>
          <w:rFonts w:ascii="仿宋" w:hAnsi="仿宋" w:eastAsia="仿宋" w:cs="仿宋"/>
          <w:b/>
          <w:bCs/>
          <w:color w:val="auto"/>
          <w:sz w:val="24"/>
          <w:highlight w:val="none"/>
        </w:rPr>
      </w:pPr>
    </w:p>
    <w:tbl>
      <w:tblPr>
        <w:tblStyle w:val="6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8947" w:type="dxa"/>
          </w:tcPr>
          <w:p>
            <w:pPr>
              <w:spacing w:line="360" w:lineRule="auto"/>
              <w:ind w:firstLine="482"/>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附：受委托人身份证复印件</w:t>
            </w:r>
          </w:p>
        </w:tc>
      </w:tr>
    </w:tbl>
    <w:p>
      <w:pPr>
        <w:spacing w:line="360" w:lineRule="auto"/>
        <w:jc w:val="left"/>
        <w:rPr>
          <w:rFonts w:ascii="仿宋" w:hAnsi="仿宋" w:eastAsia="仿宋" w:cs="仿宋"/>
          <w:color w:val="auto"/>
          <w:sz w:val="24"/>
          <w:highlight w:val="none"/>
        </w:rPr>
      </w:pPr>
    </w:p>
    <w:p>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说明：本委托书在有样品或演示时由受委托人携带至指定地点。</w:t>
      </w:r>
    </w:p>
    <w:p>
      <w:pPr>
        <w:spacing w:line="360" w:lineRule="auto"/>
        <w:ind w:firstLine="723" w:firstLineChars="3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同时有样品和演示的，可委派不同人员。</w:t>
      </w:r>
    </w:p>
    <w:p>
      <w:pPr>
        <w:rPr>
          <w:color w:val="auto"/>
          <w:highlight w:val="none"/>
        </w:rPr>
      </w:pPr>
    </w:p>
    <w:sectPr>
      <w:headerReference r:id="rId11" w:type="default"/>
      <w:pgSz w:w="11905"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1</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85</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2</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85</w:t>
    </w:r>
    <w:r>
      <w:rPr>
        <w:rFonts w:ascii="Calibri" w:hAnsi="Calibri" w:eastAsia="仿宋"/>
      </w:rPr>
      <w:fldChar w:fldCharType="end"/>
    </w:r>
    <w:r>
      <w:rPr>
        <w:rFonts w:hint="eastAsia" w:ascii="Calibri" w:hAnsi="Calibri" w:eastAsia="仿宋"/>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3" w:name="_Toc164085800"/>
    <w:bookmarkStart w:id="54" w:name="_Toc131845147"/>
    <w:bookmarkStart w:id="55" w:name="_Toc36110187"/>
    <w:bookmarkStart w:id="56" w:name="_Toc91899912"/>
    <w:r>
      <w:rPr>
        <w:rFonts w:hint="eastAsia" w:ascii="仿宋_GB2312" w:eastAsia="仿宋_GB2312"/>
        <w:kern w:val="0"/>
        <w:szCs w:val="21"/>
      </w:rPr>
      <w:t xml:space="preserve"> 页</w:t>
    </w:r>
    <w:bookmarkEnd w:id="53"/>
    <w:bookmarkEnd w:id="54"/>
    <w:bookmarkEnd w:id="55"/>
    <w:bookmarkEnd w:id="5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eastAsia="仿宋"/>
      </w:rPr>
    </w:pPr>
    <w:r>
      <w:rPr>
        <w:rFonts w:hint="eastAsia" w:ascii="仿宋" w:hAnsi="仿宋" w:eastAsia="仿宋"/>
      </w:rPr>
      <w:t>浙江省成套工程有限公司                                           便携式GNSS干扰测向系统购置项目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tabs>
        <w:tab w:val="center" w:pos="4535"/>
        <w:tab w:val="right" w:pos="9070"/>
      </w:tabs>
      <w:overflowPunct w:val="0"/>
      <w:autoSpaceDE w:val="0"/>
      <w:autoSpaceDN w:val="0"/>
      <w:ind w:firstLine="180" w:firstLineChars="100"/>
      <w:jc w:val="center"/>
      <w:textAlignment w:val="baseline"/>
      <w:rPr>
        <w:rFonts w:ascii="仿宋" w:hAnsi="仿宋" w:eastAsia="仿宋"/>
        <w:color w:val="00B050"/>
        <w:sz w:val="18"/>
        <w:szCs w:val="18"/>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 xml:space="preserve">      </w:t>
    </w:r>
    <w:r>
      <w:rPr>
        <w:rFonts w:hint="eastAsia" w:ascii="仿宋" w:hAnsi="仿宋" w:eastAsia="仿宋"/>
        <w:color w:val="00B050"/>
        <w:sz w:val="18"/>
        <w:szCs w:val="18"/>
      </w:rP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eastAsia="仿宋"/>
      </w:rPr>
    </w:pPr>
    <w:r>
      <w:rPr>
        <w:rFonts w:hint="eastAsia" w:ascii="仿宋" w:hAnsi="仿宋" w:eastAsia="仿宋"/>
      </w:rPr>
      <w:t>浙江省成套工程有限公司                                                                                                   便携式GNSS干扰测向系统购置项目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ascii="仿宋" w:hAnsi="仿宋" w:eastAsia="仿宋"/>
      </w:rPr>
      <w:t>浙江省成套工程有限公司                                              众包智能化移动监测节点新建项目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A721C"/>
    <w:multiLevelType w:val="multilevel"/>
    <w:tmpl w:val="02FA721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BC2D48"/>
    <w:multiLevelType w:val="multilevel"/>
    <w:tmpl w:val="2ABC2D4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pStyle w:val="976"/>
      <w:lvlText w:val="%8)"/>
      <w:lvlJc w:val="left"/>
      <w:pPr>
        <w:ind w:left="3360" w:hanging="420"/>
      </w:pPr>
    </w:lvl>
    <w:lvl w:ilvl="8" w:tentative="0">
      <w:start w:val="1"/>
      <w:numFmt w:val="lowerRoman"/>
      <w:lvlText w:val="%9."/>
      <w:lvlJc w:val="right"/>
      <w:pPr>
        <w:ind w:left="3780" w:hanging="420"/>
      </w:pPr>
    </w:lvl>
  </w:abstractNum>
  <w:abstractNum w:abstractNumId="3">
    <w:nsid w:val="7AB95225"/>
    <w:multiLevelType w:val="singleLevel"/>
    <w:tmpl w:val="7AB95225"/>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YjRhN2ZiMzNiZDY5MTU1NGUyYTBjYzllMDkzZDUifQ=="/>
    <w:docVar w:name="KSO_WPS_MARK_KEY" w:val="a85d6516-91a3-4b0e-a98b-b455e3328d52"/>
  </w:docVars>
  <w:rsids>
    <w:rsidRoot w:val="00172A27"/>
    <w:rsid w:val="00000451"/>
    <w:rsid w:val="0000108B"/>
    <w:rsid w:val="0000133D"/>
    <w:rsid w:val="00001509"/>
    <w:rsid w:val="00001E3F"/>
    <w:rsid w:val="000032B2"/>
    <w:rsid w:val="0000363B"/>
    <w:rsid w:val="00004518"/>
    <w:rsid w:val="000058BD"/>
    <w:rsid w:val="00006109"/>
    <w:rsid w:val="00006150"/>
    <w:rsid w:val="000063E8"/>
    <w:rsid w:val="00006725"/>
    <w:rsid w:val="0000675E"/>
    <w:rsid w:val="000071E3"/>
    <w:rsid w:val="0000795D"/>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FC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502"/>
    <w:rsid w:val="00025776"/>
    <w:rsid w:val="000259F6"/>
    <w:rsid w:val="0002680D"/>
    <w:rsid w:val="00026EAC"/>
    <w:rsid w:val="000270F2"/>
    <w:rsid w:val="00027540"/>
    <w:rsid w:val="00027611"/>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9F2"/>
    <w:rsid w:val="000578A3"/>
    <w:rsid w:val="00057D4C"/>
    <w:rsid w:val="000604AD"/>
    <w:rsid w:val="00060C48"/>
    <w:rsid w:val="00061A3C"/>
    <w:rsid w:val="00061C48"/>
    <w:rsid w:val="000633E3"/>
    <w:rsid w:val="00064278"/>
    <w:rsid w:val="000646CA"/>
    <w:rsid w:val="000665C4"/>
    <w:rsid w:val="00066965"/>
    <w:rsid w:val="00067821"/>
    <w:rsid w:val="0006785E"/>
    <w:rsid w:val="00067AFB"/>
    <w:rsid w:val="00067F92"/>
    <w:rsid w:val="00067FA7"/>
    <w:rsid w:val="0007038E"/>
    <w:rsid w:val="0007077C"/>
    <w:rsid w:val="00070825"/>
    <w:rsid w:val="00071328"/>
    <w:rsid w:val="00071CD8"/>
    <w:rsid w:val="00071DB2"/>
    <w:rsid w:val="000727CD"/>
    <w:rsid w:val="00072AED"/>
    <w:rsid w:val="00072B56"/>
    <w:rsid w:val="00072D2B"/>
    <w:rsid w:val="00072D51"/>
    <w:rsid w:val="000730B1"/>
    <w:rsid w:val="00073860"/>
    <w:rsid w:val="000738EA"/>
    <w:rsid w:val="00073D90"/>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BB"/>
    <w:rsid w:val="000808C1"/>
    <w:rsid w:val="00080970"/>
    <w:rsid w:val="00081671"/>
    <w:rsid w:val="000816AF"/>
    <w:rsid w:val="00082AD4"/>
    <w:rsid w:val="00083E07"/>
    <w:rsid w:val="00084838"/>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A6B"/>
    <w:rsid w:val="00092FE9"/>
    <w:rsid w:val="000936BF"/>
    <w:rsid w:val="0009382F"/>
    <w:rsid w:val="00093A30"/>
    <w:rsid w:val="00093B37"/>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21"/>
    <w:rsid w:val="000B268D"/>
    <w:rsid w:val="000B291B"/>
    <w:rsid w:val="000B456C"/>
    <w:rsid w:val="000B45B9"/>
    <w:rsid w:val="000B4600"/>
    <w:rsid w:val="000B47CE"/>
    <w:rsid w:val="000B4B56"/>
    <w:rsid w:val="000B4C62"/>
    <w:rsid w:val="000B541D"/>
    <w:rsid w:val="000B54C1"/>
    <w:rsid w:val="000B5553"/>
    <w:rsid w:val="000B5FE8"/>
    <w:rsid w:val="000B666E"/>
    <w:rsid w:val="000B68A1"/>
    <w:rsid w:val="000C0A43"/>
    <w:rsid w:val="000C0CB1"/>
    <w:rsid w:val="000C1411"/>
    <w:rsid w:val="000C182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0C1"/>
    <w:rsid w:val="000D34C8"/>
    <w:rsid w:val="000D34FD"/>
    <w:rsid w:val="000D3BE5"/>
    <w:rsid w:val="000D3C37"/>
    <w:rsid w:val="000D3D7D"/>
    <w:rsid w:val="000D412C"/>
    <w:rsid w:val="000D453A"/>
    <w:rsid w:val="000D4AFA"/>
    <w:rsid w:val="000D5EA6"/>
    <w:rsid w:val="000D5F00"/>
    <w:rsid w:val="000D6C9F"/>
    <w:rsid w:val="000D6E3B"/>
    <w:rsid w:val="000D6F30"/>
    <w:rsid w:val="000D74E4"/>
    <w:rsid w:val="000D7C9D"/>
    <w:rsid w:val="000D7CE0"/>
    <w:rsid w:val="000E1441"/>
    <w:rsid w:val="000E2785"/>
    <w:rsid w:val="000E27BB"/>
    <w:rsid w:val="000E3153"/>
    <w:rsid w:val="000E3484"/>
    <w:rsid w:val="000E382C"/>
    <w:rsid w:val="000E386F"/>
    <w:rsid w:val="000E4051"/>
    <w:rsid w:val="000E4139"/>
    <w:rsid w:val="000E4765"/>
    <w:rsid w:val="000E5B51"/>
    <w:rsid w:val="000E5B7E"/>
    <w:rsid w:val="000E5FF9"/>
    <w:rsid w:val="000E696D"/>
    <w:rsid w:val="000E6AE1"/>
    <w:rsid w:val="000E7142"/>
    <w:rsid w:val="000E7632"/>
    <w:rsid w:val="000E7737"/>
    <w:rsid w:val="000E7739"/>
    <w:rsid w:val="000E77EE"/>
    <w:rsid w:val="000E7E90"/>
    <w:rsid w:val="000F1604"/>
    <w:rsid w:val="000F287A"/>
    <w:rsid w:val="000F2940"/>
    <w:rsid w:val="000F299A"/>
    <w:rsid w:val="000F2A07"/>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9F5"/>
    <w:rsid w:val="000F7BD9"/>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5A7"/>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9E"/>
    <w:rsid w:val="00124FC4"/>
    <w:rsid w:val="001253AB"/>
    <w:rsid w:val="0012574C"/>
    <w:rsid w:val="001259B8"/>
    <w:rsid w:val="001260BA"/>
    <w:rsid w:val="001264B9"/>
    <w:rsid w:val="0012693E"/>
    <w:rsid w:val="00126A3A"/>
    <w:rsid w:val="00127060"/>
    <w:rsid w:val="00127376"/>
    <w:rsid w:val="00127B83"/>
    <w:rsid w:val="0013116E"/>
    <w:rsid w:val="00131C2D"/>
    <w:rsid w:val="0013202C"/>
    <w:rsid w:val="00132217"/>
    <w:rsid w:val="00132704"/>
    <w:rsid w:val="00132CBF"/>
    <w:rsid w:val="00133707"/>
    <w:rsid w:val="00133742"/>
    <w:rsid w:val="00133B70"/>
    <w:rsid w:val="00133E97"/>
    <w:rsid w:val="001350F7"/>
    <w:rsid w:val="00135769"/>
    <w:rsid w:val="00135BE9"/>
    <w:rsid w:val="00135E5C"/>
    <w:rsid w:val="0013645B"/>
    <w:rsid w:val="00136762"/>
    <w:rsid w:val="00136E33"/>
    <w:rsid w:val="0013773D"/>
    <w:rsid w:val="0014042F"/>
    <w:rsid w:val="00140693"/>
    <w:rsid w:val="00140D7A"/>
    <w:rsid w:val="00141D28"/>
    <w:rsid w:val="00141DFE"/>
    <w:rsid w:val="00142185"/>
    <w:rsid w:val="001422E2"/>
    <w:rsid w:val="00142BB7"/>
    <w:rsid w:val="001433BC"/>
    <w:rsid w:val="00143872"/>
    <w:rsid w:val="00143A85"/>
    <w:rsid w:val="00144649"/>
    <w:rsid w:val="00144B65"/>
    <w:rsid w:val="00145022"/>
    <w:rsid w:val="0014540B"/>
    <w:rsid w:val="00145662"/>
    <w:rsid w:val="00145C6D"/>
    <w:rsid w:val="001460FC"/>
    <w:rsid w:val="00146151"/>
    <w:rsid w:val="00146326"/>
    <w:rsid w:val="00147032"/>
    <w:rsid w:val="00147EA7"/>
    <w:rsid w:val="00151820"/>
    <w:rsid w:val="00151B2F"/>
    <w:rsid w:val="001524DC"/>
    <w:rsid w:val="001525E5"/>
    <w:rsid w:val="001530D0"/>
    <w:rsid w:val="00153859"/>
    <w:rsid w:val="00153915"/>
    <w:rsid w:val="001539F0"/>
    <w:rsid w:val="001541F5"/>
    <w:rsid w:val="00154BBA"/>
    <w:rsid w:val="00155B95"/>
    <w:rsid w:val="001564B5"/>
    <w:rsid w:val="00156853"/>
    <w:rsid w:val="00157432"/>
    <w:rsid w:val="00157634"/>
    <w:rsid w:val="00160A84"/>
    <w:rsid w:val="00161185"/>
    <w:rsid w:val="001620BA"/>
    <w:rsid w:val="001623AC"/>
    <w:rsid w:val="00162BAA"/>
    <w:rsid w:val="00163C40"/>
    <w:rsid w:val="0016470A"/>
    <w:rsid w:val="0016488B"/>
    <w:rsid w:val="00164AA9"/>
    <w:rsid w:val="00165758"/>
    <w:rsid w:val="00165A65"/>
    <w:rsid w:val="00165E30"/>
    <w:rsid w:val="00166317"/>
    <w:rsid w:val="00167478"/>
    <w:rsid w:val="00167594"/>
    <w:rsid w:val="001702BE"/>
    <w:rsid w:val="001704B3"/>
    <w:rsid w:val="0017059C"/>
    <w:rsid w:val="00170F6E"/>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D9A"/>
    <w:rsid w:val="00176AA6"/>
    <w:rsid w:val="00177063"/>
    <w:rsid w:val="0017778F"/>
    <w:rsid w:val="00180A47"/>
    <w:rsid w:val="00181025"/>
    <w:rsid w:val="001827B7"/>
    <w:rsid w:val="001827EF"/>
    <w:rsid w:val="00182982"/>
    <w:rsid w:val="001829BC"/>
    <w:rsid w:val="00182D68"/>
    <w:rsid w:val="00183031"/>
    <w:rsid w:val="00183468"/>
    <w:rsid w:val="0018397E"/>
    <w:rsid w:val="00183B75"/>
    <w:rsid w:val="00184466"/>
    <w:rsid w:val="00184DBF"/>
    <w:rsid w:val="001852A8"/>
    <w:rsid w:val="0018620A"/>
    <w:rsid w:val="00186EB0"/>
    <w:rsid w:val="00187121"/>
    <w:rsid w:val="00187243"/>
    <w:rsid w:val="00187C29"/>
    <w:rsid w:val="00190754"/>
    <w:rsid w:val="00190782"/>
    <w:rsid w:val="00190942"/>
    <w:rsid w:val="001909A7"/>
    <w:rsid w:val="001909C3"/>
    <w:rsid w:val="00191459"/>
    <w:rsid w:val="00191603"/>
    <w:rsid w:val="0019173E"/>
    <w:rsid w:val="0019174E"/>
    <w:rsid w:val="0019196B"/>
    <w:rsid w:val="001919CE"/>
    <w:rsid w:val="001923D5"/>
    <w:rsid w:val="00192991"/>
    <w:rsid w:val="00192B3D"/>
    <w:rsid w:val="00193470"/>
    <w:rsid w:val="00193B94"/>
    <w:rsid w:val="001940A7"/>
    <w:rsid w:val="00194BB1"/>
    <w:rsid w:val="00194BC6"/>
    <w:rsid w:val="00194DE5"/>
    <w:rsid w:val="00195070"/>
    <w:rsid w:val="00195245"/>
    <w:rsid w:val="0019526D"/>
    <w:rsid w:val="0019553F"/>
    <w:rsid w:val="001956BE"/>
    <w:rsid w:val="00195DEA"/>
    <w:rsid w:val="0019602C"/>
    <w:rsid w:val="001969F2"/>
    <w:rsid w:val="00196CD6"/>
    <w:rsid w:val="001974C4"/>
    <w:rsid w:val="0019756A"/>
    <w:rsid w:val="001A06B5"/>
    <w:rsid w:val="001A07F8"/>
    <w:rsid w:val="001A0A23"/>
    <w:rsid w:val="001A0C98"/>
    <w:rsid w:val="001A128B"/>
    <w:rsid w:val="001A1475"/>
    <w:rsid w:val="001A1619"/>
    <w:rsid w:val="001A1F0E"/>
    <w:rsid w:val="001A30C8"/>
    <w:rsid w:val="001A3335"/>
    <w:rsid w:val="001A354A"/>
    <w:rsid w:val="001A473A"/>
    <w:rsid w:val="001A4977"/>
    <w:rsid w:val="001A4ED9"/>
    <w:rsid w:val="001A5785"/>
    <w:rsid w:val="001A5FD7"/>
    <w:rsid w:val="001A66A6"/>
    <w:rsid w:val="001A6BAF"/>
    <w:rsid w:val="001A6BBB"/>
    <w:rsid w:val="001A79A2"/>
    <w:rsid w:val="001A7F98"/>
    <w:rsid w:val="001B06A6"/>
    <w:rsid w:val="001B0886"/>
    <w:rsid w:val="001B13BF"/>
    <w:rsid w:val="001B16F5"/>
    <w:rsid w:val="001B1C1F"/>
    <w:rsid w:val="001B219B"/>
    <w:rsid w:val="001B2703"/>
    <w:rsid w:val="001B3DCD"/>
    <w:rsid w:val="001B45B9"/>
    <w:rsid w:val="001B46B2"/>
    <w:rsid w:val="001B4725"/>
    <w:rsid w:val="001B48B2"/>
    <w:rsid w:val="001B49DA"/>
    <w:rsid w:val="001B4A23"/>
    <w:rsid w:val="001B4CA8"/>
    <w:rsid w:val="001B4FE2"/>
    <w:rsid w:val="001B52A7"/>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9D8"/>
    <w:rsid w:val="001C5579"/>
    <w:rsid w:val="001C58C1"/>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CA3"/>
    <w:rsid w:val="001E2052"/>
    <w:rsid w:val="001E2492"/>
    <w:rsid w:val="001E257C"/>
    <w:rsid w:val="001E286C"/>
    <w:rsid w:val="001E2BE2"/>
    <w:rsid w:val="001E2F34"/>
    <w:rsid w:val="001E35EE"/>
    <w:rsid w:val="001E3EAF"/>
    <w:rsid w:val="001E4B2C"/>
    <w:rsid w:val="001E507F"/>
    <w:rsid w:val="001E56C2"/>
    <w:rsid w:val="001E59FB"/>
    <w:rsid w:val="001E7125"/>
    <w:rsid w:val="001E7F81"/>
    <w:rsid w:val="001F0FD1"/>
    <w:rsid w:val="001F11AD"/>
    <w:rsid w:val="001F1526"/>
    <w:rsid w:val="001F19D1"/>
    <w:rsid w:val="001F1CB9"/>
    <w:rsid w:val="001F1F18"/>
    <w:rsid w:val="001F27EF"/>
    <w:rsid w:val="001F2F92"/>
    <w:rsid w:val="001F456F"/>
    <w:rsid w:val="001F4F50"/>
    <w:rsid w:val="001F5DA1"/>
    <w:rsid w:val="001F612E"/>
    <w:rsid w:val="001F6A92"/>
    <w:rsid w:val="001F7326"/>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505"/>
    <w:rsid w:val="00206698"/>
    <w:rsid w:val="00206736"/>
    <w:rsid w:val="00206C88"/>
    <w:rsid w:val="00207596"/>
    <w:rsid w:val="00210B9C"/>
    <w:rsid w:val="00211185"/>
    <w:rsid w:val="00211A94"/>
    <w:rsid w:val="002126F2"/>
    <w:rsid w:val="0021278A"/>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E4"/>
    <w:rsid w:val="002213CE"/>
    <w:rsid w:val="00221AF7"/>
    <w:rsid w:val="00222494"/>
    <w:rsid w:val="00222775"/>
    <w:rsid w:val="00222A31"/>
    <w:rsid w:val="00222CF6"/>
    <w:rsid w:val="00224037"/>
    <w:rsid w:val="002244E4"/>
    <w:rsid w:val="002247FB"/>
    <w:rsid w:val="00224D2A"/>
    <w:rsid w:val="00224D8D"/>
    <w:rsid w:val="0022555A"/>
    <w:rsid w:val="00227214"/>
    <w:rsid w:val="00227D1C"/>
    <w:rsid w:val="00227DDC"/>
    <w:rsid w:val="0023079F"/>
    <w:rsid w:val="00231135"/>
    <w:rsid w:val="00231B0B"/>
    <w:rsid w:val="00231CA2"/>
    <w:rsid w:val="00232555"/>
    <w:rsid w:val="00232D4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1A5"/>
    <w:rsid w:val="0025151C"/>
    <w:rsid w:val="0025184F"/>
    <w:rsid w:val="00251967"/>
    <w:rsid w:val="002527CC"/>
    <w:rsid w:val="00252F48"/>
    <w:rsid w:val="002530C0"/>
    <w:rsid w:val="00253586"/>
    <w:rsid w:val="002537C6"/>
    <w:rsid w:val="002537FC"/>
    <w:rsid w:val="002542F8"/>
    <w:rsid w:val="002543EF"/>
    <w:rsid w:val="00254F2A"/>
    <w:rsid w:val="00255784"/>
    <w:rsid w:val="00255A29"/>
    <w:rsid w:val="0025631F"/>
    <w:rsid w:val="00256986"/>
    <w:rsid w:val="00256D61"/>
    <w:rsid w:val="00256E23"/>
    <w:rsid w:val="00257246"/>
    <w:rsid w:val="00257438"/>
    <w:rsid w:val="00260503"/>
    <w:rsid w:val="0026119C"/>
    <w:rsid w:val="00261AFE"/>
    <w:rsid w:val="00261E58"/>
    <w:rsid w:val="0026212A"/>
    <w:rsid w:val="002621D7"/>
    <w:rsid w:val="00262996"/>
    <w:rsid w:val="00263044"/>
    <w:rsid w:val="002630CB"/>
    <w:rsid w:val="00263102"/>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4FA"/>
    <w:rsid w:val="00277196"/>
    <w:rsid w:val="002775ED"/>
    <w:rsid w:val="002778AB"/>
    <w:rsid w:val="002802A5"/>
    <w:rsid w:val="00280CFB"/>
    <w:rsid w:val="00280D24"/>
    <w:rsid w:val="002814CC"/>
    <w:rsid w:val="002815C4"/>
    <w:rsid w:val="00281BCB"/>
    <w:rsid w:val="00281C76"/>
    <w:rsid w:val="0028316D"/>
    <w:rsid w:val="00283296"/>
    <w:rsid w:val="0028527E"/>
    <w:rsid w:val="002853FC"/>
    <w:rsid w:val="0028583E"/>
    <w:rsid w:val="00285853"/>
    <w:rsid w:val="00285B1A"/>
    <w:rsid w:val="00285FF3"/>
    <w:rsid w:val="002866EC"/>
    <w:rsid w:val="0028744E"/>
    <w:rsid w:val="002876D2"/>
    <w:rsid w:val="00287936"/>
    <w:rsid w:val="00287BB7"/>
    <w:rsid w:val="002903C5"/>
    <w:rsid w:val="0029041B"/>
    <w:rsid w:val="00290A99"/>
    <w:rsid w:val="00290EAF"/>
    <w:rsid w:val="00291057"/>
    <w:rsid w:val="0029159A"/>
    <w:rsid w:val="00291CF1"/>
    <w:rsid w:val="00292AA1"/>
    <w:rsid w:val="00294012"/>
    <w:rsid w:val="002942FB"/>
    <w:rsid w:val="002945B0"/>
    <w:rsid w:val="0029499D"/>
    <w:rsid w:val="00294A13"/>
    <w:rsid w:val="00294B10"/>
    <w:rsid w:val="00294DF9"/>
    <w:rsid w:val="00295073"/>
    <w:rsid w:val="00295468"/>
    <w:rsid w:val="00295FEB"/>
    <w:rsid w:val="00296C32"/>
    <w:rsid w:val="002977CE"/>
    <w:rsid w:val="00297AF5"/>
    <w:rsid w:val="002A017D"/>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04"/>
    <w:rsid w:val="002A70AD"/>
    <w:rsid w:val="002A7748"/>
    <w:rsid w:val="002A7C1D"/>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7F"/>
    <w:rsid w:val="002C1AB3"/>
    <w:rsid w:val="002C1BB7"/>
    <w:rsid w:val="002C1FB3"/>
    <w:rsid w:val="002C2665"/>
    <w:rsid w:val="002C28E1"/>
    <w:rsid w:val="002C327D"/>
    <w:rsid w:val="002C3890"/>
    <w:rsid w:val="002C3AD9"/>
    <w:rsid w:val="002C4286"/>
    <w:rsid w:val="002C43FC"/>
    <w:rsid w:val="002C45C3"/>
    <w:rsid w:val="002C483B"/>
    <w:rsid w:val="002C4DFE"/>
    <w:rsid w:val="002C4EA1"/>
    <w:rsid w:val="002C519E"/>
    <w:rsid w:val="002C5976"/>
    <w:rsid w:val="002C5D5E"/>
    <w:rsid w:val="002C6116"/>
    <w:rsid w:val="002C643D"/>
    <w:rsid w:val="002C66B8"/>
    <w:rsid w:val="002C70E7"/>
    <w:rsid w:val="002D0081"/>
    <w:rsid w:val="002D0C27"/>
    <w:rsid w:val="002D0E88"/>
    <w:rsid w:val="002D0EA7"/>
    <w:rsid w:val="002D0F31"/>
    <w:rsid w:val="002D1593"/>
    <w:rsid w:val="002D1A1E"/>
    <w:rsid w:val="002D1C1C"/>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F1"/>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FFB"/>
    <w:rsid w:val="002E7EC1"/>
    <w:rsid w:val="002E7EE5"/>
    <w:rsid w:val="002F0323"/>
    <w:rsid w:val="002F0DFB"/>
    <w:rsid w:val="002F134F"/>
    <w:rsid w:val="002F1D0B"/>
    <w:rsid w:val="002F1E1D"/>
    <w:rsid w:val="002F1F02"/>
    <w:rsid w:val="002F27E5"/>
    <w:rsid w:val="002F2D81"/>
    <w:rsid w:val="002F2F66"/>
    <w:rsid w:val="002F37D0"/>
    <w:rsid w:val="002F39D4"/>
    <w:rsid w:val="002F3AE9"/>
    <w:rsid w:val="002F4BA9"/>
    <w:rsid w:val="002F541B"/>
    <w:rsid w:val="002F5BFE"/>
    <w:rsid w:val="002F5DA5"/>
    <w:rsid w:val="002F5E17"/>
    <w:rsid w:val="002F647C"/>
    <w:rsid w:val="002F6C6B"/>
    <w:rsid w:val="002F6CB0"/>
    <w:rsid w:val="002F6EFF"/>
    <w:rsid w:val="002F7DF0"/>
    <w:rsid w:val="002F7FAF"/>
    <w:rsid w:val="00300573"/>
    <w:rsid w:val="00300D06"/>
    <w:rsid w:val="0030229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A44"/>
    <w:rsid w:val="00324B2F"/>
    <w:rsid w:val="00325FCC"/>
    <w:rsid w:val="00326106"/>
    <w:rsid w:val="00326805"/>
    <w:rsid w:val="003269B7"/>
    <w:rsid w:val="00326C0E"/>
    <w:rsid w:val="003272A3"/>
    <w:rsid w:val="003272E4"/>
    <w:rsid w:val="00327B71"/>
    <w:rsid w:val="00331461"/>
    <w:rsid w:val="003316A8"/>
    <w:rsid w:val="00331B65"/>
    <w:rsid w:val="00331BD9"/>
    <w:rsid w:val="00331C80"/>
    <w:rsid w:val="00331CC9"/>
    <w:rsid w:val="003320D7"/>
    <w:rsid w:val="00332265"/>
    <w:rsid w:val="00332862"/>
    <w:rsid w:val="00332D52"/>
    <w:rsid w:val="00333337"/>
    <w:rsid w:val="003336B8"/>
    <w:rsid w:val="00333A28"/>
    <w:rsid w:val="00333B6C"/>
    <w:rsid w:val="00334927"/>
    <w:rsid w:val="003360AD"/>
    <w:rsid w:val="0033631D"/>
    <w:rsid w:val="003369C7"/>
    <w:rsid w:val="003373A6"/>
    <w:rsid w:val="00337409"/>
    <w:rsid w:val="00337E18"/>
    <w:rsid w:val="00337F16"/>
    <w:rsid w:val="003405AF"/>
    <w:rsid w:val="0034088F"/>
    <w:rsid w:val="00340B3E"/>
    <w:rsid w:val="00340B6D"/>
    <w:rsid w:val="003413D2"/>
    <w:rsid w:val="00341525"/>
    <w:rsid w:val="0034257E"/>
    <w:rsid w:val="003429A1"/>
    <w:rsid w:val="003429FC"/>
    <w:rsid w:val="00343079"/>
    <w:rsid w:val="00343127"/>
    <w:rsid w:val="00343320"/>
    <w:rsid w:val="00344066"/>
    <w:rsid w:val="00344BBF"/>
    <w:rsid w:val="0034509B"/>
    <w:rsid w:val="0034514F"/>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E1"/>
    <w:rsid w:val="0035455F"/>
    <w:rsid w:val="00354A88"/>
    <w:rsid w:val="00355D75"/>
    <w:rsid w:val="00355D8F"/>
    <w:rsid w:val="00356A73"/>
    <w:rsid w:val="00356FF0"/>
    <w:rsid w:val="003577EF"/>
    <w:rsid w:val="00357A60"/>
    <w:rsid w:val="00360304"/>
    <w:rsid w:val="00360A78"/>
    <w:rsid w:val="003611D0"/>
    <w:rsid w:val="00361750"/>
    <w:rsid w:val="003629CC"/>
    <w:rsid w:val="00363894"/>
    <w:rsid w:val="00363B2A"/>
    <w:rsid w:val="00363BF1"/>
    <w:rsid w:val="003655B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03A"/>
    <w:rsid w:val="003735B9"/>
    <w:rsid w:val="00373634"/>
    <w:rsid w:val="00374677"/>
    <w:rsid w:val="0037510C"/>
    <w:rsid w:val="00375850"/>
    <w:rsid w:val="00375B28"/>
    <w:rsid w:val="00375D4C"/>
    <w:rsid w:val="0037632F"/>
    <w:rsid w:val="00377B26"/>
    <w:rsid w:val="00381014"/>
    <w:rsid w:val="00381604"/>
    <w:rsid w:val="00381C68"/>
    <w:rsid w:val="00381F60"/>
    <w:rsid w:val="00383204"/>
    <w:rsid w:val="00383AB0"/>
    <w:rsid w:val="003847BB"/>
    <w:rsid w:val="00384814"/>
    <w:rsid w:val="00384C0A"/>
    <w:rsid w:val="00385B16"/>
    <w:rsid w:val="00385B96"/>
    <w:rsid w:val="00385F9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A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2D9"/>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2A1"/>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AF1"/>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92"/>
    <w:rsid w:val="003E2CC5"/>
    <w:rsid w:val="003E336A"/>
    <w:rsid w:val="003E3E2F"/>
    <w:rsid w:val="003E4048"/>
    <w:rsid w:val="003E4CE5"/>
    <w:rsid w:val="003E51FF"/>
    <w:rsid w:val="003E604C"/>
    <w:rsid w:val="003E60DA"/>
    <w:rsid w:val="003E6CA4"/>
    <w:rsid w:val="003E6E00"/>
    <w:rsid w:val="003E7111"/>
    <w:rsid w:val="003E713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AAA"/>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7B4"/>
    <w:rsid w:val="00406B32"/>
    <w:rsid w:val="004074FA"/>
    <w:rsid w:val="00407A56"/>
    <w:rsid w:val="00407E6A"/>
    <w:rsid w:val="00407FB7"/>
    <w:rsid w:val="00407FCC"/>
    <w:rsid w:val="00410160"/>
    <w:rsid w:val="0041035A"/>
    <w:rsid w:val="004108D4"/>
    <w:rsid w:val="00410E76"/>
    <w:rsid w:val="004112D1"/>
    <w:rsid w:val="004113C9"/>
    <w:rsid w:val="00411A7E"/>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3BC"/>
    <w:rsid w:val="00421762"/>
    <w:rsid w:val="00421D4B"/>
    <w:rsid w:val="00421ED8"/>
    <w:rsid w:val="00422230"/>
    <w:rsid w:val="00422907"/>
    <w:rsid w:val="00423125"/>
    <w:rsid w:val="00423309"/>
    <w:rsid w:val="004233AD"/>
    <w:rsid w:val="00423F54"/>
    <w:rsid w:val="00424446"/>
    <w:rsid w:val="00424867"/>
    <w:rsid w:val="00424AF1"/>
    <w:rsid w:val="004250A2"/>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5C80"/>
    <w:rsid w:val="00436CCE"/>
    <w:rsid w:val="00436EAD"/>
    <w:rsid w:val="004375E1"/>
    <w:rsid w:val="00437A2F"/>
    <w:rsid w:val="00437B7A"/>
    <w:rsid w:val="00440262"/>
    <w:rsid w:val="004406BF"/>
    <w:rsid w:val="00440814"/>
    <w:rsid w:val="004408AE"/>
    <w:rsid w:val="0044105D"/>
    <w:rsid w:val="00441424"/>
    <w:rsid w:val="00442731"/>
    <w:rsid w:val="00442963"/>
    <w:rsid w:val="00442A2B"/>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957"/>
    <w:rsid w:val="00455967"/>
    <w:rsid w:val="00455BDB"/>
    <w:rsid w:val="00455F71"/>
    <w:rsid w:val="00456272"/>
    <w:rsid w:val="004570EF"/>
    <w:rsid w:val="00457517"/>
    <w:rsid w:val="00457CF7"/>
    <w:rsid w:val="00457D37"/>
    <w:rsid w:val="004601A3"/>
    <w:rsid w:val="0046028A"/>
    <w:rsid w:val="00460E3A"/>
    <w:rsid w:val="00460E68"/>
    <w:rsid w:val="004614BC"/>
    <w:rsid w:val="004619A5"/>
    <w:rsid w:val="00461F80"/>
    <w:rsid w:val="0046240D"/>
    <w:rsid w:val="00462898"/>
    <w:rsid w:val="004628CE"/>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84"/>
    <w:rsid w:val="004708AC"/>
    <w:rsid w:val="00470B42"/>
    <w:rsid w:val="00471387"/>
    <w:rsid w:val="0047146C"/>
    <w:rsid w:val="0047149F"/>
    <w:rsid w:val="00471963"/>
    <w:rsid w:val="004724B8"/>
    <w:rsid w:val="004726FD"/>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081"/>
    <w:rsid w:val="0048055E"/>
    <w:rsid w:val="00480C2B"/>
    <w:rsid w:val="00480DC5"/>
    <w:rsid w:val="00480FD9"/>
    <w:rsid w:val="0048131D"/>
    <w:rsid w:val="00481D0B"/>
    <w:rsid w:val="004824A9"/>
    <w:rsid w:val="00483091"/>
    <w:rsid w:val="00483140"/>
    <w:rsid w:val="00483382"/>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228"/>
    <w:rsid w:val="0049570D"/>
    <w:rsid w:val="00495C27"/>
    <w:rsid w:val="00495C48"/>
    <w:rsid w:val="00495DC6"/>
    <w:rsid w:val="00496CCE"/>
    <w:rsid w:val="0049735B"/>
    <w:rsid w:val="004978C1"/>
    <w:rsid w:val="00497AAD"/>
    <w:rsid w:val="00497BD7"/>
    <w:rsid w:val="00497D1A"/>
    <w:rsid w:val="00497F2B"/>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208"/>
    <w:rsid w:val="004B4EA9"/>
    <w:rsid w:val="004B5C96"/>
    <w:rsid w:val="004B6124"/>
    <w:rsid w:val="004B6E50"/>
    <w:rsid w:val="004B728F"/>
    <w:rsid w:val="004B7317"/>
    <w:rsid w:val="004B75B2"/>
    <w:rsid w:val="004B75C6"/>
    <w:rsid w:val="004C02C5"/>
    <w:rsid w:val="004C0BF0"/>
    <w:rsid w:val="004C0D40"/>
    <w:rsid w:val="004C0FC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5ED"/>
    <w:rsid w:val="004D6BF2"/>
    <w:rsid w:val="004D6F29"/>
    <w:rsid w:val="004D7BF5"/>
    <w:rsid w:val="004D7F9C"/>
    <w:rsid w:val="004E03F4"/>
    <w:rsid w:val="004E068F"/>
    <w:rsid w:val="004E0860"/>
    <w:rsid w:val="004E09CF"/>
    <w:rsid w:val="004E0B75"/>
    <w:rsid w:val="004E0C29"/>
    <w:rsid w:val="004E0DC4"/>
    <w:rsid w:val="004E109C"/>
    <w:rsid w:val="004E1611"/>
    <w:rsid w:val="004E1A7B"/>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10F"/>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112"/>
    <w:rsid w:val="00512217"/>
    <w:rsid w:val="00512459"/>
    <w:rsid w:val="00512DD1"/>
    <w:rsid w:val="005131A2"/>
    <w:rsid w:val="005137E4"/>
    <w:rsid w:val="00513BB9"/>
    <w:rsid w:val="0051440E"/>
    <w:rsid w:val="00514480"/>
    <w:rsid w:val="005148CD"/>
    <w:rsid w:val="00515180"/>
    <w:rsid w:val="00515973"/>
    <w:rsid w:val="00516069"/>
    <w:rsid w:val="0051725F"/>
    <w:rsid w:val="00517AC8"/>
    <w:rsid w:val="00517C3E"/>
    <w:rsid w:val="005207D8"/>
    <w:rsid w:val="0052091D"/>
    <w:rsid w:val="00521178"/>
    <w:rsid w:val="005212F4"/>
    <w:rsid w:val="00521908"/>
    <w:rsid w:val="00521C61"/>
    <w:rsid w:val="005224BC"/>
    <w:rsid w:val="00522928"/>
    <w:rsid w:val="00522D20"/>
    <w:rsid w:val="00522FF1"/>
    <w:rsid w:val="005235D8"/>
    <w:rsid w:val="00523946"/>
    <w:rsid w:val="0052397A"/>
    <w:rsid w:val="005256D6"/>
    <w:rsid w:val="00525AD8"/>
    <w:rsid w:val="005260E2"/>
    <w:rsid w:val="00526429"/>
    <w:rsid w:val="005266C1"/>
    <w:rsid w:val="005267F4"/>
    <w:rsid w:val="005269D3"/>
    <w:rsid w:val="00527317"/>
    <w:rsid w:val="00527ED6"/>
    <w:rsid w:val="0053024F"/>
    <w:rsid w:val="00530F01"/>
    <w:rsid w:val="00531064"/>
    <w:rsid w:val="005312CB"/>
    <w:rsid w:val="005313B2"/>
    <w:rsid w:val="005314BC"/>
    <w:rsid w:val="00531911"/>
    <w:rsid w:val="00531B73"/>
    <w:rsid w:val="00531E92"/>
    <w:rsid w:val="005324D7"/>
    <w:rsid w:val="005326F0"/>
    <w:rsid w:val="00532764"/>
    <w:rsid w:val="00532AA5"/>
    <w:rsid w:val="00532C5F"/>
    <w:rsid w:val="00533233"/>
    <w:rsid w:val="005335A2"/>
    <w:rsid w:val="00533D13"/>
    <w:rsid w:val="00533DEC"/>
    <w:rsid w:val="00534026"/>
    <w:rsid w:val="005344A1"/>
    <w:rsid w:val="00534D55"/>
    <w:rsid w:val="00535B53"/>
    <w:rsid w:val="00536B03"/>
    <w:rsid w:val="00537456"/>
    <w:rsid w:val="0053790C"/>
    <w:rsid w:val="00537B3D"/>
    <w:rsid w:val="00540401"/>
    <w:rsid w:val="005405B2"/>
    <w:rsid w:val="0054076A"/>
    <w:rsid w:val="00540BBA"/>
    <w:rsid w:val="00540D47"/>
    <w:rsid w:val="00540E71"/>
    <w:rsid w:val="00540EE7"/>
    <w:rsid w:val="005414CA"/>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D91"/>
    <w:rsid w:val="00553F91"/>
    <w:rsid w:val="00554007"/>
    <w:rsid w:val="00554C03"/>
    <w:rsid w:val="00554C58"/>
    <w:rsid w:val="00554D5D"/>
    <w:rsid w:val="005550F9"/>
    <w:rsid w:val="00556338"/>
    <w:rsid w:val="00556441"/>
    <w:rsid w:val="005565D5"/>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7B3"/>
    <w:rsid w:val="0057200B"/>
    <w:rsid w:val="00572297"/>
    <w:rsid w:val="00572C60"/>
    <w:rsid w:val="0057345D"/>
    <w:rsid w:val="0057347D"/>
    <w:rsid w:val="00573560"/>
    <w:rsid w:val="00574E7B"/>
    <w:rsid w:val="00574F36"/>
    <w:rsid w:val="00576B5C"/>
    <w:rsid w:val="005770CC"/>
    <w:rsid w:val="005802F9"/>
    <w:rsid w:val="005806D5"/>
    <w:rsid w:val="00580DFC"/>
    <w:rsid w:val="00581242"/>
    <w:rsid w:val="0058134C"/>
    <w:rsid w:val="005815CD"/>
    <w:rsid w:val="00581AA8"/>
    <w:rsid w:val="00581D39"/>
    <w:rsid w:val="00582258"/>
    <w:rsid w:val="005827A7"/>
    <w:rsid w:val="00583D43"/>
    <w:rsid w:val="005846C3"/>
    <w:rsid w:val="00584F04"/>
    <w:rsid w:val="0058544C"/>
    <w:rsid w:val="00585623"/>
    <w:rsid w:val="005857F7"/>
    <w:rsid w:val="00586257"/>
    <w:rsid w:val="005865E9"/>
    <w:rsid w:val="005868FD"/>
    <w:rsid w:val="00587D7B"/>
    <w:rsid w:val="005904DB"/>
    <w:rsid w:val="005905ED"/>
    <w:rsid w:val="00590D11"/>
    <w:rsid w:val="00591BA6"/>
    <w:rsid w:val="00591F0E"/>
    <w:rsid w:val="00592825"/>
    <w:rsid w:val="00594437"/>
    <w:rsid w:val="00594B70"/>
    <w:rsid w:val="00596CFA"/>
    <w:rsid w:val="00596EC6"/>
    <w:rsid w:val="005975CE"/>
    <w:rsid w:val="005977C6"/>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1D9"/>
    <w:rsid w:val="005B03B1"/>
    <w:rsid w:val="005B07D5"/>
    <w:rsid w:val="005B1A8A"/>
    <w:rsid w:val="005B1AAB"/>
    <w:rsid w:val="005B2578"/>
    <w:rsid w:val="005B2626"/>
    <w:rsid w:val="005B2930"/>
    <w:rsid w:val="005B2B87"/>
    <w:rsid w:val="005B2FAA"/>
    <w:rsid w:val="005B33C8"/>
    <w:rsid w:val="005B387B"/>
    <w:rsid w:val="005B3B01"/>
    <w:rsid w:val="005B3E08"/>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D5D"/>
    <w:rsid w:val="005C6FD0"/>
    <w:rsid w:val="005D01C3"/>
    <w:rsid w:val="005D02C9"/>
    <w:rsid w:val="005D05FF"/>
    <w:rsid w:val="005D0FB4"/>
    <w:rsid w:val="005D1176"/>
    <w:rsid w:val="005D1747"/>
    <w:rsid w:val="005D266D"/>
    <w:rsid w:val="005D306D"/>
    <w:rsid w:val="005D3327"/>
    <w:rsid w:val="005D4854"/>
    <w:rsid w:val="005D4C54"/>
    <w:rsid w:val="005D5BCF"/>
    <w:rsid w:val="005D65BF"/>
    <w:rsid w:val="005D6D84"/>
    <w:rsid w:val="005D70A1"/>
    <w:rsid w:val="005D79F2"/>
    <w:rsid w:val="005D7CB1"/>
    <w:rsid w:val="005D7EA5"/>
    <w:rsid w:val="005D7F57"/>
    <w:rsid w:val="005E0067"/>
    <w:rsid w:val="005E0141"/>
    <w:rsid w:val="005E09CA"/>
    <w:rsid w:val="005E1AB4"/>
    <w:rsid w:val="005E255B"/>
    <w:rsid w:val="005E2CF7"/>
    <w:rsid w:val="005E37FD"/>
    <w:rsid w:val="005E408F"/>
    <w:rsid w:val="005E4543"/>
    <w:rsid w:val="005E4A1C"/>
    <w:rsid w:val="005E56C9"/>
    <w:rsid w:val="005E5CF7"/>
    <w:rsid w:val="005E5FF0"/>
    <w:rsid w:val="005E642A"/>
    <w:rsid w:val="005E65A7"/>
    <w:rsid w:val="005E6A54"/>
    <w:rsid w:val="005E721E"/>
    <w:rsid w:val="005E7D1E"/>
    <w:rsid w:val="005F0857"/>
    <w:rsid w:val="005F1008"/>
    <w:rsid w:val="005F1470"/>
    <w:rsid w:val="005F15A9"/>
    <w:rsid w:val="005F2807"/>
    <w:rsid w:val="005F2872"/>
    <w:rsid w:val="005F2CD5"/>
    <w:rsid w:val="005F3382"/>
    <w:rsid w:val="005F3720"/>
    <w:rsid w:val="005F3949"/>
    <w:rsid w:val="005F45DF"/>
    <w:rsid w:val="005F4BD6"/>
    <w:rsid w:val="005F4F00"/>
    <w:rsid w:val="005F5506"/>
    <w:rsid w:val="005F5A0D"/>
    <w:rsid w:val="005F60DF"/>
    <w:rsid w:val="005F615B"/>
    <w:rsid w:val="005F61DF"/>
    <w:rsid w:val="005F66C9"/>
    <w:rsid w:val="005F680A"/>
    <w:rsid w:val="005F6880"/>
    <w:rsid w:val="005F6B3E"/>
    <w:rsid w:val="005F6ED2"/>
    <w:rsid w:val="005F745B"/>
    <w:rsid w:val="005F77F8"/>
    <w:rsid w:val="005F7CA8"/>
    <w:rsid w:val="00600DE1"/>
    <w:rsid w:val="00601506"/>
    <w:rsid w:val="00601596"/>
    <w:rsid w:val="00601718"/>
    <w:rsid w:val="006018AC"/>
    <w:rsid w:val="00601C92"/>
    <w:rsid w:val="00601F66"/>
    <w:rsid w:val="0060200D"/>
    <w:rsid w:val="00602764"/>
    <w:rsid w:val="00602B29"/>
    <w:rsid w:val="00602DAD"/>
    <w:rsid w:val="00603373"/>
    <w:rsid w:val="006036D0"/>
    <w:rsid w:val="00603B1C"/>
    <w:rsid w:val="006042CD"/>
    <w:rsid w:val="00605211"/>
    <w:rsid w:val="00605217"/>
    <w:rsid w:val="006054A5"/>
    <w:rsid w:val="006059E4"/>
    <w:rsid w:val="00605D60"/>
    <w:rsid w:val="006062A0"/>
    <w:rsid w:val="00607015"/>
    <w:rsid w:val="0061098D"/>
    <w:rsid w:val="00610B78"/>
    <w:rsid w:val="006113FA"/>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3E5"/>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ACB"/>
    <w:rsid w:val="00636CC7"/>
    <w:rsid w:val="00637F27"/>
    <w:rsid w:val="006405EC"/>
    <w:rsid w:val="00640A4D"/>
    <w:rsid w:val="006418F2"/>
    <w:rsid w:val="00641A84"/>
    <w:rsid w:val="00641B05"/>
    <w:rsid w:val="00641DA1"/>
    <w:rsid w:val="00641E5B"/>
    <w:rsid w:val="00642C69"/>
    <w:rsid w:val="0064330A"/>
    <w:rsid w:val="006437EA"/>
    <w:rsid w:val="00643C44"/>
    <w:rsid w:val="00643F89"/>
    <w:rsid w:val="00644334"/>
    <w:rsid w:val="0064487C"/>
    <w:rsid w:val="00644BED"/>
    <w:rsid w:val="00644E2E"/>
    <w:rsid w:val="00645A3A"/>
    <w:rsid w:val="00645B87"/>
    <w:rsid w:val="00645CB4"/>
    <w:rsid w:val="00646084"/>
    <w:rsid w:val="006468ED"/>
    <w:rsid w:val="00647664"/>
    <w:rsid w:val="00647A62"/>
    <w:rsid w:val="00650A96"/>
    <w:rsid w:val="00650D19"/>
    <w:rsid w:val="00651248"/>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5F4"/>
    <w:rsid w:val="006576BA"/>
    <w:rsid w:val="006600BF"/>
    <w:rsid w:val="00660AF7"/>
    <w:rsid w:val="00660D3E"/>
    <w:rsid w:val="00661691"/>
    <w:rsid w:val="00662D3D"/>
    <w:rsid w:val="00662F1F"/>
    <w:rsid w:val="00663D15"/>
    <w:rsid w:val="00665030"/>
    <w:rsid w:val="00665670"/>
    <w:rsid w:val="006659EA"/>
    <w:rsid w:val="00666109"/>
    <w:rsid w:val="006661E8"/>
    <w:rsid w:val="00666424"/>
    <w:rsid w:val="0066676C"/>
    <w:rsid w:val="00666A36"/>
    <w:rsid w:val="006673B9"/>
    <w:rsid w:val="0066790C"/>
    <w:rsid w:val="00667FF0"/>
    <w:rsid w:val="00670C7C"/>
    <w:rsid w:val="00671480"/>
    <w:rsid w:val="006717E7"/>
    <w:rsid w:val="00671FD5"/>
    <w:rsid w:val="006720BC"/>
    <w:rsid w:val="00672906"/>
    <w:rsid w:val="00672C73"/>
    <w:rsid w:val="00673B64"/>
    <w:rsid w:val="006749D4"/>
    <w:rsid w:val="006753AC"/>
    <w:rsid w:val="00675430"/>
    <w:rsid w:val="006755F0"/>
    <w:rsid w:val="00675749"/>
    <w:rsid w:val="006759FE"/>
    <w:rsid w:val="00677382"/>
    <w:rsid w:val="0067772D"/>
    <w:rsid w:val="00677991"/>
    <w:rsid w:val="00677AD2"/>
    <w:rsid w:val="00677E87"/>
    <w:rsid w:val="00680326"/>
    <w:rsid w:val="00680714"/>
    <w:rsid w:val="0068071D"/>
    <w:rsid w:val="00680C6B"/>
    <w:rsid w:val="00680F0F"/>
    <w:rsid w:val="006811F3"/>
    <w:rsid w:val="00681240"/>
    <w:rsid w:val="00681E43"/>
    <w:rsid w:val="00683068"/>
    <w:rsid w:val="00683DAD"/>
    <w:rsid w:val="00684592"/>
    <w:rsid w:val="00684963"/>
    <w:rsid w:val="00685033"/>
    <w:rsid w:val="0068517F"/>
    <w:rsid w:val="00685AA8"/>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850"/>
    <w:rsid w:val="006B7F74"/>
    <w:rsid w:val="006C0230"/>
    <w:rsid w:val="006C05C7"/>
    <w:rsid w:val="006C1C77"/>
    <w:rsid w:val="006C25AB"/>
    <w:rsid w:val="006C2DA6"/>
    <w:rsid w:val="006C3581"/>
    <w:rsid w:val="006C39A0"/>
    <w:rsid w:val="006C3EFE"/>
    <w:rsid w:val="006C46C7"/>
    <w:rsid w:val="006C4767"/>
    <w:rsid w:val="006C4A1A"/>
    <w:rsid w:val="006C4D02"/>
    <w:rsid w:val="006C53A4"/>
    <w:rsid w:val="006C54DF"/>
    <w:rsid w:val="006C5A5D"/>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B6F"/>
    <w:rsid w:val="006D2F72"/>
    <w:rsid w:val="006D4320"/>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7D5"/>
    <w:rsid w:val="006F49D2"/>
    <w:rsid w:val="006F5813"/>
    <w:rsid w:val="006F59A8"/>
    <w:rsid w:val="006F5A1D"/>
    <w:rsid w:val="006F693B"/>
    <w:rsid w:val="006F71A6"/>
    <w:rsid w:val="006F7974"/>
    <w:rsid w:val="006F7C2C"/>
    <w:rsid w:val="006F7FD5"/>
    <w:rsid w:val="00700405"/>
    <w:rsid w:val="00700D18"/>
    <w:rsid w:val="0070168D"/>
    <w:rsid w:val="00701C36"/>
    <w:rsid w:val="00702F2D"/>
    <w:rsid w:val="0070353F"/>
    <w:rsid w:val="0070415E"/>
    <w:rsid w:val="00704631"/>
    <w:rsid w:val="0070499D"/>
    <w:rsid w:val="00704B79"/>
    <w:rsid w:val="00704E7D"/>
    <w:rsid w:val="00705060"/>
    <w:rsid w:val="00705351"/>
    <w:rsid w:val="00705619"/>
    <w:rsid w:val="00705E93"/>
    <w:rsid w:val="007062AF"/>
    <w:rsid w:val="00706637"/>
    <w:rsid w:val="007069AE"/>
    <w:rsid w:val="007069D4"/>
    <w:rsid w:val="00706C89"/>
    <w:rsid w:val="00707129"/>
    <w:rsid w:val="00707967"/>
    <w:rsid w:val="00710257"/>
    <w:rsid w:val="00710587"/>
    <w:rsid w:val="007107D5"/>
    <w:rsid w:val="007119DC"/>
    <w:rsid w:val="00711CC7"/>
    <w:rsid w:val="0071230A"/>
    <w:rsid w:val="0071294A"/>
    <w:rsid w:val="00712BDD"/>
    <w:rsid w:val="00712E1E"/>
    <w:rsid w:val="00712F37"/>
    <w:rsid w:val="007136FC"/>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EA0"/>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3E5"/>
    <w:rsid w:val="00734932"/>
    <w:rsid w:val="00735B6C"/>
    <w:rsid w:val="00735D53"/>
    <w:rsid w:val="0073618A"/>
    <w:rsid w:val="007364A3"/>
    <w:rsid w:val="00736740"/>
    <w:rsid w:val="007378FD"/>
    <w:rsid w:val="007403FE"/>
    <w:rsid w:val="007413EB"/>
    <w:rsid w:val="007413FB"/>
    <w:rsid w:val="00742D32"/>
    <w:rsid w:val="00742E9B"/>
    <w:rsid w:val="007442CA"/>
    <w:rsid w:val="007444E6"/>
    <w:rsid w:val="0074592C"/>
    <w:rsid w:val="00745C91"/>
    <w:rsid w:val="00746098"/>
    <w:rsid w:val="0074634A"/>
    <w:rsid w:val="00746814"/>
    <w:rsid w:val="00746D58"/>
    <w:rsid w:val="00746F2B"/>
    <w:rsid w:val="00747578"/>
    <w:rsid w:val="00747F4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EF4"/>
    <w:rsid w:val="00757029"/>
    <w:rsid w:val="007571FD"/>
    <w:rsid w:val="0075723D"/>
    <w:rsid w:val="007602D4"/>
    <w:rsid w:val="00760D96"/>
    <w:rsid w:val="007610E2"/>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4FB0"/>
    <w:rsid w:val="007660EC"/>
    <w:rsid w:val="007662C7"/>
    <w:rsid w:val="0076684E"/>
    <w:rsid w:val="00766862"/>
    <w:rsid w:val="007675DD"/>
    <w:rsid w:val="007702BF"/>
    <w:rsid w:val="007705F0"/>
    <w:rsid w:val="00771CAC"/>
    <w:rsid w:val="00772036"/>
    <w:rsid w:val="00772AD2"/>
    <w:rsid w:val="00773098"/>
    <w:rsid w:val="007739A3"/>
    <w:rsid w:val="00773BD9"/>
    <w:rsid w:val="00773BF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27D"/>
    <w:rsid w:val="00785A61"/>
    <w:rsid w:val="0078638C"/>
    <w:rsid w:val="007869F9"/>
    <w:rsid w:val="00786CBB"/>
    <w:rsid w:val="00786E21"/>
    <w:rsid w:val="00790008"/>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3A1"/>
    <w:rsid w:val="007A3520"/>
    <w:rsid w:val="007A3604"/>
    <w:rsid w:val="007A3878"/>
    <w:rsid w:val="007A3D85"/>
    <w:rsid w:val="007A3E0D"/>
    <w:rsid w:val="007A436D"/>
    <w:rsid w:val="007A54F6"/>
    <w:rsid w:val="007A55FE"/>
    <w:rsid w:val="007A5624"/>
    <w:rsid w:val="007A582C"/>
    <w:rsid w:val="007A5950"/>
    <w:rsid w:val="007A6D91"/>
    <w:rsid w:val="007A7618"/>
    <w:rsid w:val="007B00C9"/>
    <w:rsid w:val="007B02C7"/>
    <w:rsid w:val="007B0306"/>
    <w:rsid w:val="007B08E4"/>
    <w:rsid w:val="007B0D86"/>
    <w:rsid w:val="007B184E"/>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21"/>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880"/>
    <w:rsid w:val="007E347E"/>
    <w:rsid w:val="007E41A4"/>
    <w:rsid w:val="007E43E3"/>
    <w:rsid w:val="007E54B8"/>
    <w:rsid w:val="007E5D12"/>
    <w:rsid w:val="007E6420"/>
    <w:rsid w:val="007E677F"/>
    <w:rsid w:val="007E6B25"/>
    <w:rsid w:val="007E6E06"/>
    <w:rsid w:val="007E6F4A"/>
    <w:rsid w:val="007E76CE"/>
    <w:rsid w:val="007E7708"/>
    <w:rsid w:val="007E79CC"/>
    <w:rsid w:val="007F1124"/>
    <w:rsid w:val="007F152D"/>
    <w:rsid w:val="007F20C4"/>
    <w:rsid w:val="007F20EE"/>
    <w:rsid w:val="007F23D8"/>
    <w:rsid w:val="007F3030"/>
    <w:rsid w:val="007F307A"/>
    <w:rsid w:val="007F30C6"/>
    <w:rsid w:val="007F3464"/>
    <w:rsid w:val="007F38FD"/>
    <w:rsid w:val="007F3C18"/>
    <w:rsid w:val="007F4318"/>
    <w:rsid w:val="007F4709"/>
    <w:rsid w:val="007F47DA"/>
    <w:rsid w:val="007F4E52"/>
    <w:rsid w:val="007F4F84"/>
    <w:rsid w:val="007F5382"/>
    <w:rsid w:val="007F55A4"/>
    <w:rsid w:val="007F5D28"/>
    <w:rsid w:val="007F6260"/>
    <w:rsid w:val="007F682B"/>
    <w:rsid w:val="007F708F"/>
    <w:rsid w:val="007F78E8"/>
    <w:rsid w:val="007F7BE0"/>
    <w:rsid w:val="007F7F8F"/>
    <w:rsid w:val="00800509"/>
    <w:rsid w:val="0080078E"/>
    <w:rsid w:val="00800B7F"/>
    <w:rsid w:val="008012B1"/>
    <w:rsid w:val="0080153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E90"/>
    <w:rsid w:val="0081497F"/>
    <w:rsid w:val="00814B90"/>
    <w:rsid w:val="00814FC7"/>
    <w:rsid w:val="00815B3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63F"/>
    <w:rsid w:val="00823819"/>
    <w:rsid w:val="00823C4B"/>
    <w:rsid w:val="0082427D"/>
    <w:rsid w:val="0082436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67A0"/>
    <w:rsid w:val="008379FF"/>
    <w:rsid w:val="00837D3D"/>
    <w:rsid w:val="00837E9B"/>
    <w:rsid w:val="008404AA"/>
    <w:rsid w:val="008406D7"/>
    <w:rsid w:val="0084074F"/>
    <w:rsid w:val="008407BA"/>
    <w:rsid w:val="00840AA3"/>
    <w:rsid w:val="00840AAC"/>
    <w:rsid w:val="0084101C"/>
    <w:rsid w:val="0084181B"/>
    <w:rsid w:val="00841DF6"/>
    <w:rsid w:val="00841F29"/>
    <w:rsid w:val="0084218B"/>
    <w:rsid w:val="008425CC"/>
    <w:rsid w:val="00842DC2"/>
    <w:rsid w:val="00842F54"/>
    <w:rsid w:val="0084357B"/>
    <w:rsid w:val="008439EB"/>
    <w:rsid w:val="0084624F"/>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386"/>
    <w:rsid w:val="00860DA4"/>
    <w:rsid w:val="00861146"/>
    <w:rsid w:val="00861948"/>
    <w:rsid w:val="00862011"/>
    <w:rsid w:val="00862A15"/>
    <w:rsid w:val="00862CC9"/>
    <w:rsid w:val="00862D8E"/>
    <w:rsid w:val="00862EF2"/>
    <w:rsid w:val="0086598A"/>
    <w:rsid w:val="00865C3D"/>
    <w:rsid w:val="00865D1D"/>
    <w:rsid w:val="00865D23"/>
    <w:rsid w:val="00865F4C"/>
    <w:rsid w:val="00866453"/>
    <w:rsid w:val="0086707F"/>
    <w:rsid w:val="00867501"/>
    <w:rsid w:val="00867D8E"/>
    <w:rsid w:val="008700C0"/>
    <w:rsid w:val="0087058B"/>
    <w:rsid w:val="0087099A"/>
    <w:rsid w:val="00870AE4"/>
    <w:rsid w:val="00870D79"/>
    <w:rsid w:val="00871333"/>
    <w:rsid w:val="00871952"/>
    <w:rsid w:val="00872006"/>
    <w:rsid w:val="00872386"/>
    <w:rsid w:val="008726D7"/>
    <w:rsid w:val="008730BB"/>
    <w:rsid w:val="00873128"/>
    <w:rsid w:val="008735BC"/>
    <w:rsid w:val="00873922"/>
    <w:rsid w:val="00873AAC"/>
    <w:rsid w:val="00873C61"/>
    <w:rsid w:val="00873DFD"/>
    <w:rsid w:val="008749BF"/>
    <w:rsid w:val="00875542"/>
    <w:rsid w:val="00875E14"/>
    <w:rsid w:val="0087677E"/>
    <w:rsid w:val="0087712C"/>
    <w:rsid w:val="008776E7"/>
    <w:rsid w:val="00877746"/>
    <w:rsid w:val="00877C5D"/>
    <w:rsid w:val="00880354"/>
    <w:rsid w:val="00880685"/>
    <w:rsid w:val="0088093C"/>
    <w:rsid w:val="00880BC0"/>
    <w:rsid w:val="0088127A"/>
    <w:rsid w:val="00881D59"/>
    <w:rsid w:val="00882991"/>
    <w:rsid w:val="00882EC1"/>
    <w:rsid w:val="0088324E"/>
    <w:rsid w:val="0088434F"/>
    <w:rsid w:val="00884371"/>
    <w:rsid w:val="008848E2"/>
    <w:rsid w:val="00884B7A"/>
    <w:rsid w:val="00884D47"/>
    <w:rsid w:val="008856C5"/>
    <w:rsid w:val="00885C21"/>
    <w:rsid w:val="00886112"/>
    <w:rsid w:val="00886DE7"/>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396"/>
    <w:rsid w:val="00895144"/>
    <w:rsid w:val="00895963"/>
    <w:rsid w:val="0089653D"/>
    <w:rsid w:val="008972B6"/>
    <w:rsid w:val="00897339"/>
    <w:rsid w:val="00897697"/>
    <w:rsid w:val="008977E1"/>
    <w:rsid w:val="00897BFA"/>
    <w:rsid w:val="00897D19"/>
    <w:rsid w:val="008A0044"/>
    <w:rsid w:val="008A0577"/>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4EE"/>
    <w:rsid w:val="008B770C"/>
    <w:rsid w:val="008C0325"/>
    <w:rsid w:val="008C0368"/>
    <w:rsid w:val="008C094A"/>
    <w:rsid w:val="008C1570"/>
    <w:rsid w:val="008C1792"/>
    <w:rsid w:val="008C17B2"/>
    <w:rsid w:val="008C1E3E"/>
    <w:rsid w:val="008C2059"/>
    <w:rsid w:val="008C21D0"/>
    <w:rsid w:val="008C2DBC"/>
    <w:rsid w:val="008C3A4E"/>
    <w:rsid w:val="008C426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9C6"/>
    <w:rsid w:val="008E6109"/>
    <w:rsid w:val="008E6A39"/>
    <w:rsid w:val="008E76BB"/>
    <w:rsid w:val="008F0E35"/>
    <w:rsid w:val="008F1287"/>
    <w:rsid w:val="008F1764"/>
    <w:rsid w:val="008F1E3D"/>
    <w:rsid w:val="008F235C"/>
    <w:rsid w:val="008F290B"/>
    <w:rsid w:val="008F2F11"/>
    <w:rsid w:val="008F3369"/>
    <w:rsid w:val="008F33A6"/>
    <w:rsid w:val="008F35EC"/>
    <w:rsid w:val="008F3AC4"/>
    <w:rsid w:val="008F4DDE"/>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D0A"/>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857"/>
    <w:rsid w:val="00907D83"/>
    <w:rsid w:val="00910041"/>
    <w:rsid w:val="0091112B"/>
    <w:rsid w:val="00911D61"/>
    <w:rsid w:val="00912850"/>
    <w:rsid w:val="009128B8"/>
    <w:rsid w:val="00913270"/>
    <w:rsid w:val="00914070"/>
    <w:rsid w:val="009141F2"/>
    <w:rsid w:val="0091472C"/>
    <w:rsid w:val="00914BE6"/>
    <w:rsid w:val="00914DC9"/>
    <w:rsid w:val="00915243"/>
    <w:rsid w:val="00915351"/>
    <w:rsid w:val="00915679"/>
    <w:rsid w:val="009159C2"/>
    <w:rsid w:val="0091627F"/>
    <w:rsid w:val="00916E45"/>
    <w:rsid w:val="0092077A"/>
    <w:rsid w:val="00920DC0"/>
    <w:rsid w:val="00921865"/>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27B8B"/>
    <w:rsid w:val="009307CA"/>
    <w:rsid w:val="009312F9"/>
    <w:rsid w:val="00931445"/>
    <w:rsid w:val="00931AB8"/>
    <w:rsid w:val="00931C19"/>
    <w:rsid w:val="00931C63"/>
    <w:rsid w:val="00931D10"/>
    <w:rsid w:val="0093218A"/>
    <w:rsid w:val="0093230C"/>
    <w:rsid w:val="009327AA"/>
    <w:rsid w:val="0093386D"/>
    <w:rsid w:val="00934C8E"/>
    <w:rsid w:val="00935194"/>
    <w:rsid w:val="0093545F"/>
    <w:rsid w:val="00936873"/>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7A"/>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561"/>
    <w:rsid w:val="009609AF"/>
    <w:rsid w:val="00960DE4"/>
    <w:rsid w:val="009610C7"/>
    <w:rsid w:val="00961164"/>
    <w:rsid w:val="009612A4"/>
    <w:rsid w:val="00961867"/>
    <w:rsid w:val="00961A07"/>
    <w:rsid w:val="00961A4F"/>
    <w:rsid w:val="009625B7"/>
    <w:rsid w:val="00962FB8"/>
    <w:rsid w:val="00963183"/>
    <w:rsid w:val="009633D3"/>
    <w:rsid w:val="0096373F"/>
    <w:rsid w:val="00964007"/>
    <w:rsid w:val="00964283"/>
    <w:rsid w:val="009642A4"/>
    <w:rsid w:val="009643F4"/>
    <w:rsid w:val="009645A6"/>
    <w:rsid w:val="00964F5A"/>
    <w:rsid w:val="0096527F"/>
    <w:rsid w:val="009653ED"/>
    <w:rsid w:val="009664AE"/>
    <w:rsid w:val="0096686C"/>
    <w:rsid w:val="00966A21"/>
    <w:rsid w:val="00966AD2"/>
    <w:rsid w:val="0097025C"/>
    <w:rsid w:val="00971415"/>
    <w:rsid w:val="009716D8"/>
    <w:rsid w:val="00971F54"/>
    <w:rsid w:val="00972057"/>
    <w:rsid w:val="0097227B"/>
    <w:rsid w:val="0097262E"/>
    <w:rsid w:val="0097293F"/>
    <w:rsid w:val="00972ACE"/>
    <w:rsid w:val="00973103"/>
    <w:rsid w:val="00974022"/>
    <w:rsid w:val="009743E8"/>
    <w:rsid w:val="009745D8"/>
    <w:rsid w:val="00974F3B"/>
    <w:rsid w:val="0097552A"/>
    <w:rsid w:val="0097564A"/>
    <w:rsid w:val="00975974"/>
    <w:rsid w:val="00975D06"/>
    <w:rsid w:val="00975D63"/>
    <w:rsid w:val="00975DAE"/>
    <w:rsid w:val="00976BBE"/>
    <w:rsid w:val="0098055B"/>
    <w:rsid w:val="00980902"/>
    <w:rsid w:val="00980B30"/>
    <w:rsid w:val="009810BE"/>
    <w:rsid w:val="009817BC"/>
    <w:rsid w:val="009819A7"/>
    <w:rsid w:val="0098220A"/>
    <w:rsid w:val="00982E75"/>
    <w:rsid w:val="00983316"/>
    <w:rsid w:val="00983337"/>
    <w:rsid w:val="009836AA"/>
    <w:rsid w:val="009846BF"/>
    <w:rsid w:val="009851F5"/>
    <w:rsid w:val="0098534B"/>
    <w:rsid w:val="00986019"/>
    <w:rsid w:val="00986281"/>
    <w:rsid w:val="00986DA3"/>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12"/>
    <w:rsid w:val="009942F5"/>
    <w:rsid w:val="00994568"/>
    <w:rsid w:val="00994602"/>
    <w:rsid w:val="00995B01"/>
    <w:rsid w:val="00996055"/>
    <w:rsid w:val="0099631F"/>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177"/>
    <w:rsid w:val="009A7E7C"/>
    <w:rsid w:val="009B05D2"/>
    <w:rsid w:val="009B152B"/>
    <w:rsid w:val="009B2731"/>
    <w:rsid w:val="009B2DCF"/>
    <w:rsid w:val="009B3237"/>
    <w:rsid w:val="009B39D8"/>
    <w:rsid w:val="009B3D38"/>
    <w:rsid w:val="009B4368"/>
    <w:rsid w:val="009B4D4C"/>
    <w:rsid w:val="009B66F5"/>
    <w:rsid w:val="009B7505"/>
    <w:rsid w:val="009C0020"/>
    <w:rsid w:val="009C03F7"/>
    <w:rsid w:val="009C10DA"/>
    <w:rsid w:val="009C19FC"/>
    <w:rsid w:val="009C26E5"/>
    <w:rsid w:val="009C27F7"/>
    <w:rsid w:val="009C3BC4"/>
    <w:rsid w:val="009C3C93"/>
    <w:rsid w:val="009C3E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EF6"/>
    <w:rsid w:val="009F1109"/>
    <w:rsid w:val="009F143E"/>
    <w:rsid w:val="009F1DE8"/>
    <w:rsid w:val="009F2186"/>
    <w:rsid w:val="009F227C"/>
    <w:rsid w:val="009F28DC"/>
    <w:rsid w:val="009F2EDB"/>
    <w:rsid w:val="009F33DC"/>
    <w:rsid w:val="009F3572"/>
    <w:rsid w:val="009F4550"/>
    <w:rsid w:val="009F56C0"/>
    <w:rsid w:val="009F5C76"/>
    <w:rsid w:val="009F5CB2"/>
    <w:rsid w:val="00A000C5"/>
    <w:rsid w:val="00A007B4"/>
    <w:rsid w:val="00A00930"/>
    <w:rsid w:val="00A00CA0"/>
    <w:rsid w:val="00A00E00"/>
    <w:rsid w:val="00A01221"/>
    <w:rsid w:val="00A012A8"/>
    <w:rsid w:val="00A012F1"/>
    <w:rsid w:val="00A016FF"/>
    <w:rsid w:val="00A01886"/>
    <w:rsid w:val="00A0207F"/>
    <w:rsid w:val="00A021AF"/>
    <w:rsid w:val="00A027B1"/>
    <w:rsid w:val="00A027B6"/>
    <w:rsid w:val="00A02A8A"/>
    <w:rsid w:val="00A0307A"/>
    <w:rsid w:val="00A03A7C"/>
    <w:rsid w:val="00A044AA"/>
    <w:rsid w:val="00A0686F"/>
    <w:rsid w:val="00A06CD2"/>
    <w:rsid w:val="00A0700C"/>
    <w:rsid w:val="00A102F8"/>
    <w:rsid w:val="00A10A20"/>
    <w:rsid w:val="00A10A75"/>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511"/>
    <w:rsid w:val="00A176DD"/>
    <w:rsid w:val="00A21838"/>
    <w:rsid w:val="00A22C3E"/>
    <w:rsid w:val="00A22C4D"/>
    <w:rsid w:val="00A2334E"/>
    <w:rsid w:val="00A23442"/>
    <w:rsid w:val="00A249D2"/>
    <w:rsid w:val="00A25082"/>
    <w:rsid w:val="00A254AB"/>
    <w:rsid w:val="00A259F2"/>
    <w:rsid w:val="00A266CC"/>
    <w:rsid w:val="00A26DB4"/>
    <w:rsid w:val="00A26FDA"/>
    <w:rsid w:val="00A27425"/>
    <w:rsid w:val="00A3023E"/>
    <w:rsid w:val="00A305C5"/>
    <w:rsid w:val="00A30919"/>
    <w:rsid w:val="00A31F05"/>
    <w:rsid w:val="00A31FD2"/>
    <w:rsid w:val="00A32165"/>
    <w:rsid w:val="00A322B2"/>
    <w:rsid w:val="00A3404D"/>
    <w:rsid w:val="00A341AB"/>
    <w:rsid w:val="00A34290"/>
    <w:rsid w:val="00A35302"/>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33"/>
    <w:rsid w:val="00A43AB0"/>
    <w:rsid w:val="00A44854"/>
    <w:rsid w:val="00A44A45"/>
    <w:rsid w:val="00A45FD3"/>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26CE"/>
    <w:rsid w:val="00A5386A"/>
    <w:rsid w:val="00A53D28"/>
    <w:rsid w:val="00A5468F"/>
    <w:rsid w:val="00A54909"/>
    <w:rsid w:val="00A54DC0"/>
    <w:rsid w:val="00A550C9"/>
    <w:rsid w:val="00A550D1"/>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E9B"/>
    <w:rsid w:val="00A657DB"/>
    <w:rsid w:val="00A65EFB"/>
    <w:rsid w:val="00A66E28"/>
    <w:rsid w:val="00A6707F"/>
    <w:rsid w:val="00A67429"/>
    <w:rsid w:val="00A677E7"/>
    <w:rsid w:val="00A67CE9"/>
    <w:rsid w:val="00A67E9B"/>
    <w:rsid w:val="00A70590"/>
    <w:rsid w:val="00A7062E"/>
    <w:rsid w:val="00A70834"/>
    <w:rsid w:val="00A71542"/>
    <w:rsid w:val="00A7171F"/>
    <w:rsid w:val="00A71FA0"/>
    <w:rsid w:val="00A71FBD"/>
    <w:rsid w:val="00A72520"/>
    <w:rsid w:val="00A72693"/>
    <w:rsid w:val="00A72727"/>
    <w:rsid w:val="00A727D8"/>
    <w:rsid w:val="00A72C1A"/>
    <w:rsid w:val="00A7311A"/>
    <w:rsid w:val="00A732FB"/>
    <w:rsid w:val="00A7463E"/>
    <w:rsid w:val="00A74E67"/>
    <w:rsid w:val="00A75042"/>
    <w:rsid w:val="00A75092"/>
    <w:rsid w:val="00A758E2"/>
    <w:rsid w:val="00A765B1"/>
    <w:rsid w:val="00A772F2"/>
    <w:rsid w:val="00A77828"/>
    <w:rsid w:val="00A77BAA"/>
    <w:rsid w:val="00A800F9"/>
    <w:rsid w:val="00A803A6"/>
    <w:rsid w:val="00A8073D"/>
    <w:rsid w:val="00A80D02"/>
    <w:rsid w:val="00A815FB"/>
    <w:rsid w:val="00A81AEB"/>
    <w:rsid w:val="00A824B9"/>
    <w:rsid w:val="00A82D32"/>
    <w:rsid w:val="00A82EAE"/>
    <w:rsid w:val="00A82FC7"/>
    <w:rsid w:val="00A847F9"/>
    <w:rsid w:val="00A84F27"/>
    <w:rsid w:val="00A8519C"/>
    <w:rsid w:val="00A855EE"/>
    <w:rsid w:val="00A8597A"/>
    <w:rsid w:val="00A85B87"/>
    <w:rsid w:val="00A85F83"/>
    <w:rsid w:val="00A86019"/>
    <w:rsid w:val="00A86608"/>
    <w:rsid w:val="00A86EED"/>
    <w:rsid w:val="00A8733A"/>
    <w:rsid w:val="00A9151F"/>
    <w:rsid w:val="00A9196B"/>
    <w:rsid w:val="00A91BB5"/>
    <w:rsid w:val="00A91BEE"/>
    <w:rsid w:val="00A91D4B"/>
    <w:rsid w:val="00A920B2"/>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A0D"/>
    <w:rsid w:val="00AB227A"/>
    <w:rsid w:val="00AB22BF"/>
    <w:rsid w:val="00AB2563"/>
    <w:rsid w:val="00AB256E"/>
    <w:rsid w:val="00AB2819"/>
    <w:rsid w:val="00AB318B"/>
    <w:rsid w:val="00AB3466"/>
    <w:rsid w:val="00AB348F"/>
    <w:rsid w:val="00AB38B2"/>
    <w:rsid w:val="00AB3BBB"/>
    <w:rsid w:val="00AB3CBF"/>
    <w:rsid w:val="00AB408C"/>
    <w:rsid w:val="00AB43AF"/>
    <w:rsid w:val="00AB4E41"/>
    <w:rsid w:val="00AB52C1"/>
    <w:rsid w:val="00AB5EB1"/>
    <w:rsid w:val="00AB6003"/>
    <w:rsid w:val="00AB759A"/>
    <w:rsid w:val="00AB7AEF"/>
    <w:rsid w:val="00AB7B06"/>
    <w:rsid w:val="00AB7EAA"/>
    <w:rsid w:val="00AC0432"/>
    <w:rsid w:val="00AC0770"/>
    <w:rsid w:val="00AC1683"/>
    <w:rsid w:val="00AC1983"/>
    <w:rsid w:val="00AC1CE7"/>
    <w:rsid w:val="00AC1D82"/>
    <w:rsid w:val="00AC2D5F"/>
    <w:rsid w:val="00AC4094"/>
    <w:rsid w:val="00AC42B6"/>
    <w:rsid w:val="00AC45E6"/>
    <w:rsid w:val="00AC4AB7"/>
    <w:rsid w:val="00AC51E0"/>
    <w:rsid w:val="00AC59BC"/>
    <w:rsid w:val="00AC6D24"/>
    <w:rsid w:val="00AC6E18"/>
    <w:rsid w:val="00AC7F64"/>
    <w:rsid w:val="00AD1065"/>
    <w:rsid w:val="00AD127B"/>
    <w:rsid w:val="00AD159E"/>
    <w:rsid w:val="00AD2AB1"/>
    <w:rsid w:val="00AD3132"/>
    <w:rsid w:val="00AD3DA6"/>
    <w:rsid w:val="00AD3F3C"/>
    <w:rsid w:val="00AD447E"/>
    <w:rsid w:val="00AD4B2F"/>
    <w:rsid w:val="00AD5293"/>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6A"/>
    <w:rsid w:val="00AE3CF0"/>
    <w:rsid w:val="00AE4546"/>
    <w:rsid w:val="00AE6575"/>
    <w:rsid w:val="00AE71EE"/>
    <w:rsid w:val="00AF02D6"/>
    <w:rsid w:val="00AF03CF"/>
    <w:rsid w:val="00AF053D"/>
    <w:rsid w:val="00AF0A0A"/>
    <w:rsid w:val="00AF14FC"/>
    <w:rsid w:val="00AF1ED2"/>
    <w:rsid w:val="00AF1F4E"/>
    <w:rsid w:val="00AF2302"/>
    <w:rsid w:val="00AF255D"/>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5B0"/>
    <w:rsid w:val="00B01DD9"/>
    <w:rsid w:val="00B01F0E"/>
    <w:rsid w:val="00B038F1"/>
    <w:rsid w:val="00B03C1B"/>
    <w:rsid w:val="00B04678"/>
    <w:rsid w:val="00B047C9"/>
    <w:rsid w:val="00B04A04"/>
    <w:rsid w:val="00B04B78"/>
    <w:rsid w:val="00B04C37"/>
    <w:rsid w:val="00B04F00"/>
    <w:rsid w:val="00B05864"/>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2ED"/>
    <w:rsid w:val="00B12648"/>
    <w:rsid w:val="00B1270C"/>
    <w:rsid w:val="00B12710"/>
    <w:rsid w:val="00B13389"/>
    <w:rsid w:val="00B1364C"/>
    <w:rsid w:val="00B13EDB"/>
    <w:rsid w:val="00B13FD0"/>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7DF"/>
    <w:rsid w:val="00B26A96"/>
    <w:rsid w:val="00B274E3"/>
    <w:rsid w:val="00B2765C"/>
    <w:rsid w:val="00B27C4B"/>
    <w:rsid w:val="00B3026E"/>
    <w:rsid w:val="00B30563"/>
    <w:rsid w:val="00B3069E"/>
    <w:rsid w:val="00B30A76"/>
    <w:rsid w:val="00B31246"/>
    <w:rsid w:val="00B31A77"/>
    <w:rsid w:val="00B32295"/>
    <w:rsid w:val="00B32BF6"/>
    <w:rsid w:val="00B33AB5"/>
    <w:rsid w:val="00B3412E"/>
    <w:rsid w:val="00B343E0"/>
    <w:rsid w:val="00B35B6D"/>
    <w:rsid w:val="00B35D53"/>
    <w:rsid w:val="00B367C4"/>
    <w:rsid w:val="00B36D3E"/>
    <w:rsid w:val="00B3768D"/>
    <w:rsid w:val="00B37B8E"/>
    <w:rsid w:val="00B40222"/>
    <w:rsid w:val="00B404C3"/>
    <w:rsid w:val="00B41938"/>
    <w:rsid w:val="00B41A04"/>
    <w:rsid w:val="00B42743"/>
    <w:rsid w:val="00B430E9"/>
    <w:rsid w:val="00B4311F"/>
    <w:rsid w:val="00B431AE"/>
    <w:rsid w:val="00B44288"/>
    <w:rsid w:val="00B448BF"/>
    <w:rsid w:val="00B448CC"/>
    <w:rsid w:val="00B45A59"/>
    <w:rsid w:val="00B45A66"/>
    <w:rsid w:val="00B45F9F"/>
    <w:rsid w:val="00B4627C"/>
    <w:rsid w:val="00B4641F"/>
    <w:rsid w:val="00B46793"/>
    <w:rsid w:val="00B46953"/>
    <w:rsid w:val="00B47225"/>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C45"/>
    <w:rsid w:val="00B56ECA"/>
    <w:rsid w:val="00B57093"/>
    <w:rsid w:val="00B57B5D"/>
    <w:rsid w:val="00B6029D"/>
    <w:rsid w:val="00B60613"/>
    <w:rsid w:val="00B61AEC"/>
    <w:rsid w:val="00B6244C"/>
    <w:rsid w:val="00B62A2F"/>
    <w:rsid w:val="00B62B7B"/>
    <w:rsid w:val="00B62E4F"/>
    <w:rsid w:val="00B62F0A"/>
    <w:rsid w:val="00B63484"/>
    <w:rsid w:val="00B634B7"/>
    <w:rsid w:val="00B634F1"/>
    <w:rsid w:val="00B637EF"/>
    <w:rsid w:val="00B63EF6"/>
    <w:rsid w:val="00B63F15"/>
    <w:rsid w:val="00B641B2"/>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27D"/>
    <w:rsid w:val="00B83E76"/>
    <w:rsid w:val="00B83FA0"/>
    <w:rsid w:val="00B84156"/>
    <w:rsid w:val="00B846E6"/>
    <w:rsid w:val="00B8537B"/>
    <w:rsid w:val="00B85586"/>
    <w:rsid w:val="00B86289"/>
    <w:rsid w:val="00B863B3"/>
    <w:rsid w:val="00B869D3"/>
    <w:rsid w:val="00B86B51"/>
    <w:rsid w:val="00B86CF8"/>
    <w:rsid w:val="00B86E44"/>
    <w:rsid w:val="00B871E7"/>
    <w:rsid w:val="00B87359"/>
    <w:rsid w:val="00B87F1C"/>
    <w:rsid w:val="00B90D8D"/>
    <w:rsid w:val="00B91263"/>
    <w:rsid w:val="00B91B61"/>
    <w:rsid w:val="00B931F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3E8"/>
    <w:rsid w:val="00BA676E"/>
    <w:rsid w:val="00BA6980"/>
    <w:rsid w:val="00BA6EF2"/>
    <w:rsid w:val="00BA7227"/>
    <w:rsid w:val="00BA731A"/>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9A0"/>
    <w:rsid w:val="00BB7C67"/>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62"/>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48E"/>
    <w:rsid w:val="00BE472D"/>
    <w:rsid w:val="00BE4C03"/>
    <w:rsid w:val="00BE610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DA0"/>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FE7"/>
    <w:rsid w:val="00C21145"/>
    <w:rsid w:val="00C215ED"/>
    <w:rsid w:val="00C22350"/>
    <w:rsid w:val="00C2302B"/>
    <w:rsid w:val="00C23615"/>
    <w:rsid w:val="00C2397E"/>
    <w:rsid w:val="00C23A83"/>
    <w:rsid w:val="00C24381"/>
    <w:rsid w:val="00C24801"/>
    <w:rsid w:val="00C24887"/>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273"/>
    <w:rsid w:val="00C34C45"/>
    <w:rsid w:val="00C34C47"/>
    <w:rsid w:val="00C34FCE"/>
    <w:rsid w:val="00C35411"/>
    <w:rsid w:val="00C35EED"/>
    <w:rsid w:val="00C36B2C"/>
    <w:rsid w:val="00C37009"/>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28E"/>
    <w:rsid w:val="00C618A8"/>
    <w:rsid w:val="00C61A78"/>
    <w:rsid w:val="00C629F3"/>
    <w:rsid w:val="00C62B88"/>
    <w:rsid w:val="00C62CD3"/>
    <w:rsid w:val="00C63183"/>
    <w:rsid w:val="00C634F9"/>
    <w:rsid w:val="00C63CDE"/>
    <w:rsid w:val="00C643ED"/>
    <w:rsid w:val="00C64534"/>
    <w:rsid w:val="00C64A8C"/>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9BB"/>
    <w:rsid w:val="00C72F44"/>
    <w:rsid w:val="00C733B2"/>
    <w:rsid w:val="00C73670"/>
    <w:rsid w:val="00C737D1"/>
    <w:rsid w:val="00C738A0"/>
    <w:rsid w:val="00C73DE0"/>
    <w:rsid w:val="00C74609"/>
    <w:rsid w:val="00C749AB"/>
    <w:rsid w:val="00C75A8F"/>
    <w:rsid w:val="00C76129"/>
    <w:rsid w:val="00C76C0C"/>
    <w:rsid w:val="00C76FFC"/>
    <w:rsid w:val="00C774E0"/>
    <w:rsid w:val="00C776BA"/>
    <w:rsid w:val="00C7791E"/>
    <w:rsid w:val="00C80668"/>
    <w:rsid w:val="00C81716"/>
    <w:rsid w:val="00C82F22"/>
    <w:rsid w:val="00C832CB"/>
    <w:rsid w:val="00C8370A"/>
    <w:rsid w:val="00C84085"/>
    <w:rsid w:val="00C852DC"/>
    <w:rsid w:val="00C854A8"/>
    <w:rsid w:val="00C85677"/>
    <w:rsid w:val="00C85E17"/>
    <w:rsid w:val="00C868A7"/>
    <w:rsid w:val="00C86ABA"/>
    <w:rsid w:val="00C86BF7"/>
    <w:rsid w:val="00C86F8F"/>
    <w:rsid w:val="00C87164"/>
    <w:rsid w:val="00C87236"/>
    <w:rsid w:val="00C8786A"/>
    <w:rsid w:val="00C87BBA"/>
    <w:rsid w:val="00C87BD0"/>
    <w:rsid w:val="00C90511"/>
    <w:rsid w:val="00C905E5"/>
    <w:rsid w:val="00C90754"/>
    <w:rsid w:val="00C90B95"/>
    <w:rsid w:val="00C90BC4"/>
    <w:rsid w:val="00C90CA9"/>
    <w:rsid w:val="00C91802"/>
    <w:rsid w:val="00C91DC5"/>
    <w:rsid w:val="00C92637"/>
    <w:rsid w:val="00C92E41"/>
    <w:rsid w:val="00C92F62"/>
    <w:rsid w:val="00C93097"/>
    <w:rsid w:val="00C93B40"/>
    <w:rsid w:val="00C93DB5"/>
    <w:rsid w:val="00C94CB9"/>
    <w:rsid w:val="00C952C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844"/>
    <w:rsid w:val="00CB4876"/>
    <w:rsid w:val="00CB4F39"/>
    <w:rsid w:val="00CB525E"/>
    <w:rsid w:val="00CB52A4"/>
    <w:rsid w:val="00CB537C"/>
    <w:rsid w:val="00CB5893"/>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4"/>
    <w:rsid w:val="00CC7617"/>
    <w:rsid w:val="00CC7E0D"/>
    <w:rsid w:val="00CC7E97"/>
    <w:rsid w:val="00CD00EB"/>
    <w:rsid w:val="00CD0637"/>
    <w:rsid w:val="00CD1255"/>
    <w:rsid w:val="00CD1484"/>
    <w:rsid w:val="00CD1892"/>
    <w:rsid w:val="00CD1C01"/>
    <w:rsid w:val="00CD1D00"/>
    <w:rsid w:val="00CD1D4A"/>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4FC"/>
    <w:rsid w:val="00CD7544"/>
    <w:rsid w:val="00CD78D4"/>
    <w:rsid w:val="00CE0697"/>
    <w:rsid w:val="00CE14CB"/>
    <w:rsid w:val="00CE2E2E"/>
    <w:rsid w:val="00CE3A51"/>
    <w:rsid w:val="00CE41F9"/>
    <w:rsid w:val="00CE59F6"/>
    <w:rsid w:val="00CE6023"/>
    <w:rsid w:val="00CE66CD"/>
    <w:rsid w:val="00CE6AB1"/>
    <w:rsid w:val="00CE6BA9"/>
    <w:rsid w:val="00CE71C3"/>
    <w:rsid w:val="00CE727A"/>
    <w:rsid w:val="00CF029C"/>
    <w:rsid w:val="00CF0AF0"/>
    <w:rsid w:val="00CF0C01"/>
    <w:rsid w:val="00CF157E"/>
    <w:rsid w:val="00CF1631"/>
    <w:rsid w:val="00CF1834"/>
    <w:rsid w:val="00CF1AAA"/>
    <w:rsid w:val="00CF1EC2"/>
    <w:rsid w:val="00CF2ACF"/>
    <w:rsid w:val="00CF345B"/>
    <w:rsid w:val="00CF475F"/>
    <w:rsid w:val="00CF4D4B"/>
    <w:rsid w:val="00CF5008"/>
    <w:rsid w:val="00CF5069"/>
    <w:rsid w:val="00CF5E34"/>
    <w:rsid w:val="00CF6707"/>
    <w:rsid w:val="00CF7101"/>
    <w:rsid w:val="00CF7327"/>
    <w:rsid w:val="00CF7385"/>
    <w:rsid w:val="00CF7539"/>
    <w:rsid w:val="00CF75C6"/>
    <w:rsid w:val="00CF7B77"/>
    <w:rsid w:val="00CF7DF5"/>
    <w:rsid w:val="00D001D2"/>
    <w:rsid w:val="00D00347"/>
    <w:rsid w:val="00D0041B"/>
    <w:rsid w:val="00D02838"/>
    <w:rsid w:val="00D02A80"/>
    <w:rsid w:val="00D0352D"/>
    <w:rsid w:val="00D038DC"/>
    <w:rsid w:val="00D04553"/>
    <w:rsid w:val="00D04F01"/>
    <w:rsid w:val="00D04F8B"/>
    <w:rsid w:val="00D054EF"/>
    <w:rsid w:val="00D05637"/>
    <w:rsid w:val="00D05BA9"/>
    <w:rsid w:val="00D05EB1"/>
    <w:rsid w:val="00D0650B"/>
    <w:rsid w:val="00D066EC"/>
    <w:rsid w:val="00D068AA"/>
    <w:rsid w:val="00D06E71"/>
    <w:rsid w:val="00D06E9C"/>
    <w:rsid w:val="00D0714B"/>
    <w:rsid w:val="00D0764E"/>
    <w:rsid w:val="00D07D82"/>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7A"/>
    <w:rsid w:val="00D21E6F"/>
    <w:rsid w:val="00D2218A"/>
    <w:rsid w:val="00D22B13"/>
    <w:rsid w:val="00D2371E"/>
    <w:rsid w:val="00D237E0"/>
    <w:rsid w:val="00D23A17"/>
    <w:rsid w:val="00D23FF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597"/>
    <w:rsid w:val="00D417C6"/>
    <w:rsid w:val="00D417D0"/>
    <w:rsid w:val="00D41CA0"/>
    <w:rsid w:val="00D42107"/>
    <w:rsid w:val="00D42B0C"/>
    <w:rsid w:val="00D42D6E"/>
    <w:rsid w:val="00D42DED"/>
    <w:rsid w:val="00D433C3"/>
    <w:rsid w:val="00D43DEF"/>
    <w:rsid w:val="00D44259"/>
    <w:rsid w:val="00D4430C"/>
    <w:rsid w:val="00D45C61"/>
    <w:rsid w:val="00D45DDC"/>
    <w:rsid w:val="00D4617C"/>
    <w:rsid w:val="00D5064C"/>
    <w:rsid w:val="00D50C94"/>
    <w:rsid w:val="00D50CDC"/>
    <w:rsid w:val="00D511E7"/>
    <w:rsid w:val="00D51372"/>
    <w:rsid w:val="00D517ED"/>
    <w:rsid w:val="00D5251C"/>
    <w:rsid w:val="00D52F56"/>
    <w:rsid w:val="00D539DA"/>
    <w:rsid w:val="00D54A50"/>
    <w:rsid w:val="00D54FFD"/>
    <w:rsid w:val="00D5552C"/>
    <w:rsid w:val="00D5556D"/>
    <w:rsid w:val="00D5577B"/>
    <w:rsid w:val="00D55C34"/>
    <w:rsid w:val="00D55C81"/>
    <w:rsid w:val="00D5674B"/>
    <w:rsid w:val="00D56B56"/>
    <w:rsid w:val="00D56BF5"/>
    <w:rsid w:val="00D56F99"/>
    <w:rsid w:val="00D5743F"/>
    <w:rsid w:val="00D57F1F"/>
    <w:rsid w:val="00D60065"/>
    <w:rsid w:val="00D60270"/>
    <w:rsid w:val="00D60482"/>
    <w:rsid w:val="00D605C2"/>
    <w:rsid w:val="00D60733"/>
    <w:rsid w:val="00D60C60"/>
    <w:rsid w:val="00D60DAF"/>
    <w:rsid w:val="00D61E1D"/>
    <w:rsid w:val="00D629A4"/>
    <w:rsid w:val="00D62AB1"/>
    <w:rsid w:val="00D62BDF"/>
    <w:rsid w:val="00D62EEE"/>
    <w:rsid w:val="00D6448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DAD"/>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767"/>
    <w:rsid w:val="00DA2125"/>
    <w:rsid w:val="00DA21EC"/>
    <w:rsid w:val="00DA24DE"/>
    <w:rsid w:val="00DA270C"/>
    <w:rsid w:val="00DA281F"/>
    <w:rsid w:val="00DA336D"/>
    <w:rsid w:val="00DA3B22"/>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D23"/>
    <w:rsid w:val="00DB2F6B"/>
    <w:rsid w:val="00DB3490"/>
    <w:rsid w:val="00DB3593"/>
    <w:rsid w:val="00DB440B"/>
    <w:rsid w:val="00DB4426"/>
    <w:rsid w:val="00DB4522"/>
    <w:rsid w:val="00DB4B40"/>
    <w:rsid w:val="00DB4F12"/>
    <w:rsid w:val="00DB4F21"/>
    <w:rsid w:val="00DB4F42"/>
    <w:rsid w:val="00DB540C"/>
    <w:rsid w:val="00DB572E"/>
    <w:rsid w:val="00DB6F96"/>
    <w:rsid w:val="00DB71B9"/>
    <w:rsid w:val="00DB733F"/>
    <w:rsid w:val="00DB7662"/>
    <w:rsid w:val="00DB7E46"/>
    <w:rsid w:val="00DC1395"/>
    <w:rsid w:val="00DC203C"/>
    <w:rsid w:val="00DC32FC"/>
    <w:rsid w:val="00DC34B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EDE"/>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022"/>
    <w:rsid w:val="00DE4106"/>
    <w:rsid w:val="00DE466B"/>
    <w:rsid w:val="00DE48F4"/>
    <w:rsid w:val="00DE5563"/>
    <w:rsid w:val="00DE5C19"/>
    <w:rsid w:val="00DE5D48"/>
    <w:rsid w:val="00DE6E4D"/>
    <w:rsid w:val="00DE7498"/>
    <w:rsid w:val="00DE75EF"/>
    <w:rsid w:val="00DE7611"/>
    <w:rsid w:val="00DE7AA1"/>
    <w:rsid w:val="00DE7D19"/>
    <w:rsid w:val="00DF05A0"/>
    <w:rsid w:val="00DF061E"/>
    <w:rsid w:val="00DF1162"/>
    <w:rsid w:val="00DF1BA8"/>
    <w:rsid w:val="00DF1F63"/>
    <w:rsid w:val="00DF28F2"/>
    <w:rsid w:val="00DF2BFF"/>
    <w:rsid w:val="00DF2ECB"/>
    <w:rsid w:val="00DF339B"/>
    <w:rsid w:val="00DF3798"/>
    <w:rsid w:val="00DF393E"/>
    <w:rsid w:val="00DF4FF1"/>
    <w:rsid w:val="00DF56A3"/>
    <w:rsid w:val="00DF5B33"/>
    <w:rsid w:val="00DF6FD2"/>
    <w:rsid w:val="00DF72EF"/>
    <w:rsid w:val="00DF743D"/>
    <w:rsid w:val="00DF7724"/>
    <w:rsid w:val="00E000D8"/>
    <w:rsid w:val="00E00C1E"/>
    <w:rsid w:val="00E00F5F"/>
    <w:rsid w:val="00E01058"/>
    <w:rsid w:val="00E010E6"/>
    <w:rsid w:val="00E01377"/>
    <w:rsid w:val="00E014E7"/>
    <w:rsid w:val="00E0232F"/>
    <w:rsid w:val="00E026A9"/>
    <w:rsid w:val="00E02B2A"/>
    <w:rsid w:val="00E0356F"/>
    <w:rsid w:val="00E03B42"/>
    <w:rsid w:val="00E03C10"/>
    <w:rsid w:val="00E0479F"/>
    <w:rsid w:val="00E04816"/>
    <w:rsid w:val="00E04982"/>
    <w:rsid w:val="00E04D6A"/>
    <w:rsid w:val="00E05309"/>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2DE7"/>
    <w:rsid w:val="00E13326"/>
    <w:rsid w:val="00E13D07"/>
    <w:rsid w:val="00E14356"/>
    <w:rsid w:val="00E14961"/>
    <w:rsid w:val="00E14D76"/>
    <w:rsid w:val="00E15183"/>
    <w:rsid w:val="00E15D6C"/>
    <w:rsid w:val="00E1720B"/>
    <w:rsid w:val="00E203DE"/>
    <w:rsid w:val="00E20CE7"/>
    <w:rsid w:val="00E217B1"/>
    <w:rsid w:val="00E21904"/>
    <w:rsid w:val="00E222FA"/>
    <w:rsid w:val="00E229CE"/>
    <w:rsid w:val="00E22B4A"/>
    <w:rsid w:val="00E238EB"/>
    <w:rsid w:val="00E2449B"/>
    <w:rsid w:val="00E24A62"/>
    <w:rsid w:val="00E24F52"/>
    <w:rsid w:val="00E255CC"/>
    <w:rsid w:val="00E25636"/>
    <w:rsid w:val="00E25755"/>
    <w:rsid w:val="00E25F90"/>
    <w:rsid w:val="00E266DD"/>
    <w:rsid w:val="00E26D2E"/>
    <w:rsid w:val="00E279B2"/>
    <w:rsid w:val="00E302A9"/>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19"/>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58"/>
    <w:rsid w:val="00E45A2C"/>
    <w:rsid w:val="00E46A6B"/>
    <w:rsid w:val="00E46A9C"/>
    <w:rsid w:val="00E46EE0"/>
    <w:rsid w:val="00E47DB1"/>
    <w:rsid w:val="00E50BDD"/>
    <w:rsid w:val="00E510CF"/>
    <w:rsid w:val="00E513D7"/>
    <w:rsid w:val="00E519FE"/>
    <w:rsid w:val="00E5206C"/>
    <w:rsid w:val="00E52AAB"/>
    <w:rsid w:val="00E5448E"/>
    <w:rsid w:val="00E54E0D"/>
    <w:rsid w:val="00E55247"/>
    <w:rsid w:val="00E557B5"/>
    <w:rsid w:val="00E558E5"/>
    <w:rsid w:val="00E55B3C"/>
    <w:rsid w:val="00E56795"/>
    <w:rsid w:val="00E57932"/>
    <w:rsid w:val="00E606C4"/>
    <w:rsid w:val="00E60811"/>
    <w:rsid w:val="00E60AB8"/>
    <w:rsid w:val="00E6103E"/>
    <w:rsid w:val="00E613ED"/>
    <w:rsid w:val="00E6185F"/>
    <w:rsid w:val="00E61D32"/>
    <w:rsid w:val="00E63C60"/>
    <w:rsid w:val="00E64050"/>
    <w:rsid w:val="00E64B7B"/>
    <w:rsid w:val="00E6514D"/>
    <w:rsid w:val="00E65161"/>
    <w:rsid w:val="00E652C9"/>
    <w:rsid w:val="00E6593B"/>
    <w:rsid w:val="00E65D74"/>
    <w:rsid w:val="00E66E11"/>
    <w:rsid w:val="00E672C6"/>
    <w:rsid w:val="00E67998"/>
    <w:rsid w:val="00E70192"/>
    <w:rsid w:val="00E70C55"/>
    <w:rsid w:val="00E70E34"/>
    <w:rsid w:val="00E71017"/>
    <w:rsid w:val="00E71809"/>
    <w:rsid w:val="00E71D1E"/>
    <w:rsid w:val="00E725F7"/>
    <w:rsid w:val="00E726F2"/>
    <w:rsid w:val="00E728E2"/>
    <w:rsid w:val="00E72CA0"/>
    <w:rsid w:val="00E738FA"/>
    <w:rsid w:val="00E739B6"/>
    <w:rsid w:val="00E74A2B"/>
    <w:rsid w:val="00E75667"/>
    <w:rsid w:val="00E756D3"/>
    <w:rsid w:val="00E75A5A"/>
    <w:rsid w:val="00E75E23"/>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3FF1"/>
    <w:rsid w:val="00E951D8"/>
    <w:rsid w:val="00E95C2A"/>
    <w:rsid w:val="00E961CB"/>
    <w:rsid w:val="00E963BC"/>
    <w:rsid w:val="00E966A6"/>
    <w:rsid w:val="00E96E91"/>
    <w:rsid w:val="00E9751D"/>
    <w:rsid w:val="00E97DC6"/>
    <w:rsid w:val="00E97F7A"/>
    <w:rsid w:val="00EA0010"/>
    <w:rsid w:val="00EA0143"/>
    <w:rsid w:val="00EA0216"/>
    <w:rsid w:val="00EA089B"/>
    <w:rsid w:val="00EA1ACC"/>
    <w:rsid w:val="00EA23E8"/>
    <w:rsid w:val="00EA2E21"/>
    <w:rsid w:val="00EA2EAA"/>
    <w:rsid w:val="00EA380C"/>
    <w:rsid w:val="00EA3AD0"/>
    <w:rsid w:val="00EA4851"/>
    <w:rsid w:val="00EA5F82"/>
    <w:rsid w:val="00EA613D"/>
    <w:rsid w:val="00EA6744"/>
    <w:rsid w:val="00EA7308"/>
    <w:rsid w:val="00EA7474"/>
    <w:rsid w:val="00EA7C70"/>
    <w:rsid w:val="00EB0831"/>
    <w:rsid w:val="00EB089C"/>
    <w:rsid w:val="00EB0AA8"/>
    <w:rsid w:val="00EB0B65"/>
    <w:rsid w:val="00EB0C65"/>
    <w:rsid w:val="00EB1624"/>
    <w:rsid w:val="00EB169F"/>
    <w:rsid w:val="00EB1A17"/>
    <w:rsid w:val="00EB2635"/>
    <w:rsid w:val="00EB2961"/>
    <w:rsid w:val="00EB2E1A"/>
    <w:rsid w:val="00EB2F8A"/>
    <w:rsid w:val="00EB3268"/>
    <w:rsid w:val="00EB3298"/>
    <w:rsid w:val="00EB3623"/>
    <w:rsid w:val="00EB3939"/>
    <w:rsid w:val="00EB3CE6"/>
    <w:rsid w:val="00EB3E92"/>
    <w:rsid w:val="00EB54AB"/>
    <w:rsid w:val="00EB6257"/>
    <w:rsid w:val="00EB68E6"/>
    <w:rsid w:val="00EB6AE9"/>
    <w:rsid w:val="00EB6B2D"/>
    <w:rsid w:val="00EB71C9"/>
    <w:rsid w:val="00EB763E"/>
    <w:rsid w:val="00EB7659"/>
    <w:rsid w:val="00EB7B67"/>
    <w:rsid w:val="00EB7B95"/>
    <w:rsid w:val="00EC07F1"/>
    <w:rsid w:val="00EC1E8A"/>
    <w:rsid w:val="00EC328C"/>
    <w:rsid w:val="00EC32F5"/>
    <w:rsid w:val="00EC3852"/>
    <w:rsid w:val="00EC4528"/>
    <w:rsid w:val="00EC5241"/>
    <w:rsid w:val="00EC5817"/>
    <w:rsid w:val="00EC594C"/>
    <w:rsid w:val="00EC5C7B"/>
    <w:rsid w:val="00EC5D52"/>
    <w:rsid w:val="00EC66AA"/>
    <w:rsid w:val="00EC6B30"/>
    <w:rsid w:val="00EC6B8F"/>
    <w:rsid w:val="00EC7154"/>
    <w:rsid w:val="00EC7371"/>
    <w:rsid w:val="00EC73F5"/>
    <w:rsid w:val="00EC7894"/>
    <w:rsid w:val="00EC7A28"/>
    <w:rsid w:val="00EC7B48"/>
    <w:rsid w:val="00ED0151"/>
    <w:rsid w:val="00ED0257"/>
    <w:rsid w:val="00ED071B"/>
    <w:rsid w:val="00ED1321"/>
    <w:rsid w:val="00ED15D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1F"/>
    <w:rsid w:val="00EE499F"/>
    <w:rsid w:val="00EE56E2"/>
    <w:rsid w:val="00EE5FCD"/>
    <w:rsid w:val="00EE63BF"/>
    <w:rsid w:val="00EE6D45"/>
    <w:rsid w:val="00EE6E89"/>
    <w:rsid w:val="00EF0D4B"/>
    <w:rsid w:val="00EF0FE6"/>
    <w:rsid w:val="00EF1130"/>
    <w:rsid w:val="00EF1432"/>
    <w:rsid w:val="00EF1511"/>
    <w:rsid w:val="00EF1A77"/>
    <w:rsid w:val="00EF1F01"/>
    <w:rsid w:val="00EF2632"/>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49D"/>
    <w:rsid w:val="00F0058A"/>
    <w:rsid w:val="00F00630"/>
    <w:rsid w:val="00F00922"/>
    <w:rsid w:val="00F00924"/>
    <w:rsid w:val="00F0187E"/>
    <w:rsid w:val="00F01BE6"/>
    <w:rsid w:val="00F01F75"/>
    <w:rsid w:val="00F0217A"/>
    <w:rsid w:val="00F026D3"/>
    <w:rsid w:val="00F027E8"/>
    <w:rsid w:val="00F03395"/>
    <w:rsid w:val="00F034E6"/>
    <w:rsid w:val="00F03E4C"/>
    <w:rsid w:val="00F044B0"/>
    <w:rsid w:val="00F047BC"/>
    <w:rsid w:val="00F04D19"/>
    <w:rsid w:val="00F050A3"/>
    <w:rsid w:val="00F06340"/>
    <w:rsid w:val="00F0665D"/>
    <w:rsid w:val="00F06D42"/>
    <w:rsid w:val="00F06D97"/>
    <w:rsid w:val="00F07134"/>
    <w:rsid w:val="00F0724D"/>
    <w:rsid w:val="00F07378"/>
    <w:rsid w:val="00F07D76"/>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5EB"/>
    <w:rsid w:val="00F36DDE"/>
    <w:rsid w:val="00F3722A"/>
    <w:rsid w:val="00F37366"/>
    <w:rsid w:val="00F37C99"/>
    <w:rsid w:val="00F37FCC"/>
    <w:rsid w:val="00F419B8"/>
    <w:rsid w:val="00F41C0F"/>
    <w:rsid w:val="00F41F59"/>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30"/>
    <w:rsid w:val="00F52CB7"/>
    <w:rsid w:val="00F53A44"/>
    <w:rsid w:val="00F54E5E"/>
    <w:rsid w:val="00F551DB"/>
    <w:rsid w:val="00F5561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BA7"/>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87D"/>
    <w:rsid w:val="00F82928"/>
    <w:rsid w:val="00F829B9"/>
    <w:rsid w:val="00F83045"/>
    <w:rsid w:val="00F83397"/>
    <w:rsid w:val="00F83615"/>
    <w:rsid w:val="00F83EC7"/>
    <w:rsid w:val="00F8421D"/>
    <w:rsid w:val="00F84B1D"/>
    <w:rsid w:val="00F85329"/>
    <w:rsid w:val="00F85683"/>
    <w:rsid w:val="00F85841"/>
    <w:rsid w:val="00F86079"/>
    <w:rsid w:val="00F8610A"/>
    <w:rsid w:val="00F863BD"/>
    <w:rsid w:val="00F86FFE"/>
    <w:rsid w:val="00F87282"/>
    <w:rsid w:val="00F878CD"/>
    <w:rsid w:val="00F87905"/>
    <w:rsid w:val="00F87A66"/>
    <w:rsid w:val="00F90C1F"/>
    <w:rsid w:val="00F912D9"/>
    <w:rsid w:val="00F91A44"/>
    <w:rsid w:val="00F91BFA"/>
    <w:rsid w:val="00F91F8F"/>
    <w:rsid w:val="00F9217B"/>
    <w:rsid w:val="00F934DD"/>
    <w:rsid w:val="00F9445E"/>
    <w:rsid w:val="00F97A34"/>
    <w:rsid w:val="00F97E4A"/>
    <w:rsid w:val="00F97EA1"/>
    <w:rsid w:val="00FA003A"/>
    <w:rsid w:val="00FA05C8"/>
    <w:rsid w:val="00FA0678"/>
    <w:rsid w:val="00FA0699"/>
    <w:rsid w:val="00FA0DB6"/>
    <w:rsid w:val="00FA1AD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4C8"/>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1B"/>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24D"/>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02768"/>
    <w:rsid w:val="04076900"/>
    <w:rsid w:val="041A5A3B"/>
    <w:rsid w:val="042311BA"/>
    <w:rsid w:val="042B157A"/>
    <w:rsid w:val="048F763B"/>
    <w:rsid w:val="049F330E"/>
    <w:rsid w:val="04AA775C"/>
    <w:rsid w:val="04AF1889"/>
    <w:rsid w:val="04F66F48"/>
    <w:rsid w:val="05251E14"/>
    <w:rsid w:val="052B11CF"/>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E76C7"/>
    <w:rsid w:val="0944690F"/>
    <w:rsid w:val="094840A2"/>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A2EB1"/>
    <w:rsid w:val="10FC16EA"/>
    <w:rsid w:val="110F1D40"/>
    <w:rsid w:val="11266F33"/>
    <w:rsid w:val="118963A1"/>
    <w:rsid w:val="11C6522A"/>
    <w:rsid w:val="11E104CC"/>
    <w:rsid w:val="11E20309"/>
    <w:rsid w:val="12255233"/>
    <w:rsid w:val="122E2B86"/>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E25C2"/>
    <w:rsid w:val="1E714A66"/>
    <w:rsid w:val="1E802593"/>
    <w:rsid w:val="1E8B6156"/>
    <w:rsid w:val="1EA703CC"/>
    <w:rsid w:val="1EB7330C"/>
    <w:rsid w:val="1F0A0FF3"/>
    <w:rsid w:val="1F250958"/>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14639"/>
    <w:rsid w:val="22BE6801"/>
    <w:rsid w:val="233500BF"/>
    <w:rsid w:val="23377FF7"/>
    <w:rsid w:val="235C0A1E"/>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F1804"/>
    <w:rsid w:val="27044A29"/>
    <w:rsid w:val="271D34C8"/>
    <w:rsid w:val="27365D23"/>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0831A2"/>
    <w:rsid w:val="32517576"/>
    <w:rsid w:val="32BE5C2C"/>
    <w:rsid w:val="32FB6478"/>
    <w:rsid w:val="33263B3F"/>
    <w:rsid w:val="336963EB"/>
    <w:rsid w:val="33816EEB"/>
    <w:rsid w:val="33EB55CD"/>
    <w:rsid w:val="33EC4C02"/>
    <w:rsid w:val="340D2360"/>
    <w:rsid w:val="3410665D"/>
    <w:rsid w:val="34211214"/>
    <w:rsid w:val="342E63AB"/>
    <w:rsid w:val="346D235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005E9"/>
    <w:rsid w:val="38296C89"/>
    <w:rsid w:val="383002EB"/>
    <w:rsid w:val="38586797"/>
    <w:rsid w:val="38BC0149"/>
    <w:rsid w:val="38D87D1C"/>
    <w:rsid w:val="39023E8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877D5"/>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A3BAB"/>
    <w:rsid w:val="42CD1CE0"/>
    <w:rsid w:val="42E1381E"/>
    <w:rsid w:val="42ED6459"/>
    <w:rsid w:val="42FE58DD"/>
    <w:rsid w:val="43174B3D"/>
    <w:rsid w:val="434B790E"/>
    <w:rsid w:val="4360274F"/>
    <w:rsid w:val="436C6174"/>
    <w:rsid w:val="43977AB6"/>
    <w:rsid w:val="43A3342B"/>
    <w:rsid w:val="43C77C27"/>
    <w:rsid w:val="43DE09EE"/>
    <w:rsid w:val="44002FAD"/>
    <w:rsid w:val="449101DD"/>
    <w:rsid w:val="44DE1391"/>
    <w:rsid w:val="451B225C"/>
    <w:rsid w:val="452410C9"/>
    <w:rsid w:val="45270C04"/>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F2341E"/>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30BB"/>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63C2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3672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6E23B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B8D9"/>
    <w:rsid w:val="6DF43C2E"/>
    <w:rsid w:val="6DF51CA3"/>
    <w:rsid w:val="6E8335BD"/>
    <w:rsid w:val="6E8E12EF"/>
    <w:rsid w:val="6E972936"/>
    <w:rsid w:val="6ED446C5"/>
    <w:rsid w:val="6F2A7D94"/>
    <w:rsid w:val="6F8331F1"/>
    <w:rsid w:val="6FAE1A09"/>
    <w:rsid w:val="6FD75BF8"/>
    <w:rsid w:val="6FFC75F8"/>
    <w:rsid w:val="707723D0"/>
    <w:rsid w:val="70F5661B"/>
    <w:rsid w:val="71360107"/>
    <w:rsid w:val="713B688E"/>
    <w:rsid w:val="71810C1C"/>
    <w:rsid w:val="71982CF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65CBB"/>
    <w:rsid w:val="75D20F1D"/>
    <w:rsid w:val="75DA2C18"/>
    <w:rsid w:val="75F54412"/>
    <w:rsid w:val="761D08E0"/>
    <w:rsid w:val="765D347C"/>
    <w:rsid w:val="76826699"/>
    <w:rsid w:val="768D17EA"/>
    <w:rsid w:val="76C87133"/>
    <w:rsid w:val="76CD08D5"/>
    <w:rsid w:val="76DB4B92"/>
    <w:rsid w:val="77052AA4"/>
    <w:rsid w:val="77136511"/>
    <w:rsid w:val="77340A39"/>
    <w:rsid w:val="77351FD0"/>
    <w:rsid w:val="77472422"/>
    <w:rsid w:val="777F31F2"/>
    <w:rsid w:val="77D1700D"/>
    <w:rsid w:val="77EC04CC"/>
    <w:rsid w:val="77EDF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E2F90"/>
    <w:rsid w:val="7A3E5150"/>
    <w:rsid w:val="7A4670D6"/>
    <w:rsid w:val="7A534B63"/>
    <w:rsid w:val="7A615382"/>
    <w:rsid w:val="7A67303B"/>
    <w:rsid w:val="7AAB1D04"/>
    <w:rsid w:val="7ABA4368"/>
    <w:rsid w:val="7AD05746"/>
    <w:rsid w:val="7AEF3EB8"/>
    <w:rsid w:val="7B257FFD"/>
    <w:rsid w:val="7B343476"/>
    <w:rsid w:val="7B5A2978"/>
    <w:rsid w:val="7B5A7E4C"/>
    <w:rsid w:val="7B667AF9"/>
    <w:rsid w:val="7B7468F8"/>
    <w:rsid w:val="7BEE0103"/>
    <w:rsid w:val="7C0A0FE4"/>
    <w:rsid w:val="7C254906"/>
    <w:rsid w:val="7C590818"/>
    <w:rsid w:val="7C7C10F6"/>
    <w:rsid w:val="7C853BEA"/>
    <w:rsid w:val="7C881368"/>
    <w:rsid w:val="7CB65C1E"/>
    <w:rsid w:val="7CE27788"/>
    <w:rsid w:val="7D0C32F1"/>
    <w:rsid w:val="7D0F408D"/>
    <w:rsid w:val="7D491C6C"/>
    <w:rsid w:val="7D5429C0"/>
    <w:rsid w:val="7D6E6D43"/>
    <w:rsid w:val="7D741635"/>
    <w:rsid w:val="7DB57A34"/>
    <w:rsid w:val="7DE60973"/>
    <w:rsid w:val="7DEF0916"/>
    <w:rsid w:val="7E1E5218"/>
    <w:rsid w:val="7E9A4E1F"/>
    <w:rsid w:val="7EA7723A"/>
    <w:rsid w:val="7EF56FBB"/>
    <w:rsid w:val="7F0768EB"/>
    <w:rsid w:val="7F143BEC"/>
    <w:rsid w:val="7F715AF2"/>
    <w:rsid w:val="7F886E69"/>
    <w:rsid w:val="7FC70A5D"/>
    <w:rsid w:val="7FFA1EA6"/>
    <w:rsid w:val="BB7FA927"/>
    <w:rsid w:val="ED2BB8D0"/>
    <w:rsid w:val="F5FFD31F"/>
    <w:rsid w:val="FF5E1BB6"/>
    <w:rsid w:val="FFB930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adjustRightInd/>
      <w:ind w:firstLine="420" w:firstLineChars="200"/>
    </w:p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autoRedefine/>
    <w:qFormat/>
    <w:uiPriority w:val="0"/>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autoRedefine/>
    <w:qFormat/>
    <w:uiPriority w:val="0"/>
    <w:pPr>
      <w:tabs>
        <w:tab w:val="center" w:pos="4153"/>
        <w:tab w:val="right" w:pos="8306"/>
      </w:tabs>
      <w:snapToGrid w:val="0"/>
      <w:jc w:val="left"/>
    </w:pPr>
    <w:rPr>
      <w:sz w:val="18"/>
      <w:szCs w:val="18"/>
    </w:rPr>
  </w:style>
  <w:style w:type="paragraph" w:styleId="41">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39"/>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0"/>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0"/>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6"/>
    <w:autoRedefine/>
    <w:qFormat/>
    <w:uiPriority w:val="0"/>
    <w:rPr>
      <w:rFonts w:ascii="宋体"/>
      <w:kern w:val="2"/>
      <w:sz w:val="24"/>
      <w:szCs w:val="21"/>
      <w:lang w:val="zh-CN"/>
    </w:rPr>
  </w:style>
  <w:style w:type="character" w:customStyle="1" w:styleId="180">
    <w:name w:val="标题 9 字符"/>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34"/>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0"/>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autoRedefine/>
    <w:qFormat/>
    <w:uiPriority w:val="99"/>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99"/>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0"/>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0"/>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修订5"/>
    <w:hidden/>
    <w:qFormat/>
    <w:uiPriority w:val="99"/>
    <w:rPr>
      <w:rFonts w:ascii="Times New Roman" w:hAnsi="Times New Roman" w:eastAsia="宋体" w:cs="Times New Roman"/>
      <w:kern w:val="2"/>
      <w:sz w:val="21"/>
      <w:szCs w:val="24"/>
      <w:lang w:val="en-US" w:eastAsia="zh-CN" w:bidi="ar-SA"/>
    </w:rPr>
  </w:style>
  <w:style w:type="character" w:customStyle="1" w:styleId="964">
    <w:name w:val="Char Char214"/>
    <w:qFormat/>
    <w:uiPriority w:val="0"/>
    <w:rPr>
      <w:rFonts w:eastAsia="Century Gothic"/>
      <w:b/>
      <w:bCs/>
      <w:kern w:val="44"/>
      <w:sz w:val="32"/>
      <w:szCs w:val="44"/>
      <w:lang w:val="en-US" w:eastAsia="zh-CN" w:bidi="ar-SA"/>
    </w:rPr>
  </w:style>
  <w:style w:type="character" w:customStyle="1" w:styleId="965">
    <w:name w:val="Char Char122"/>
    <w:qFormat/>
    <w:uiPriority w:val="0"/>
    <w:rPr>
      <w:rFonts w:ascii="Century Gothic" w:hAnsi="楷体_GB2312" w:eastAsia="Century Gothic" w:cs="楷体_GB2312"/>
      <w:kern w:val="2"/>
      <w:sz w:val="21"/>
      <w:szCs w:val="21"/>
      <w:lang w:val="en-US" w:eastAsia="zh-CN" w:bidi="ar-SA"/>
    </w:rPr>
  </w:style>
  <w:style w:type="character" w:customStyle="1" w:styleId="966">
    <w:name w:val="标准文本 Char"/>
    <w:qFormat/>
    <w:uiPriority w:val="0"/>
    <w:rPr>
      <w:rFonts w:eastAsia="宋体" w:cs="宋体"/>
      <w:kern w:val="2"/>
      <w:sz w:val="24"/>
      <w:lang w:val="en-US" w:eastAsia="zh-CN" w:bidi="ar-SA"/>
    </w:rPr>
  </w:style>
  <w:style w:type="character" w:customStyle="1" w:styleId="967">
    <w:name w:val="Char Char38"/>
    <w:qFormat/>
    <w:uiPriority w:val="0"/>
    <w:rPr>
      <w:rFonts w:ascii="Courier New" w:eastAsia="Courier New"/>
      <w:color w:val="FF0000"/>
      <w:kern w:val="2"/>
      <w:sz w:val="24"/>
      <w:szCs w:val="24"/>
      <w:u w:val="single"/>
      <w:lang w:val="en-US" w:eastAsia="zh-CN" w:bidi="ar-SA"/>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0">
    <w:name w:val="Char3 Char Char Char2"/>
    <w:basedOn w:val="1"/>
    <w:qFormat/>
    <w:uiPriority w:val="0"/>
    <w:pPr>
      <w:widowControl/>
      <w:adjustRightInd/>
      <w:spacing w:after="160" w:line="240" w:lineRule="exact"/>
      <w:jc w:val="left"/>
    </w:pPr>
    <w:rPr>
      <w:szCs w:val="20"/>
    </w:rPr>
  </w:style>
  <w:style w:type="paragraph" w:customStyle="1" w:styleId="971">
    <w:name w:val="Char Char Char Char Char Char Char Char3"/>
    <w:basedOn w:val="1"/>
    <w:qFormat/>
    <w:uiPriority w:val="0"/>
    <w:pPr>
      <w:tabs>
        <w:tab w:val="left" w:pos="360"/>
      </w:tabs>
      <w:adjustRightInd/>
    </w:pPr>
    <w:rPr>
      <w:rFonts w:ascii="Calibri" w:hAnsi="Calibri"/>
      <w:szCs w:val="20"/>
    </w:rPr>
  </w:style>
  <w:style w:type="paragraph" w:customStyle="1" w:styleId="972">
    <w:name w:val="纯文本31"/>
    <w:basedOn w:val="1"/>
    <w:qFormat/>
    <w:uiPriority w:val="0"/>
    <w:pPr>
      <w:widowControl/>
      <w:adjustRightInd/>
      <w:jc w:val="left"/>
    </w:pPr>
    <w:rPr>
      <w:rFonts w:hint="eastAsia" w:ascii="宋体" w:hAnsi="Courier New"/>
      <w:szCs w:val="20"/>
    </w:rPr>
  </w:style>
  <w:style w:type="paragraph" w:customStyle="1" w:styleId="973">
    <w:name w:val="No Spacing1"/>
    <w:qFormat/>
    <w:uiPriority w:val="0"/>
    <w:rPr>
      <w:rFonts w:ascii="Times New Roman" w:hAnsi="Times New Roman" w:eastAsia="宋体" w:cs="Times New Roman"/>
      <w:sz w:val="22"/>
      <w:szCs w:val="22"/>
      <w:lang w:val="en-US" w:eastAsia="en-US" w:bidi="ar-SA"/>
    </w:rPr>
  </w:style>
  <w:style w:type="paragraph" w:customStyle="1" w:styleId="974">
    <w:name w:val="表头"/>
    <w:basedOn w:val="1"/>
    <w:qFormat/>
    <w:uiPriority w:val="0"/>
    <w:pPr>
      <w:spacing w:before="60" w:after="60" w:line="420" w:lineRule="atLeast"/>
      <w:jc w:val="left"/>
      <w:textAlignment w:val="baseline"/>
    </w:pPr>
    <w:rPr>
      <w:rFonts w:ascii="黑体" w:eastAsia="黑体"/>
      <w:b/>
      <w:kern w:val="0"/>
      <w:szCs w:val="20"/>
    </w:rPr>
  </w:style>
  <w:style w:type="paragraph" w:customStyle="1" w:styleId="975">
    <w:name w:val="Char Char11 Char Char Char Char Char Char Char Char Char Char Char2"/>
    <w:basedOn w:val="1"/>
    <w:qFormat/>
    <w:uiPriority w:val="0"/>
    <w:pPr>
      <w:adjustRightInd/>
      <w:spacing w:line="360" w:lineRule="auto"/>
    </w:pPr>
    <w:rPr>
      <w:rFonts w:eastAsia="黑体"/>
      <w:snapToGrid w:val="0"/>
      <w:kern w:val="0"/>
      <w:szCs w:val="21"/>
    </w:rPr>
  </w:style>
  <w:style w:type="paragraph" w:customStyle="1" w:styleId="976">
    <w:name w:val="表编号"/>
    <w:basedOn w:val="1"/>
    <w:qFormat/>
    <w:uiPriority w:val="0"/>
    <w:pPr>
      <w:numPr>
        <w:ilvl w:val="7"/>
        <w:numId w:val="1"/>
      </w:numPr>
      <w:adjustRightInd/>
      <w:ind w:firstLine="0"/>
      <w:jc w:val="center"/>
    </w:pPr>
    <w:rPr>
      <w:rFonts w:ascii="Calibri" w:hAnsi="Calibri"/>
      <w:sz w:val="28"/>
      <w:szCs w:val="20"/>
    </w:rPr>
  </w:style>
  <w:style w:type="paragraph" w:customStyle="1" w:styleId="977">
    <w:name w:val="Char Char Char Char3"/>
    <w:basedOn w:val="1"/>
    <w:qFormat/>
    <w:uiPriority w:val="0"/>
    <w:pPr>
      <w:adjustRightInd/>
    </w:pPr>
    <w:rPr>
      <w:szCs w:val="20"/>
    </w:rPr>
  </w:style>
  <w:style w:type="paragraph" w:customStyle="1" w:styleId="978">
    <w:name w:val="纯文本111"/>
    <w:basedOn w:val="1"/>
    <w:qFormat/>
    <w:uiPriority w:val="0"/>
    <w:pPr>
      <w:widowControl/>
      <w:adjustRightInd/>
      <w:jc w:val="left"/>
    </w:pPr>
    <w:rPr>
      <w:rFonts w:hint="eastAsia" w:ascii="宋体" w:hAnsi="Courier New"/>
      <w:szCs w:val="20"/>
    </w:rPr>
  </w:style>
  <w:style w:type="paragraph" w:customStyle="1" w:styleId="979">
    <w:name w:val="Char7"/>
    <w:basedOn w:val="1"/>
    <w:qFormat/>
    <w:uiPriority w:val="0"/>
    <w:pPr>
      <w:adjustRightInd/>
    </w:pPr>
    <w:rPr>
      <w:rFonts w:ascii="Courier New" w:eastAsia="Courier New"/>
      <w:b/>
      <w:sz w:val="32"/>
      <w:szCs w:val="32"/>
    </w:rPr>
  </w:style>
  <w:style w:type="paragraph" w:customStyle="1" w:styleId="980">
    <w:name w:val="DAS正文"/>
    <w:basedOn w:val="1"/>
    <w:autoRedefine/>
    <w:qFormat/>
    <w:uiPriority w:val="0"/>
    <w:pPr>
      <w:adjustRightInd/>
      <w:spacing w:line="360" w:lineRule="auto"/>
      <w:ind w:right="181" w:firstLine="480" w:firstLineChars="200"/>
    </w:pPr>
    <w:rPr>
      <w:rFonts w:ascii="Verdana" w:hAnsi="Verdana"/>
      <w:sz w:val="24"/>
    </w:rPr>
  </w:style>
  <w:style w:type="paragraph" w:customStyle="1" w:styleId="981">
    <w:name w:val="正文文本 24"/>
    <w:basedOn w:val="1"/>
    <w:qFormat/>
    <w:uiPriority w:val="0"/>
    <w:pPr>
      <w:spacing w:line="300" w:lineRule="auto"/>
      <w:jc w:val="center"/>
    </w:pPr>
    <w:rPr>
      <w:rFonts w:hint="eastAsia" w:ascii="Century Gothic" w:hAnsi="Century Gothic"/>
      <w:sz w:val="24"/>
      <w:szCs w:val="20"/>
    </w:rPr>
  </w:style>
  <w:style w:type="paragraph" w:customStyle="1" w:styleId="982">
    <w:name w:val="标书正文1"/>
    <w:basedOn w:val="1"/>
    <w:qFormat/>
    <w:uiPriority w:val="0"/>
    <w:pPr>
      <w:adjustRightInd/>
      <w:spacing w:line="360" w:lineRule="auto"/>
      <w:ind w:firstLine="200" w:firstLineChars="200"/>
      <w:jc w:val="left"/>
    </w:pPr>
    <w:rPr>
      <w:rFonts w:ascii="宋体" w:hAnsi="宋体"/>
      <w:sz w:val="24"/>
    </w:rPr>
  </w:style>
  <w:style w:type="paragraph" w:customStyle="1" w:styleId="983">
    <w:name w:val="Char Char Char Char Char"/>
    <w:basedOn w:val="1"/>
    <w:qFormat/>
    <w:uiPriority w:val="0"/>
    <w:pPr>
      <w:widowControl/>
      <w:adjustRightInd/>
      <w:spacing w:after="160" w:line="240" w:lineRule="exact"/>
      <w:jc w:val="left"/>
    </w:pPr>
    <w:rPr>
      <w:rFonts w:ascii="Verdana" w:hAnsi="Verdana" w:eastAsia="华文细黑"/>
    </w:rPr>
  </w:style>
  <w:style w:type="paragraph" w:customStyle="1" w:styleId="984">
    <w:name w:val="Char13"/>
    <w:basedOn w:val="1"/>
    <w:qFormat/>
    <w:uiPriority w:val="0"/>
    <w:pPr>
      <w:widowControl/>
      <w:adjustRightInd/>
      <w:spacing w:after="160" w:line="240" w:lineRule="exact"/>
      <w:jc w:val="left"/>
    </w:pPr>
    <w:rPr>
      <w:szCs w:val="20"/>
    </w:rPr>
  </w:style>
  <w:style w:type="paragraph" w:customStyle="1" w:styleId="985">
    <w:name w:val="纯文本4"/>
    <w:basedOn w:val="1"/>
    <w:qFormat/>
    <w:uiPriority w:val="0"/>
    <w:pPr>
      <w:adjustRightInd/>
    </w:pPr>
    <w:rPr>
      <w:rFonts w:ascii="宋体" w:hAnsi="Courier New"/>
      <w:szCs w:val="20"/>
    </w:rPr>
  </w:style>
  <w:style w:type="paragraph" w:customStyle="1" w:styleId="986">
    <w:name w:val="title11"/>
    <w:basedOn w:val="1"/>
    <w:qFormat/>
    <w:uiPriority w:val="0"/>
    <w:pPr>
      <w:adjustRightInd/>
      <w:spacing w:before="150"/>
      <w:jc w:val="left"/>
    </w:pPr>
    <w:rPr>
      <w:b/>
      <w:kern w:val="0"/>
    </w:rPr>
  </w:style>
  <w:style w:type="paragraph" w:customStyle="1" w:styleId="98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8">
    <w:name w:val="正文文本缩进 31"/>
    <w:basedOn w:val="1"/>
    <w:qFormat/>
    <w:uiPriority w:val="0"/>
    <w:pPr>
      <w:autoSpaceDE w:val="0"/>
      <w:autoSpaceDN w:val="0"/>
      <w:adjustRightInd/>
      <w:spacing w:line="400" w:lineRule="atLeast"/>
      <w:ind w:firstLine="443" w:firstLineChars="200"/>
      <w:textAlignment w:val="bottom"/>
    </w:pPr>
    <w:rPr>
      <w:rFonts w:eastAsia="黑体"/>
      <w:color w:val="000000"/>
      <w:sz w:val="24"/>
    </w:rPr>
  </w:style>
  <w:style w:type="paragraph" w:customStyle="1" w:styleId="989">
    <w:name w:val="List Paragraph2"/>
    <w:basedOn w:val="1"/>
    <w:qFormat/>
    <w:uiPriority w:val="0"/>
    <w:pPr>
      <w:adjustRightInd/>
      <w:ind w:firstLine="420" w:firstLineChars="200"/>
    </w:pPr>
  </w:style>
  <w:style w:type="paragraph" w:customStyle="1" w:styleId="990">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91">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93">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994">
    <w:name w:val="Char Char2141"/>
    <w:autoRedefine/>
    <w:qFormat/>
    <w:uiPriority w:val="6"/>
    <w:rPr>
      <w:rFonts w:eastAsia="Century Gothic"/>
      <w:b/>
      <w:bCs/>
      <w:kern w:val="44"/>
      <w:sz w:val="32"/>
      <w:szCs w:val="44"/>
      <w:lang w:val="en-US" w:eastAsia="zh-CN" w:bidi="ar-SA"/>
    </w:rPr>
  </w:style>
  <w:style w:type="character" w:customStyle="1" w:styleId="995">
    <w:name w:val="Char Char1221"/>
    <w:autoRedefine/>
    <w:qFormat/>
    <w:uiPriority w:val="0"/>
    <w:rPr>
      <w:rFonts w:ascii="Century Gothic" w:hAnsi="楷体_GB2312" w:eastAsia="Century Gothic" w:cs="楷体_GB2312"/>
      <w:kern w:val="2"/>
      <w:sz w:val="21"/>
      <w:szCs w:val="21"/>
      <w:lang w:val="en-US" w:eastAsia="zh-CN" w:bidi="ar-SA"/>
    </w:rPr>
  </w:style>
  <w:style w:type="character" w:customStyle="1" w:styleId="996">
    <w:name w:val="Char Char381"/>
    <w:autoRedefine/>
    <w:qFormat/>
    <w:uiPriority w:val="0"/>
    <w:rPr>
      <w:rFonts w:ascii="Courier New" w:eastAsia="Courier New"/>
      <w:color w:val="FF0000"/>
      <w:kern w:val="2"/>
      <w:sz w:val="24"/>
      <w:szCs w:val="24"/>
      <w:u w:val="single"/>
      <w:lang w:val="en-US" w:eastAsia="zh-CN" w:bidi="ar-SA"/>
    </w:rPr>
  </w:style>
  <w:style w:type="paragraph" w:customStyle="1" w:styleId="997">
    <w:name w:val="Char3 Char Char Char21"/>
    <w:basedOn w:val="1"/>
    <w:autoRedefine/>
    <w:qFormat/>
    <w:uiPriority w:val="0"/>
    <w:pPr>
      <w:widowControl/>
      <w:adjustRightInd/>
      <w:spacing w:after="160" w:line="240" w:lineRule="exact"/>
      <w:jc w:val="left"/>
    </w:pPr>
    <w:rPr>
      <w:szCs w:val="20"/>
    </w:rPr>
  </w:style>
  <w:style w:type="paragraph" w:customStyle="1" w:styleId="998">
    <w:name w:val="Char Char Char Char Char Char Char Char31"/>
    <w:basedOn w:val="1"/>
    <w:autoRedefine/>
    <w:qFormat/>
    <w:uiPriority w:val="0"/>
    <w:pPr>
      <w:tabs>
        <w:tab w:val="left" w:pos="360"/>
      </w:tabs>
      <w:adjustRightInd/>
    </w:pPr>
    <w:rPr>
      <w:rFonts w:ascii="Calibri" w:hAnsi="Calibri"/>
      <w:szCs w:val="20"/>
    </w:rPr>
  </w:style>
  <w:style w:type="paragraph" w:customStyle="1" w:styleId="999">
    <w:name w:val="纯文本311"/>
    <w:basedOn w:val="1"/>
    <w:autoRedefine/>
    <w:qFormat/>
    <w:uiPriority w:val="0"/>
    <w:pPr>
      <w:widowControl/>
      <w:adjustRightInd/>
      <w:jc w:val="left"/>
    </w:pPr>
    <w:rPr>
      <w:rFonts w:hint="eastAsia" w:ascii="宋体" w:hAnsi="Courier New"/>
      <w:szCs w:val="20"/>
    </w:rPr>
  </w:style>
  <w:style w:type="paragraph" w:customStyle="1" w:styleId="1000">
    <w:name w:val="无间隔3"/>
    <w:autoRedefine/>
    <w:qFormat/>
    <w:uiPriority w:val="0"/>
    <w:rPr>
      <w:rFonts w:ascii="Times New Roman" w:hAnsi="Times New Roman" w:eastAsia="宋体" w:cs="Times New Roman"/>
      <w:sz w:val="22"/>
      <w:szCs w:val="22"/>
      <w:lang w:val="en-US" w:eastAsia="en-US" w:bidi="ar-SA"/>
    </w:rPr>
  </w:style>
  <w:style w:type="paragraph" w:customStyle="1" w:styleId="1001">
    <w:name w:val="Char Char11 Char Char Char Char Char Char Char Char Char Char Char21"/>
    <w:basedOn w:val="1"/>
    <w:autoRedefine/>
    <w:qFormat/>
    <w:uiPriority w:val="0"/>
    <w:pPr>
      <w:adjustRightInd/>
      <w:spacing w:line="360" w:lineRule="auto"/>
    </w:pPr>
    <w:rPr>
      <w:rFonts w:eastAsia="黑体"/>
      <w:snapToGrid w:val="0"/>
      <w:kern w:val="0"/>
      <w:szCs w:val="21"/>
    </w:rPr>
  </w:style>
  <w:style w:type="paragraph" w:customStyle="1" w:styleId="1002">
    <w:name w:val="Char Char Char Char31"/>
    <w:basedOn w:val="1"/>
    <w:autoRedefine/>
    <w:qFormat/>
    <w:uiPriority w:val="0"/>
    <w:pPr>
      <w:adjustRightInd/>
    </w:pPr>
    <w:rPr>
      <w:szCs w:val="20"/>
    </w:rPr>
  </w:style>
  <w:style w:type="paragraph" w:customStyle="1" w:styleId="1003">
    <w:name w:val="Char71"/>
    <w:basedOn w:val="1"/>
    <w:autoRedefine/>
    <w:qFormat/>
    <w:uiPriority w:val="0"/>
    <w:pPr>
      <w:adjustRightInd/>
    </w:pPr>
    <w:rPr>
      <w:rFonts w:ascii="Courier New" w:eastAsia="Courier New"/>
      <w:b/>
      <w:sz w:val="32"/>
      <w:szCs w:val="32"/>
    </w:rPr>
  </w:style>
  <w:style w:type="paragraph" w:customStyle="1" w:styleId="1004">
    <w:name w:val="Char131"/>
    <w:basedOn w:val="1"/>
    <w:autoRedefine/>
    <w:qFormat/>
    <w:uiPriority w:val="0"/>
    <w:pPr>
      <w:widowControl/>
      <w:adjustRightInd/>
      <w:spacing w:after="160" w:line="240" w:lineRule="exact"/>
      <w:jc w:val="left"/>
    </w:pPr>
    <w:rPr>
      <w:szCs w:val="20"/>
    </w:rPr>
  </w:style>
  <w:style w:type="paragraph" w:customStyle="1" w:styleId="1005">
    <w:name w:val="列表段落2"/>
    <w:basedOn w:val="1"/>
    <w:autoRedefine/>
    <w:qFormat/>
    <w:uiPriority w:val="0"/>
    <w:pPr>
      <w:adjustRightInd/>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41238</Words>
  <Characters>43816</Characters>
  <Lines>351</Lines>
  <Paragraphs>98</Paragraphs>
  <TotalTime>28</TotalTime>
  <ScaleCrop>false</ScaleCrop>
  <LinksUpToDate>false</LinksUpToDate>
  <CharactersWithSpaces>47404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黑</cp:lastModifiedBy>
  <cp:lastPrinted>2021-12-29T19:06:00Z</cp:lastPrinted>
  <dcterms:modified xsi:type="dcterms:W3CDTF">2024-04-29T01:18:47Z</dcterms:modified>
  <dc:title>杭州市市民卡扩大发卡工程</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B7AB8DB20329465BB67EA5A9A67177D3_13</vt:lpwstr>
  </property>
  <property fmtid="{D5CDD505-2E9C-101B-9397-08002B2CF9AE}" pid="5" name="woTemplateTypoMode" linkTarget="0">
    <vt:lpwstr>web</vt:lpwstr>
  </property>
  <property fmtid="{D5CDD505-2E9C-101B-9397-08002B2CF9AE}" pid="6" name="woTemplate" linkTarget="0">
    <vt:i4>1</vt:i4>
  </property>
</Properties>
</file>