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rPr>
      </w:pPr>
    </w:p>
    <w:p>
      <w:pPr>
        <w:adjustRightInd/>
        <w:spacing w:line="360" w:lineRule="auto"/>
        <w:jc w:val="both"/>
        <w:rPr>
          <w:rFonts w:hint="eastAsia" w:ascii="宋体" w:hAnsi="宋体" w:eastAsia="宋体" w:cs="宋体"/>
          <w:b/>
          <w:sz w:val="48"/>
          <w:szCs w:val="48"/>
        </w:rPr>
      </w:pPr>
    </w:p>
    <w:p>
      <w:pPr>
        <w:adjustRightInd/>
        <w:spacing w:line="360" w:lineRule="auto"/>
        <w:jc w:val="both"/>
        <w:rPr>
          <w:rFonts w:hint="eastAsia" w:ascii="宋体" w:hAnsi="宋体" w:eastAsia="宋体" w:cs="宋体"/>
          <w:b/>
          <w:bCs/>
          <w:sz w:val="48"/>
          <w:szCs w:val="48"/>
        </w:rPr>
      </w:pPr>
      <w:r>
        <w:rPr>
          <w:rFonts w:hint="eastAsia" w:ascii="宋体" w:hAnsi="宋体" w:eastAsia="宋体" w:cs="宋体"/>
          <w:b/>
          <w:bCs/>
          <w:sz w:val="48"/>
          <w:szCs w:val="48"/>
        </w:rPr>
        <w:t>龙岗污水处理厂提标改造工程——设备工程</w:t>
      </w:r>
    </w:p>
    <w:p>
      <w:pPr>
        <w:adjustRightInd/>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招标文件</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pPr>
        <w:snapToGrid w:val="0"/>
        <w:spacing w:line="360" w:lineRule="auto"/>
        <w:jc w:val="center"/>
        <w:rPr>
          <w:rFonts w:hint="eastAsia" w:ascii="宋体" w:hAnsi="宋体" w:eastAsia="宋体" w:cs="宋体"/>
          <w:sz w:val="32"/>
          <w:szCs w:val="32"/>
          <w:lang w:val="en-US" w:eastAsia="zh-CN"/>
        </w:rPr>
      </w:pPr>
      <w:r>
        <w:rPr>
          <w:rFonts w:hint="eastAsia" w:ascii="宋体" w:hAnsi="宋体" w:cs="宋体"/>
          <w:sz w:val="32"/>
          <w:szCs w:val="32"/>
          <w:lang w:eastAsia="zh-CN"/>
        </w:rPr>
        <w:t>（</w:t>
      </w:r>
      <w:r>
        <w:rPr>
          <w:rFonts w:hint="eastAsia" w:ascii="宋体" w:hAnsi="宋体" w:eastAsia="宋体" w:cs="宋体"/>
          <w:sz w:val="32"/>
          <w:szCs w:val="32"/>
        </w:rPr>
        <w:t>编号:</w:t>
      </w:r>
      <w:r>
        <w:rPr>
          <w:rFonts w:hint="eastAsia" w:ascii="宋体" w:hAnsi="宋体" w:cs="宋体"/>
          <w:sz w:val="32"/>
          <w:szCs w:val="32"/>
          <w:lang w:val="en-US" w:eastAsia="zh-CN"/>
        </w:rPr>
        <w:t>ZD</w:t>
      </w:r>
      <w:r>
        <w:rPr>
          <w:rFonts w:hint="eastAsia" w:ascii="宋体" w:hAnsi="宋体" w:eastAsia="宋体" w:cs="宋体"/>
          <w:sz w:val="32"/>
          <w:szCs w:val="32"/>
          <w:lang w:val="en-US" w:eastAsia="zh-CN"/>
        </w:rPr>
        <w:t>LA（2022）005号</w:t>
      </w:r>
      <w:r>
        <w:rPr>
          <w:rFonts w:hint="eastAsia" w:ascii="宋体" w:hAnsi="宋体" w:cs="宋体"/>
          <w:sz w:val="32"/>
          <w:szCs w:val="32"/>
          <w:lang w:val="en-US" w:eastAsia="zh-CN"/>
        </w:rPr>
        <w:t>）</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pStyle w:val="7"/>
        <w:rPr>
          <w:rFonts w:hint="eastAsia" w:ascii="宋体" w:hAnsi="宋体" w:eastAsia="宋体" w:cs="宋体"/>
          <w:sz w:val="24"/>
        </w:rPr>
      </w:pPr>
    </w:p>
    <w:p>
      <w:pPr>
        <w:rPr>
          <w:rFonts w:hint="eastAsia" w:ascii="宋体" w:hAnsi="宋体" w:eastAsia="宋体" w:cs="宋体"/>
          <w:sz w:val="24"/>
        </w:rPr>
      </w:pPr>
    </w:p>
    <w:p>
      <w:pPr>
        <w:pStyle w:val="7"/>
        <w:rPr>
          <w:rFonts w:hint="eastAsia" w:ascii="宋体" w:hAnsi="宋体" w:eastAsia="宋体" w:cs="宋体"/>
          <w:sz w:val="24"/>
        </w:rPr>
      </w:pPr>
    </w:p>
    <w:p>
      <w:pPr>
        <w:rPr>
          <w:rFonts w:hint="eastAsia"/>
        </w:rPr>
      </w:pPr>
    </w:p>
    <w:p>
      <w:pPr>
        <w:spacing w:line="360" w:lineRule="auto"/>
        <w:rPr>
          <w:rFonts w:hint="eastAsia" w:ascii="宋体" w:hAnsi="宋体" w:eastAsia="宋体" w:cs="宋体"/>
          <w:sz w:val="32"/>
          <w:szCs w:val="32"/>
        </w:rPr>
      </w:pPr>
    </w:p>
    <w:p>
      <w:pPr>
        <w:pStyle w:val="7"/>
        <w:rPr>
          <w:rFonts w:hint="eastAsia"/>
        </w:rPr>
      </w:pPr>
    </w:p>
    <w:p>
      <w:pPr>
        <w:snapToGrid w:val="0"/>
        <w:spacing w:line="360" w:lineRule="auto"/>
        <w:ind w:firstLine="1280" w:firstLineChars="400"/>
        <w:jc w:val="both"/>
        <w:rPr>
          <w:rFonts w:hint="eastAsia" w:ascii="宋体" w:hAnsi="宋体" w:eastAsia="宋体" w:cs="宋体"/>
          <w:sz w:val="32"/>
          <w:szCs w:val="32"/>
        </w:rPr>
      </w:pPr>
      <w:r>
        <w:rPr>
          <w:rFonts w:hint="eastAsia" w:ascii="宋体" w:hAnsi="宋体" w:eastAsia="宋体" w:cs="宋体"/>
          <w:sz w:val="32"/>
          <w:szCs w:val="32"/>
        </w:rPr>
        <w:t>采购单位：杭州市临安区</w:t>
      </w:r>
      <w:r>
        <w:rPr>
          <w:rFonts w:hint="eastAsia" w:ascii="宋体" w:hAnsi="宋体" w:eastAsia="宋体" w:cs="宋体"/>
          <w:sz w:val="32"/>
          <w:szCs w:val="32"/>
          <w:lang w:eastAsia="zh-CN"/>
        </w:rPr>
        <w:t>龙岗</w:t>
      </w:r>
      <w:r>
        <w:rPr>
          <w:rFonts w:hint="eastAsia" w:ascii="宋体" w:hAnsi="宋体" w:eastAsia="宋体" w:cs="宋体"/>
          <w:sz w:val="32"/>
          <w:szCs w:val="32"/>
        </w:rPr>
        <w:t>镇人民政府</w:t>
      </w:r>
    </w:p>
    <w:p>
      <w:pPr>
        <w:snapToGrid w:val="0"/>
        <w:spacing w:line="360" w:lineRule="auto"/>
        <w:ind w:firstLine="1280" w:firstLineChars="400"/>
        <w:jc w:val="both"/>
        <w:rPr>
          <w:rFonts w:hint="eastAsia" w:ascii="宋体" w:hAnsi="宋体" w:eastAsia="宋体" w:cs="宋体"/>
          <w:sz w:val="32"/>
          <w:szCs w:val="32"/>
          <w:lang w:eastAsia="zh-CN"/>
        </w:rPr>
      </w:pPr>
      <w:r>
        <w:rPr>
          <w:rFonts w:hint="eastAsia" w:ascii="宋体" w:hAnsi="宋体" w:eastAsia="宋体" w:cs="宋体"/>
          <w:sz w:val="32"/>
          <w:szCs w:val="32"/>
        </w:rPr>
        <w:t>采购机构：浙江</w:t>
      </w:r>
      <w:r>
        <w:rPr>
          <w:rFonts w:hint="eastAsia" w:ascii="宋体" w:hAnsi="宋体" w:eastAsia="宋体" w:cs="宋体"/>
          <w:sz w:val="32"/>
          <w:szCs w:val="32"/>
          <w:lang w:eastAsia="zh-CN"/>
        </w:rPr>
        <w:t>中达工程造价事务所有限公司</w:t>
      </w:r>
    </w:p>
    <w:p>
      <w:pPr>
        <w:snapToGrid w:val="0"/>
        <w:spacing w:line="360" w:lineRule="auto"/>
        <w:ind w:firstLine="1280" w:firstLineChars="400"/>
        <w:jc w:val="both"/>
        <w:rPr>
          <w:rFonts w:hint="eastAsia" w:ascii="宋体" w:hAnsi="宋体" w:eastAsia="宋体" w:cs="宋体"/>
          <w:sz w:val="32"/>
          <w:szCs w:val="32"/>
        </w:rPr>
      </w:pPr>
      <w:r>
        <w:rPr>
          <w:rFonts w:hint="eastAsia" w:ascii="宋体" w:hAnsi="宋体" w:eastAsia="宋体" w:cs="宋体"/>
          <w:sz w:val="32"/>
          <w:szCs w:val="32"/>
        </w:rPr>
        <w:t>备案单位：杭州市临安区政府采购办公室</w:t>
      </w:r>
    </w:p>
    <w:p>
      <w:pPr>
        <w:snapToGrid w:val="0"/>
        <w:spacing w:line="360" w:lineRule="auto"/>
        <w:ind w:firstLine="2560" w:firstLineChars="800"/>
        <w:jc w:val="both"/>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eastAsia="宋体" w:cs="宋体"/>
          <w:bCs/>
          <w:sz w:val="32"/>
          <w:szCs w:val="32"/>
          <w:lang w:eastAsia="zh-CN"/>
        </w:rPr>
        <w:t>一</w:t>
      </w:r>
      <w:r>
        <w:rPr>
          <w:rFonts w:hint="eastAsia" w:ascii="宋体" w:hAnsi="宋体" w:eastAsia="宋体" w:cs="宋体"/>
          <w:bCs/>
          <w:sz w:val="32"/>
          <w:szCs w:val="32"/>
        </w:rPr>
        <w:t>年</w:t>
      </w:r>
      <w:r>
        <w:rPr>
          <w:rFonts w:hint="eastAsia" w:ascii="宋体" w:hAnsi="宋体" w:cs="宋体"/>
          <w:bCs/>
          <w:sz w:val="32"/>
          <w:szCs w:val="32"/>
          <w:lang w:eastAsia="zh-CN"/>
        </w:rPr>
        <w:t>五</w:t>
      </w:r>
      <w:r>
        <w:rPr>
          <w:rFonts w:hint="eastAsia" w:ascii="宋体" w:hAnsi="宋体" w:eastAsia="宋体" w:cs="宋体"/>
          <w:bCs/>
          <w:sz w:val="32"/>
          <w:szCs w:val="32"/>
        </w:rPr>
        <w:t>月</w:t>
      </w:r>
      <w:r>
        <w:rPr>
          <w:rFonts w:hint="eastAsia" w:ascii="宋体" w:hAnsi="宋体" w:cs="宋体"/>
          <w:bCs/>
          <w:sz w:val="32"/>
          <w:szCs w:val="32"/>
          <w:lang w:eastAsia="zh-CN"/>
        </w:rPr>
        <w:t>五</w:t>
      </w:r>
      <w:r>
        <w:rPr>
          <w:rFonts w:hint="eastAsia" w:ascii="宋体" w:hAnsi="宋体" w:eastAsia="宋体" w:cs="宋体"/>
          <w:bCs/>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eastAsia="宋体" w:cs="宋体"/>
          <w:sz w:val="32"/>
          <w:szCs w:val="32"/>
        </w:rPr>
        <w:t xml:space="preserve">第一部分  </w:t>
      </w:r>
      <w:r>
        <w:rPr>
          <w:rFonts w:hint="eastAsia" w:ascii="宋体" w:hAnsi="宋体" w:cs="宋体"/>
          <w:sz w:val="32"/>
          <w:szCs w:val="32"/>
          <w:lang w:val="en-US" w:eastAsia="zh-CN"/>
        </w:rPr>
        <w:t xml:space="preserve">    </w:t>
      </w:r>
      <w:r>
        <w:rPr>
          <w:rFonts w:hint="eastAsia" w:ascii="宋体" w:hAnsi="宋体" w:eastAsia="宋体" w:cs="宋体"/>
          <w:sz w:val="32"/>
          <w:szCs w:val="32"/>
        </w:rPr>
        <w:t>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val="en-US" w:eastAsia="zh-CN"/>
        </w:rPr>
        <w:t xml:space="preserve">    </w:t>
      </w:r>
      <w:r>
        <w:rPr>
          <w:rFonts w:hint="eastAsia" w:ascii="宋体" w:hAnsi="宋体" w:eastAsia="宋体" w:cs="宋体"/>
          <w:sz w:val="32"/>
          <w:szCs w:val="32"/>
        </w:rPr>
        <w:t>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第三部分  </w:t>
      </w:r>
      <w:r>
        <w:rPr>
          <w:rFonts w:hint="eastAsia" w:ascii="宋体" w:hAnsi="宋体" w:cs="宋体"/>
          <w:sz w:val="32"/>
          <w:szCs w:val="32"/>
          <w:lang w:val="en-US" w:eastAsia="zh-CN"/>
        </w:rPr>
        <w:t xml:space="preserve">    </w:t>
      </w:r>
      <w:r>
        <w:rPr>
          <w:rFonts w:hint="eastAsia" w:ascii="宋体" w:hAnsi="宋体" w:eastAsia="宋体" w:cs="宋体"/>
          <w:sz w:val="32"/>
          <w:szCs w:val="32"/>
        </w:rPr>
        <w:t>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第四部分  </w:t>
      </w:r>
      <w:r>
        <w:rPr>
          <w:rFonts w:hint="eastAsia" w:ascii="宋体" w:hAnsi="宋体" w:cs="宋体"/>
          <w:sz w:val="32"/>
          <w:szCs w:val="32"/>
          <w:lang w:val="en-US" w:eastAsia="zh-CN"/>
        </w:rPr>
        <w:t xml:space="preserve">    </w:t>
      </w:r>
      <w:r>
        <w:rPr>
          <w:rFonts w:hint="eastAsia" w:ascii="宋体" w:hAnsi="宋体" w:eastAsia="宋体" w:cs="宋体"/>
          <w:sz w:val="32"/>
          <w:szCs w:val="32"/>
        </w:rPr>
        <w:t>评标办法</w:t>
      </w:r>
    </w:p>
    <w:p>
      <w:pPr>
        <w:spacing w:line="360" w:lineRule="auto"/>
        <w:ind w:firstLine="1280" w:firstLineChars="400"/>
        <w:rPr>
          <w:rFonts w:hint="eastAsia" w:ascii="宋体" w:hAnsi="宋体" w:eastAsia="宋体" w:cs="宋体"/>
          <w:sz w:val="32"/>
          <w:szCs w:val="32"/>
          <w:lang w:val="en-US" w:eastAsia="zh-CN"/>
        </w:rPr>
      </w:pPr>
      <w:r>
        <w:rPr>
          <w:rFonts w:hint="eastAsia" w:ascii="宋体" w:hAnsi="宋体" w:eastAsia="宋体" w:cs="宋体"/>
          <w:sz w:val="32"/>
          <w:szCs w:val="32"/>
        </w:rPr>
        <w:t xml:space="preserve">第五部分 </w:t>
      </w:r>
      <w:r>
        <w:rPr>
          <w:rFonts w:hint="eastAsia" w:ascii="宋体" w:hAnsi="宋体" w:cs="宋体"/>
          <w:sz w:val="32"/>
          <w:szCs w:val="32"/>
          <w:lang w:val="en-US" w:eastAsia="zh-CN"/>
        </w:rPr>
        <w:t xml:space="preserve">    </w:t>
      </w:r>
      <w:r>
        <w:rPr>
          <w:rFonts w:hint="eastAsia" w:ascii="宋体" w:hAnsi="宋体" w:eastAsia="宋体" w:cs="宋体"/>
          <w:sz w:val="32"/>
          <w:szCs w:val="32"/>
        </w:rPr>
        <w:t xml:space="preserve"> 拟签订的合同文本</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eastAsia="宋体" w:cs="宋体"/>
          <w:sz w:val="32"/>
          <w:szCs w:val="32"/>
        </w:rPr>
        <w:t xml:space="preserve">第六部分  </w:t>
      </w:r>
      <w:r>
        <w:rPr>
          <w:rFonts w:hint="eastAsia" w:ascii="宋体" w:hAnsi="宋体" w:cs="宋体"/>
          <w:sz w:val="32"/>
          <w:szCs w:val="32"/>
          <w:lang w:val="en-US" w:eastAsia="zh-CN"/>
        </w:rPr>
        <w:t xml:space="preserve">    </w:t>
      </w:r>
      <w:r>
        <w:rPr>
          <w:rFonts w:hint="eastAsia" w:ascii="宋体" w:hAnsi="宋体" w:eastAsia="宋体" w:cs="宋体"/>
          <w:sz w:val="32"/>
          <w:szCs w:val="32"/>
        </w:rPr>
        <w:t>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龙岗污水处理厂提标改造工程——设备工程</w:t>
      </w:r>
      <w:r>
        <w:rPr>
          <w:rFonts w:hint="eastAsia" w:ascii="宋体" w:hAnsi="宋体" w:eastAsia="宋体" w:cs="宋体"/>
          <w:sz w:val="24"/>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sz w:val="24"/>
          <w:u w:val="single"/>
        </w:rPr>
        <w:t>202</w:t>
      </w:r>
      <w:r>
        <w:rPr>
          <w:rFonts w:hint="eastAsia" w:ascii="宋体" w:hAnsi="宋体" w:cs="宋体"/>
          <w:sz w:val="24"/>
          <w:u w:val="single"/>
          <w:lang w:val="en-US" w:eastAsia="zh-CN"/>
        </w:rPr>
        <w:t>2</w:t>
      </w:r>
      <w:r>
        <w:rPr>
          <w:rFonts w:hint="eastAsia" w:ascii="宋体" w:hAnsi="宋体" w:eastAsia="宋体" w:cs="宋体"/>
          <w:sz w:val="24"/>
          <w:u w:val="single"/>
        </w:rPr>
        <w:t xml:space="preserve">年 </w:t>
      </w:r>
      <w:r>
        <w:rPr>
          <w:rFonts w:hint="eastAsia" w:ascii="宋体" w:hAnsi="宋体" w:cs="宋体"/>
          <w:sz w:val="24"/>
          <w:u w:val="single"/>
          <w:lang w:val="en-US" w:eastAsia="zh-CN"/>
        </w:rPr>
        <w:t>4</w:t>
      </w:r>
      <w:r>
        <w:rPr>
          <w:rFonts w:hint="eastAsia" w:ascii="宋体" w:hAnsi="宋体" w:eastAsia="宋体" w:cs="宋体"/>
          <w:sz w:val="24"/>
          <w:u w:val="single"/>
        </w:rPr>
        <w:t xml:space="preserve">月 </w:t>
      </w:r>
      <w:r>
        <w:rPr>
          <w:rFonts w:hint="eastAsia" w:ascii="宋体" w:hAnsi="宋体" w:cs="宋体"/>
          <w:sz w:val="24"/>
          <w:u w:val="single"/>
          <w:lang w:val="en-US" w:eastAsia="zh-CN"/>
        </w:rPr>
        <w:t xml:space="preserve">26 </w:t>
      </w:r>
      <w:r>
        <w:rPr>
          <w:rFonts w:hint="eastAsia" w:ascii="宋体" w:hAnsi="宋体" w:eastAsia="宋体" w:cs="宋体"/>
          <w:sz w:val="24"/>
          <w:u w:val="single"/>
        </w:rPr>
        <w:t>日</w:t>
      </w:r>
      <w:r>
        <w:rPr>
          <w:rFonts w:hint="eastAsia" w:ascii="宋体" w:hAnsi="宋体" w:cs="宋体"/>
          <w:sz w:val="24"/>
          <w:u w:val="single"/>
          <w:lang w:val="en-US" w:eastAsia="zh-CN"/>
        </w:rPr>
        <w:t xml:space="preserve"> 14</w:t>
      </w:r>
      <w:r>
        <w:rPr>
          <w:rFonts w:hint="eastAsia" w:ascii="宋体" w:hAnsi="宋体" w:eastAsia="宋体" w:cs="宋体"/>
          <w:sz w:val="24"/>
          <w:u w:val="single"/>
        </w:rPr>
        <w:t xml:space="preserve"> 点 </w:t>
      </w:r>
      <w:r>
        <w:rPr>
          <w:rFonts w:hint="eastAsia" w:ascii="宋体" w:hAnsi="宋体" w:cs="宋体"/>
          <w:sz w:val="24"/>
          <w:u w:val="single"/>
          <w:lang w:val="en-US" w:eastAsia="zh-CN"/>
        </w:rPr>
        <w:t xml:space="preserve">00 </w:t>
      </w:r>
      <w:r>
        <w:rPr>
          <w:rFonts w:hint="eastAsia" w:ascii="宋体" w:hAnsi="宋体" w:eastAsia="宋体" w:cs="宋体"/>
          <w:sz w:val="24"/>
          <w:u w:val="single"/>
        </w:rPr>
        <w:t>分</w:t>
      </w:r>
      <w:r>
        <w:rPr>
          <w:rFonts w:hint="eastAsia" w:ascii="宋体" w:hAnsi="宋体" w:eastAsia="宋体" w:cs="宋体"/>
          <w:bCs/>
          <w:sz w:val="24"/>
          <w:u w:val="single"/>
        </w:rPr>
        <w:t>00秒</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pPr>
        <w:spacing w:line="360" w:lineRule="auto"/>
        <w:rPr>
          <w:rFonts w:hint="eastAsia" w:ascii="宋体" w:hAnsi="宋体" w:eastAsia="宋体" w:cs="宋体"/>
          <w:b/>
          <w:sz w:val="24"/>
        </w:rPr>
      </w:pPr>
      <w:r>
        <w:rPr>
          <w:rFonts w:hint="eastAsia" w:ascii="宋体" w:hAnsi="宋体" w:eastAsia="宋体" w:cs="宋体"/>
          <w:b/>
          <w:sz w:val="24"/>
        </w:rPr>
        <w:t>一、项目基本情况</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b w:val="0"/>
          <w:bCs/>
          <w:sz w:val="24"/>
          <w:lang w:val="en-US" w:eastAsia="zh-CN"/>
        </w:rPr>
        <w:t>ZD</w:t>
      </w:r>
      <w:r>
        <w:rPr>
          <w:rFonts w:hint="eastAsia" w:ascii="宋体" w:hAnsi="宋体" w:eastAsia="宋体" w:cs="宋体"/>
          <w:b w:val="0"/>
          <w:bCs/>
          <w:sz w:val="24"/>
        </w:rPr>
        <w:t>LA</w:t>
      </w:r>
      <w:r>
        <w:rPr>
          <w:rFonts w:hint="eastAsia" w:ascii="宋体" w:hAnsi="宋体" w:eastAsia="宋体" w:cs="宋体"/>
          <w:sz w:val="24"/>
        </w:rPr>
        <w:t>（2022）005号</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eastAsia="宋体" w:cs="宋体"/>
          <w:sz w:val="24"/>
        </w:rPr>
        <w:t>龙岗污水处理厂提标改造工程——设备工程</w:t>
      </w:r>
    </w:p>
    <w:p>
      <w:pPr>
        <w:spacing w:line="360" w:lineRule="auto"/>
        <w:rPr>
          <w:rFonts w:hint="default" w:ascii="宋体" w:hAnsi="宋体" w:eastAsia="宋体" w:cs="宋体"/>
          <w:sz w:val="24"/>
          <w:highlight w:val="green"/>
          <w:lang w:val="en-US" w:eastAsia="zh-CN"/>
        </w:rPr>
      </w:pPr>
      <w:r>
        <w:rPr>
          <w:rFonts w:hint="eastAsia" w:ascii="宋体" w:hAnsi="宋体" w:eastAsia="宋体" w:cs="宋体"/>
          <w:sz w:val="24"/>
        </w:rPr>
        <w:t xml:space="preserve">   </w:t>
      </w:r>
      <w:r>
        <w:rPr>
          <w:rFonts w:hint="eastAsia" w:ascii="宋体" w:hAnsi="宋体" w:eastAsia="宋体" w:cs="宋体"/>
          <w:b/>
          <w:sz w:val="24"/>
        </w:rPr>
        <w:t xml:space="preserve"> </w:t>
      </w:r>
      <w:r>
        <w:rPr>
          <w:rFonts w:hint="eastAsia" w:ascii="宋体" w:hAnsi="宋体" w:eastAsia="宋体" w:cs="宋体"/>
          <w:b/>
          <w:sz w:val="24"/>
          <w:highlight w:val="none"/>
        </w:rPr>
        <w:t>预算金额（</w:t>
      </w:r>
      <w:r>
        <w:rPr>
          <w:rFonts w:hint="eastAsia" w:ascii="宋体" w:hAnsi="宋体" w:cs="宋体"/>
          <w:b/>
          <w:sz w:val="24"/>
          <w:highlight w:val="none"/>
          <w:lang w:eastAsia="zh-CN"/>
        </w:rPr>
        <w:t>万</w:t>
      </w:r>
      <w:r>
        <w:rPr>
          <w:rFonts w:hint="eastAsia" w:ascii="宋体" w:hAnsi="宋体" w:eastAsia="宋体" w:cs="宋体"/>
          <w:b/>
          <w:sz w:val="24"/>
          <w:highlight w:val="none"/>
        </w:rPr>
        <w:t>元）：</w:t>
      </w:r>
      <w:r>
        <w:rPr>
          <w:rFonts w:hint="eastAsia" w:ascii="宋体" w:hAnsi="宋体" w:cs="宋体"/>
          <w:sz w:val="24"/>
          <w:highlight w:val="none"/>
          <w:lang w:val="en-US" w:eastAsia="zh-CN"/>
        </w:rPr>
        <w:t>898.8257</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最高限价（</w:t>
      </w:r>
      <w:r>
        <w:rPr>
          <w:rFonts w:hint="eastAsia" w:ascii="宋体" w:hAnsi="宋体" w:cs="宋体"/>
          <w:b/>
          <w:sz w:val="24"/>
          <w:highlight w:val="none"/>
          <w:lang w:eastAsia="zh-CN"/>
        </w:rPr>
        <w:t>万</w:t>
      </w:r>
      <w:r>
        <w:rPr>
          <w:rFonts w:hint="eastAsia" w:ascii="宋体" w:hAnsi="宋体" w:eastAsia="宋体" w:cs="宋体"/>
          <w:b/>
          <w:sz w:val="24"/>
          <w:highlight w:val="none"/>
        </w:rPr>
        <w:t>元）：</w:t>
      </w:r>
      <w:r>
        <w:rPr>
          <w:rFonts w:hint="eastAsia" w:ascii="宋体" w:hAnsi="宋体" w:eastAsia="宋体" w:cs="宋体"/>
          <w:sz w:val="24"/>
          <w:highlight w:val="none"/>
        </w:rPr>
        <w:t>898.8257</w:t>
      </w:r>
    </w:p>
    <w:p>
      <w:pPr>
        <w:pStyle w:val="18"/>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bCs/>
          <w:snapToGrid/>
          <w:color w:val="auto"/>
          <w:kern w:val="2"/>
          <w:sz w:val="24"/>
          <w:szCs w:val="24"/>
        </w:rPr>
        <w:t>龙岗污水处理厂提标改造工程——设备工程主要内容：龙岗污水处理厂提标改造工程——设备工程位于临安区龙岗镇兴龙村，本工程主要工程内容是对原有池体、设备或管材进行更换或维护，新增和原有建构筑物的配套设备、电气、自控安装工程。详见招标文件第三部分采购需求。</w:t>
      </w:r>
    </w:p>
    <w:p>
      <w:pPr>
        <w:pStyle w:val="128"/>
        <w:ind w:firstLine="482"/>
        <w:outlineLvl w:val="2"/>
        <w:rPr>
          <w:rFonts w:hint="default" w:ascii="宋体" w:hAnsi="宋体" w:eastAsia="宋体" w:cs="宋体"/>
          <w:lang w:val="en-US" w:eastAsia="zh-CN"/>
        </w:rPr>
      </w:pPr>
      <w:r>
        <w:rPr>
          <w:rFonts w:hint="eastAsia" w:ascii="宋体" w:hAnsi="宋体" w:eastAsia="宋体" w:cs="宋体"/>
          <w:b/>
        </w:rPr>
        <w:t>合同履约期限：</w:t>
      </w:r>
      <w:r>
        <w:rPr>
          <w:rFonts w:hint="eastAsia" w:ascii="宋体" w:hAnsi="宋体" w:cs="宋体"/>
          <w:b/>
          <w:lang w:val="en-US" w:eastAsia="zh-CN"/>
        </w:rPr>
        <w:t>150日历天</w:t>
      </w:r>
      <w:bookmarkStart w:id="923" w:name="_GoBack"/>
      <w:bookmarkEnd w:id="923"/>
    </w:p>
    <w:p>
      <w:pPr>
        <w:pStyle w:val="18"/>
        <w:spacing w:line="360" w:lineRule="auto"/>
        <w:ind w:firstLine="480"/>
        <w:rPr>
          <w:rFonts w:hint="eastAsia" w:ascii="宋体" w:hAnsi="宋体" w:eastAsia="宋体" w:cs="宋体"/>
          <w:b/>
          <w:sz w:val="24"/>
        </w:rPr>
      </w:pPr>
      <w:r>
        <w:rPr>
          <w:rFonts w:hint="eastAsia" w:ascii="宋体" w:hAnsi="宋体" w:eastAsia="宋体" w:cs="宋体"/>
          <w:b/>
          <w:color w:val="auto"/>
          <w:sz w:val="24"/>
        </w:rPr>
        <w:t>本项目</w:t>
      </w:r>
      <w:r>
        <w:rPr>
          <w:rFonts w:hint="eastAsia" w:hAnsi="宋体" w:cs="宋体"/>
          <w:b/>
          <w:color w:val="auto"/>
          <w:sz w:val="24"/>
          <w:lang w:eastAsia="zh-CN"/>
        </w:rPr>
        <w:t>不</w:t>
      </w:r>
      <w:r>
        <w:rPr>
          <w:rFonts w:hint="eastAsia" w:ascii="宋体" w:hAnsi="宋体" w:eastAsia="宋体" w:cs="宋体"/>
          <w:b/>
          <w:color w:val="auto"/>
          <w:sz w:val="24"/>
        </w:rPr>
        <w:t>接受联合体投标</w:t>
      </w:r>
      <w:r>
        <w:rPr>
          <w:rFonts w:hint="eastAsia" w:ascii="宋体" w:hAnsi="宋体" w:eastAsia="宋体" w:cs="宋体"/>
          <w:color w:val="auto"/>
          <w:kern w:val="0"/>
          <w:sz w:val="24"/>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lang w:eastAsia="zh-CN"/>
        </w:rPr>
      </w:pPr>
      <w:r>
        <w:rPr>
          <w:rFonts w:hint="eastAsia" w:ascii="宋体" w:hAnsi="宋体" w:eastAsia="宋体" w:cs="宋体"/>
          <w:snapToGrid w:val="0"/>
          <w:kern w:val="28"/>
          <w:sz w:val="24"/>
          <w:szCs w:val="20"/>
        </w:rPr>
        <w:t xml:space="preserve">   </w:t>
      </w:r>
      <w:r>
        <w:rPr>
          <w:rFonts w:hint="eastAsia" w:ascii="宋体" w:hAnsi="宋体" w:eastAsia="宋体" w:cs="宋体"/>
          <w:snapToGrid w:val="0"/>
          <w:kern w:val="28"/>
          <w:sz w:val="24"/>
          <w:szCs w:val="20"/>
          <w:highlight w:val="none"/>
        </w:rPr>
        <w:t xml:space="preserve"> 2.落实政府采购政策需满足的资格要求：</w:t>
      </w:r>
      <w:r>
        <w:rPr>
          <w:rFonts w:hint="eastAsia" w:ascii="宋体" w:hAnsi="宋体" w:cs="宋体"/>
          <w:snapToGrid w:val="0"/>
          <w:kern w:val="28"/>
          <w:sz w:val="24"/>
          <w:szCs w:val="20"/>
          <w:highlight w:val="none"/>
          <w:lang w:eastAsia="zh-CN"/>
        </w:rPr>
        <w:t>无</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3.本项目的特定资格要求：</w:t>
      </w:r>
    </w:p>
    <w:p>
      <w:pPr>
        <w:spacing w:line="360" w:lineRule="auto"/>
        <w:ind w:firstLine="480"/>
        <w:rPr>
          <w:rFonts w:hint="eastAsia" w:ascii="宋体" w:hAnsi="宋体" w:eastAsia="宋体" w:cs="宋体"/>
          <w:snapToGrid w:val="0"/>
          <w:kern w:val="28"/>
          <w:sz w:val="24"/>
          <w:szCs w:val="20"/>
          <w:lang w:val="en-US" w:eastAsia="zh-CN"/>
        </w:rPr>
      </w:pPr>
      <w:r>
        <w:rPr>
          <w:rFonts w:hint="eastAsia" w:ascii="宋体" w:hAnsi="宋体" w:eastAsia="宋体" w:cs="宋体"/>
          <w:snapToGrid w:val="0"/>
          <w:kern w:val="28"/>
          <w:sz w:val="24"/>
          <w:szCs w:val="20"/>
          <w:lang w:val="en-US" w:eastAsia="zh-CN"/>
        </w:rPr>
        <w:t>1、具有独立法人资格；</w:t>
      </w:r>
    </w:p>
    <w:p>
      <w:pPr>
        <w:spacing w:line="360" w:lineRule="auto"/>
        <w:ind w:firstLine="480"/>
        <w:rPr>
          <w:rFonts w:hint="eastAsia" w:ascii="宋体" w:hAnsi="宋体" w:eastAsia="宋体" w:cs="宋体"/>
          <w:snapToGrid w:val="0"/>
          <w:kern w:val="28"/>
          <w:sz w:val="24"/>
          <w:szCs w:val="20"/>
          <w:lang w:val="en-US" w:eastAsia="zh-CN"/>
        </w:rPr>
      </w:pPr>
      <w:r>
        <w:rPr>
          <w:rFonts w:hint="eastAsia" w:ascii="宋体" w:hAnsi="宋体" w:eastAsia="宋体" w:cs="宋体"/>
          <w:snapToGrid w:val="0"/>
          <w:kern w:val="28"/>
          <w:sz w:val="24"/>
          <w:szCs w:val="20"/>
          <w:lang w:val="en-US" w:eastAsia="zh-CN"/>
        </w:rPr>
        <w:t>2、供应商</w:t>
      </w:r>
      <w:r>
        <w:rPr>
          <w:rFonts w:hint="eastAsia" w:ascii="宋体" w:hAnsi="宋体" w:cs="宋体"/>
          <w:snapToGrid w:val="0"/>
          <w:kern w:val="28"/>
          <w:sz w:val="24"/>
          <w:szCs w:val="20"/>
          <w:lang w:val="en-US" w:eastAsia="zh-CN"/>
        </w:rPr>
        <w:t>应同时</w:t>
      </w:r>
      <w:r>
        <w:rPr>
          <w:rFonts w:hint="eastAsia" w:ascii="宋体" w:hAnsi="宋体" w:eastAsia="宋体" w:cs="宋体"/>
          <w:snapToGrid w:val="0"/>
          <w:kern w:val="28"/>
          <w:sz w:val="24"/>
          <w:szCs w:val="20"/>
          <w:lang w:val="en-US" w:eastAsia="zh-CN"/>
        </w:rPr>
        <w:t>具</w:t>
      </w:r>
      <w:r>
        <w:rPr>
          <w:rFonts w:hint="eastAsia" w:ascii="宋体" w:hAnsi="宋体" w:cs="宋体"/>
          <w:snapToGrid w:val="0"/>
          <w:kern w:val="28"/>
          <w:sz w:val="24"/>
          <w:szCs w:val="20"/>
          <w:lang w:val="en-US" w:eastAsia="zh-CN"/>
        </w:rPr>
        <w:t>备市政公用工程施工总承包三级及以上和环保工程专业承包三级及以上</w:t>
      </w:r>
      <w:r>
        <w:rPr>
          <w:rFonts w:hint="eastAsia" w:ascii="宋体" w:hAnsi="宋体" w:eastAsia="宋体" w:cs="宋体"/>
          <w:snapToGrid w:val="0"/>
          <w:kern w:val="28"/>
          <w:sz w:val="24"/>
          <w:szCs w:val="20"/>
          <w:lang w:val="en-US" w:eastAsia="zh-CN"/>
        </w:rPr>
        <w:t>资质的企业，并在人员、设备、资金等方面具有相应的施工能力</w:t>
      </w:r>
      <w:r>
        <w:rPr>
          <w:rFonts w:hint="eastAsia" w:ascii="宋体" w:hAnsi="宋体" w:cs="宋体"/>
          <w:snapToGrid w:val="0"/>
          <w:kern w:val="28"/>
          <w:sz w:val="24"/>
          <w:szCs w:val="20"/>
          <w:lang w:val="en-US" w:eastAsia="zh-CN"/>
        </w:rPr>
        <w:t>；</w:t>
      </w:r>
    </w:p>
    <w:p>
      <w:pPr>
        <w:spacing w:line="360" w:lineRule="auto"/>
        <w:ind w:firstLine="480"/>
        <w:rPr>
          <w:rFonts w:hint="default" w:ascii="宋体" w:hAnsi="宋体" w:eastAsia="宋体" w:cs="宋体"/>
          <w:snapToGrid w:val="0"/>
          <w:kern w:val="28"/>
          <w:sz w:val="24"/>
          <w:szCs w:val="20"/>
          <w:lang w:val="en-US" w:eastAsia="zh-CN"/>
        </w:rPr>
      </w:pP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lang w:val="en-US" w:eastAsia="zh-CN"/>
        </w:rPr>
        <w:t>具有有效的</w:t>
      </w:r>
      <w:r>
        <w:rPr>
          <w:rFonts w:hint="eastAsia" w:ascii="宋体" w:hAnsi="宋体" w:cs="宋体"/>
          <w:snapToGrid w:val="0"/>
          <w:kern w:val="28"/>
          <w:sz w:val="24"/>
          <w:szCs w:val="20"/>
          <w:lang w:val="en-US" w:eastAsia="zh-CN"/>
        </w:rPr>
        <w:t>企业</w:t>
      </w:r>
      <w:r>
        <w:rPr>
          <w:rFonts w:hint="eastAsia" w:ascii="宋体" w:hAnsi="宋体" w:eastAsia="宋体" w:cs="宋体"/>
          <w:snapToGrid w:val="0"/>
          <w:kern w:val="28"/>
          <w:sz w:val="24"/>
          <w:szCs w:val="20"/>
          <w:lang w:val="en-US" w:eastAsia="zh-CN"/>
        </w:rPr>
        <w:t>安全生产许可证；</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三、获取招标文件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202</w:t>
      </w:r>
      <w:r>
        <w:rPr>
          <w:rFonts w:hint="eastAsia" w:ascii="宋体" w:hAnsi="宋体" w:cs="宋体"/>
          <w:sz w:val="24"/>
          <w:u w:val="single"/>
          <w:lang w:val="en-US" w:eastAsia="zh-CN"/>
        </w:rPr>
        <w:t>2</w:t>
      </w:r>
      <w:r>
        <w:rPr>
          <w:rFonts w:hint="eastAsia" w:ascii="宋体" w:hAnsi="宋体" w:eastAsia="宋体" w:cs="宋体"/>
          <w:sz w:val="24"/>
          <w:u w:val="single"/>
        </w:rPr>
        <w:t xml:space="preserve"> 年</w:t>
      </w:r>
      <w:r>
        <w:rPr>
          <w:rFonts w:hint="eastAsia" w:ascii="宋体" w:hAnsi="宋体" w:cs="宋体"/>
          <w:sz w:val="24"/>
          <w:u w:val="single"/>
          <w:lang w:val="en-US" w:eastAsia="zh-CN"/>
        </w:rPr>
        <w:t>5</w:t>
      </w:r>
      <w:r>
        <w:rPr>
          <w:rFonts w:hint="eastAsia" w:ascii="宋体" w:hAnsi="宋体" w:eastAsia="宋体" w:cs="宋体"/>
          <w:sz w:val="24"/>
          <w:u w:val="single"/>
        </w:rPr>
        <w:t xml:space="preserve"> 月</w:t>
      </w:r>
      <w:r>
        <w:rPr>
          <w:rFonts w:hint="eastAsia" w:ascii="宋体" w:hAnsi="宋体" w:cs="宋体"/>
          <w:sz w:val="24"/>
          <w:u w:val="single"/>
          <w:lang w:val="en-US" w:eastAsia="zh-CN"/>
        </w:rPr>
        <w:t>26</w:t>
      </w:r>
      <w:r>
        <w:rPr>
          <w:rFonts w:hint="eastAsia" w:ascii="宋体" w:hAnsi="宋体" w:eastAsia="宋体" w:cs="宋体"/>
          <w:sz w:val="24"/>
          <w:u w:val="single"/>
        </w:rPr>
        <w:t xml:space="preserve"> 日</w:t>
      </w:r>
      <w:r>
        <w:rPr>
          <w:rFonts w:hint="eastAsia" w:ascii="宋体" w:hAnsi="宋体" w:eastAsia="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p>
    <w:p>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sz w:val="24"/>
          <w:u w:val="single"/>
        </w:rPr>
        <w:t xml:space="preserve"> 202</w:t>
      </w:r>
      <w:r>
        <w:rPr>
          <w:rFonts w:hint="eastAsia" w:ascii="宋体" w:hAnsi="宋体" w:cs="宋体"/>
          <w:sz w:val="24"/>
          <w:u w:val="single"/>
          <w:lang w:val="en-US" w:eastAsia="zh-CN"/>
        </w:rPr>
        <w:t>2</w:t>
      </w:r>
      <w:r>
        <w:rPr>
          <w:rFonts w:hint="eastAsia" w:ascii="宋体" w:hAnsi="宋体" w:eastAsia="宋体" w:cs="宋体"/>
          <w:sz w:val="24"/>
          <w:u w:val="single"/>
        </w:rPr>
        <w:t xml:space="preserve"> 年</w:t>
      </w:r>
      <w:r>
        <w:rPr>
          <w:rFonts w:hint="eastAsia" w:ascii="宋体" w:hAnsi="宋体" w:cs="宋体"/>
          <w:sz w:val="24"/>
          <w:u w:val="single"/>
          <w:lang w:val="en-US" w:eastAsia="zh-CN"/>
        </w:rPr>
        <w:t>5</w:t>
      </w:r>
      <w:r>
        <w:rPr>
          <w:rFonts w:hint="eastAsia" w:ascii="宋体" w:hAnsi="宋体" w:eastAsia="宋体" w:cs="宋体"/>
          <w:sz w:val="24"/>
          <w:u w:val="single"/>
        </w:rPr>
        <w:t xml:space="preserve"> 月</w:t>
      </w:r>
      <w:r>
        <w:rPr>
          <w:rFonts w:hint="eastAsia" w:ascii="宋体" w:hAnsi="宋体" w:cs="宋体"/>
          <w:sz w:val="24"/>
          <w:u w:val="single"/>
          <w:lang w:val="en-US" w:eastAsia="zh-CN"/>
        </w:rPr>
        <w:t>26</w:t>
      </w:r>
      <w:r>
        <w:rPr>
          <w:rFonts w:hint="eastAsia" w:ascii="宋体" w:hAnsi="宋体" w:eastAsia="宋体" w:cs="宋体"/>
          <w:sz w:val="24"/>
          <w:u w:val="single"/>
        </w:rPr>
        <w:t xml:space="preserve"> 日</w:t>
      </w:r>
      <w:r>
        <w:rPr>
          <w:rFonts w:hint="eastAsia" w:ascii="宋体" w:hAnsi="宋体" w:cs="宋体"/>
          <w:sz w:val="24"/>
          <w:u w:val="single"/>
          <w:lang w:val="en-US" w:eastAsia="zh-CN"/>
        </w:rPr>
        <w:t>14</w:t>
      </w:r>
      <w:r>
        <w:rPr>
          <w:rFonts w:hint="eastAsia" w:ascii="宋体" w:hAnsi="宋体" w:eastAsia="宋体" w:cs="宋体"/>
          <w:sz w:val="24"/>
          <w:u w:val="single"/>
        </w:rPr>
        <w:t xml:space="preserve"> 点 </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 xml:space="preserve"> </w:t>
      </w:r>
      <w:r>
        <w:rPr>
          <w:rFonts w:hint="eastAsia" w:ascii="宋体" w:hAnsi="宋体" w:eastAsia="宋体" w:cs="宋体"/>
          <w:sz w:val="24"/>
        </w:rPr>
        <w:t>（北京时间）</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eastAsia="宋体" w:cs="宋体"/>
          <w:sz w:val="24"/>
          <w:u w:val="single"/>
        </w:rPr>
        <w:t>202</w:t>
      </w:r>
      <w:r>
        <w:rPr>
          <w:rFonts w:hint="eastAsia" w:ascii="宋体" w:hAnsi="宋体" w:cs="宋体"/>
          <w:sz w:val="24"/>
          <w:u w:val="single"/>
          <w:lang w:val="en-US" w:eastAsia="zh-CN"/>
        </w:rPr>
        <w:t>2</w:t>
      </w:r>
      <w:r>
        <w:rPr>
          <w:rFonts w:hint="eastAsia" w:ascii="宋体" w:hAnsi="宋体" w:eastAsia="宋体" w:cs="宋体"/>
          <w:sz w:val="24"/>
          <w:u w:val="single"/>
        </w:rPr>
        <w:t xml:space="preserve"> 年</w:t>
      </w:r>
      <w:r>
        <w:rPr>
          <w:rFonts w:hint="eastAsia" w:ascii="宋体" w:hAnsi="宋体" w:cs="宋体"/>
          <w:sz w:val="24"/>
          <w:u w:val="single"/>
          <w:lang w:val="en-US" w:eastAsia="zh-CN"/>
        </w:rPr>
        <w:t>5</w:t>
      </w:r>
      <w:r>
        <w:rPr>
          <w:rFonts w:hint="eastAsia" w:ascii="宋体" w:hAnsi="宋体" w:eastAsia="宋体" w:cs="宋体"/>
          <w:sz w:val="24"/>
          <w:u w:val="single"/>
        </w:rPr>
        <w:t xml:space="preserve"> 月 </w:t>
      </w:r>
      <w:r>
        <w:rPr>
          <w:rFonts w:hint="eastAsia" w:ascii="宋体" w:hAnsi="宋体" w:cs="宋体"/>
          <w:sz w:val="24"/>
          <w:u w:val="single"/>
          <w:lang w:val="en-US" w:eastAsia="zh-CN"/>
        </w:rPr>
        <w:t>26</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 xml:space="preserve"> 点</w:t>
      </w:r>
      <w:r>
        <w:rPr>
          <w:rFonts w:hint="eastAsia" w:ascii="宋体" w:hAnsi="宋体" w:cs="宋体"/>
          <w:sz w:val="24"/>
          <w:u w:val="single"/>
          <w:lang w:val="en-US" w:eastAsia="zh-CN"/>
        </w:rPr>
        <w:t>00</w:t>
      </w:r>
      <w:r>
        <w:rPr>
          <w:rFonts w:hint="eastAsia" w:ascii="宋体" w:hAnsi="宋体" w:eastAsia="宋体" w:cs="宋体"/>
          <w:sz w:val="24"/>
          <w:u w:val="single"/>
        </w:rPr>
        <w:t xml:space="preserve"> 分</w:t>
      </w:r>
      <w:r>
        <w:rPr>
          <w:rFonts w:hint="eastAsia" w:ascii="宋体" w:hAnsi="宋体" w:eastAsia="宋体" w:cs="宋体"/>
          <w:bCs/>
          <w:sz w:val="24"/>
          <w:u w:val="single"/>
        </w:rPr>
        <w:t xml:space="preserve">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cs="宋体"/>
          <w:b/>
          <w:sz w:val="24"/>
          <w:lang w:eastAsia="zh-CN"/>
        </w:rPr>
        <w:t>浙江中达工程造价事务所有限公司临安分公司开标室</w:t>
      </w:r>
      <w:r>
        <w:rPr>
          <w:rFonts w:hint="eastAsia" w:ascii="宋体" w:hAnsi="宋体" w:cs="宋体"/>
          <w:b/>
          <w:sz w:val="24"/>
          <w:lang w:val="en-US" w:eastAsia="zh-CN"/>
        </w:rPr>
        <w:t>(杭州市临安区临天路大华文锦商厦3楼）</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eastAsia="宋体" w:cs="宋体"/>
          <w:b/>
          <w:bCs/>
          <w:sz w:val="24"/>
        </w:rPr>
        <w:t>投标人仅提交备份投标文件，没有在电子交易平台传输递交投标文件的，投标无效；</w:t>
      </w:r>
      <w:r>
        <w:rPr>
          <w:rFonts w:hint="eastAsia" w:ascii="宋体" w:hAnsi="宋体" w:eastAsia="宋体" w:cs="宋体"/>
          <w:sz w:val="24"/>
        </w:rPr>
        <w:t>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pPr>
        <w:spacing w:line="360" w:lineRule="auto"/>
        <w:rPr>
          <w:rFonts w:hint="eastAsia" w:ascii="宋体" w:hAnsi="宋体" w:eastAsia="宋体" w:cs="宋体"/>
          <w:sz w:val="24"/>
        </w:rPr>
      </w:pPr>
      <w:r>
        <w:rPr>
          <w:rFonts w:hint="eastAsia" w:ascii="宋体" w:hAnsi="宋体" w:eastAsia="宋体" w:cs="宋体"/>
          <w:sz w:val="24"/>
        </w:rPr>
        <w:t xml:space="preserve">    名    称：杭州市临安区龙岗镇人民政府</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地    址：杭州市临安区龙岗镇</w:t>
      </w:r>
      <w:r>
        <w:rPr>
          <w:rFonts w:hint="eastAsia" w:ascii="宋体" w:hAnsi="宋体" w:cs="宋体"/>
          <w:sz w:val="24"/>
          <w:lang w:eastAsia="zh-CN"/>
        </w:rPr>
        <w:t>龙岗街</w:t>
      </w:r>
      <w:r>
        <w:rPr>
          <w:rFonts w:hint="eastAsia" w:ascii="宋体" w:hAnsi="宋体" w:cs="宋体"/>
          <w:sz w:val="24"/>
          <w:lang w:val="en-US" w:eastAsia="zh-CN"/>
        </w:rPr>
        <w:t>127号</w:t>
      </w:r>
    </w:p>
    <w:p>
      <w:pPr>
        <w:spacing w:line="360" w:lineRule="auto"/>
        <w:ind w:firstLine="480"/>
        <w:rPr>
          <w:rFonts w:hint="eastAsia" w:ascii="宋体" w:hAnsi="宋体" w:eastAsia="宋体" w:cs="宋体"/>
          <w:sz w:val="24"/>
        </w:rPr>
      </w:pPr>
      <w:r>
        <w:rPr>
          <w:rFonts w:hint="eastAsia" w:ascii="宋体" w:hAnsi="宋体" w:eastAsia="宋体" w:cs="宋体"/>
          <w:sz w:val="24"/>
        </w:rPr>
        <w:t>传    真： /</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朱胜</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项目联系方式（询问）：0571-63633296</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cs="宋体"/>
          <w:sz w:val="24"/>
          <w:lang w:eastAsia="zh-CN"/>
        </w:rPr>
        <w:t>赵胜云</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质疑联系方式：13116719872</w:t>
      </w:r>
    </w:p>
    <w:p>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w:t>
      </w:r>
    </w:p>
    <w:p>
      <w:pPr>
        <w:spacing w:line="360" w:lineRule="auto"/>
        <w:ind w:firstLine="48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浙江中达工程造价事务所有限公司</w:t>
      </w:r>
    </w:p>
    <w:p>
      <w:pPr>
        <w:spacing w:line="360" w:lineRule="auto"/>
        <w:ind w:firstLine="480"/>
        <w:rPr>
          <w:rFonts w:hint="default" w:ascii="宋体" w:hAnsi="宋体" w:eastAsia="宋体" w:cs="宋体"/>
          <w:sz w:val="24"/>
          <w:lang w:val="en-US" w:eastAsia="zh-CN"/>
        </w:rPr>
      </w:pPr>
      <w:r>
        <w:rPr>
          <w:rFonts w:hint="eastAsia" w:ascii="宋体" w:hAnsi="宋体" w:eastAsia="宋体" w:cs="宋体"/>
          <w:sz w:val="24"/>
        </w:rPr>
        <w:t>地    址：</w:t>
      </w:r>
      <w:r>
        <w:rPr>
          <w:rFonts w:hint="eastAsia" w:ascii="宋体" w:hAnsi="宋体" w:cs="宋体"/>
          <w:sz w:val="24"/>
          <w:lang w:eastAsia="zh-CN"/>
        </w:rPr>
        <w:t>杭州市临安区临天路</w:t>
      </w:r>
      <w:r>
        <w:rPr>
          <w:rFonts w:hint="eastAsia" w:ascii="宋体" w:hAnsi="宋体" w:cs="宋体"/>
          <w:sz w:val="24"/>
          <w:lang w:val="en-US" w:eastAsia="zh-CN"/>
        </w:rPr>
        <w:t>1884号大华文锦商厦3楼</w:t>
      </w:r>
    </w:p>
    <w:p>
      <w:pPr>
        <w:spacing w:line="360" w:lineRule="auto"/>
        <w:rPr>
          <w:rFonts w:hint="eastAsia" w:ascii="宋体" w:hAnsi="宋体" w:eastAsia="宋体" w:cs="宋体"/>
          <w:sz w:val="24"/>
        </w:rPr>
      </w:pPr>
      <w:r>
        <w:rPr>
          <w:rFonts w:hint="eastAsia" w:ascii="宋体" w:hAnsi="宋体" w:eastAsia="宋体" w:cs="宋体"/>
          <w:sz w:val="24"/>
        </w:rPr>
        <w:t xml:space="preserve">    传    真：/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林圆圆</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0571-61076256</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cs="宋体"/>
          <w:sz w:val="24"/>
          <w:lang w:eastAsia="zh-CN"/>
        </w:rPr>
        <w:t>邵一卿</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质疑联系方式：</w:t>
      </w:r>
      <w:r>
        <w:rPr>
          <w:rFonts w:hint="eastAsia" w:ascii="宋体" w:hAnsi="宋体" w:cs="宋体"/>
          <w:sz w:val="24"/>
          <w:lang w:val="en-US" w:eastAsia="zh-CN"/>
        </w:rPr>
        <w:t>18405815232</w:t>
      </w:r>
    </w:p>
    <w:p>
      <w:pPr>
        <w:spacing w:line="360" w:lineRule="auto"/>
        <w:rPr>
          <w:rFonts w:hint="eastAsia" w:ascii="宋体" w:hAnsi="宋体" w:eastAsia="宋体" w:cs="宋体"/>
          <w:sz w:val="24"/>
        </w:rPr>
      </w:pPr>
      <w:r>
        <w:rPr>
          <w:rFonts w:hint="eastAsia" w:ascii="宋体" w:hAnsi="宋体" w:eastAsia="宋体" w:cs="宋体"/>
          <w:sz w:val="24"/>
        </w:rPr>
        <w:t xml:space="preserve">    3.同级政府采购监督管理部门</w:t>
      </w:r>
    </w:p>
    <w:p>
      <w:pPr>
        <w:spacing w:line="360" w:lineRule="auto"/>
        <w:rPr>
          <w:rFonts w:hint="eastAsia" w:ascii="宋体" w:hAnsi="宋体" w:eastAsia="宋体" w:cs="宋体"/>
          <w:sz w:val="24"/>
        </w:rPr>
      </w:pPr>
      <w:r>
        <w:rPr>
          <w:rFonts w:hint="eastAsia" w:ascii="宋体" w:hAnsi="宋体" w:eastAsia="宋体" w:cs="宋体"/>
          <w:sz w:val="24"/>
        </w:rPr>
        <w:t xml:space="preserve">    名    称：杭州市临安区财政局政府采购监管科 </w:t>
      </w:r>
    </w:p>
    <w:p>
      <w:pPr>
        <w:spacing w:line="360" w:lineRule="auto"/>
        <w:rPr>
          <w:rFonts w:hint="eastAsia" w:ascii="宋体" w:hAnsi="宋体" w:eastAsia="宋体" w:cs="宋体"/>
          <w:sz w:val="24"/>
        </w:rPr>
      </w:pPr>
      <w:r>
        <w:rPr>
          <w:rFonts w:hint="eastAsia" w:ascii="宋体" w:hAnsi="宋体" w:eastAsia="宋体" w:cs="宋体"/>
          <w:sz w:val="24"/>
        </w:rPr>
        <w:t xml:space="preserve">    地    址：杭州市临安区锦北街道科技大道4398号市民中心4号楼B座1129</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 xml:space="preserve">  传    真：0571-63722886</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联系人 ：喻</w:t>
      </w:r>
      <w:r>
        <w:rPr>
          <w:rFonts w:hint="eastAsia" w:ascii="宋体" w:hAnsi="宋体" w:cs="宋体"/>
          <w:sz w:val="24"/>
          <w:lang w:eastAsia="zh-CN"/>
        </w:rPr>
        <w:t>先生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监督投诉电话：0571-61073953</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7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7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727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b/>
                <w:bCs/>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727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both"/>
              <w:rPr>
                <w:rFonts w:hint="eastAsia" w:ascii="宋体" w:hAnsi="宋体" w:eastAsia="宋体" w:cs="宋体"/>
                <w:sz w:val="24"/>
                <w:szCs w:val="20"/>
              </w:rPr>
            </w:pPr>
            <w:r>
              <w:rPr>
                <w:rFonts w:hint="eastAsia" w:ascii="宋体" w:hAnsi="宋体" w:eastAsia="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both"/>
              <w:rPr>
                <w:rFonts w:hint="eastAsia" w:ascii="宋体" w:hAnsi="宋体" w:eastAsia="宋体" w:cs="宋体"/>
                <w:b/>
                <w:sz w:val="24"/>
              </w:rPr>
            </w:pPr>
            <w:r>
              <w:rPr>
                <w:rFonts w:hint="eastAsia" w:ascii="宋体" w:hAnsi="宋体" w:eastAsia="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both"/>
              <w:rPr>
                <w:rFonts w:hint="eastAsia" w:ascii="宋体" w:hAnsi="宋体" w:eastAsia="宋体" w:cs="宋体"/>
                <w:b/>
                <w:kern w:val="0"/>
                <w:sz w:val="24"/>
                <w:lang w:val="zh-CN"/>
              </w:rPr>
            </w:pPr>
            <w:r>
              <w:rPr>
                <w:rFonts w:hint="eastAsia" w:ascii="宋体" w:hAnsi="宋体" w:eastAsia="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both"/>
              <w:rPr>
                <w:rFonts w:hint="eastAsia"/>
              </w:rPr>
            </w:pPr>
            <w:r>
              <w:rPr>
                <w:rFonts w:hint="eastAsia" w:ascii="宋体" w:hAnsi="宋体" w:eastAsia="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jc w:val="both"/>
              <w:rPr>
                <w:rFonts w:hint="eastAsia" w:ascii="宋体" w:hAnsi="宋体" w:eastAsia="宋体" w:cs="宋体"/>
                <w:sz w:val="24"/>
                <w:lang w:eastAsia="zh-CN"/>
              </w:rPr>
            </w:pPr>
            <w:r>
              <w:rPr>
                <w:rFonts w:hint="eastAsia" w:ascii="宋体" w:hAnsi="宋体" w:cs="宋体"/>
                <w:kern w:val="0"/>
                <w:sz w:val="24"/>
                <w:lang w:eastAsia="zh-CN"/>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7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lang w:val="en-US"/>
              </w:rPr>
            </w:pPr>
            <w:r>
              <w:rPr>
                <w:rFonts w:hint="eastAsia" w:ascii="宋体" w:hAnsi="宋体" w:eastAsia="宋体" w:cs="宋体"/>
                <w:kern w:val="0"/>
                <w:sz w:val="24"/>
              </w:rPr>
              <w:t>（1）标的：</w:t>
            </w:r>
            <w:r>
              <w:rPr>
                <w:rFonts w:hint="eastAsia" w:ascii="宋体" w:hAnsi="宋体" w:eastAsia="宋体" w:cs="宋体"/>
                <w:kern w:val="0"/>
                <w:sz w:val="24"/>
                <w:u w:val="single"/>
              </w:rPr>
              <w:t>龙岗污水处理厂提标改造工程——设备工程</w:t>
            </w:r>
            <w:r>
              <w:rPr>
                <w:rFonts w:hint="eastAsia" w:ascii="宋体" w:hAnsi="宋体" w:eastAsia="宋体" w:cs="宋体"/>
                <w:kern w:val="0"/>
                <w:sz w:val="24"/>
              </w:rPr>
              <w:t>，属于</w:t>
            </w:r>
            <w:r>
              <w:rPr>
                <w:rFonts w:hint="eastAsia" w:ascii="宋体" w:hAnsi="宋体" w:cs="宋体"/>
                <w:kern w:val="0"/>
                <w:sz w:val="24"/>
                <w:u w:val="single"/>
                <w:lang w:eastAsia="zh-CN"/>
              </w:rPr>
              <w:t>建筑</w:t>
            </w:r>
            <w:r>
              <w:rPr>
                <w:rFonts w:hint="eastAsia" w:ascii="宋体" w:hAnsi="宋体" w:eastAsia="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727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1"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7"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rPr>
            </w:pP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727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杭州市临安区临天路1884号大华文锦商厦3楼</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0571-61076256</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lang w:eastAsia="zh-CN"/>
              </w:rPr>
            </w:pPr>
            <w:r>
              <w:rPr>
                <w:rFonts w:hint="eastAsia" w:ascii="宋体" w:hAnsi="宋体" w:cs="宋体"/>
                <w:b/>
                <w:sz w:val="24"/>
                <w:lang w:eastAsia="zh-CN"/>
              </w:rPr>
              <w:t>采购代理费</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b/>
                <w:bCs/>
                <w:snapToGrid w:val="0"/>
                <w:kern w:val="28"/>
                <w:sz w:val="24"/>
              </w:rPr>
              <w:t>采购代理服务费</w:t>
            </w:r>
            <w:r>
              <w:rPr>
                <w:rFonts w:hint="eastAsia" w:ascii="宋体" w:hAnsi="宋体" w:cs="宋体"/>
                <w:b/>
                <w:bCs/>
                <w:snapToGrid w:val="0"/>
                <w:kern w:val="28"/>
                <w:sz w:val="24"/>
                <w:lang w:eastAsia="zh-CN"/>
              </w:rPr>
              <w:t>及</w:t>
            </w:r>
            <w:r>
              <w:rPr>
                <w:rFonts w:hint="eastAsia" w:ascii="宋体" w:hAnsi="宋体" w:eastAsia="宋体" w:cs="宋体"/>
                <w:b/>
                <w:bCs/>
                <w:snapToGrid w:val="0"/>
                <w:kern w:val="28"/>
                <w:sz w:val="24"/>
              </w:rPr>
              <w:t>评审专家费由</w:t>
            </w:r>
            <w:r>
              <w:rPr>
                <w:rFonts w:hint="eastAsia" w:ascii="宋体" w:hAnsi="宋体" w:cs="宋体"/>
                <w:b/>
                <w:bCs/>
                <w:snapToGrid w:val="0"/>
                <w:kern w:val="28"/>
                <w:sz w:val="24"/>
                <w:lang w:eastAsia="zh-CN"/>
              </w:rPr>
              <w:t>中标人</w:t>
            </w:r>
            <w:r>
              <w:rPr>
                <w:rFonts w:hint="eastAsia" w:ascii="宋体" w:hAnsi="宋体" w:eastAsia="宋体" w:cs="宋体"/>
                <w:b/>
                <w:bCs/>
                <w:snapToGrid w:val="0"/>
                <w:kern w:val="28"/>
                <w:sz w:val="24"/>
              </w:rPr>
              <w:t>支付，按照发改价格〔2011〕534号文件规定收费标准的80%收取（最低4000元，不含评审专家费）。费用在发出成交通知书前付清。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727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为保证项目质量，防止投标人恶意低价竞争行为损害项目建设，本项目对报价过低的供应商将提高履约保证金，即投标人的投标报价如低于投标最高限价的80%</w:t>
            </w:r>
            <w:r>
              <w:rPr>
                <w:rFonts w:hint="eastAsia" w:ascii="宋体" w:hAnsi="宋体" w:eastAsia="宋体" w:cs="宋体"/>
                <w:snapToGrid w:val="0"/>
                <w:kern w:val="28"/>
                <w:sz w:val="24"/>
                <w:highlight w:val="none"/>
              </w:rPr>
              <w:t>（</w:t>
            </w:r>
            <w:r>
              <w:rPr>
                <w:rFonts w:hint="eastAsia" w:ascii="宋体" w:hAnsi="宋体" w:cs="宋体"/>
                <w:snapToGrid w:val="0"/>
                <w:kern w:val="28"/>
                <w:sz w:val="24"/>
                <w:highlight w:val="none"/>
                <w:lang w:val="en-US" w:eastAsia="zh-CN"/>
              </w:rPr>
              <w:t>719.0606</w:t>
            </w:r>
            <w:r>
              <w:rPr>
                <w:rFonts w:hint="eastAsia" w:ascii="宋体" w:hAnsi="宋体" w:eastAsia="宋体" w:cs="宋体"/>
                <w:snapToGrid w:val="0"/>
                <w:kern w:val="28"/>
                <w:sz w:val="24"/>
                <w:highlight w:val="none"/>
              </w:rPr>
              <w:t>万元</w:t>
            </w:r>
            <w:r>
              <w:rPr>
                <w:rFonts w:hint="eastAsia" w:ascii="宋体" w:hAnsi="宋体" w:eastAsia="宋体" w:cs="宋体"/>
                <w:snapToGrid w:val="0"/>
                <w:kern w:val="28"/>
                <w:sz w:val="24"/>
              </w:rPr>
              <w:t>）并成为第一中标候选人的，投标人须在原有</w:t>
            </w:r>
            <w:r>
              <w:rPr>
                <w:rFonts w:hint="eastAsia" w:ascii="宋体" w:hAnsi="宋体" w:cs="宋体"/>
                <w:snapToGrid w:val="0"/>
                <w:kern w:val="28"/>
                <w:sz w:val="24"/>
                <w:u w:val="single"/>
                <w:lang w:val="en-US" w:eastAsia="zh-CN"/>
              </w:rPr>
              <w:t xml:space="preserve"> </w:t>
            </w:r>
            <w:r>
              <w:rPr>
                <w:rFonts w:hint="eastAsia" w:ascii="宋体" w:hAnsi="宋体" w:eastAsia="宋体" w:cs="宋体"/>
                <w:snapToGrid w:val="0"/>
                <w:kern w:val="28"/>
                <w:sz w:val="24"/>
                <w:u w:val="single"/>
              </w:rPr>
              <w:t>2%</w:t>
            </w:r>
            <w:r>
              <w:rPr>
                <w:rFonts w:hint="eastAsia" w:ascii="宋体" w:hAnsi="宋体" w:cs="宋体"/>
                <w:snapToGrid w:val="0"/>
                <w:kern w:val="28"/>
                <w:sz w:val="24"/>
                <w:u w:val="single"/>
                <w:lang w:val="en-US" w:eastAsia="zh-CN"/>
              </w:rPr>
              <w:t xml:space="preserve"> </w:t>
            </w:r>
            <w:r>
              <w:rPr>
                <w:rFonts w:hint="eastAsia" w:ascii="宋体" w:hAnsi="宋体" w:eastAsia="宋体" w:cs="宋体"/>
                <w:snapToGrid w:val="0"/>
                <w:kern w:val="28"/>
                <w:sz w:val="24"/>
              </w:rPr>
              <w:t>履约保证金的基础上追加保证金，金额为投标最高限价的80%与中标价之间的差额，所追加缴纳的保证金于项目竣工验收完成后无息返还。</w:t>
            </w:r>
          </w:p>
        </w:tc>
      </w:tr>
      <w:bookmarkEnd w:id="10"/>
    </w:tbl>
    <w:p>
      <w:pPr>
        <w:adjustRightInd/>
        <w:spacing w:line="360" w:lineRule="auto"/>
        <w:jc w:val="center"/>
        <w:outlineLvl w:val="0"/>
        <w:rPr>
          <w:rFonts w:hint="eastAsia" w:ascii="宋体" w:hAnsi="宋体" w:eastAsia="宋体" w:cs="宋体"/>
          <w:b/>
          <w:sz w:val="32"/>
          <w:szCs w:val="20"/>
        </w:rPr>
      </w:pPr>
      <w:bookmarkStart w:id="11" w:name="_Toc164416483"/>
      <w:bookmarkStart w:id="12" w:name="第三部分"/>
    </w:p>
    <w:p>
      <w:pPr>
        <w:adjustRightInd/>
        <w:spacing w:line="360" w:lineRule="auto"/>
        <w:jc w:val="center"/>
        <w:outlineLvl w:val="0"/>
        <w:rPr>
          <w:rFonts w:hint="eastAsia" w:ascii="宋体" w:hAnsi="宋体" w:eastAsia="宋体" w:cs="宋体"/>
          <w:b/>
          <w:sz w:val="32"/>
          <w:szCs w:val="20"/>
        </w:rPr>
      </w:pPr>
    </w:p>
    <w:p>
      <w:pPr>
        <w:adjustRightInd/>
        <w:spacing w:line="360" w:lineRule="auto"/>
        <w:jc w:val="center"/>
        <w:outlineLvl w:val="0"/>
        <w:rPr>
          <w:rFonts w:hint="eastAsia" w:ascii="宋体" w:hAnsi="宋体" w:eastAsia="宋体" w:cs="宋体"/>
          <w:b/>
          <w:sz w:val="32"/>
          <w:szCs w:val="20"/>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4.2.3.1供应商的姓名或者名称、地址、邮编、联系人及联系电话；</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4.2.3.2质疑项目的名称、编号；</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4.2.3.3具体、明确的质疑事项和与质疑事项相关的请求；</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4.2.3.4事实依据；</w:t>
      </w:r>
    </w:p>
    <w:p>
      <w:pPr>
        <w:pStyle w:val="34"/>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4.2.3.5必要的法律依据；</w:t>
      </w:r>
    </w:p>
    <w:p>
      <w:pPr>
        <w:pStyle w:val="34"/>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28"/>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w:t>
      </w:r>
    </w:p>
    <w:p>
      <w:pPr>
        <w:adjustRightInd/>
        <w:spacing w:line="360" w:lineRule="auto"/>
        <w:jc w:val="center"/>
        <w:outlineLvl w:val="0"/>
        <w:rPr>
          <w:rFonts w:hint="eastAsia" w:ascii="宋体" w:hAnsi="宋体" w:eastAsia="宋体" w:cs="宋体"/>
          <w:b/>
          <w:sz w:val="30"/>
          <w:szCs w:val="30"/>
        </w:rPr>
      </w:pPr>
      <w:r>
        <w:rPr>
          <w:rFonts w:hint="eastAsia" w:ascii="宋体" w:hAnsi="宋体" w:eastAsia="宋体" w:cs="宋体"/>
          <w:b/>
          <w:sz w:val="30"/>
          <w:szCs w:val="30"/>
        </w:rPr>
        <w:t xml:space="preserve"> 二、招标文件的构成、澄清、修改</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4"/>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28"/>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1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11.1.2落实政府采购政策需满足的资格要求；</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11.1.3本项目的特定资格要求。</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符合性审查资料；</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评标标准相应的商务技术资料；</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5</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6</w:t>
      </w:r>
      <w:r>
        <w:rPr>
          <w:rFonts w:hint="eastAsia" w:ascii="宋体" w:hAnsi="宋体" w:eastAsia="宋体" w:cs="宋体"/>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rPr>
      </w:pPr>
      <w:r>
        <w:rPr>
          <w:rFonts w:hint="eastAsia" w:ascii="宋体" w:hAnsi="宋体" w:eastAsia="宋体" w:cs="宋体"/>
          <w:sz w:val="24"/>
        </w:rPr>
        <w:t>11.3.2报价明细表（工程量清单编制严格按《杭州市建设工程工程量清单计价实施细则（2018年修订）》实施，具体清单报价表详见格式部分。）</w:t>
      </w:r>
    </w:p>
    <w:p>
      <w:pPr>
        <w:snapToGrid w:val="0"/>
        <w:spacing w:line="360" w:lineRule="auto"/>
        <w:ind w:firstLine="960" w:firstLineChars="400"/>
        <w:rPr>
          <w:rFonts w:hint="eastAsia"/>
        </w:rPr>
      </w:pPr>
      <w:r>
        <w:rPr>
          <w:rFonts w:hint="eastAsia" w:ascii="宋体" w:hAnsi="宋体" w:eastAsia="宋体" w:cs="宋体"/>
          <w:sz w:val="24"/>
        </w:rPr>
        <w:t>11.3.</w:t>
      </w:r>
      <w:r>
        <w:rPr>
          <w:rFonts w:hint="eastAsia" w:ascii="宋体" w:hAnsi="宋体" w:cs="宋体"/>
          <w:sz w:val="24"/>
          <w:lang w:val="en-US" w:eastAsia="zh-CN"/>
        </w:rPr>
        <w:t>3</w:t>
      </w:r>
      <w:r>
        <w:rPr>
          <w:rFonts w:hint="eastAsia" w:ascii="宋体" w:hAnsi="宋体" w:eastAsia="宋体" w:cs="宋体"/>
          <w:sz w:val="24"/>
        </w:rPr>
        <w:t>中小企业声明函。</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28"/>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28"/>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28"/>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28"/>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4"/>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28"/>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28"/>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sz w:val="32"/>
        </w:rPr>
      </w:pPr>
    </w:p>
    <w:p>
      <w:pPr>
        <w:pStyle w:val="128"/>
        <w:spacing w:before="0"/>
        <w:ind w:firstLine="1807" w:firstLineChars="600"/>
        <w:rPr>
          <w:rFonts w:hint="eastAsia" w:ascii="宋体" w:hAnsi="宋体" w:eastAsia="宋体" w:cs="宋体"/>
          <w:b/>
          <w:sz w:val="30"/>
          <w:szCs w:val="30"/>
        </w:rPr>
      </w:pPr>
      <w:r>
        <w:rPr>
          <w:rFonts w:hint="eastAsia" w:ascii="宋体" w:hAnsi="宋体" w:eastAsia="宋体" w:cs="宋体"/>
          <w:b/>
          <w:sz w:val="30"/>
          <w:szCs w:val="30"/>
        </w:rPr>
        <w:t>四、开标、资格审查与信用信息查询</w:t>
      </w:r>
    </w:p>
    <w:p>
      <w:pPr>
        <w:pStyle w:val="554"/>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28"/>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128"/>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128"/>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28"/>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28"/>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0"/>
          <w:szCs w:val="30"/>
        </w:rPr>
      </w:pPr>
      <w:r>
        <w:rPr>
          <w:rFonts w:hint="eastAsia" w:ascii="宋体" w:hAnsi="宋体" w:eastAsia="宋体" w:cs="宋体"/>
          <w:b/>
          <w:sz w:val="30"/>
          <w:szCs w:val="30"/>
        </w:rPr>
        <w:t>五、评标</w:t>
      </w:r>
    </w:p>
    <w:p>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0"/>
          <w:szCs w:val="30"/>
        </w:rPr>
      </w:pPr>
      <w:r>
        <w:rPr>
          <w:rFonts w:hint="eastAsia" w:ascii="宋体" w:hAnsi="宋体" w:eastAsia="宋体" w:cs="宋体"/>
          <w:b/>
          <w:sz w:val="30"/>
          <w:szCs w:val="30"/>
        </w:rPr>
        <w:t>六、定 标</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28"/>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52" w:firstLineChars="150"/>
        <w:jc w:val="center"/>
        <w:rPr>
          <w:rFonts w:hint="eastAsia" w:ascii="宋体" w:hAnsi="宋体" w:eastAsia="宋体" w:cs="宋体"/>
          <w:b/>
          <w:sz w:val="30"/>
          <w:szCs w:val="30"/>
        </w:rPr>
      </w:pPr>
      <w:r>
        <w:rPr>
          <w:rFonts w:hint="eastAsia" w:ascii="宋体" w:hAnsi="宋体" w:eastAsia="宋体" w:cs="宋体"/>
          <w:b/>
          <w:sz w:val="30"/>
          <w:szCs w:val="30"/>
        </w:rPr>
        <w:t>七、合同授予</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b/>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w:t>
      </w:r>
      <w:r>
        <w:rPr>
          <w:rFonts w:hint="eastAsia" w:ascii="宋体" w:hAnsi="宋体" w:cs="宋体"/>
          <w:sz w:val="24"/>
          <w:lang w:val="en-US" w:eastAsia="zh-CN"/>
        </w:rPr>
        <w:t>2.</w:t>
      </w:r>
      <w:r>
        <w:rPr>
          <w:rFonts w:hint="eastAsia" w:ascii="宋体" w:hAnsi="宋体" w:eastAsia="宋体" w:cs="宋体"/>
          <w:sz w:val="24"/>
        </w:rPr>
        <w:t>5%。鼓励和支持供应商以银行、保险公司出具的保函形式提供履约保证金。</w:t>
      </w:r>
      <w:r>
        <w:rPr>
          <w:rFonts w:hint="eastAsia" w:ascii="宋体" w:hAnsi="宋体" w:eastAsia="宋体" w:cs="宋体"/>
          <w:b/>
          <w:sz w:val="24"/>
        </w:rPr>
        <w:t>采购人不得拒收履约保函。</w:t>
      </w:r>
    </w:p>
    <w:p>
      <w:pPr>
        <w:tabs>
          <w:tab w:val="left" w:pos="0"/>
        </w:tabs>
        <w:spacing w:line="360" w:lineRule="auto"/>
        <w:ind w:firstLine="482"/>
        <w:rPr>
          <w:rFonts w:hint="eastAsia" w:ascii="宋体" w:hAnsi="宋体" w:eastAsia="宋体" w:cs="宋体"/>
          <w:sz w:val="24"/>
          <w:szCs w:val="20"/>
        </w:rPr>
      </w:pPr>
      <w:r>
        <w:rPr>
          <w:rFonts w:hint="eastAsia" w:ascii="宋体" w:hAnsi="宋体" w:eastAsia="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宋体" w:hAnsi="宋体" w:cs="宋体"/>
          <w:sz w:val="24"/>
          <w:szCs w:val="20"/>
          <w:lang w:val="en-US" w:eastAsia="zh-CN"/>
        </w:rPr>
        <w:t>2.</w:t>
      </w:r>
      <w:r>
        <w:rPr>
          <w:rFonts w:hint="eastAsia" w:ascii="宋体" w:hAnsi="宋体" w:eastAsia="宋体" w:cs="宋体"/>
          <w:sz w:val="24"/>
          <w:szCs w:val="20"/>
        </w:rPr>
        <w:t>5%。</w:t>
      </w:r>
    </w:p>
    <w:p>
      <w:pPr>
        <w:pStyle w:val="7"/>
        <w:ind w:left="0" w:firstLine="480" w:firstLineChars="200"/>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147" w:firstLineChars="1045"/>
        <w:rPr>
          <w:rFonts w:hint="eastAsia" w:ascii="宋体" w:hAnsi="宋体" w:eastAsia="宋体" w:cs="宋体"/>
          <w:b/>
          <w:sz w:val="30"/>
          <w:szCs w:val="30"/>
        </w:rPr>
      </w:pPr>
      <w:r>
        <w:rPr>
          <w:rFonts w:hint="eastAsia" w:ascii="宋体" w:hAnsi="宋体" w:eastAsia="宋体" w:cs="宋体"/>
          <w:b/>
          <w:sz w:val="30"/>
          <w:szCs w:val="30"/>
        </w:rPr>
        <w:t>八、电子交易活动的中止</w:t>
      </w:r>
    </w:p>
    <w:p>
      <w:pPr>
        <w:pStyle w:val="128"/>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128"/>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128"/>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128"/>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128"/>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128"/>
        <w:snapToGrid w:val="0"/>
        <w:spacing w:before="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52" w:firstLineChars="150"/>
        <w:jc w:val="center"/>
        <w:rPr>
          <w:rFonts w:hint="eastAsia" w:ascii="宋体" w:hAnsi="宋体" w:eastAsia="宋体" w:cs="宋体"/>
          <w:b/>
          <w:sz w:val="30"/>
          <w:szCs w:val="30"/>
        </w:rPr>
      </w:pPr>
      <w:r>
        <w:rPr>
          <w:rFonts w:hint="eastAsia" w:ascii="宋体" w:hAnsi="宋体" w:eastAsia="宋体" w:cs="宋体"/>
          <w:b/>
          <w:sz w:val="30"/>
          <w:szCs w:val="30"/>
        </w:rPr>
        <w:t>九、验收</w:t>
      </w:r>
    </w:p>
    <w:p>
      <w:pPr>
        <w:pStyle w:val="2"/>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1077" w:right="1020" w:bottom="1077" w:left="1020" w:header="851" w:footer="992" w:gutter="0"/>
          <w:cols w:space="720" w:num="1"/>
          <w:titlePg/>
          <w:docGrid w:linePitch="312" w:charSpace="0"/>
        </w:sectPr>
      </w:pPr>
      <w:bookmarkStart w:id="14" w:name="_Hlt74729768"/>
      <w:bookmarkEnd w:id="14"/>
      <w:bookmarkStart w:id="15" w:name="_Hlt75236101"/>
      <w:bookmarkEnd w:id="15"/>
      <w:bookmarkStart w:id="16" w:name="_Hlt75236011"/>
      <w:bookmarkEnd w:id="16"/>
      <w:bookmarkStart w:id="17" w:name="_Hlt74707468"/>
      <w:bookmarkEnd w:id="17"/>
      <w:bookmarkStart w:id="18" w:name="_Hlt68072990"/>
      <w:bookmarkEnd w:id="18"/>
      <w:bookmarkStart w:id="19" w:name="_Hlt74730295"/>
      <w:bookmarkEnd w:id="19"/>
      <w:bookmarkStart w:id="20" w:name="_Hlt68073093"/>
      <w:bookmarkEnd w:id="20"/>
      <w:bookmarkStart w:id="21" w:name="_Hlt68403820"/>
      <w:bookmarkEnd w:id="21"/>
      <w:bookmarkStart w:id="22" w:name="_Hlt68072998"/>
      <w:bookmarkEnd w:id="22"/>
      <w:bookmarkStart w:id="23" w:name="_Hlt75236290"/>
      <w:bookmarkEnd w:id="23"/>
      <w:bookmarkStart w:id="24" w:name="_Hlt74714665"/>
      <w:bookmarkEnd w:id="24"/>
      <w:bookmarkStart w:id="25" w:name="_Hlt68057669"/>
      <w:bookmarkEnd w:id="25"/>
    </w:p>
    <w:bookmarkEnd w:id="11"/>
    <w:bookmarkEnd w:id="12"/>
    <w:p>
      <w:pPr>
        <w:spacing w:line="360" w:lineRule="auto"/>
        <w:jc w:val="center"/>
        <w:outlineLvl w:val="0"/>
        <w:rPr>
          <w:rFonts w:hint="eastAsia" w:ascii="宋体" w:hAnsi="宋体" w:eastAsia="宋体" w:cs="宋体"/>
          <w:b/>
          <w:sz w:val="36"/>
          <w:szCs w:val="36"/>
        </w:rPr>
      </w:pPr>
      <w:bookmarkStart w:id="26" w:name="第四部分"/>
      <w:r>
        <w:rPr>
          <w:rFonts w:hint="eastAsia" w:ascii="宋体" w:hAnsi="宋体" w:eastAsia="宋体" w:cs="宋体"/>
          <w:b/>
          <w:sz w:val="36"/>
          <w:szCs w:val="36"/>
        </w:rPr>
        <w:t>第三部分   采购需求</w:t>
      </w:r>
    </w:p>
    <w:p>
      <w:pPr>
        <w:jc w:val="center"/>
        <w:rPr>
          <w:rFonts w:hint="eastAsia" w:ascii="宋体" w:hAnsi="宋体" w:eastAsia="宋体" w:cs="宋体"/>
          <w:b/>
          <w:sz w:val="36"/>
          <w:szCs w:val="36"/>
        </w:rPr>
      </w:pPr>
      <w:r>
        <w:rPr>
          <w:rFonts w:hint="eastAsia" w:ascii="宋体" w:hAnsi="宋体" w:eastAsia="宋体" w:cs="宋体"/>
          <w:b/>
          <w:sz w:val="36"/>
          <w:szCs w:val="36"/>
        </w:rPr>
        <w:t>采购需求</w:t>
      </w:r>
    </w:p>
    <w:p>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1、项目概述</w:t>
      </w:r>
    </w:p>
    <w:p>
      <w:pPr>
        <w:spacing w:line="500" w:lineRule="exact"/>
        <w:ind w:firstLine="482" w:firstLineChars="200"/>
        <w:rPr>
          <w:rFonts w:hint="eastAsia" w:ascii="宋体" w:hAnsi="宋体" w:eastAsia="宋体" w:cs="宋体"/>
          <w:bCs/>
          <w:color w:val="auto"/>
          <w:sz w:val="24"/>
          <w:highlight w:val="none"/>
          <w:lang w:eastAsia="zh-CN"/>
        </w:rPr>
      </w:pPr>
      <w:r>
        <w:rPr>
          <w:rFonts w:hint="eastAsia" w:ascii="宋体" w:hAnsi="宋体" w:eastAsia="宋体" w:cs="宋体"/>
          <w:b/>
          <w:bCs/>
          <w:color w:val="auto"/>
          <w:sz w:val="24"/>
          <w:highlight w:val="none"/>
        </w:rPr>
        <w:t>（1）项目名称：</w:t>
      </w:r>
      <w:r>
        <w:rPr>
          <w:rFonts w:hint="eastAsia" w:ascii="宋体" w:hAnsi="宋体" w:eastAsia="宋体" w:cs="宋体"/>
          <w:bCs/>
          <w:color w:val="auto"/>
          <w:sz w:val="24"/>
          <w:highlight w:val="none"/>
          <w:lang w:eastAsia="zh-CN"/>
        </w:rPr>
        <w:t>龙岗污水处理厂提标改造工程——设备工程</w:t>
      </w:r>
    </w:p>
    <w:p>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（2）项目概况：</w:t>
      </w:r>
    </w:p>
    <w:p>
      <w:pPr>
        <w:spacing w:line="50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龙岗污水处理厂提标改造工程——设备工程位于临安区龙岗镇兴龙村，本工程主要工程内容是对原有池体、设备或管材进行更换或维护，新增和原有建构筑物的配套设备、电气、自控安装工程；项目地理位置、建设条件、施工环境条件等情况详见工程量清单及图纸，并自行踏勘现场。</w:t>
      </w:r>
    </w:p>
    <w:p>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2、招标范围</w:t>
      </w:r>
    </w:p>
    <w:p>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本次招标范围包括浙江省工业环保设计研究院有限公司设计的《龙岗污水处理厂提标改造工程》（2021.12.6）施工图设计范围。</w:t>
      </w:r>
    </w:p>
    <w:p>
      <w:pPr>
        <w:spacing w:line="46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、其他</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.1、成交人需根据采购人、相关部门的评审意见修改、补充和完善方案，确保本项目方案通过相关审查。</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未经采购人同意，成交人不得私自将本项目转</w:t>
      </w:r>
      <w:r>
        <w:rPr>
          <w:rFonts w:hint="eastAsia" w:ascii="宋体" w:hAnsi="宋体" w:eastAsia="宋体" w:cs="宋体"/>
          <w:color w:val="auto"/>
          <w:sz w:val="24"/>
          <w:highlight w:val="none"/>
          <w:lang w:val="en-US" w:eastAsia="zh-CN"/>
        </w:rPr>
        <w:t>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分包</w:t>
      </w:r>
      <w:r>
        <w:rPr>
          <w:rFonts w:hint="eastAsia" w:ascii="宋体" w:hAnsi="宋体" w:eastAsia="宋体" w:cs="宋体"/>
          <w:color w:val="auto"/>
          <w:sz w:val="24"/>
          <w:highlight w:val="none"/>
        </w:rPr>
        <w:t>给第三方，否则将作违约处理，采购人有权撤销合同</w:t>
      </w:r>
      <w:r>
        <w:rPr>
          <w:rFonts w:hint="eastAsia" w:ascii="宋体" w:hAnsi="宋体" w:eastAsia="宋体" w:cs="宋体"/>
          <w:bCs/>
          <w:color w:val="auto"/>
          <w:sz w:val="24"/>
          <w:highlight w:val="none"/>
        </w:rPr>
        <w:t>拒付货款，且成交人还要承担给采购人造成的损失。</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.3、违反报价规定及在评审过程中违法违纪或以任何形式采取不正当竞争手段的一经查实，取消本次报价资格，已经成交的终止委托合同，一切后果由责任者自负。</w:t>
      </w:r>
    </w:p>
    <w:p>
      <w:pPr>
        <w:widowControl/>
        <w:spacing w:line="46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0"/>
          <w:sz w:val="24"/>
          <w:highlight w:val="none"/>
        </w:rPr>
        <w:t>本项目</w:t>
      </w:r>
      <w:r>
        <w:rPr>
          <w:rFonts w:hint="eastAsia" w:ascii="宋体" w:hAnsi="宋体" w:cs="宋体"/>
          <w:b/>
          <w:color w:val="auto"/>
          <w:kern w:val="0"/>
          <w:sz w:val="24"/>
          <w:highlight w:val="none"/>
          <w:lang w:eastAsia="zh-CN"/>
        </w:rPr>
        <w:t>投标</w:t>
      </w:r>
      <w:r>
        <w:rPr>
          <w:rFonts w:hint="eastAsia" w:ascii="宋体" w:hAnsi="宋体" w:eastAsia="宋体" w:cs="宋体"/>
          <w:b/>
          <w:color w:val="auto"/>
          <w:kern w:val="0"/>
          <w:sz w:val="24"/>
          <w:highlight w:val="none"/>
          <w:lang w:val="en-US" w:eastAsia="zh-CN"/>
        </w:rPr>
        <w:t>人</w:t>
      </w:r>
      <w:r>
        <w:rPr>
          <w:rFonts w:hint="eastAsia" w:ascii="宋体" w:hAnsi="宋体" w:eastAsia="宋体" w:cs="宋体"/>
          <w:b/>
          <w:color w:val="auto"/>
          <w:kern w:val="0"/>
          <w:sz w:val="24"/>
          <w:highlight w:val="none"/>
        </w:rPr>
        <w:t>具备的专业技术人员至少需：</w:t>
      </w:r>
      <w:r>
        <w:rPr>
          <w:rFonts w:hint="eastAsia" w:ascii="宋体" w:hAnsi="宋体" w:eastAsia="宋体" w:cs="宋体"/>
          <w:b/>
          <w:color w:val="auto"/>
          <w:kern w:val="0"/>
          <w:sz w:val="24"/>
          <w:highlight w:val="none"/>
          <w:lang w:val="en-US" w:eastAsia="zh-CN"/>
        </w:rPr>
        <w:t>项目负责人1人，</w:t>
      </w:r>
      <w:r>
        <w:rPr>
          <w:rFonts w:hint="eastAsia" w:ascii="宋体" w:hAnsi="宋体" w:eastAsia="宋体" w:cs="宋体"/>
          <w:b/>
          <w:color w:val="auto"/>
          <w:kern w:val="0"/>
          <w:sz w:val="24"/>
          <w:highlight w:val="none"/>
        </w:rPr>
        <w:t>技术负责人1人，安全员不少于1人，施工员不少于</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人，质量员不少于</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人、材料员不少于1人、资料员不少于1人。</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本工程最低质保期遵照保修书约定。</w:t>
      </w:r>
    </w:p>
    <w:p>
      <w:pPr>
        <w:keepNext w:val="0"/>
        <w:keepLines w:val="0"/>
        <w:pageBreakBefore w:val="0"/>
        <w:widowControl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、附件：</w:t>
      </w:r>
    </w:p>
    <w:p>
      <w:pPr>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1）、工程量清单编制说明</w:t>
      </w:r>
    </w:p>
    <w:p>
      <w:pPr>
        <w:spacing w:line="440" w:lineRule="exact"/>
        <w:ind w:firstLine="688" w:firstLineChars="246"/>
        <w:jc w:val="center"/>
        <w:rPr>
          <w:rFonts w:hint="eastAsia" w:ascii="宋体" w:hAnsi="宋体" w:eastAsia="宋体" w:cs="宋体"/>
          <w:snapToGrid w:val="0"/>
          <w:kern w:val="0"/>
          <w:sz w:val="28"/>
          <w:szCs w:val="28"/>
        </w:rPr>
      </w:pPr>
    </w:p>
    <w:p>
      <w:pPr>
        <w:spacing w:line="440" w:lineRule="exact"/>
        <w:ind w:firstLine="688" w:firstLineChars="246"/>
        <w:jc w:val="center"/>
        <w:rPr>
          <w:rFonts w:hint="eastAsia" w:ascii="宋体" w:hAnsi="宋体" w:eastAsia="宋体" w:cs="宋体"/>
          <w:snapToGrid w:val="0"/>
          <w:kern w:val="0"/>
          <w:sz w:val="28"/>
          <w:szCs w:val="28"/>
        </w:rPr>
      </w:pPr>
    </w:p>
    <w:p>
      <w:pPr>
        <w:spacing w:line="440" w:lineRule="exact"/>
        <w:ind w:firstLine="688" w:firstLineChars="246"/>
        <w:jc w:val="center"/>
        <w:rPr>
          <w:rFonts w:hint="eastAsia" w:ascii="宋体" w:hAnsi="宋体" w:eastAsia="宋体" w:cs="宋体"/>
          <w:snapToGrid w:val="0"/>
          <w:kern w:val="0"/>
          <w:sz w:val="28"/>
          <w:szCs w:val="28"/>
        </w:rPr>
      </w:pPr>
    </w:p>
    <w:p>
      <w:pPr>
        <w:spacing w:line="440" w:lineRule="exact"/>
        <w:ind w:firstLine="688" w:firstLineChars="246"/>
        <w:jc w:val="center"/>
        <w:rPr>
          <w:rFonts w:hint="eastAsia" w:ascii="宋体" w:hAnsi="宋体" w:eastAsia="宋体" w:cs="宋体"/>
          <w:snapToGrid w:val="0"/>
          <w:kern w:val="0"/>
          <w:sz w:val="28"/>
          <w:szCs w:val="28"/>
        </w:rPr>
      </w:pPr>
    </w:p>
    <w:p>
      <w:pPr>
        <w:spacing w:line="440" w:lineRule="exact"/>
        <w:ind w:firstLine="688" w:firstLineChars="246"/>
        <w:jc w:val="center"/>
        <w:rPr>
          <w:rFonts w:hint="eastAsia" w:ascii="宋体" w:hAnsi="宋体" w:eastAsia="宋体" w:cs="宋体"/>
          <w:snapToGrid w:val="0"/>
          <w:kern w:val="0"/>
          <w:sz w:val="28"/>
          <w:szCs w:val="28"/>
        </w:rPr>
      </w:pPr>
    </w:p>
    <w:p>
      <w:pPr>
        <w:spacing w:line="440" w:lineRule="exact"/>
        <w:ind w:firstLine="688" w:firstLineChars="246"/>
        <w:jc w:val="center"/>
        <w:rPr>
          <w:rFonts w:hint="eastAsia" w:ascii="宋体" w:hAnsi="宋体" w:eastAsia="宋体" w:cs="宋体"/>
          <w:snapToGrid w:val="0"/>
          <w:kern w:val="0"/>
          <w:sz w:val="28"/>
          <w:szCs w:val="28"/>
        </w:rPr>
      </w:pPr>
    </w:p>
    <w:p>
      <w:pPr>
        <w:spacing w:line="440" w:lineRule="exact"/>
        <w:ind w:firstLine="688" w:firstLineChars="246"/>
        <w:jc w:val="center"/>
        <w:rPr>
          <w:rFonts w:hint="eastAsia" w:ascii="宋体" w:hAnsi="宋体" w:eastAsia="宋体" w:cs="宋体"/>
          <w:snapToGrid w:val="0"/>
          <w:kern w:val="0"/>
          <w:sz w:val="28"/>
          <w:szCs w:val="28"/>
        </w:rPr>
      </w:pPr>
    </w:p>
    <w:p>
      <w:pPr>
        <w:spacing w:line="440" w:lineRule="exact"/>
        <w:jc w:val="center"/>
        <w:rPr>
          <w:rFonts w:hint="eastAsia" w:ascii="宋体" w:hAnsi="宋体"/>
          <w:b/>
          <w:bCs/>
          <w:color w:val="auto"/>
          <w:sz w:val="28"/>
          <w:szCs w:val="28"/>
        </w:rPr>
      </w:pPr>
      <w:r>
        <w:rPr>
          <w:rFonts w:hint="eastAsia" w:ascii="宋体" w:hAnsi="宋体" w:eastAsia="宋体" w:cs="宋体"/>
          <w:snapToGrid w:val="0"/>
          <w:kern w:val="0"/>
          <w:sz w:val="28"/>
          <w:szCs w:val="28"/>
        </w:rPr>
        <w:t>工程量清单编制说明</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00" w:firstLineChars="249"/>
        <w:textAlignment w:val="auto"/>
        <w:rPr>
          <w:rFonts w:hint="eastAsia" w:ascii="宋体" w:hAnsi="宋体" w:cs="宋体"/>
          <w:color w:val="auto"/>
          <w:kern w:val="2"/>
          <w:sz w:val="24"/>
          <w:szCs w:val="24"/>
          <w:lang w:val="en-US" w:eastAsia="zh-CN" w:bidi="ar-SA"/>
        </w:rPr>
      </w:pPr>
      <w:r>
        <w:rPr>
          <w:rFonts w:hint="eastAsia" w:ascii="宋体" w:hAnsi="宋体"/>
          <w:b/>
          <w:bCs/>
          <w:color w:val="auto"/>
          <w:sz w:val="24"/>
          <w:szCs w:val="24"/>
        </w:rPr>
        <w:t>工程概况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sz w:val="24"/>
          <w:szCs w:val="24"/>
          <w:lang w:eastAsia="zh-CN"/>
        </w:rPr>
      </w:pPr>
      <w:r>
        <w:rPr>
          <w:rFonts w:hint="eastAsia" w:ascii="宋体" w:hAnsi="宋体" w:cs="宋体"/>
          <w:b w:val="0"/>
          <w:bCs/>
          <w:sz w:val="24"/>
          <w:szCs w:val="24"/>
          <w:lang w:eastAsia="zh-CN"/>
        </w:rPr>
        <w:t>龙岗污水处理厂提标改造工程——设备工程位于临安区龙岗镇兴龙村，本工程主要工程内容是对原有池体、设备或管材进行更换或维护，新增和原有建构筑物的配套设备、电气、自控安装工程。</w:t>
      </w:r>
    </w:p>
    <w:p>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sz w:val="24"/>
          <w:szCs w:val="24"/>
        </w:rPr>
      </w:pPr>
      <w:r>
        <w:rPr>
          <w:rFonts w:hint="eastAsia" w:ascii="宋体" w:hAnsi="宋体" w:cs="宋体"/>
          <w:b/>
          <w:sz w:val="24"/>
          <w:szCs w:val="24"/>
        </w:rPr>
        <w:t>二、编制范围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浙江省工业环保设计研究院有限公司设计的《龙岗污水处理厂提标改造工程》（2021.12.6）施工图设计范围。</w:t>
      </w:r>
    </w:p>
    <w:p>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b/>
          <w:sz w:val="24"/>
          <w:szCs w:val="24"/>
        </w:rPr>
        <w:t>三、编制依据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1、根据浙江省工业环保设计研究院有限公司设计的《龙岗污水处理厂提标改造工程》施工图；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2、《建设工程工程量清单计价规范》（GB50500-2013）、《通用安装工程工程量计算规范》（GB50856-2013）、《市政工程工程量计算规范》（GB50857-2013）、《关于印发建设工程工程量计算规范（2013）浙江省补充规定的通知》（浙建站计﹝2013﹞63号）、《浙江省建设工程工程量清单计价指引》（2013版）、《杭州市建设工程工程量清单计价实施细则》（2018年修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3、《浙江省通用安装工程预算定额定额》（2018版）、《浙江省市政工程预算定额》（2018版）、《浙江省建设工程施工机械台班费用定额》（2018版）、《浙江省建设工程计价规则》（2018版）。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4、《关于颁发浙江省建设工程计价依据（2018版）的通知》（浙建建〔2018〕61号）、《关于贯彻执行浙江省建设工程计价依据（2018版）的通知》（杭建市〔2018〕164号）及其他相关文件、解释等。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color w:val="auto"/>
          <w:sz w:val="24"/>
          <w:szCs w:val="24"/>
          <w:lang w:eastAsia="zh-CN"/>
        </w:rPr>
        <w:t>5、《关于增值税调整后我省建设工程计价依据增值税税率及有关计价调整的通知》（浙建建发【2019】92 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lang w:eastAsia="zh-CN"/>
        </w:rPr>
        <w:t>、现场施工条件及常规施工方案。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kern w:val="0"/>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lang w:eastAsia="zh-CN"/>
        </w:rPr>
        <w:t>、本工程施工招标文件。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sz w:val="24"/>
          <w:szCs w:val="24"/>
        </w:rPr>
      </w:pPr>
      <w:r>
        <w:rPr>
          <w:rFonts w:hint="eastAsia" w:ascii="宋体" w:hAnsi="宋体" w:cs="宋体"/>
          <w:b/>
          <w:sz w:val="24"/>
          <w:szCs w:val="24"/>
        </w:rPr>
        <w:t xml:space="preserve">四、工程质量、工期、材料、施工等要求详见招标文件。 </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sz w:val="24"/>
          <w:szCs w:val="24"/>
          <w:highlight w:val="none"/>
          <w:lang w:eastAsia="zh-CN"/>
        </w:rPr>
      </w:pPr>
      <w:r>
        <w:rPr>
          <w:rFonts w:hint="eastAsia" w:ascii="宋体" w:hAnsi="宋体" w:cs="宋体"/>
          <w:b/>
          <w:sz w:val="24"/>
          <w:szCs w:val="24"/>
          <w:highlight w:val="none"/>
          <w:lang w:eastAsia="zh-CN"/>
        </w:rPr>
        <w:t>五、安全文明施工基本费费率、企业管理费费率按《浙江省建设工程计价规则（201</w:t>
      </w:r>
      <w:r>
        <w:rPr>
          <w:rFonts w:hint="eastAsia" w:ascii="宋体" w:hAnsi="宋体" w:cs="宋体"/>
          <w:b/>
          <w:sz w:val="24"/>
          <w:szCs w:val="24"/>
          <w:highlight w:val="none"/>
          <w:lang w:val="en-US" w:eastAsia="zh-CN"/>
        </w:rPr>
        <w:t>8</w:t>
      </w:r>
      <w:r>
        <w:rPr>
          <w:rFonts w:hint="eastAsia" w:ascii="宋体" w:hAnsi="宋体" w:cs="宋体"/>
          <w:b/>
          <w:sz w:val="24"/>
          <w:szCs w:val="24"/>
          <w:highlight w:val="none"/>
          <w:lang w:eastAsia="zh-CN"/>
        </w:rPr>
        <w:t>版）》中的相关规定计取。</w:t>
      </w:r>
      <w:r>
        <w:rPr>
          <w:rFonts w:hint="eastAsia" w:ascii="宋体" w:hAnsi="宋体" w:cs="宋体"/>
          <w:b/>
          <w:color w:val="auto"/>
          <w:sz w:val="24"/>
          <w:szCs w:val="24"/>
          <w:highlight w:val="none"/>
          <w:lang w:eastAsia="zh-CN"/>
        </w:rPr>
        <w:t>安全施工文明基本费具体要求详见招标文件，取费基数为“人工费+机械费”，本工程为非市区工程；</w:t>
      </w:r>
      <w:r>
        <w:rPr>
          <w:rFonts w:hint="eastAsia" w:ascii="宋体" w:hAnsi="宋体" w:cs="宋体"/>
          <w:b/>
          <w:color w:val="auto"/>
          <w:sz w:val="24"/>
          <w:szCs w:val="24"/>
          <w:highlight w:val="none"/>
          <w:lang w:val="en-US" w:eastAsia="zh-CN"/>
        </w:rPr>
        <w:t>设备安装</w:t>
      </w:r>
      <w:r>
        <w:rPr>
          <w:rFonts w:hint="eastAsia" w:ascii="宋体" w:hAnsi="宋体" w:cs="宋体"/>
          <w:b/>
          <w:color w:val="auto"/>
          <w:sz w:val="24"/>
          <w:szCs w:val="24"/>
          <w:highlight w:val="none"/>
          <w:lang w:eastAsia="zh-CN"/>
        </w:rPr>
        <w:t>工程下限费率为</w:t>
      </w:r>
      <w:r>
        <w:rPr>
          <w:rFonts w:hint="eastAsia" w:ascii="宋体" w:hAnsi="宋体" w:cs="宋体"/>
          <w:b/>
          <w:color w:val="auto"/>
          <w:sz w:val="24"/>
          <w:szCs w:val="24"/>
          <w:highlight w:val="none"/>
          <w:lang w:val="en-US" w:eastAsia="zh-CN"/>
        </w:rPr>
        <w:t>8.579%，通用安装</w:t>
      </w:r>
      <w:r>
        <w:rPr>
          <w:rFonts w:hint="eastAsia" w:ascii="宋体" w:hAnsi="宋体" w:cs="宋体"/>
          <w:b/>
          <w:color w:val="auto"/>
          <w:sz w:val="24"/>
          <w:szCs w:val="24"/>
          <w:highlight w:val="none"/>
          <w:lang w:eastAsia="zh-CN"/>
        </w:rPr>
        <w:t>工程下限费率为</w:t>
      </w:r>
      <w:r>
        <w:rPr>
          <w:rFonts w:hint="eastAsia" w:ascii="宋体" w:hAnsi="宋体" w:cs="宋体"/>
          <w:b/>
          <w:color w:val="auto"/>
          <w:sz w:val="24"/>
          <w:szCs w:val="24"/>
          <w:highlight w:val="none"/>
          <w:lang w:val="en-US" w:eastAsia="zh-CN"/>
        </w:rPr>
        <w:t>6.1295%</w:t>
      </w:r>
      <w:r>
        <w:rPr>
          <w:rFonts w:hint="eastAsia" w:ascii="宋体" w:hAnsi="宋体" w:cs="宋体"/>
          <w:b/>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投标报价时，企业管理费中应包括施工企业现场监控和现场临时宿舍取暖降温费用，以及施工企业对建筑以及材料、构件和建筑安装物进行一般鉴定、检查所发生的检验试验费等相关费用。同时，投标人必须对企业管理费中所包含的施工企业的现场监控、现场临时宿舍取暖降温费用，在相应的清单明细表中（表2-5）进行单独费用报价分析。为保障工程质量和安全，企业管理费报价不得低于省建设行政主管部门颁发的施工费用定额和相关取费计价文件规定的对应专业工程企业管理费弹性费率下限乘以20%（本工程下限费率：设备安装</w:t>
      </w:r>
      <w:r>
        <w:rPr>
          <w:rFonts w:hint="eastAsia" w:ascii="宋体" w:hAnsi="宋体" w:cs="宋体"/>
          <w:b/>
          <w:color w:val="auto"/>
          <w:sz w:val="24"/>
          <w:szCs w:val="24"/>
          <w:highlight w:val="none"/>
          <w:lang w:eastAsia="zh-CN"/>
        </w:rPr>
        <w:t>工程</w:t>
      </w:r>
      <w:r>
        <w:rPr>
          <w:rFonts w:hint="eastAsia" w:ascii="宋体" w:hAnsi="宋体" w:cs="宋体"/>
          <w:b/>
          <w:color w:val="auto"/>
          <w:sz w:val="24"/>
          <w:szCs w:val="24"/>
          <w:highlight w:val="none"/>
          <w:lang w:val="en-US" w:eastAsia="zh-CN"/>
        </w:rPr>
        <w:t>2.896%，通用安装</w:t>
      </w:r>
      <w:r>
        <w:rPr>
          <w:rFonts w:hint="eastAsia" w:ascii="宋体" w:hAnsi="宋体" w:cs="宋体"/>
          <w:b/>
          <w:color w:val="auto"/>
          <w:sz w:val="24"/>
          <w:szCs w:val="24"/>
          <w:highlight w:val="none"/>
          <w:lang w:eastAsia="zh-CN"/>
        </w:rPr>
        <w:t>工程</w:t>
      </w:r>
      <w:r>
        <w:rPr>
          <w:rFonts w:hint="eastAsia" w:ascii="宋体" w:hAnsi="宋体" w:cs="宋体"/>
          <w:b/>
          <w:color w:val="auto"/>
          <w:sz w:val="24"/>
          <w:szCs w:val="24"/>
          <w:highlight w:val="none"/>
          <w:lang w:val="en-US" w:eastAsia="zh-CN"/>
        </w:rPr>
        <w:t>3.258%）的计算值。企业管理费的取费基数为人工费+机械费。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b/>
          <w:color w:val="auto"/>
          <w:sz w:val="24"/>
          <w:szCs w:val="24"/>
        </w:rPr>
      </w:pPr>
      <w:r>
        <w:rPr>
          <w:rFonts w:hint="eastAsia" w:ascii="宋体" w:hAnsi="宋体" w:cs="宋体"/>
          <w:b/>
          <w:sz w:val="24"/>
          <w:szCs w:val="24"/>
          <w:highlight w:val="none"/>
          <w:lang w:val="en-US" w:eastAsia="zh-CN"/>
        </w:rPr>
        <w:t>七、</w:t>
      </w:r>
      <w:r>
        <w:rPr>
          <w:rFonts w:hint="eastAsia" w:ascii="宋体" w:hAnsi="宋体" w:cs="宋体"/>
          <w:b/>
          <w:color w:val="auto"/>
          <w:sz w:val="24"/>
          <w:szCs w:val="24"/>
          <w:highlight w:val="none"/>
          <w:lang w:eastAsia="zh-CN"/>
        </w:rPr>
        <w:t>规费费率</w:t>
      </w:r>
      <w:r>
        <w:rPr>
          <w:rFonts w:hint="eastAsia" w:ascii="宋体" w:hAnsi="宋体" w:cs="宋体"/>
          <w:b/>
          <w:color w:val="auto"/>
          <w:sz w:val="24"/>
          <w:szCs w:val="24"/>
          <w:highlight w:val="none"/>
          <w:lang w:val="en-US" w:eastAsia="zh-CN"/>
        </w:rPr>
        <w:t>设备安装</w:t>
      </w:r>
      <w:r>
        <w:rPr>
          <w:rFonts w:hint="eastAsia" w:ascii="宋体" w:hAnsi="宋体" w:cs="宋体"/>
          <w:b/>
          <w:color w:val="auto"/>
          <w:sz w:val="24"/>
          <w:szCs w:val="24"/>
          <w:highlight w:val="none"/>
          <w:lang w:eastAsia="zh-CN"/>
        </w:rPr>
        <w:t>工程</w:t>
      </w:r>
      <w:r>
        <w:rPr>
          <w:rFonts w:hint="eastAsia" w:ascii="宋体" w:hAnsi="宋体" w:cs="宋体"/>
          <w:b/>
          <w:color w:val="auto"/>
          <w:sz w:val="24"/>
          <w:szCs w:val="24"/>
          <w:highlight w:val="none"/>
          <w:lang w:val="en-US" w:eastAsia="zh-CN"/>
        </w:rPr>
        <w:t>27.66%，通用安装</w:t>
      </w:r>
      <w:r>
        <w:rPr>
          <w:rFonts w:hint="eastAsia" w:ascii="宋体" w:hAnsi="宋体" w:cs="宋体"/>
          <w:b/>
          <w:color w:val="auto"/>
          <w:sz w:val="24"/>
          <w:szCs w:val="24"/>
          <w:highlight w:val="none"/>
          <w:lang w:eastAsia="zh-CN"/>
        </w:rPr>
        <w:t>工程</w:t>
      </w:r>
      <w:r>
        <w:rPr>
          <w:rFonts w:hint="eastAsia" w:ascii="宋体" w:hAnsi="宋体" w:cs="宋体"/>
          <w:b/>
          <w:color w:val="auto"/>
          <w:sz w:val="24"/>
          <w:szCs w:val="24"/>
          <w:highlight w:val="none"/>
          <w:lang w:val="en-US" w:eastAsia="zh-CN"/>
        </w:rPr>
        <w:t>30.63%</w:t>
      </w:r>
      <w:r>
        <w:rPr>
          <w:rFonts w:hint="eastAsia" w:ascii="宋体" w:hAnsi="宋体" w:cs="宋体"/>
          <w:b/>
          <w:color w:val="auto"/>
          <w:sz w:val="24"/>
          <w:szCs w:val="24"/>
          <w:highlight w:val="none"/>
          <w:lang w:eastAsia="zh-CN"/>
        </w:rPr>
        <w:t>；投标不得低于标准费率的30%（</w:t>
      </w:r>
      <w:r>
        <w:rPr>
          <w:rFonts w:hint="eastAsia" w:ascii="宋体" w:hAnsi="宋体" w:cs="宋体"/>
          <w:b/>
          <w:color w:val="auto"/>
          <w:sz w:val="24"/>
          <w:szCs w:val="24"/>
          <w:highlight w:val="none"/>
          <w:lang w:val="en-US" w:eastAsia="zh-CN"/>
        </w:rPr>
        <w:t>设备安装</w:t>
      </w:r>
      <w:r>
        <w:rPr>
          <w:rFonts w:hint="eastAsia" w:ascii="宋体" w:hAnsi="宋体" w:cs="宋体"/>
          <w:b/>
          <w:color w:val="auto"/>
          <w:sz w:val="24"/>
          <w:szCs w:val="24"/>
          <w:highlight w:val="none"/>
          <w:lang w:eastAsia="zh-CN"/>
        </w:rPr>
        <w:t>工程</w:t>
      </w:r>
      <w:r>
        <w:rPr>
          <w:rFonts w:hint="eastAsia" w:ascii="宋体" w:hAnsi="宋体" w:cs="宋体"/>
          <w:b/>
          <w:color w:val="auto"/>
          <w:sz w:val="24"/>
          <w:szCs w:val="24"/>
          <w:highlight w:val="none"/>
          <w:lang w:val="en-US" w:eastAsia="zh-CN"/>
        </w:rPr>
        <w:t>9.53358%，通用安装</w:t>
      </w:r>
      <w:r>
        <w:rPr>
          <w:rFonts w:hint="eastAsia" w:ascii="宋体" w:hAnsi="宋体" w:cs="宋体"/>
          <w:b/>
          <w:color w:val="auto"/>
          <w:sz w:val="24"/>
          <w:szCs w:val="24"/>
          <w:highlight w:val="none"/>
          <w:lang w:eastAsia="zh-CN"/>
        </w:rPr>
        <w:t>工程</w:t>
      </w:r>
      <w:r>
        <w:rPr>
          <w:rFonts w:hint="eastAsia" w:ascii="宋体" w:hAnsi="宋体" w:cs="宋体"/>
          <w:b/>
          <w:color w:val="auto"/>
          <w:sz w:val="24"/>
          <w:szCs w:val="24"/>
          <w:highlight w:val="none"/>
          <w:lang w:val="en-US" w:eastAsia="zh-CN"/>
        </w:rPr>
        <w:t>9.189%</w:t>
      </w:r>
      <w:r>
        <w:rPr>
          <w:rFonts w:hint="eastAsia" w:ascii="宋体" w:hAnsi="宋体" w:cs="宋体"/>
          <w:b/>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sz w:val="24"/>
          <w:szCs w:val="24"/>
          <w:highlight w:val="none"/>
        </w:rPr>
      </w:pPr>
      <w:r>
        <w:rPr>
          <w:rFonts w:hint="eastAsia" w:ascii="宋体" w:hAnsi="宋体"/>
          <w:b/>
          <w:color w:val="auto"/>
          <w:sz w:val="24"/>
          <w:szCs w:val="24"/>
          <w:lang w:val="en-US" w:eastAsia="zh-CN"/>
        </w:rPr>
        <w:t>八</w:t>
      </w:r>
      <w:r>
        <w:rPr>
          <w:rFonts w:hint="eastAsia" w:ascii="宋体" w:hAnsi="宋体"/>
          <w:b/>
          <w:color w:val="auto"/>
          <w:sz w:val="24"/>
          <w:szCs w:val="24"/>
          <w:lang w:eastAsia="zh-CN"/>
        </w:rPr>
        <w:t>、</w:t>
      </w:r>
      <w:r>
        <w:rPr>
          <w:rFonts w:hint="eastAsia" w:ascii="宋体" w:hAnsi="宋体"/>
          <w:b/>
          <w:color w:val="auto"/>
          <w:sz w:val="24"/>
          <w:szCs w:val="24"/>
        </w:rPr>
        <w:t>税金包括增值税（销项税额）</w:t>
      </w:r>
      <w:r>
        <w:rPr>
          <w:rFonts w:hint="eastAsia" w:ascii="宋体" w:hAnsi="宋体"/>
          <w:b/>
          <w:color w:val="auto"/>
          <w:sz w:val="24"/>
          <w:szCs w:val="24"/>
          <w:lang w:eastAsia="zh-CN"/>
        </w:rPr>
        <w:t>：</w:t>
      </w:r>
      <w:r>
        <w:rPr>
          <w:rFonts w:hint="eastAsia" w:ascii="宋体" w:hAnsi="宋体" w:cs="宋体"/>
          <w:b/>
          <w:sz w:val="24"/>
          <w:szCs w:val="24"/>
          <w:highlight w:val="none"/>
        </w:rPr>
        <w:t>费率按</w:t>
      </w:r>
      <w:r>
        <w:rPr>
          <w:rFonts w:hint="eastAsia" w:ascii="宋体" w:hAnsi="宋体" w:cs="宋体"/>
          <w:b/>
          <w:sz w:val="24"/>
          <w:szCs w:val="24"/>
          <w:highlight w:val="none"/>
          <w:lang w:val="en-US" w:eastAsia="zh-CN"/>
        </w:rPr>
        <w:t>9</w:t>
      </w:r>
      <w:r>
        <w:rPr>
          <w:rFonts w:hint="eastAsia" w:ascii="宋体" w:hAnsi="宋体" w:cs="宋体"/>
          <w:b/>
          <w:sz w:val="24"/>
          <w:szCs w:val="24"/>
          <w:highlight w:val="none"/>
        </w:rPr>
        <w:t>%计取。</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00"/>
        <w:jc w:val="left"/>
        <w:textAlignment w:val="auto"/>
        <w:rPr>
          <w:rFonts w:hint="eastAsia" w:ascii="宋体" w:hAnsi="宋体" w:cs="宋体"/>
          <w:b/>
          <w:sz w:val="24"/>
          <w:szCs w:val="24"/>
          <w:highlight w:val="none"/>
        </w:rPr>
      </w:pPr>
      <w:r>
        <w:rPr>
          <w:rFonts w:hint="eastAsia" w:ascii="宋体" w:hAnsi="宋体" w:cs="宋体"/>
          <w:b/>
          <w:sz w:val="24"/>
          <w:szCs w:val="24"/>
          <w:lang w:eastAsia="zh-CN"/>
        </w:rPr>
        <w:t>九、</w:t>
      </w:r>
      <w:r>
        <w:rPr>
          <w:rFonts w:hint="eastAsia" w:ascii="宋体" w:hAnsi="宋体" w:cs="宋体"/>
          <w:b/>
          <w:sz w:val="24"/>
          <w:szCs w:val="24"/>
        </w:rPr>
        <w:t>招标人自行采购材料名称、规格型号、数量，要求总承包人提供的服务内容详见招标</w:t>
      </w:r>
      <w:r>
        <w:rPr>
          <w:rFonts w:hint="eastAsia" w:ascii="宋体" w:hAnsi="宋体" w:cs="宋体"/>
          <w:b/>
          <w:sz w:val="24"/>
          <w:szCs w:val="24"/>
          <w:lang w:eastAsia="zh-CN"/>
        </w:rPr>
        <w:t>文</w:t>
      </w:r>
      <w:r>
        <w:rPr>
          <w:rFonts w:hint="eastAsia" w:ascii="宋体" w:hAnsi="宋体" w:cs="宋体"/>
          <w:b/>
          <w:sz w:val="24"/>
          <w:szCs w:val="24"/>
          <w:highlight w:val="none"/>
        </w:rPr>
        <w:t>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00"/>
        <w:jc w:val="left"/>
        <w:textAlignment w:val="auto"/>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十、</w:t>
      </w:r>
      <w:r>
        <w:rPr>
          <w:rFonts w:hint="eastAsia" w:ascii="宋体" w:hAnsi="宋体"/>
          <w:b/>
          <w:sz w:val="24"/>
          <w:szCs w:val="24"/>
          <w:lang w:val="en-US" w:eastAsia="zh-CN"/>
        </w:rPr>
        <w:t>材料要求：主要材料厂家及要求，详见附表。</w:t>
      </w:r>
    </w:p>
    <w:p>
      <w:pPr>
        <w:keepNext w:val="0"/>
        <w:keepLines w:val="0"/>
        <w:pageBreakBefore w:val="0"/>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cs="宋体"/>
          <w:b/>
          <w:sz w:val="24"/>
          <w:szCs w:val="24"/>
          <w:lang w:val="en-US" w:eastAsia="zh-CN"/>
        </w:rPr>
        <w:t>十一、</w:t>
      </w:r>
      <w:r>
        <w:rPr>
          <w:rFonts w:hint="eastAsia" w:ascii="宋体" w:hAnsi="宋体" w:eastAsia="宋体" w:cs="宋体"/>
          <w:b/>
          <w:color w:val="auto"/>
          <w:sz w:val="24"/>
          <w:szCs w:val="24"/>
          <w:highlight w:val="none"/>
          <w:lang w:eastAsia="zh-CN"/>
        </w:rPr>
        <w:t>暂列金额：</w:t>
      </w:r>
      <w:r>
        <w:rPr>
          <w:rFonts w:hint="eastAsia" w:ascii="宋体" w:hAnsi="宋体" w:eastAsia="宋体" w:cs="宋体"/>
          <w:b/>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8" w:lineRule="auto"/>
        <w:ind w:left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cs="宋体"/>
          <w:b/>
          <w:sz w:val="24"/>
          <w:szCs w:val="24"/>
          <w:lang w:val="en-US" w:eastAsia="zh-CN"/>
        </w:rPr>
        <w:t>十二、</w:t>
      </w:r>
      <w:r>
        <w:rPr>
          <w:rFonts w:hint="eastAsia" w:ascii="宋体" w:hAnsi="宋体" w:eastAsia="宋体" w:cs="宋体"/>
          <w:b/>
          <w:color w:val="auto"/>
          <w:sz w:val="24"/>
          <w:szCs w:val="24"/>
          <w:highlight w:val="none"/>
          <w:lang w:val="en-US" w:eastAsia="zh-CN"/>
        </w:rPr>
        <w:t>暂定价部分：</w:t>
      </w:r>
    </w:p>
    <w:p>
      <w:pPr>
        <w:spacing w:line="440" w:lineRule="exact"/>
        <w:ind w:firstLine="480" w:firstLineChars="200"/>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1、拆除原有设备按暂定价60000元/项计入；</w:t>
      </w:r>
    </w:p>
    <w:p>
      <w:pPr>
        <w:spacing w:line="440" w:lineRule="exact"/>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2、原部分阀门、管道更换按暂定价20000元/项计入；</w:t>
      </w:r>
    </w:p>
    <w:p>
      <w:pPr>
        <w:spacing w:line="440" w:lineRule="exact"/>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3、1000*1000*1500电缆井按暂定价2000元/座计入；</w:t>
      </w:r>
    </w:p>
    <w:p>
      <w:pPr>
        <w:numPr>
          <w:ilvl w:val="0"/>
          <w:numId w:val="2"/>
        </w:numPr>
        <w:spacing w:line="440" w:lineRule="exact"/>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φ1000*1600砖砌污水井按暂定价5000元/座计入；φ1000*1800砖砌污水井按暂定价5500元/座计入；φ1000*1900砖砌污水井按暂定价6000元/座计入；φ1000*2050砖砌污水井按暂定价6500元/座计入。</w:t>
      </w:r>
    </w:p>
    <w:p>
      <w:pPr>
        <w:numPr>
          <w:ilvl w:val="0"/>
          <w:numId w:val="2"/>
        </w:numPr>
        <w:spacing w:line="440" w:lineRule="exact"/>
        <w:ind w:firstLine="480" w:firstLineChars="200"/>
        <w:rPr>
          <w:rFonts w:hint="default" w:ascii="宋体" w:hAnsi="宋体"/>
          <w:b w:val="0"/>
          <w:bCs/>
          <w:color w:val="auto"/>
          <w:sz w:val="24"/>
          <w:szCs w:val="24"/>
          <w:lang w:val="en-US" w:eastAsia="zh-CN"/>
        </w:rPr>
      </w:pPr>
      <w:r>
        <w:rPr>
          <w:rFonts w:hint="eastAsia" w:ascii="宋体" w:hAnsi="宋体"/>
          <w:b w:val="0"/>
          <w:bCs/>
          <w:color w:val="auto"/>
          <w:sz w:val="24"/>
          <w:szCs w:val="24"/>
          <w:lang w:val="en-US" w:eastAsia="zh-CN"/>
        </w:rPr>
        <w:t>设备试运行按暂定价40000元/项计入；</w:t>
      </w:r>
    </w:p>
    <w:p>
      <w:pPr>
        <w:keepNext w:val="0"/>
        <w:keepLines w:val="0"/>
        <w:pageBreakBefore w:val="0"/>
        <w:numPr>
          <w:ilvl w:val="0"/>
          <w:numId w:val="0"/>
        </w:numPr>
        <w:kinsoku/>
        <w:wordWrap/>
        <w:overflowPunct/>
        <w:topLinePunct w:val="0"/>
        <w:autoSpaceDE/>
        <w:autoSpaceDN/>
        <w:bidi w:val="0"/>
        <w:adjustRightInd/>
        <w:snapToGrid/>
        <w:spacing w:line="520" w:lineRule="exact"/>
        <w:ind w:left="422" w:leftChars="0"/>
        <w:jc w:val="left"/>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十三、</w:t>
      </w:r>
      <w:r>
        <w:rPr>
          <w:rFonts w:hint="eastAsia" w:ascii="宋体" w:hAnsi="宋体" w:cs="宋体"/>
          <w:b/>
          <w:color w:val="auto"/>
          <w:sz w:val="24"/>
          <w:szCs w:val="24"/>
        </w:rPr>
        <w:t>其他需要说明的问题：</w:t>
      </w:r>
    </w:p>
    <w:p>
      <w:pPr>
        <w:spacing w:line="44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1、本次预算编制管道长度、管件、敷设电缆等工程量以施工图材料表为依据，结算时工程量按实结算；</w:t>
      </w:r>
    </w:p>
    <w:p>
      <w:pPr>
        <w:spacing w:line="44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2、经设计确认，设备工程量按表格《临安龙岗工艺设备表 20220105》中新增一栏的工程量计入；</w:t>
      </w:r>
    </w:p>
    <w:p>
      <w:pPr>
        <w:spacing w:line="44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3、经设计确认，全部钢管防腐都采用“一道环氧红丹防锈漆底漆 两道环氧富锌面漆”的制作工艺，原栏杆、管道涂防腐涂料前需除锈；</w:t>
      </w:r>
    </w:p>
    <w:p>
      <w:pPr>
        <w:spacing w:line="44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4、由厂家集成的自控系统通讯接口均要求为以太网接口。</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b/>
          <w:bCs/>
          <w:sz w:val="24"/>
          <w:szCs w:val="24"/>
        </w:rPr>
      </w:pPr>
      <w:r>
        <w:rPr>
          <w:rFonts w:hint="eastAsia" w:ascii="宋体" w:hAnsi="宋体"/>
          <w:b/>
          <w:bCs/>
          <w:sz w:val="24"/>
          <w:szCs w:val="24"/>
        </w:rPr>
        <w:t>十</w:t>
      </w:r>
      <w:r>
        <w:rPr>
          <w:rFonts w:hint="eastAsia" w:ascii="宋体" w:hAnsi="宋体"/>
          <w:b/>
          <w:bCs/>
          <w:sz w:val="24"/>
          <w:szCs w:val="24"/>
          <w:lang w:val="en-US" w:eastAsia="zh-CN"/>
        </w:rPr>
        <w:t>三</w:t>
      </w:r>
      <w:r>
        <w:rPr>
          <w:rFonts w:hint="eastAsia" w:ascii="宋体" w:hAnsi="宋体"/>
          <w:b/>
          <w:bCs/>
          <w:sz w:val="24"/>
          <w:szCs w:val="24"/>
        </w:rPr>
        <w:t>、注意事项：</w:t>
      </w:r>
    </w:p>
    <w:p>
      <w:pPr>
        <w:keepNext w:val="0"/>
        <w:keepLines w:val="0"/>
        <w:pageBreakBefore w:val="0"/>
        <w:kinsoku/>
        <w:wordWrap/>
        <w:overflowPunct/>
        <w:topLinePunct w:val="0"/>
        <w:autoSpaceDE/>
        <w:autoSpaceDN/>
        <w:bidi w:val="0"/>
        <w:adjustRightInd/>
        <w:snapToGrid/>
        <w:spacing w:line="520" w:lineRule="exact"/>
        <w:ind w:firstLine="597" w:firstLineChars="249"/>
        <w:textAlignment w:val="auto"/>
        <w:rPr>
          <w:rFonts w:hint="eastAsia" w:ascii="宋体" w:hAnsi="宋体"/>
          <w:bCs/>
          <w:sz w:val="24"/>
          <w:szCs w:val="24"/>
        </w:rPr>
      </w:pPr>
      <w:r>
        <w:rPr>
          <w:rFonts w:hint="eastAsia" w:ascii="宋体" w:hAnsi="宋体"/>
          <w:bCs/>
          <w:sz w:val="24"/>
          <w:szCs w:val="24"/>
        </w:rPr>
        <w:t>1、清单中项目特征描述与图纸不符或不全的部分，投标人应仔细阅读图纸，根据《建设工程工程量清单计价规范》（GB50500-2013）中清单项目所包含的工作内容，按设计图纸及施工规范要求综合考虑在内。</w:t>
      </w:r>
    </w:p>
    <w:p>
      <w:pPr>
        <w:keepNext w:val="0"/>
        <w:keepLines w:val="0"/>
        <w:pageBreakBefore w:val="0"/>
        <w:kinsoku/>
        <w:wordWrap/>
        <w:overflowPunct/>
        <w:topLinePunct w:val="0"/>
        <w:autoSpaceDE/>
        <w:autoSpaceDN/>
        <w:bidi w:val="0"/>
        <w:adjustRightInd/>
        <w:snapToGrid/>
        <w:spacing w:line="520" w:lineRule="exact"/>
        <w:ind w:firstLine="597" w:firstLineChars="249"/>
        <w:textAlignment w:val="auto"/>
        <w:rPr>
          <w:rFonts w:hint="eastAsia" w:ascii="宋体" w:hAnsi="宋体"/>
          <w:bCs/>
          <w:sz w:val="24"/>
          <w:szCs w:val="24"/>
        </w:rPr>
      </w:pPr>
      <w:r>
        <w:rPr>
          <w:rFonts w:hint="eastAsia" w:ascii="宋体" w:hAnsi="宋体"/>
          <w:bCs/>
          <w:sz w:val="24"/>
          <w:szCs w:val="24"/>
        </w:rPr>
        <w:t>2、投标人在填写工程量清单的每一项综合单价和合价时均应结合招标文件、技术规范、设计施工图纸和现场勘察情况，谨慎仔细地进行报价。如发现清单中的表述与设计文件不符，请投标人提出书面意见以便答疑，如不提出则视为无异议。</w:t>
      </w:r>
    </w:p>
    <w:p>
      <w:pPr>
        <w:keepNext w:val="0"/>
        <w:keepLines w:val="0"/>
        <w:pageBreakBefore w:val="0"/>
        <w:kinsoku/>
        <w:wordWrap/>
        <w:overflowPunct/>
        <w:topLinePunct w:val="0"/>
        <w:autoSpaceDE/>
        <w:autoSpaceDN/>
        <w:bidi w:val="0"/>
        <w:adjustRightInd/>
        <w:snapToGrid/>
        <w:spacing w:line="520" w:lineRule="exact"/>
        <w:ind w:firstLine="597" w:firstLineChars="249"/>
        <w:textAlignment w:val="auto"/>
        <w:rPr>
          <w:rFonts w:hint="eastAsia" w:ascii="宋体" w:hAnsi="宋体"/>
          <w:bCs/>
          <w:sz w:val="24"/>
          <w:szCs w:val="24"/>
        </w:rPr>
      </w:pPr>
      <w:r>
        <w:rPr>
          <w:rFonts w:hint="eastAsia" w:ascii="宋体" w:hAnsi="宋体"/>
          <w:bCs/>
          <w:sz w:val="24"/>
          <w:szCs w:val="24"/>
        </w:rPr>
        <w:t>3、所有组织措施项目费和以“项”为计量单位的技术措施费一次性包干，请投标单位充分考虑本工程实际风险，结算时不作调整，措施项目部分编制要求详见招标文件，措施项目清单及计价表仅供参考，投标人应根据施工组织设计补充清单项目自行报价。</w:t>
      </w:r>
    </w:p>
    <w:p>
      <w:pPr>
        <w:keepNext w:val="0"/>
        <w:keepLines w:val="0"/>
        <w:pageBreakBefore w:val="0"/>
        <w:kinsoku/>
        <w:wordWrap/>
        <w:overflowPunct/>
        <w:topLinePunct w:val="0"/>
        <w:autoSpaceDE/>
        <w:autoSpaceDN/>
        <w:bidi w:val="0"/>
        <w:adjustRightInd/>
        <w:snapToGrid/>
        <w:spacing w:line="520" w:lineRule="exact"/>
        <w:ind w:firstLine="597" w:firstLineChars="249"/>
        <w:textAlignment w:val="auto"/>
        <w:rPr>
          <w:rFonts w:hint="eastAsia" w:ascii="宋体" w:hAnsi="宋体"/>
          <w:bCs/>
          <w:sz w:val="24"/>
          <w:szCs w:val="24"/>
        </w:rPr>
      </w:pPr>
      <w:r>
        <w:rPr>
          <w:rFonts w:hint="eastAsia" w:ascii="宋体" w:hAnsi="宋体"/>
          <w:bCs/>
          <w:sz w:val="24"/>
          <w:szCs w:val="24"/>
        </w:rPr>
        <w:t>4、施工过程中如需与其他部门或相关单位协商与配合所产生的费用请计入措施项目清单报价中，中标后一律不予调整。中标人不文明施工引起的诸如渣土管理、交通、治安、环保等罚款及管线抢修等费用均由中标人自行承担，招标人概不负责。</w:t>
      </w:r>
    </w:p>
    <w:p>
      <w:pPr>
        <w:keepNext w:val="0"/>
        <w:keepLines w:val="0"/>
        <w:pageBreakBefore w:val="0"/>
        <w:kinsoku/>
        <w:wordWrap/>
        <w:overflowPunct/>
        <w:topLinePunct w:val="0"/>
        <w:autoSpaceDE/>
        <w:autoSpaceDN/>
        <w:bidi w:val="0"/>
        <w:adjustRightInd/>
        <w:snapToGrid/>
        <w:spacing w:line="520" w:lineRule="exact"/>
        <w:ind w:firstLine="597" w:firstLineChars="249"/>
        <w:textAlignment w:val="auto"/>
        <w:rPr>
          <w:rFonts w:hint="eastAsia" w:ascii="宋体" w:hAnsi="宋体"/>
          <w:bCs/>
          <w:sz w:val="24"/>
          <w:szCs w:val="24"/>
        </w:rPr>
      </w:pPr>
      <w:r>
        <w:rPr>
          <w:rFonts w:hint="eastAsia" w:ascii="宋体" w:hAnsi="宋体"/>
          <w:bCs/>
          <w:sz w:val="24"/>
          <w:szCs w:val="24"/>
        </w:rPr>
        <w:t>5、工程施工时，投标人对周边建筑物、城市道路、树木、构筑物，电力设施、地下管线及各类成品等自行采取保护措施，并做好安全围护措施；由此所发生的一切费用均应计入相关项目的单价和总价中，招标人不另行支付。</w:t>
      </w:r>
    </w:p>
    <w:p>
      <w:pPr>
        <w:keepNext w:val="0"/>
        <w:keepLines w:val="0"/>
        <w:pageBreakBefore w:val="0"/>
        <w:kinsoku/>
        <w:wordWrap/>
        <w:overflowPunct/>
        <w:topLinePunct w:val="0"/>
        <w:autoSpaceDE/>
        <w:autoSpaceDN/>
        <w:bidi w:val="0"/>
        <w:adjustRightInd/>
        <w:snapToGrid/>
        <w:spacing w:line="520" w:lineRule="exact"/>
        <w:ind w:firstLine="597" w:firstLineChars="249"/>
        <w:textAlignment w:val="auto"/>
        <w:rPr>
          <w:rFonts w:hint="eastAsia" w:ascii="宋体" w:hAnsi="宋体"/>
          <w:bCs/>
          <w:sz w:val="24"/>
          <w:szCs w:val="24"/>
        </w:rPr>
      </w:pPr>
      <w:r>
        <w:rPr>
          <w:rFonts w:hint="eastAsia" w:ascii="宋体" w:hAnsi="宋体"/>
          <w:bCs/>
          <w:sz w:val="24"/>
          <w:szCs w:val="24"/>
        </w:rPr>
        <w:t>6、承包人施工时应做好与周边相关道路以及周边居民出行的交通组织、文明安全、交通设施等围护工作（包括设置临时交通标志、标牌等），满足交警等相关部门的管理要求。必须做到道路安全畅通，做好安全施工的宣传工作，确保工程顺利进行。投标单位根据业主对施工围护方案的要求并踏勘现场后自行报价，如未单独报价视为列入总价中，结算不因任何原因增加该费用。</w:t>
      </w:r>
    </w:p>
    <w:p>
      <w:pPr>
        <w:keepNext w:val="0"/>
        <w:keepLines w:val="0"/>
        <w:pageBreakBefore w:val="0"/>
        <w:kinsoku/>
        <w:wordWrap/>
        <w:overflowPunct/>
        <w:topLinePunct w:val="0"/>
        <w:autoSpaceDE/>
        <w:autoSpaceDN/>
        <w:bidi w:val="0"/>
        <w:adjustRightInd/>
        <w:snapToGrid/>
        <w:spacing w:line="408" w:lineRule="auto"/>
        <w:ind w:firstLine="597" w:firstLineChars="249"/>
        <w:textAlignment w:val="auto"/>
        <w:rPr>
          <w:rFonts w:hint="eastAsia" w:ascii="宋体" w:hAnsi="宋体"/>
          <w:bCs/>
          <w:sz w:val="24"/>
          <w:szCs w:val="24"/>
        </w:rPr>
      </w:pPr>
      <w:r>
        <w:rPr>
          <w:rFonts w:hint="eastAsia" w:ascii="宋体" w:hAnsi="宋体"/>
          <w:bCs/>
          <w:sz w:val="24"/>
          <w:szCs w:val="24"/>
          <w:lang w:val="en-US" w:eastAsia="zh-CN"/>
        </w:rPr>
        <w:t>7、</w:t>
      </w:r>
      <w:r>
        <w:rPr>
          <w:rFonts w:hint="eastAsia" w:ascii="宋体" w:hAnsi="宋体"/>
          <w:bCs/>
          <w:sz w:val="24"/>
          <w:szCs w:val="24"/>
        </w:rPr>
        <w:t>因施工图深度等原因，本清单工程量仅供投标报价使用，实际工程量待结算时按实调整。投标单价就综合工程量误差风险因素进行报价，结算时不因工程量增减变化而调整投标综合单价。</w:t>
      </w:r>
    </w:p>
    <w:p>
      <w:pPr>
        <w:spacing w:line="440" w:lineRule="exact"/>
        <w:rPr>
          <w:rFonts w:hint="default" w:ascii="宋体" w:hAnsi="宋体"/>
          <w:bCs/>
          <w:sz w:val="24"/>
          <w:szCs w:val="24"/>
          <w:lang w:val="en-US" w:eastAsia="zh-CN"/>
        </w:rPr>
      </w:pPr>
      <w:r>
        <w:rPr>
          <w:rFonts w:hint="eastAsia" w:ascii="宋体" w:hAnsi="宋体"/>
          <w:bCs/>
          <w:sz w:val="24"/>
          <w:szCs w:val="24"/>
          <w:lang w:val="en-US" w:eastAsia="zh-CN"/>
        </w:rPr>
        <w:t>8</w:t>
      </w:r>
      <w:r>
        <w:rPr>
          <w:rFonts w:hint="eastAsia" w:ascii="宋体" w:hAnsi="宋体"/>
          <w:bCs/>
          <w:sz w:val="24"/>
          <w:szCs w:val="24"/>
        </w:rPr>
        <w:t>、投标单位报价时需认真仔细现场调研、查看地形，了解周边状况综合考虑各种因素再投标报价 。对业主方提出的各项要求，报价中自行考虑，中标后不调整。</w:t>
      </w:r>
    </w:p>
    <w:tbl>
      <w:tblPr>
        <w:tblStyle w:val="62"/>
        <w:tblW w:w="9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3315"/>
        <w:gridCol w:w="456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897"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pStyle w:val="4"/>
              <w:rPr>
                <w:rFonts w:hint="eastAsia"/>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主要材料品牌响应表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厂家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不锈钢机械格栅</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宜兴天之蓝、升蓝、无锡通用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铸铁镶铜电动方闸门</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宜兴天之蓝、升蓝、无锡通用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悬挂起重机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腾力、河南矿山、山东泰龙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直轴搅拌机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宜兴天之蓝、升蓝、无锡通用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1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刮泥机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宜兴天之蓝、升蓝、无锡通用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电磁流量计</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源牌、工考、振华</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1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工业在线PH计</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E+H、哈希、AMER</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潜水排污泵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南方、上海汇业、凯泉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立式排污泵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南方、上海汇业、凯泉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自吸排污泵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南方、上海汇业、凯泉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高压离心泵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南方、上海汇业、凯泉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液压泥浆泵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耐驰（国产）、兴龙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加药螺杆泵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宜兴天之蓝、仁祥、耐驰（国产）、兴龙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清水离心泵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南方、上海汇业、凯泉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无堵塞排污泵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南方、上海汇业、凯泉</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隔膜计量泵</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南方、爱力浦、胜瑞兰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潜水搅拌机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布鲁克林、天之蓝、蓝深、南蓝</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石英砂 </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伟勤环保、福建海砂</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浓缩机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宜兴天之蓝、升蓝、无锡通用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开山、上海汉钟、宁波欣达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冷干机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开山、广州汉粤、嘉美净化</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钢制防腐活性炭罐</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青岛双峰、青岛爱康、青岛国林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吸附式干燥机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广州汉粤、青岛爱康、青岛国林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制氧机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青岛爱康、青岛国林、新大陆、宜兴斐然环保</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臭氧发生器</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青岛爱康、青岛国林、新大陆、宜兴斐然环保</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储气罐</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开山、青岛双峰、申江</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板式换热器</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美国传特、风凯、浙江银轮</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隔膜压滤机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兴源、升蓝、景津</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在线检测仪</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聚光、上泰、博克斯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超声波液位计</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传智科技、工考、深圳计为</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微孔曝气器</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恒信、升蓝、玉环振兴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在线溶氧仪</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E+H、哈希、AMER</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废气处理系统</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东澜、江苏一环、升蓝</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9897"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主要材料品牌响应表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厂家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涡街流量计</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斐然环保、工考、源牌</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PP斜管填料</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恒信、升蓝、无锡通用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标准滤板</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斐然环保、升蓝、玉环振兴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长柄滤头</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斐然环保、天之蓝、升蓝、玉环振兴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催化剂填料</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斐然环保、浙大易泰、升蓝</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射流器</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斐然环保、升蓝</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尾气破坏器</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青岛爱康、青岛国林、斐然环保</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手自一体蝶阀</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斐然环保、开维喜、宁波一机</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罗茨鼓风机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百事德、章鼓、济南力冠</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万马、中策、永通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上位机组态软件</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力控、组态王、世纪星、紫金桥</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超窄边液晶拼接屏、拼接屏处理器、显示系统控制软件等配件</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大华、海康威视、皓丽</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高清网络枪机、NVR视频网络硬盘录像机、监控计算机</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大华、海康威视、宇视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98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20" w:afterAutospacing="0" w:line="240" w:lineRule="auto"/>
              <w:jc w:val="left"/>
              <w:textAlignment w:val="top"/>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 1、投标人在投标报价是，本工程主要设备、材料必须选用以上品牌中的一种或同等档次及以上品牌，并在投标书中注明。</w:t>
            </w:r>
          </w:p>
          <w:p>
            <w:pPr>
              <w:keepNext w:val="0"/>
              <w:keepLines w:val="0"/>
              <w:widowControl/>
              <w:suppressLineNumbers w:val="0"/>
              <w:spacing w:after="220" w:afterAutospacing="0" w:line="240" w:lineRule="auto"/>
              <w:jc w:val="left"/>
              <w:textAlignment w:val="top"/>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2、施工时如确实需要名录以外的供应方采购，必须经业主书面同意。</w:t>
            </w:r>
          </w:p>
          <w:p>
            <w:pPr>
              <w:keepNext w:val="0"/>
              <w:keepLines w:val="0"/>
              <w:widowControl/>
              <w:suppressLineNumbers w:val="0"/>
              <w:spacing w:after="220" w:afterAutospacing="0" w:line="240" w:lineRule="auto"/>
              <w:jc w:val="left"/>
              <w:textAlignment w:val="top"/>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3、以上设备具体参数及功能要求详见清单。</w:t>
            </w:r>
          </w:p>
          <w:p>
            <w:pPr>
              <w:keepNext w:val="0"/>
              <w:keepLines w:val="0"/>
              <w:widowControl/>
              <w:suppressLineNumbers w:val="0"/>
              <w:spacing w:after="220" w:afterAutospacing="0" w:line="240" w:lineRule="auto"/>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4、投标单位报价是对主要设备的报价需满足清单描述中的设备功能要求；本工程清单描述中提供设备型号的，投标单位投标报价时该设备需满足或高于该型号的功能要求。</w:t>
            </w:r>
          </w:p>
        </w:tc>
      </w:tr>
    </w:tbl>
    <w:p>
      <w:pPr>
        <w:snapToGrid w:val="0"/>
        <w:spacing w:line="360" w:lineRule="auto"/>
        <w:jc w:val="both"/>
        <w:rPr>
          <w:rFonts w:hint="eastAsia" w:ascii="宋体" w:hAnsi="宋体" w:eastAsia="宋体" w:cs="宋体"/>
          <w:b/>
          <w:sz w:val="24"/>
        </w:rPr>
      </w:pPr>
    </w:p>
    <w:p>
      <w:pPr>
        <w:snapToGrid w:val="0"/>
        <w:spacing w:line="360" w:lineRule="auto"/>
        <w:jc w:val="both"/>
        <w:rPr>
          <w:rFonts w:hint="eastAsia" w:ascii="宋体" w:hAnsi="宋体" w:eastAsia="宋体" w:cs="宋体"/>
          <w:b/>
          <w:sz w:val="24"/>
        </w:rPr>
        <w:sectPr>
          <w:pgSz w:w="11907" w:h="16840"/>
          <w:pgMar w:top="1077" w:right="1020" w:bottom="1077" w:left="1020" w:header="851" w:footer="851" w:gutter="0"/>
          <w:cols w:space="720" w:num="1"/>
        </w:sectPr>
      </w:pPr>
      <w:r>
        <w:rPr>
          <w:rFonts w:hint="eastAsia" w:ascii="宋体" w:hAnsi="宋体" w:eastAsia="宋体" w:cs="宋体"/>
          <w:b/>
          <w:sz w:val="24"/>
        </w:rPr>
        <w:br w:type="page"/>
      </w:r>
    </w:p>
    <w:p>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7" w:name="_Toc184314410"/>
      <w:bookmarkEnd w:id="27"/>
      <w:bookmarkStart w:id="28" w:name="_Toc184310337"/>
      <w:bookmarkEnd w:id="28"/>
      <w:bookmarkStart w:id="29" w:name="_Toc184310327"/>
      <w:bookmarkEnd w:id="29"/>
      <w:bookmarkStart w:id="30" w:name="_Toc184308067"/>
      <w:bookmarkEnd w:id="30"/>
      <w:bookmarkStart w:id="31" w:name="_Toc184310333"/>
      <w:bookmarkEnd w:id="31"/>
      <w:bookmarkStart w:id="32" w:name="_Toc184314479"/>
      <w:bookmarkEnd w:id="32"/>
      <w:bookmarkStart w:id="33" w:name="_Toc184310326"/>
      <w:bookmarkEnd w:id="33"/>
      <w:bookmarkStart w:id="34" w:name="_Toc184313276"/>
      <w:bookmarkEnd w:id="34"/>
      <w:bookmarkStart w:id="35" w:name="_Toc184310284"/>
      <w:bookmarkEnd w:id="35"/>
      <w:bookmarkStart w:id="36" w:name="_Toc184310286"/>
      <w:bookmarkEnd w:id="36"/>
      <w:bookmarkStart w:id="37" w:name="_Toc184310328"/>
      <w:bookmarkEnd w:id="37"/>
      <w:bookmarkStart w:id="38" w:name="_Toc184312131"/>
      <w:bookmarkEnd w:id="38"/>
      <w:bookmarkStart w:id="39" w:name="_Toc184314461"/>
      <w:bookmarkEnd w:id="39"/>
      <w:bookmarkStart w:id="40" w:name="_Toc184313274"/>
      <w:bookmarkEnd w:id="40"/>
      <w:bookmarkStart w:id="41" w:name="_Toc184313295"/>
      <w:bookmarkEnd w:id="41"/>
      <w:bookmarkStart w:id="42" w:name="_Toc184310334"/>
      <w:bookmarkEnd w:id="42"/>
      <w:bookmarkStart w:id="43" w:name="_Toc184314462"/>
      <w:bookmarkEnd w:id="43"/>
      <w:bookmarkStart w:id="44" w:name="_Toc184308071"/>
      <w:bookmarkEnd w:id="44"/>
      <w:bookmarkStart w:id="45" w:name="_Toc184308077"/>
      <w:bookmarkEnd w:id="45"/>
      <w:bookmarkStart w:id="46" w:name="_Toc184308079"/>
      <w:bookmarkEnd w:id="46"/>
      <w:bookmarkStart w:id="47" w:name="_Toc184308063"/>
      <w:bookmarkEnd w:id="47"/>
      <w:bookmarkStart w:id="48" w:name="_Toc184308037"/>
      <w:bookmarkEnd w:id="48"/>
      <w:bookmarkStart w:id="49" w:name="_Toc184310332"/>
      <w:bookmarkEnd w:id="49"/>
      <w:bookmarkStart w:id="50" w:name="_Toc184314477"/>
      <w:bookmarkEnd w:id="50"/>
      <w:bookmarkStart w:id="51" w:name="_Toc184308107"/>
      <w:bookmarkEnd w:id="51"/>
      <w:bookmarkStart w:id="52" w:name="_Toc184313238"/>
      <w:bookmarkEnd w:id="52"/>
      <w:bookmarkStart w:id="53" w:name="_Toc184313248"/>
      <w:bookmarkEnd w:id="53"/>
      <w:bookmarkStart w:id="54" w:name="_Toc184310283"/>
      <w:bookmarkEnd w:id="54"/>
      <w:bookmarkStart w:id="55" w:name="_Toc184312071"/>
      <w:bookmarkEnd w:id="55"/>
      <w:bookmarkStart w:id="56" w:name="_Toc184313298"/>
      <w:bookmarkEnd w:id="56"/>
      <w:bookmarkStart w:id="57" w:name="_Toc184310323"/>
      <w:bookmarkEnd w:id="57"/>
      <w:bookmarkStart w:id="58" w:name="_Toc184312139"/>
      <w:bookmarkEnd w:id="58"/>
      <w:bookmarkStart w:id="59" w:name="_Toc184313294"/>
      <w:bookmarkEnd w:id="59"/>
      <w:bookmarkStart w:id="60" w:name="_Toc184310338"/>
      <w:bookmarkEnd w:id="60"/>
      <w:bookmarkStart w:id="61" w:name="_Toc184314423"/>
      <w:bookmarkEnd w:id="61"/>
      <w:bookmarkStart w:id="62" w:name="_Toc184313279"/>
      <w:bookmarkEnd w:id="62"/>
      <w:bookmarkStart w:id="63" w:name="_Toc184314457"/>
      <w:bookmarkEnd w:id="63"/>
      <w:bookmarkStart w:id="64" w:name="_Toc184308089"/>
      <w:bookmarkEnd w:id="64"/>
      <w:bookmarkStart w:id="65" w:name="_Toc184310287"/>
      <w:bookmarkEnd w:id="65"/>
      <w:bookmarkStart w:id="66" w:name="_Toc184313308"/>
      <w:bookmarkEnd w:id="66"/>
      <w:bookmarkStart w:id="67" w:name="_Toc184314444"/>
      <w:bookmarkEnd w:id="67"/>
      <w:bookmarkStart w:id="68" w:name="_Toc184308090"/>
      <w:bookmarkEnd w:id="68"/>
      <w:bookmarkStart w:id="69" w:name="_Toc184312102"/>
      <w:bookmarkEnd w:id="69"/>
      <w:bookmarkStart w:id="70" w:name="_Toc184314452"/>
      <w:bookmarkEnd w:id="70"/>
      <w:bookmarkStart w:id="71" w:name="_Toc184308048"/>
      <w:bookmarkEnd w:id="71"/>
      <w:bookmarkStart w:id="72" w:name="_Toc184314480"/>
      <w:bookmarkEnd w:id="72"/>
      <w:bookmarkStart w:id="73" w:name="_Toc184308069"/>
      <w:bookmarkEnd w:id="73"/>
      <w:bookmarkStart w:id="74" w:name="_Toc184312093"/>
      <w:bookmarkEnd w:id="74"/>
      <w:bookmarkStart w:id="75" w:name="_Toc184310307"/>
      <w:bookmarkEnd w:id="75"/>
      <w:bookmarkStart w:id="76" w:name="_Toc184310319"/>
      <w:bookmarkEnd w:id="76"/>
      <w:bookmarkStart w:id="77" w:name="_Toc184314482"/>
      <w:bookmarkEnd w:id="77"/>
      <w:bookmarkStart w:id="78" w:name="_Toc184310306"/>
      <w:bookmarkEnd w:id="78"/>
      <w:bookmarkStart w:id="79" w:name="_Toc184313286"/>
      <w:bookmarkEnd w:id="79"/>
      <w:bookmarkStart w:id="80" w:name="_Toc184308085"/>
      <w:bookmarkEnd w:id="80"/>
      <w:bookmarkStart w:id="81" w:name="_Toc184312138"/>
      <w:bookmarkEnd w:id="81"/>
      <w:bookmarkStart w:id="82" w:name="_Toc184310325"/>
      <w:bookmarkEnd w:id="82"/>
      <w:bookmarkStart w:id="83" w:name="_Toc184313310"/>
      <w:bookmarkEnd w:id="83"/>
      <w:bookmarkStart w:id="84" w:name="_Toc184308087"/>
      <w:bookmarkEnd w:id="84"/>
      <w:bookmarkStart w:id="85" w:name="_Toc184308093"/>
      <w:bookmarkEnd w:id="85"/>
      <w:bookmarkStart w:id="86" w:name="_Toc184310285"/>
      <w:bookmarkEnd w:id="86"/>
      <w:bookmarkStart w:id="87" w:name="_Toc184313275"/>
      <w:bookmarkEnd w:id="87"/>
      <w:bookmarkStart w:id="88" w:name="_Toc184313301"/>
      <w:bookmarkEnd w:id="88"/>
      <w:bookmarkStart w:id="89" w:name="_Toc184314451"/>
      <w:bookmarkEnd w:id="89"/>
      <w:bookmarkStart w:id="90" w:name="_Toc184312137"/>
      <w:bookmarkEnd w:id="90"/>
      <w:bookmarkStart w:id="91" w:name="_Toc184314464"/>
      <w:bookmarkEnd w:id="91"/>
      <w:bookmarkStart w:id="92" w:name="_Toc184312114"/>
      <w:bookmarkEnd w:id="92"/>
      <w:bookmarkStart w:id="93" w:name="_Toc184308088"/>
      <w:bookmarkEnd w:id="93"/>
      <w:bookmarkStart w:id="94" w:name="_Toc184312107"/>
      <w:bookmarkEnd w:id="94"/>
      <w:bookmarkStart w:id="95" w:name="_Toc184312099"/>
      <w:bookmarkEnd w:id="95"/>
      <w:bookmarkStart w:id="96" w:name="_Toc184314445"/>
      <w:bookmarkEnd w:id="96"/>
      <w:bookmarkStart w:id="97" w:name="_Toc184308051"/>
      <w:bookmarkEnd w:id="97"/>
      <w:bookmarkStart w:id="98" w:name="_Toc184313291"/>
      <w:bookmarkEnd w:id="98"/>
      <w:bookmarkStart w:id="99" w:name="_Toc184312079"/>
      <w:bookmarkEnd w:id="99"/>
      <w:bookmarkStart w:id="100" w:name="_Toc184308062"/>
      <w:bookmarkEnd w:id="100"/>
      <w:bookmarkStart w:id="101" w:name="_Toc184312104"/>
      <w:bookmarkEnd w:id="101"/>
      <w:bookmarkStart w:id="102" w:name="_Toc184308092"/>
      <w:bookmarkEnd w:id="102"/>
      <w:bookmarkStart w:id="103" w:name="_Toc184313293"/>
      <w:bookmarkEnd w:id="103"/>
      <w:bookmarkStart w:id="104" w:name="_Toc184313247"/>
      <w:bookmarkEnd w:id="104"/>
      <w:bookmarkStart w:id="105" w:name="_Toc184313239"/>
      <w:bookmarkEnd w:id="105"/>
      <w:bookmarkStart w:id="106" w:name="_Toc184312133"/>
      <w:bookmarkEnd w:id="106"/>
      <w:bookmarkStart w:id="107" w:name="_Toc184313288"/>
      <w:bookmarkEnd w:id="107"/>
      <w:bookmarkStart w:id="108" w:name="_Toc184308086"/>
      <w:bookmarkEnd w:id="108"/>
      <w:bookmarkStart w:id="109" w:name="_Toc184314460"/>
      <w:bookmarkEnd w:id="109"/>
      <w:bookmarkStart w:id="110" w:name="_Toc184312136"/>
      <w:bookmarkEnd w:id="110"/>
      <w:bookmarkStart w:id="111" w:name="_Toc184314466"/>
      <w:bookmarkEnd w:id="111"/>
      <w:bookmarkStart w:id="112" w:name="_Toc184312121"/>
      <w:bookmarkEnd w:id="112"/>
      <w:bookmarkStart w:id="113" w:name="_Toc184314463"/>
      <w:bookmarkEnd w:id="113"/>
      <w:bookmarkStart w:id="114" w:name="_Toc184314476"/>
      <w:bookmarkEnd w:id="114"/>
      <w:bookmarkStart w:id="115" w:name="_Toc184314442"/>
      <w:bookmarkEnd w:id="115"/>
      <w:bookmarkStart w:id="116" w:name="_Toc184312120"/>
      <w:bookmarkEnd w:id="116"/>
      <w:bookmarkStart w:id="117" w:name="_Toc184308091"/>
      <w:bookmarkEnd w:id="117"/>
      <w:bookmarkStart w:id="118" w:name="_Toc184312127"/>
      <w:bookmarkEnd w:id="118"/>
      <w:bookmarkStart w:id="119" w:name="_Toc184314422"/>
      <w:bookmarkEnd w:id="119"/>
      <w:bookmarkStart w:id="120" w:name="_Toc184308094"/>
      <w:bookmarkEnd w:id="120"/>
      <w:bookmarkStart w:id="121" w:name="_Toc184310295"/>
      <w:bookmarkEnd w:id="121"/>
      <w:bookmarkStart w:id="122" w:name="_Toc184314473"/>
      <w:bookmarkEnd w:id="122"/>
      <w:bookmarkStart w:id="123" w:name="_Toc184313273"/>
      <w:bookmarkEnd w:id="123"/>
      <w:bookmarkStart w:id="124" w:name="_Toc184313259"/>
      <w:bookmarkEnd w:id="124"/>
      <w:bookmarkStart w:id="125" w:name="_Toc184308081"/>
      <w:bookmarkEnd w:id="125"/>
      <w:bookmarkStart w:id="126" w:name="_Toc184308057"/>
      <w:bookmarkEnd w:id="126"/>
      <w:bookmarkStart w:id="127" w:name="_Toc184312095"/>
      <w:bookmarkEnd w:id="127"/>
      <w:bookmarkStart w:id="128" w:name="_Toc184308082"/>
      <w:bookmarkEnd w:id="128"/>
      <w:bookmarkStart w:id="129" w:name="_Toc184310341"/>
      <w:bookmarkEnd w:id="129"/>
      <w:bookmarkStart w:id="130" w:name="_Toc184312088"/>
      <w:bookmarkEnd w:id="130"/>
      <w:bookmarkStart w:id="131" w:name="_Toc184310291"/>
      <w:bookmarkEnd w:id="131"/>
      <w:bookmarkStart w:id="132" w:name="_Toc184308078"/>
      <w:bookmarkEnd w:id="132"/>
      <w:bookmarkStart w:id="133" w:name="_Toc184312119"/>
      <w:bookmarkEnd w:id="133"/>
      <w:bookmarkStart w:id="134" w:name="_Toc184310315"/>
      <w:bookmarkEnd w:id="134"/>
      <w:bookmarkStart w:id="135" w:name="_Toc184312084"/>
      <w:bookmarkEnd w:id="135"/>
      <w:bookmarkStart w:id="136" w:name="_Toc184312098"/>
      <w:bookmarkEnd w:id="136"/>
      <w:bookmarkStart w:id="137" w:name="_Toc184308065"/>
      <w:bookmarkEnd w:id="137"/>
      <w:bookmarkStart w:id="138" w:name="_Toc184313249"/>
      <w:bookmarkEnd w:id="138"/>
      <w:bookmarkStart w:id="139" w:name="_Toc184313250"/>
      <w:bookmarkEnd w:id="139"/>
      <w:bookmarkStart w:id="140" w:name="_Toc184312083"/>
      <w:bookmarkEnd w:id="140"/>
      <w:bookmarkStart w:id="141" w:name="_Toc184314475"/>
      <w:bookmarkEnd w:id="141"/>
      <w:bookmarkStart w:id="142" w:name="_Toc184313242"/>
      <w:bookmarkEnd w:id="142"/>
      <w:bookmarkStart w:id="143" w:name="_Toc184314446"/>
      <w:bookmarkEnd w:id="143"/>
      <w:bookmarkStart w:id="144" w:name="_Toc184308084"/>
      <w:bookmarkEnd w:id="144"/>
      <w:bookmarkStart w:id="145" w:name="_Toc184310282"/>
      <w:bookmarkEnd w:id="145"/>
      <w:bookmarkStart w:id="146" w:name="_Toc184310301"/>
      <w:bookmarkEnd w:id="146"/>
      <w:bookmarkStart w:id="147" w:name="_Toc184314443"/>
      <w:bookmarkEnd w:id="147"/>
      <w:bookmarkStart w:id="148" w:name="_Toc184310302"/>
      <w:bookmarkEnd w:id="148"/>
      <w:bookmarkStart w:id="149" w:name="_Toc184308047"/>
      <w:bookmarkEnd w:id="149"/>
      <w:bookmarkStart w:id="150" w:name="_Toc184310293"/>
      <w:bookmarkEnd w:id="150"/>
      <w:bookmarkStart w:id="151" w:name="_Toc184314426"/>
      <w:bookmarkEnd w:id="151"/>
      <w:bookmarkStart w:id="152" w:name="_Toc184313267"/>
      <w:bookmarkEnd w:id="152"/>
      <w:bookmarkStart w:id="153" w:name="_Toc184310329"/>
      <w:bookmarkEnd w:id="153"/>
      <w:bookmarkStart w:id="154" w:name="_Toc184314428"/>
      <w:bookmarkEnd w:id="154"/>
      <w:bookmarkStart w:id="155" w:name="_Toc184308108"/>
      <w:bookmarkEnd w:id="155"/>
      <w:bookmarkStart w:id="156" w:name="_Toc184313302"/>
      <w:bookmarkEnd w:id="156"/>
      <w:bookmarkStart w:id="157" w:name="_Toc184310310"/>
      <w:bookmarkEnd w:id="157"/>
      <w:bookmarkStart w:id="158" w:name="_Toc184313257"/>
      <w:bookmarkEnd w:id="158"/>
      <w:bookmarkStart w:id="159" w:name="_Toc184313271"/>
      <w:bookmarkEnd w:id="159"/>
      <w:bookmarkStart w:id="160" w:name="_Toc184313269"/>
      <w:bookmarkEnd w:id="160"/>
      <w:bookmarkStart w:id="161" w:name="_Toc184312086"/>
      <w:bookmarkEnd w:id="161"/>
      <w:bookmarkStart w:id="162" w:name="_Toc184308074"/>
      <w:bookmarkEnd w:id="162"/>
      <w:bookmarkStart w:id="163" w:name="_Toc184313281"/>
      <w:bookmarkEnd w:id="163"/>
      <w:bookmarkStart w:id="164" w:name="_Toc184310308"/>
      <w:bookmarkEnd w:id="164"/>
      <w:bookmarkStart w:id="165" w:name="_Toc184314440"/>
      <w:bookmarkEnd w:id="165"/>
      <w:bookmarkStart w:id="166" w:name="_Toc184314465"/>
      <w:bookmarkEnd w:id="166"/>
      <w:bookmarkStart w:id="167" w:name="_Toc184313252"/>
      <w:bookmarkEnd w:id="167"/>
      <w:bookmarkStart w:id="168" w:name="_Toc184313240"/>
      <w:bookmarkEnd w:id="168"/>
      <w:bookmarkStart w:id="169" w:name="_Toc184312080"/>
      <w:bookmarkEnd w:id="169"/>
      <w:bookmarkStart w:id="170" w:name="_Toc184314437"/>
      <w:bookmarkEnd w:id="170"/>
      <w:bookmarkStart w:id="171" w:name="_Toc184310294"/>
      <w:bookmarkEnd w:id="171"/>
      <w:bookmarkStart w:id="172" w:name="_Toc184313258"/>
      <w:bookmarkEnd w:id="172"/>
      <w:bookmarkStart w:id="173" w:name="_Toc184313255"/>
      <w:bookmarkEnd w:id="173"/>
      <w:bookmarkStart w:id="174" w:name="_Toc184312101"/>
      <w:bookmarkEnd w:id="174"/>
      <w:bookmarkStart w:id="175" w:name="_Toc184314435"/>
      <w:bookmarkEnd w:id="175"/>
      <w:bookmarkStart w:id="176" w:name="_Toc184313278"/>
      <w:bookmarkEnd w:id="176"/>
      <w:bookmarkStart w:id="177" w:name="_Toc184314441"/>
      <w:bookmarkEnd w:id="177"/>
      <w:bookmarkStart w:id="178" w:name="_Toc184313270"/>
      <w:bookmarkEnd w:id="178"/>
      <w:bookmarkStart w:id="179" w:name="_Toc184313243"/>
      <w:bookmarkEnd w:id="179"/>
      <w:bookmarkStart w:id="180" w:name="_Toc184310320"/>
      <w:bookmarkEnd w:id="180"/>
      <w:bookmarkStart w:id="181" w:name="_Toc184313309"/>
      <w:bookmarkEnd w:id="181"/>
      <w:bookmarkStart w:id="182" w:name="_Toc184308050"/>
      <w:bookmarkEnd w:id="182"/>
      <w:bookmarkStart w:id="183" w:name="_Toc184312128"/>
      <w:bookmarkEnd w:id="183"/>
      <w:bookmarkStart w:id="184" w:name="_Toc184308096"/>
      <w:bookmarkEnd w:id="184"/>
      <w:bookmarkStart w:id="185" w:name="_Toc184308080"/>
      <w:bookmarkEnd w:id="185"/>
      <w:bookmarkStart w:id="186" w:name="_Toc184312125"/>
      <w:bookmarkEnd w:id="186"/>
      <w:bookmarkStart w:id="187" w:name="_Toc184314471"/>
      <w:bookmarkEnd w:id="187"/>
      <w:bookmarkStart w:id="188" w:name="_Toc184313265"/>
      <w:bookmarkEnd w:id="188"/>
      <w:bookmarkStart w:id="189" w:name="_Toc184313284"/>
      <w:bookmarkEnd w:id="189"/>
      <w:bookmarkStart w:id="190" w:name="_Toc184310336"/>
      <w:bookmarkEnd w:id="190"/>
      <w:bookmarkStart w:id="191" w:name="_Toc184312089"/>
      <w:bookmarkEnd w:id="191"/>
      <w:bookmarkStart w:id="192" w:name="_Toc184308045"/>
      <w:bookmarkEnd w:id="192"/>
      <w:bookmarkStart w:id="193" w:name="_Toc184314459"/>
      <w:bookmarkEnd w:id="193"/>
      <w:bookmarkStart w:id="194" w:name="_Toc184312117"/>
      <w:bookmarkEnd w:id="194"/>
      <w:bookmarkStart w:id="195" w:name="_Toc184312094"/>
      <w:bookmarkEnd w:id="195"/>
      <w:bookmarkStart w:id="196" w:name="_Toc184312110"/>
      <w:bookmarkEnd w:id="196"/>
      <w:bookmarkStart w:id="197" w:name="_Toc184314430"/>
      <w:bookmarkEnd w:id="197"/>
      <w:bookmarkStart w:id="198" w:name="_Toc184312115"/>
      <w:bookmarkEnd w:id="198"/>
      <w:bookmarkStart w:id="199" w:name="_Toc184312068"/>
      <w:bookmarkEnd w:id="199"/>
      <w:bookmarkStart w:id="200" w:name="_Toc184313251"/>
      <w:bookmarkEnd w:id="200"/>
      <w:bookmarkStart w:id="201" w:name="_Toc184308053"/>
      <w:bookmarkEnd w:id="201"/>
      <w:bookmarkStart w:id="202" w:name="_Toc184314421"/>
      <w:bookmarkEnd w:id="202"/>
      <w:bookmarkStart w:id="203" w:name="_Toc184314424"/>
      <w:bookmarkEnd w:id="203"/>
      <w:bookmarkStart w:id="204" w:name="_Toc184310281"/>
      <w:bookmarkEnd w:id="204"/>
      <w:bookmarkStart w:id="205" w:name="_Toc184310321"/>
      <w:bookmarkEnd w:id="205"/>
      <w:bookmarkStart w:id="206" w:name="_Toc184308073"/>
      <w:bookmarkEnd w:id="206"/>
      <w:bookmarkStart w:id="207" w:name="_Toc184313290"/>
      <w:bookmarkEnd w:id="207"/>
      <w:bookmarkStart w:id="208" w:name="_Toc184310304"/>
      <w:bookmarkEnd w:id="208"/>
      <w:bookmarkStart w:id="209" w:name="_Toc184314420"/>
      <w:bookmarkEnd w:id="209"/>
      <w:bookmarkStart w:id="210" w:name="_Toc184314427"/>
      <w:bookmarkEnd w:id="210"/>
      <w:bookmarkStart w:id="211" w:name="_Toc184312078"/>
      <w:bookmarkEnd w:id="211"/>
      <w:bookmarkStart w:id="212" w:name="_Toc184310331"/>
      <w:bookmarkEnd w:id="212"/>
      <w:bookmarkStart w:id="213" w:name="_Toc184313296"/>
      <w:bookmarkEnd w:id="213"/>
      <w:bookmarkStart w:id="214" w:name="_Toc184314438"/>
      <w:bookmarkEnd w:id="214"/>
      <w:bookmarkStart w:id="215" w:name="_Toc184312132"/>
      <w:bookmarkEnd w:id="215"/>
      <w:bookmarkStart w:id="216" w:name="_Toc184312090"/>
      <w:bookmarkEnd w:id="216"/>
      <w:bookmarkStart w:id="217" w:name="_Toc184308056"/>
      <w:bookmarkEnd w:id="217"/>
      <w:bookmarkStart w:id="218" w:name="_Toc184312130"/>
      <w:bookmarkEnd w:id="218"/>
      <w:bookmarkStart w:id="219" w:name="_Toc184312134"/>
      <w:bookmarkEnd w:id="219"/>
      <w:bookmarkStart w:id="220" w:name="_Toc184313300"/>
      <w:bookmarkEnd w:id="220"/>
      <w:bookmarkStart w:id="221" w:name="_Toc184314412"/>
      <w:bookmarkEnd w:id="221"/>
      <w:bookmarkStart w:id="222" w:name="_Toc184308097"/>
      <w:bookmarkEnd w:id="222"/>
      <w:bookmarkStart w:id="223" w:name="_Toc184308046"/>
      <w:bookmarkEnd w:id="223"/>
      <w:bookmarkStart w:id="224" w:name="_Toc184308036"/>
      <w:bookmarkEnd w:id="224"/>
      <w:bookmarkStart w:id="225" w:name="_Toc184312129"/>
      <w:bookmarkEnd w:id="225"/>
      <w:bookmarkStart w:id="226" w:name="_Toc184308103"/>
      <w:bookmarkEnd w:id="226"/>
      <w:bookmarkStart w:id="227" w:name="_Toc184308095"/>
      <w:bookmarkEnd w:id="227"/>
      <w:bookmarkStart w:id="228" w:name="_Toc184308098"/>
      <w:bookmarkEnd w:id="228"/>
      <w:bookmarkStart w:id="229" w:name="_Toc184312091"/>
      <w:bookmarkEnd w:id="229"/>
      <w:bookmarkStart w:id="230" w:name="_Toc184313304"/>
      <w:bookmarkEnd w:id="230"/>
      <w:bookmarkStart w:id="231" w:name="_Toc184308068"/>
      <w:bookmarkEnd w:id="231"/>
      <w:bookmarkStart w:id="232" w:name="_Toc184312070"/>
      <w:bookmarkEnd w:id="232"/>
      <w:bookmarkStart w:id="233" w:name="_Toc184313305"/>
      <w:bookmarkEnd w:id="233"/>
      <w:bookmarkStart w:id="234" w:name="_Toc184314469"/>
      <w:bookmarkEnd w:id="234"/>
      <w:bookmarkStart w:id="235" w:name="_Toc184308061"/>
      <w:bookmarkEnd w:id="235"/>
      <w:bookmarkStart w:id="236" w:name="_Toc184314470"/>
      <w:bookmarkEnd w:id="236"/>
      <w:bookmarkStart w:id="237" w:name="_Toc184314468"/>
      <w:bookmarkEnd w:id="237"/>
      <w:bookmarkStart w:id="238" w:name="_Toc184314431"/>
      <w:bookmarkEnd w:id="238"/>
      <w:bookmarkStart w:id="239" w:name="_Toc184314481"/>
      <w:bookmarkEnd w:id="239"/>
      <w:bookmarkStart w:id="240" w:name="_Toc184313299"/>
      <w:bookmarkEnd w:id="240"/>
      <w:bookmarkStart w:id="241" w:name="_Toc184314467"/>
      <w:bookmarkEnd w:id="241"/>
      <w:bookmarkStart w:id="242" w:name="_Toc184310330"/>
      <w:bookmarkEnd w:id="242"/>
      <w:bookmarkStart w:id="243" w:name="_Toc184312109"/>
      <w:bookmarkEnd w:id="243"/>
      <w:bookmarkStart w:id="244" w:name="_Toc184312123"/>
      <w:bookmarkEnd w:id="244"/>
      <w:bookmarkStart w:id="245" w:name="_Toc184310305"/>
      <w:bookmarkEnd w:id="245"/>
      <w:bookmarkStart w:id="246" w:name="_Toc184308076"/>
      <w:bookmarkEnd w:id="246"/>
      <w:bookmarkStart w:id="247" w:name="_Toc184308101"/>
      <w:bookmarkEnd w:id="247"/>
      <w:bookmarkStart w:id="248" w:name="_Toc184308100"/>
      <w:bookmarkEnd w:id="248"/>
      <w:bookmarkStart w:id="249" w:name="_Toc184310340"/>
      <w:bookmarkEnd w:id="249"/>
      <w:bookmarkStart w:id="250" w:name="_Toc184310298"/>
      <w:bookmarkEnd w:id="250"/>
      <w:bookmarkStart w:id="251" w:name="_Toc184313256"/>
      <w:bookmarkEnd w:id="251"/>
      <w:bookmarkStart w:id="252" w:name="_Toc184313285"/>
      <w:bookmarkEnd w:id="252"/>
      <w:bookmarkStart w:id="253" w:name="_Toc184310313"/>
      <w:bookmarkEnd w:id="253"/>
      <w:bookmarkStart w:id="254" w:name="_Toc184313283"/>
      <w:bookmarkEnd w:id="254"/>
      <w:bookmarkStart w:id="255" w:name="_Toc184313272"/>
      <w:bookmarkEnd w:id="255"/>
      <w:bookmarkStart w:id="256" w:name="_Toc184313264"/>
      <w:bookmarkEnd w:id="256"/>
      <w:bookmarkStart w:id="257" w:name="_Toc184312081"/>
      <w:bookmarkEnd w:id="257"/>
      <w:bookmarkStart w:id="258" w:name="_Toc184308052"/>
      <w:bookmarkEnd w:id="258"/>
      <w:bookmarkStart w:id="259" w:name="_Toc184308083"/>
      <w:bookmarkEnd w:id="259"/>
      <w:bookmarkStart w:id="260" w:name="_Toc184313307"/>
      <w:bookmarkEnd w:id="260"/>
      <w:bookmarkStart w:id="261" w:name="_Toc184308066"/>
      <w:bookmarkEnd w:id="261"/>
      <w:bookmarkStart w:id="262" w:name="_Toc184314454"/>
      <w:bookmarkEnd w:id="262"/>
      <w:bookmarkStart w:id="263" w:name="_Toc184310335"/>
      <w:bookmarkEnd w:id="263"/>
      <w:bookmarkStart w:id="264" w:name="_Toc184312103"/>
      <w:bookmarkEnd w:id="264"/>
      <w:bookmarkStart w:id="265" w:name="_Toc184310322"/>
      <w:bookmarkEnd w:id="265"/>
      <w:bookmarkStart w:id="266" w:name="_Toc184314417"/>
      <w:bookmarkEnd w:id="266"/>
      <w:bookmarkStart w:id="267" w:name="_Toc184308072"/>
      <w:bookmarkEnd w:id="267"/>
      <w:bookmarkStart w:id="268" w:name="_Toc184310314"/>
      <w:bookmarkEnd w:id="268"/>
      <w:bookmarkStart w:id="269" w:name="_Toc184310292"/>
      <w:bookmarkEnd w:id="269"/>
      <w:bookmarkStart w:id="270" w:name="_Toc184313245"/>
      <w:bookmarkEnd w:id="270"/>
      <w:bookmarkStart w:id="271" w:name="_Toc184313261"/>
      <w:bookmarkEnd w:id="271"/>
      <w:bookmarkStart w:id="272" w:name="_Toc184312135"/>
      <w:bookmarkEnd w:id="272"/>
      <w:bookmarkStart w:id="273" w:name="_Toc184313303"/>
      <w:bookmarkEnd w:id="273"/>
      <w:bookmarkStart w:id="274" w:name="_Toc184308106"/>
      <w:bookmarkEnd w:id="274"/>
      <w:bookmarkStart w:id="275" w:name="_Toc184312092"/>
      <w:bookmarkEnd w:id="275"/>
      <w:bookmarkStart w:id="276" w:name="_Toc184314455"/>
      <w:bookmarkEnd w:id="276"/>
      <w:bookmarkStart w:id="277" w:name="_Toc184310277"/>
      <w:bookmarkEnd w:id="277"/>
      <w:bookmarkStart w:id="278" w:name="_Toc184314436"/>
      <w:bookmarkEnd w:id="278"/>
      <w:bookmarkStart w:id="279" w:name="_Toc184308060"/>
      <w:bookmarkEnd w:id="279"/>
      <w:bookmarkStart w:id="280" w:name="_Toc184312069"/>
      <w:bookmarkEnd w:id="280"/>
      <w:bookmarkStart w:id="281" w:name="_Toc184310309"/>
      <w:bookmarkEnd w:id="281"/>
      <w:bookmarkStart w:id="282" w:name="_Toc184314439"/>
      <w:bookmarkEnd w:id="282"/>
      <w:bookmarkStart w:id="283" w:name="_Toc184310288"/>
      <w:bookmarkEnd w:id="283"/>
      <w:bookmarkStart w:id="284" w:name="_Toc184308059"/>
      <w:bookmarkEnd w:id="284"/>
      <w:bookmarkStart w:id="285" w:name="_Toc184310300"/>
      <w:bookmarkEnd w:id="285"/>
      <w:bookmarkStart w:id="286" w:name="_Toc184308075"/>
      <w:bookmarkEnd w:id="286"/>
      <w:bookmarkStart w:id="287" w:name="_Toc184308049"/>
      <w:bookmarkEnd w:id="287"/>
      <w:bookmarkStart w:id="288" w:name="_Toc184314425"/>
      <w:bookmarkEnd w:id="288"/>
      <w:bookmarkStart w:id="289" w:name="_Toc184312082"/>
      <w:bookmarkEnd w:id="289"/>
      <w:bookmarkStart w:id="290" w:name="_Toc184313253"/>
      <w:bookmarkEnd w:id="290"/>
      <w:bookmarkStart w:id="291" w:name="_Toc184313282"/>
      <w:bookmarkEnd w:id="291"/>
      <w:bookmarkStart w:id="292" w:name="_Toc184308042"/>
      <w:bookmarkEnd w:id="292"/>
      <w:bookmarkStart w:id="293" w:name="_Toc184310344"/>
      <w:bookmarkEnd w:id="293"/>
      <w:bookmarkStart w:id="294" w:name="_Toc184310276"/>
      <w:bookmarkEnd w:id="294"/>
      <w:bookmarkStart w:id="295" w:name="_Toc184310342"/>
      <w:bookmarkEnd w:id="295"/>
      <w:bookmarkStart w:id="296" w:name="_Toc184314433"/>
      <w:bookmarkEnd w:id="296"/>
      <w:bookmarkStart w:id="297" w:name="_Toc184314448"/>
      <w:bookmarkEnd w:id="297"/>
      <w:bookmarkStart w:id="298" w:name="_Toc184310279"/>
      <w:bookmarkEnd w:id="298"/>
      <w:bookmarkStart w:id="299" w:name="_Toc184313306"/>
      <w:bookmarkEnd w:id="299"/>
      <w:bookmarkStart w:id="300" w:name="_Toc184310278"/>
      <w:bookmarkEnd w:id="300"/>
      <w:bookmarkStart w:id="301" w:name="_Toc184308099"/>
      <w:bookmarkEnd w:id="301"/>
      <w:bookmarkStart w:id="302" w:name="_Toc184313280"/>
      <w:bookmarkEnd w:id="302"/>
      <w:bookmarkStart w:id="303" w:name="_Toc184312126"/>
      <w:bookmarkEnd w:id="303"/>
      <w:bookmarkStart w:id="304" w:name="_Toc184312122"/>
      <w:bookmarkEnd w:id="304"/>
      <w:bookmarkStart w:id="305" w:name="_Toc184310311"/>
      <w:bookmarkEnd w:id="305"/>
      <w:bookmarkStart w:id="306" w:name="_Toc184314419"/>
      <w:bookmarkEnd w:id="306"/>
      <w:bookmarkStart w:id="307" w:name="_Toc184312096"/>
      <w:bookmarkEnd w:id="307"/>
      <w:bookmarkStart w:id="308" w:name="_Toc184310280"/>
      <w:bookmarkEnd w:id="308"/>
      <w:bookmarkStart w:id="309" w:name="_Toc184312074"/>
      <w:bookmarkEnd w:id="309"/>
      <w:bookmarkStart w:id="310" w:name="_Toc184314472"/>
      <w:bookmarkEnd w:id="310"/>
      <w:bookmarkStart w:id="311" w:name="_Toc184313244"/>
      <w:bookmarkEnd w:id="311"/>
      <w:bookmarkStart w:id="312" w:name="_Toc184312075"/>
      <w:bookmarkEnd w:id="312"/>
      <w:bookmarkStart w:id="313" w:name="_Toc184312077"/>
      <w:bookmarkEnd w:id="313"/>
      <w:bookmarkStart w:id="314" w:name="_Toc184314456"/>
      <w:bookmarkEnd w:id="314"/>
      <w:bookmarkStart w:id="315" w:name="_Toc184313297"/>
      <w:bookmarkEnd w:id="315"/>
      <w:bookmarkStart w:id="316" w:name="_Toc184310318"/>
      <w:bookmarkEnd w:id="316"/>
      <w:bookmarkStart w:id="317" w:name="_Toc184312111"/>
      <w:bookmarkEnd w:id="317"/>
      <w:bookmarkStart w:id="318" w:name="_Toc184310272"/>
      <w:bookmarkEnd w:id="318"/>
      <w:bookmarkStart w:id="319" w:name="_Toc184312124"/>
      <w:bookmarkEnd w:id="319"/>
      <w:bookmarkStart w:id="320" w:name="_Toc184314414"/>
      <w:bookmarkEnd w:id="320"/>
      <w:bookmarkStart w:id="321" w:name="_Toc184314415"/>
      <w:bookmarkEnd w:id="321"/>
      <w:bookmarkStart w:id="322" w:name="_Toc184312118"/>
      <w:bookmarkEnd w:id="322"/>
      <w:bookmarkStart w:id="323" w:name="_Toc184310324"/>
      <w:bookmarkEnd w:id="323"/>
      <w:bookmarkStart w:id="324" w:name="_Toc184308041"/>
      <w:bookmarkEnd w:id="324"/>
      <w:bookmarkStart w:id="325" w:name="_Toc184308044"/>
      <w:bookmarkEnd w:id="325"/>
      <w:bookmarkStart w:id="326" w:name="_Toc184310312"/>
      <w:bookmarkEnd w:id="326"/>
      <w:bookmarkStart w:id="327" w:name="_Toc184312076"/>
      <w:bookmarkEnd w:id="327"/>
      <w:bookmarkStart w:id="328" w:name="_Toc184312113"/>
      <w:bookmarkEnd w:id="328"/>
      <w:bookmarkStart w:id="329" w:name="_Toc184310316"/>
      <w:bookmarkEnd w:id="329"/>
      <w:bookmarkStart w:id="330" w:name="_Toc184314416"/>
      <w:bookmarkEnd w:id="330"/>
      <w:bookmarkStart w:id="331" w:name="_Toc184314418"/>
      <w:bookmarkEnd w:id="331"/>
      <w:bookmarkStart w:id="332" w:name="_Toc184312073"/>
      <w:bookmarkEnd w:id="332"/>
      <w:bookmarkStart w:id="333" w:name="_Toc184313289"/>
      <w:bookmarkEnd w:id="333"/>
      <w:bookmarkStart w:id="334" w:name="_Toc184313246"/>
      <w:bookmarkEnd w:id="334"/>
      <w:bookmarkStart w:id="335" w:name="_Toc184313260"/>
      <w:bookmarkEnd w:id="335"/>
      <w:bookmarkStart w:id="336" w:name="_Toc184310274"/>
      <w:bookmarkEnd w:id="336"/>
      <w:bookmarkStart w:id="337" w:name="_Toc184308043"/>
      <w:bookmarkEnd w:id="337"/>
      <w:bookmarkStart w:id="338" w:name="_Toc184308105"/>
      <w:bookmarkEnd w:id="338"/>
      <w:bookmarkStart w:id="339" w:name="_Toc184310339"/>
      <w:bookmarkEnd w:id="339"/>
      <w:bookmarkStart w:id="340" w:name="_Toc184308104"/>
      <w:bookmarkEnd w:id="340"/>
      <w:bookmarkStart w:id="341" w:name="_Toc184312085"/>
      <w:bookmarkEnd w:id="341"/>
      <w:bookmarkStart w:id="342" w:name="_Toc184314411"/>
      <w:bookmarkEnd w:id="342"/>
      <w:bookmarkStart w:id="343" w:name="_Toc184314474"/>
      <w:bookmarkEnd w:id="343"/>
      <w:bookmarkStart w:id="344" w:name="_Toc184314458"/>
      <w:bookmarkEnd w:id="344"/>
      <w:bookmarkStart w:id="345" w:name="_Toc184308038"/>
      <w:bookmarkEnd w:id="345"/>
      <w:bookmarkStart w:id="346" w:name="_Toc184310290"/>
      <w:bookmarkEnd w:id="346"/>
      <w:bookmarkStart w:id="347" w:name="_Toc184314450"/>
      <w:bookmarkEnd w:id="347"/>
      <w:bookmarkStart w:id="348" w:name="_Toc184308040"/>
      <w:bookmarkEnd w:id="348"/>
      <w:bookmarkStart w:id="349" w:name="_Toc184313292"/>
      <w:bookmarkEnd w:id="349"/>
      <w:bookmarkStart w:id="350" w:name="_Toc184312072"/>
      <w:bookmarkEnd w:id="350"/>
      <w:bookmarkStart w:id="351" w:name="_Toc184312067"/>
      <w:bookmarkEnd w:id="351"/>
      <w:bookmarkStart w:id="352" w:name="_Toc184310296"/>
      <w:bookmarkEnd w:id="352"/>
      <w:bookmarkStart w:id="353" w:name="_Toc184313266"/>
      <w:bookmarkEnd w:id="353"/>
      <w:bookmarkStart w:id="354" w:name="_Toc184314449"/>
      <w:bookmarkEnd w:id="354"/>
      <w:bookmarkStart w:id="355" w:name="_Toc184310289"/>
      <w:bookmarkEnd w:id="355"/>
      <w:bookmarkStart w:id="356" w:name="_Toc184313268"/>
      <w:bookmarkEnd w:id="356"/>
      <w:bookmarkStart w:id="357" w:name="_Toc184314413"/>
      <w:bookmarkEnd w:id="357"/>
      <w:bookmarkStart w:id="358" w:name="_Toc184313262"/>
      <w:bookmarkEnd w:id="358"/>
      <w:bookmarkStart w:id="359" w:name="_Toc184310297"/>
      <w:bookmarkEnd w:id="359"/>
      <w:bookmarkStart w:id="360" w:name="_Toc184314478"/>
      <w:bookmarkEnd w:id="360"/>
      <w:bookmarkStart w:id="361" w:name="_Toc184313277"/>
      <w:bookmarkEnd w:id="361"/>
      <w:bookmarkStart w:id="362" w:name="_Toc184312097"/>
      <w:bookmarkEnd w:id="362"/>
      <w:bookmarkStart w:id="363" w:name="_Toc184308039"/>
      <w:bookmarkEnd w:id="363"/>
      <w:bookmarkStart w:id="364" w:name="_Toc184312116"/>
      <w:bookmarkEnd w:id="364"/>
      <w:bookmarkStart w:id="365" w:name="_Toc184314453"/>
      <w:bookmarkEnd w:id="365"/>
      <w:bookmarkStart w:id="366" w:name="_Toc184310299"/>
      <w:bookmarkEnd w:id="366"/>
      <w:bookmarkStart w:id="367" w:name="_Toc184314429"/>
      <w:bookmarkEnd w:id="367"/>
      <w:bookmarkStart w:id="368" w:name="_Toc184314434"/>
      <w:bookmarkEnd w:id="368"/>
      <w:bookmarkStart w:id="369" w:name="_Toc184308054"/>
      <w:bookmarkEnd w:id="369"/>
      <w:bookmarkStart w:id="370" w:name="_Toc184312112"/>
      <w:bookmarkEnd w:id="370"/>
      <w:bookmarkStart w:id="371" w:name="_Toc184310275"/>
      <w:bookmarkEnd w:id="371"/>
      <w:bookmarkStart w:id="372" w:name="_Toc184313263"/>
      <w:bookmarkEnd w:id="372"/>
      <w:bookmarkStart w:id="373" w:name="_Toc184312105"/>
      <w:bookmarkEnd w:id="373"/>
      <w:bookmarkStart w:id="374" w:name="_Toc184308064"/>
      <w:bookmarkEnd w:id="374"/>
      <w:bookmarkStart w:id="375" w:name="_Toc184313241"/>
      <w:bookmarkEnd w:id="375"/>
      <w:bookmarkStart w:id="376" w:name="_Toc184310273"/>
      <w:bookmarkEnd w:id="376"/>
      <w:bookmarkStart w:id="377" w:name="_Toc184313287"/>
      <w:bookmarkEnd w:id="377"/>
      <w:bookmarkStart w:id="378" w:name="_Toc184312100"/>
      <w:bookmarkEnd w:id="378"/>
      <w:bookmarkStart w:id="379" w:name="_Toc184312087"/>
      <w:bookmarkEnd w:id="379"/>
      <w:bookmarkStart w:id="380" w:name="_Toc184308055"/>
      <w:bookmarkEnd w:id="380"/>
      <w:bookmarkStart w:id="381" w:name="_Toc184312106"/>
      <w:bookmarkEnd w:id="381"/>
      <w:bookmarkStart w:id="382" w:name="_Toc184310317"/>
      <w:bookmarkEnd w:id="382"/>
      <w:bookmarkStart w:id="383" w:name="_Toc184310343"/>
      <w:bookmarkEnd w:id="383"/>
      <w:bookmarkStart w:id="384" w:name="_Toc184314447"/>
      <w:bookmarkEnd w:id="384"/>
      <w:bookmarkStart w:id="385" w:name="_Toc184308058"/>
      <w:bookmarkEnd w:id="385"/>
      <w:bookmarkStart w:id="386" w:name="_Toc184312108"/>
      <w:bookmarkEnd w:id="386"/>
      <w:bookmarkStart w:id="387" w:name="_Toc184313254"/>
      <w:bookmarkEnd w:id="387"/>
      <w:bookmarkStart w:id="388" w:name="_Toc184310303"/>
      <w:bookmarkEnd w:id="388"/>
      <w:bookmarkStart w:id="389" w:name="_Toc184308102"/>
      <w:bookmarkEnd w:id="389"/>
      <w:bookmarkStart w:id="390" w:name="_Toc184308070"/>
      <w:bookmarkEnd w:id="390"/>
      <w:bookmarkStart w:id="391" w:name="_Toc184314432"/>
      <w:bookmarkEnd w:id="391"/>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62"/>
        <w:tblpPr w:leftFromText="180" w:rightFromText="180" w:vertAnchor="text" w:horzAnchor="page" w:tblpX="1031" w:tblpY="126"/>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405"/>
        <w:gridCol w:w="111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95" w:type="pct"/>
            <w:vAlign w:val="center"/>
          </w:tcPr>
          <w:p>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序号</w:t>
            </w:r>
          </w:p>
        </w:tc>
        <w:tc>
          <w:tcPr>
            <w:tcW w:w="3115" w:type="pct"/>
            <w:vAlign w:val="center"/>
          </w:tcPr>
          <w:p>
            <w:pPr>
              <w:spacing w:line="360" w:lineRule="auto"/>
              <w:ind w:firstLine="1560" w:firstLineChars="650"/>
              <w:outlineLvl w:val="0"/>
              <w:rPr>
                <w:rFonts w:hint="eastAsia" w:ascii="宋体" w:hAnsi="宋体" w:eastAsia="宋体" w:cs="宋体"/>
                <w:bCs/>
                <w:sz w:val="24"/>
              </w:rPr>
            </w:pPr>
            <w:r>
              <w:rPr>
                <w:rFonts w:hint="eastAsia" w:ascii="宋体" w:hAnsi="宋体" w:eastAsia="宋体" w:cs="宋体"/>
                <w:bCs/>
                <w:sz w:val="24"/>
              </w:rPr>
              <w:t>评标标准</w:t>
            </w:r>
          </w:p>
        </w:tc>
        <w:tc>
          <w:tcPr>
            <w:tcW w:w="539" w:type="pct"/>
            <w:vAlign w:val="center"/>
          </w:tcPr>
          <w:p>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权重</w:t>
            </w:r>
          </w:p>
        </w:tc>
        <w:tc>
          <w:tcPr>
            <w:tcW w:w="948" w:type="pct"/>
          </w:tcPr>
          <w:p>
            <w:pPr>
              <w:spacing w:line="360" w:lineRule="auto"/>
              <w:outlineLvl w:val="0"/>
              <w:rPr>
                <w:rFonts w:hint="eastAsia" w:ascii="宋体" w:hAnsi="宋体" w:eastAsia="宋体" w:cs="宋体"/>
                <w:bCs/>
                <w:sz w:val="24"/>
              </w:rPr>
            </w:pPr>
            <w:r>
              <w:rPr>
                <w:rFonts w:hint="eastAsia" w:ascii="宋体" w:hAnsi="宋体" w:eastAsia="宋体" w:cs="宋体"/>
                <w:bCs/>
                <w:sz w:val="24"/>
              </w:rPr>
              <w:t>投标文件中评标标准相应的商务技术资料目录</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395"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w:t>
            </w:r>
          </w:p>
        </w:tc>
        <w:tc>
          <w:tcPr>
            <w:tcW w:w="3115" w:type="pct"/>
            <w:vAlign w:val="center"/>
          </w:tcPr>
          <w:p>
            <w:pPr>
              <w:spacing w:line="240" w:lineRule="auto"/>
              <w:jc w:val="both"/>
              <w:outlineLvl w:val="0"/>
              <w:rPr>
                <w:rFonts w:hint="eastAsia" w:ascii="宋体" w:hAnsi="宋体" w:eastAsia="宋体" w:cs="宋体"/>
                <w:sz w:val="24"/>
              </w:rPr>
            </w:pPr>
            <w:r>
              <w:rPr>
                <w:rFonts w:hint="eastAsia" w:ascii="宋体" w:hAnsi="宋体" w:cs="宋体"/>
                <w:sz w:val="24"/>
                <w:lang w:val="en-US" w:eastAsia="zh-CN"/>
              </w:rPr>
              <w:t>1、</w:t>
            </w:r>
            <w:r>
              <w:rPr>
                <w:rFonts w:hint="eastAsia" w:ascii="宋体" w:hAnsi="宋体" w:cs="宋体"/>
                <w:sz w:val="24"/>
                <w:lang w:eastAsia="zh-CN"/>
              </w:rPr>
              <w:t>投标人</w:t>
            </w:r>
            <w:r>
              <w:rPr>
                <w:rFonts w:hint="eastAsia" w:ascii="宋体" w:hAnsi="宋体" w:eastAsia="宋体" w:cs="宋体"/>
                <w:sz w:val="24"/>
              </w:rPr>
              <w:t>201</w:t>
            </w:r>
            <w:r>
              <w:rPr>
                <w:rFonts w:hint="eastAsia" w:ascii="宋体" w:hAnsi="宋体" w:cs="宋体"/>
                <w:sz w:val="24"/>
                <w:lang w:val="en-US" w:eastAsia="zh-CN"/>
              </w:rPr>
              <w:t>9</w:t>
            </w:r>
            <w:r>
              <w:rPr>
                <w:rFonts w:hint="eastAsia" w:ascii="宋体" w:hAnsi="宋体" w:eastAsia="宋体" w:cs="宋体"/>
                <w:sz w:val="24"/>
              </w:rPr>
              <w:t>年1月1日以来荣获副省级市及以上政府部门所属的部、委、办、局或县（区）政府授予的优秀治水匠人或</w:t>
            </w:r>
            <w:r>
              <w:rPr>
                <w:rFonts w:hint="eastAsia" w:ascii="宋体" w:hAnsi="宋体" w:cs="宋体"/>
                <w:sz w:val="24"/>
                <w:lang w:eastAsia="zh-CN"/>
              </w:rPr>
              <w:t>污水水治理</w:t>
            </w:r>
            <w:r>
              <w:rPr>
                <w:rFonts w:hint="eastAsia" w:ascii="宋体" w:hAnsi="宋体" w:eastAsia="宋体" w:cs="宋体"/>
                <w:sz w:val="24"/>
              </w:rPr>
              <w:t>相关的荣誉的得2分。</w:t>
            </w:r>
          </w:p>
          <w:p>
            <w:pPr>
              <w:pStyle w:val="2"/>
              <w:spacing w:line="240" w:lineRule="auto"/>
              <w:ind w:left="0" w:leftChars="0" w:firstLine="0" w:firstLineChars="0"/>
              <w:rPr>
                <w:rFonts w:hint="eastAsia"/>
              </w:rPr>
            </w:pPr>
            <w:r>
              <w:rPr>
                <w:rFonts w:hint="eastAsia"/>
              </w:rPr>
              <w:t>2、投标人2019年1月1日以来通过副省级市及以上政府部门所属的部、委、办、局或县（区）政府评审（含预评审）的排水类的政府性课题项目的得2分。</w:t>
            </w:r>
          </w:p>
          <w:p>
            <w:pPr>
              <w:spacing w:line="240" w:lineRule="auto"/>
              <w:jc w:val="both"/>
              <w:outlineLvl w:val="0"/>
              <w:rPr>
                <w:rFonts w:hint="eastAsia" w:ascii="宋体" w:hAnsi="宋体" w:eastAsia="宋体" w:cs="宋体"/>
                <w:sz w:val="24"/>
              </w:rPr>
            </w:pPr>
            <w:r>
              <w:rPr>
                <w:rFonts w:hint="eastAsia" w:ascii="宋体" w:hAnsi="宋体" w:eastAsia="宋体" w:cs="宋体"/>
                <w:b/>
                <w:bCs/>
                <w:sz w:val="24"/>
              </w:rPr>
              <w:t>（提供有效证明材料，证明材料须在有效期内并加盖公章）</w:t>
            </w:r>
          </w:p>
        </w:tc>
        <w:tc>
          <w:tcPr>
            <w:tcW w:w="539" w:type="pct"/>
            <w:vAlign w:val="center"/>
          </w:tcPr>
          <w:p>
            <w:pPr>
              <w:spacing w:line="360" w:lineRule="auto"/>
              <w:jc w:val="center"/>
              <w:outlineLvl w:val="0"/>
              <w:rPr>
                <w:rFonts w:hint="eastAsia" w:ascii="宋体" w:hAnsi="宋体" w:eastAsia="宋体" w:cs="宋体"/>
                <w:sz w:val="24"/>
                <w:lang w:val="en-US" w:eastAsia="zh-CN"/>
              </w:rPr>
            </w:pPr>
            <w:r>
              <w:rPr>
                <w:rFonts w:hint="eastAsia" w:ascii="宋体" w:hAnsi="宋体" w:cs="宋体"/>
                <w:sz w:val="24"/>
                <w:lang w:val="en-US" w:eastAsia="zh-CN"/>
              </w:rPr>
              <w:t>0-4分</w:t>
            </w:r>
          </w:p>
        </w:tc>
        <w:tc>
          <w:tcPr>
            <w:tcW w:w="948" w:type="pct"/>
            <w:vAlign w:val="center"/>
          </w:tcPr>
          <w:p>
            <w:pPr>
              <w:spacing w:line="360" w:lineRule="auto"/>
              <w:jc w:val="center"/>
              <w:outlineLvl w:val="0"/>
              <w:rPr>
                <w:rFonts w:hint="eastAsia" w:ascii="宋体" w:hAnsi="宋体" w:eastAsia="宋体" w:cs="宋体"/>
                <w:b/>
                <w:bCs/>
                <w:sz w:val="24"/>
              </w:rPr>
            </w:pPr>
            <w:r>
              <w:rPr>
                <w:rFonts w:hint="eastAsia" w:ascii="宋体" w:hAnsi="宋体" w:eastAsia="宋体" w:cs="宋体"/>
                <w:b/>
                <w:bCs/>
                <w:sz w:val="24"/>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95"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2</w:t>
            </w:r>
          </w:p>
        </w:tc>
        <w:tc>
          <w:tcPr>
            <w:tcW w:w="3115" w:type="pct"/>
            <w:vAlign w:val="center"/>
          </w:tcPr>
          <w:p>
            <w:pPr>
              <w:spacing w:line="240" w:lineRule="auto"/>
              <w:jc w:val="both"/>
              <w:outlineLvl w:val="0"/>
              <w:rPr>
                <w:rFonts w:hint="eastAsia" w:ascii="宋体" w:hAnsi="宋体" w:eastAsia="宋体" w:cs="宋体"/>
                <w:sz w:val="24"/>
                <w:highlight w:val="none"/>
              </w:rPr>
            </w:pPr>
            <w:r>
              <w:rPr>
                <w:rFonts w:hint="eastAsia" w:ascii="宋体" w:hAnsi="宋体" w:eastAsia="宋体" w:cs="宋体"/>
                <w:sz w:val="24"/>
                <w:highlight w:val="none"/>
              </w:rPr>
              <w:t>1、自2019年1月1日以来承接过污水处理厂提标改造项目业绩，每个得1分，最多得2分。</w:t>
            </w:r>
          </w:p>
          <w:p>
            <w:pPr>
              <w:spacing w:line="240" w:lineRule="auto"/>
              <w:jc w:val="both"/>
              <w:outlineLvl w:val="0"/>
              <w:rPr>
                <w:rFonts w:hint="eastAsia" w:ascii="宋体" w:hAnsi="宋体" w:eastAsia="宋体" w:cs="宋体"/>
                <w:sz w:val="24"/>
                <w:highlight w:val="none"/>
              </w:rPr>
            </w:pPr>
            <w:r>
              <w:rPr>
                <w:rFonts w:hint="eastAsia" w:ascii="宋体" w:hAnsi="宋体" w:eastAsia="宋体" w:cs="宋体"/>
                <w:sz w:val="24"/>
                <w:highlight w:val="none"/>
              </w:rPr>
              <w:t>2、自2019年1月1日以来承接过污水处理厂运维项目业绩，每个得1分，最多得2分。</w:t>
            </w:r>
          </w:p>
          <w:p>
            <w:pPr>
              <w:spacing w:line="240" w:lineRule="auto"/>
              <w:jc w:val="both"/>
              <w:outlineLvl w:val="0"/>
              <w:rPr>
                <w:rFonts w:hint="eastAsia" w:ascii="宋体" w:hAnsi="宋体" w:eastAsia="宋体" w:cs="宋体"/>
                <w:sz w:val="24"/>
              </w:rPr>
            </w:pPr>
            <w:r>
              <w:rPr>
                <w:rFonts w:hint="eastAsia" w:ascii="宋体" w:hAnsi="宋体" w:eastAsia="宋体" w:cs="宋体"/>
                <w:b/>
                <w:bCs/>
                <w:sz w:val="24"/>
              </w:rPr>
              <w:t>（提供中标通知书及合同复印件并加盖公章）</w:t>
            </w:r>
          </w:p>
        </w:tc>
        <w:tc>
          <w:tcPr>
            <w:tcW w:w="539"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cs="宋体"/>
                <w:sz w:val="24"/>
                <w:lang w:val="en-US" w:eastAsia="zh-CN"/>
              </w:rPr>
              <w:t>0-4分</w:t>
            </w:r>
          </w:p>
        </w:tc>
        <w:tc>
          <w:tcPr>
            <w:tcW w:w="948" w:type="pct"/>
            <w:vAlign w:val="center"/>
          </w:tcPr>
          <w:p>
            <w:pPr>
              <w:spacing w:line="360" w:lineRule="auto"/>
              <w:jc w:val="center"/>
              <w:outlineLvl w:val="0"/>
              <w:rPr>
                <w:rFonts w:hint="eastAsia" w:ascii="宋体" w:hAnsi="宋体" w:eastAsia="宋体" w:cs="宋体"/>
                <w:b/>
                <w:bCs/>
                <w:sz w:val="24"/>
              </w:rPr>
            </w:pPr>
            <w:r>
              <w:rPr>
                <w:rFonts w:hint="eastAsia" w:ascii="宋体" w:hAnsi="宋体" w:eastAsia="宋体" w:cs="宋体"/>
                <w:b/>
                <w:bCs/>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95"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3</w:t>
            </w:r>
          </w:p>
        </w:tc>
        <w:tc>
          <w:tcPr>
            <w:tcW w:w="3115" w:type="pct"/>
            <w:vAlign w:val="center"/>
          </w:tcPr>
          <w:p>
            <w:pPr>
              <w:spacing w:line="240" w:lineRule="auto"/>
              <w:jc w:val="both"/>
              <w:outlineLvl w:val="0"/>
              <w:rPr>
                <w:rFonts w:hint="eastAsia" w:ascii="宋体" w:hAnsi="宋体" w:eastAsia="宋体" w:cs="宋体"/>
                <w:sz w:val="24"/>
              </w:rPr>
            </w:pPr>
            <w:r>
              <w:rPr>
                <w:rFonts w:hint="eastAsia" w:ascii="宋体" w:hAnsi="宋体" w:eastAsia="宋体" w:cs="宋体"/>
                <w:sz w:val="24"/>
              </w:rPr>
              <w:t>1、具有环保工程专业高级职称的得1</w:t>
            </w:r>
            <w:r>
              <w:rPr>
                <w:rFonts w:hint="eastAsia" w:ascii="宋体" w:hAnsi="宋体" w:cs="宋体"/>
                <w:sz w:val="24"/>
                <w:lang w:val="en-US" w:eastAsia="zh-CN"/>
              </w:rPr>
              <w:t>.5</w:t>
            </w:r>
            <w:r>
              <w:rPr>
                <w:rFonts w:hint="eastAsia" w:ascii="宋体" w:hAnsi="宋体" w:eastAsia="宋体" w:cs="宋体"/>
                <w:sz w:val="24"/>
              </w:rPr>
              <w:t>分，最高得1</w:t>
            </w:r>
            <w:r>
              <w:rPr>
                <w:rFonts w:hint="eastAsia" w:ascii="宋体" w:hAnsi="宋体" w:cs="宋体"/>
                <w:sz w:val="24"/>
                <w:lang w:val="en-US" w:eastAsia="zh-CN"/>
              </w:rPr>
              <w:t>.5</w:t>
            </w:r>
            <w:r>
              <w:rPr>
                <w:rFonts w:hint="eastAsia" w:ascii="宋体" w:hAnsi="宋体" w:eastAsia="宋体" w:cs="宋体"/>
                <w:sz w:val="24"/>
              </w:rPr>
              <w:t>分；中级职称的得</w:t>
            </w:r>
            <w:r>
              <w:rPr>
                <w:rFonts w:hint="eastAsia" w:ascii="宋体" w:hAnsi="宋体" w:cs="宋体"/>
                <w:sz w:val="24"/>
                <w:lang w:val="en-US" w:eastAsia="zh-CN"/>
              </w:rPr>
              <w:t>0.5</w:t>
            </w:r>
            <w:r>
              <w:rPr>
                <w:rFonts w:hint="eastAsia" w:ascii="宋体" w:hAnsi="宋体" w:eastAsia="宋体" w:cs="宋体"/>
                <w:sz w:val="24"/>
              </w:rPr>
              <w:t>分，最高得</w:t>
            </w:r>
            <w:r>
              <w:rPr>
                <w:rFonts w:hint="eastAsia" w:ascii="宋体" w:hAnsi="宋体" w:cs="宋体"/>
                <w:sz w:val="24"/>
                <w:lang w:val="en-US" w:eastAsia="zh-CN"/>
              </w:rPr>
              <w:t>0.5</w:t>
            </w:r>
            <w:r>
              <w:rPr>
                <w:rFonts w:hint="eastAsia" w:ascii="宋体" w:hAnsi="宋体" w:eastAsia="宋体" w:cs="宋体"/>
                <w:sz w:val="24"/>
              </w:rPr>
              <w:t>分；</w:t>
            </w:r>
          </w:p>
          <w:p>
            <w:pPr>
              <w:spacing w:line="240" w:lineRule="auto"/>
              <w:jc w:val="both"/>
              <w:outlineLvl w:val="0"/>
              <w:rPr>
                <w:rFonts w:hint="eastAsia" w:ascii="宋体" w:hAnsi="宋体" w:cs="宋体"/>
                <w:sz w:val="24"/>
                <w:lang w:val="en-US" w:eastAsia="zh-CN"/>
              </w:rPr>
            </w:pPr>
            <w:r>
              <w:rPr>
                <w:rFonts w:hint="eastAsia" w:ascii="宋体" w:hAnsi="宋体" w:eastAsia="宋体" w:cs="宋体"/>
                <w:sz w:val="24"/>
              </w:rPr>
              <w:t>2、</w:t>
            </w:r>
            <w:r>
              <w:rPr>
                <w:rFonts w:hint="eastAsia" w:ascii="宋体" w:hAnsi="宋体" w:cs="宋体"/>
                <w:sz w:val="24"/>
                <w:lang w:eastAsia="zh-CN"/>
              </w:rPr>
              <w:t>具有给排水工程专业高级职称得1</w:t>
            </w:r>
            <w:r>
              <w:rPr>
                <w:rFonts w:hint="eastAsia" w:ascii="宋体" w:hAnsi="宋体" w:cs="宋体"/>
                <w:sz w:val="24"/>
                <w:lang w:val="en-US" w:eastAsia="zh-CN"/>
              </w:rPr>
              <w:t>.5</w:t>
            </w:r>
            <w:r>
              <w:rPr>
                <w:rFonts w:hint="eastAsia" w:ascii="宋体" w:hAnsi="宋体" w:cs="宋体"/>
                <w:sz w:val="24"/>
                <w:lang w:eastAsia="zh-CN"/>
              </w:rPr>
              <w:t>分，最高得1</w:t>
            </w:r>
            <w:r>
              <w:rPr>
                <w:rFonts w:hint="eastAsia" w:ascii="宋体" w:hAnsi="宋体" w:cs="宋体"/>
                <w:sz w:val="24"/>
                <w:lang w:val="en-US" w:eastAsia="zh-CN"/>
              </w:rPr>
              <w:t>.5</w:t>
            </w:r>
            <w:r>
              <w:rPr>
                <w:rFonts w:hint="eastAsia" w:ascii="宋体" w:hAnsi="宋体" w:cs="宋体"/>
                <w:sz w:val="24"/>
                <w:lang w:eastAsia="zh-CN"/>
              </w:rPr>
              <w:t>分；中级职称的得</w:t>
            </w:r>
            <w:r>
              <w:rPr>
                <w:rFonts w:hint="eastAsia" w:ascii="宋体" w:hAnsi="宋体" w:cs="宋体"/>
                <w:sz w:val="24"/>
                <w:lang w:val="en-US" w:eastAsia="zh-CN"/>
              </w:rPr>
              <w:t>0.5</w:t>
            </w:r>
            <w:r>
              <w:rPr>
                <w:rFonts w:hint="eastAsia" w:ascii="宋体" w:hAnsi="宋体" w:cs="宋体"/>
                <w:sz w:val="24"/>
                <w:lang w:eastAsia="zh-CN"/>
              </w:rPr>
              <w:t>分，最高得</w:t>
            </w:r>
            <w:r>
              <w:rPr>
                <w:rFonts w:hint="eastAsia" w:ascii="宋体" w:hAnsi="宋体" w:cs="宋体"/>
                <w:sz w:val="24"/>
                <w:lang w:val="en-US" w:eastAsia="zh-CN"/>
              </w:rPr>
              <w:t>0.5</w:t>
            </w:r>
            <w:r>
              <w:rPr>
                <w:rFonts w:hint="eastAsia" w:ascii="宋体" w:hAnsi="宋体" w:cs="宋体"/>
                <w:sz w:val="24"/>
                <w:lang w:eastAsia="zh-CN"/>
              </w:rPr>
              <w:t>分</w:t>
            </w:r>
          </w:p>
          <w:p>
            <w:pPr>
              <w:spacing w:line="240" w:lineRule="auto"/>
              <w:jc w:val="both"/>
              <w:outlineLvl w:val="0"/>
              <w:rPr>
                <w:rFonts w:hint="eastAsia" w:ascii="宋体" w:hAnsi="宋体" w:eastAsia="宋体" w:cs="宋体"/>
                <w:sz w:val="24"/>
                <w:lang w:val="en-US" w:eastAsia="zh-CN"/>
              </w:rPr>
            </w:pPr>
            <w:r>
              <w:rPr>
                <w:rFonts w:hint="eastAsia" w:ascii="宋体" w:hAnsi="宋体" w:eastAsia="宋体" w:cs="宋体"/>
                <w:sz w:val="24"/>
              </w:rPr>
              <w:t>3、具有电气工程或机电工程中级及以上职称的，1人得</w:t>
            </w:r>
            <w:r>
              <w:rPr>
                <w:rFonts w:hint="eastAsia" w:ascii="宋体" w:hAnsi="宋体" w:cs="宋体"/>
                <w:sz w:val="24"/>
                <w:lang w:val="en-US" w:eastAsia="zh-CN"/>
              </w:rPr>
              <w:t>0.5</w:t>
            </w:r>
            <w:r>
              <w:rPr>
                <w:rFonts w:hint="eastAsia" w:ascii="宋体" w:hAnsi="宋体" w:eastAsia="宋体" w:cs="宋体"/>
                <w:sz w:val="24"/>
              </w:rPr>
              <w:t>分，最高得</w:t>
            </w:r>
            <w:r>
              <w:rPr>
                <w:rFonts w:hint="eastAsia" w:ascii="宋体" w:hAnsi="宋体" w:cs="宋体"/>
                <w:sz w:val="24"/>
                <w:lang w:val="en-US" w:eastAsia="zh-CN"/>
              </w:rPr>
              <w:t>1分</w:t>
            </w:r>
          </w:p>
          <w:p>
            <w:pPr>
              <w:spacing w:line="240" w:lineRule="auto"/>
              <w:jc w:val="both"/>
              <w:outlineLvl w:val="0"/>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eastAsia="宋体" w:cs="宋体"/>
                <w:sz w:val="24"/>
              </w:rPr>
              <w:t>、具有电子仪表中级及以上职称的，1人得</w:t>
            </w:r>
            <w:r>
              <w:rPr>
                <w:rFonts w:hint="eastAsia" w:ascii="宋体" w:hAnsi="宋体" w:cs="宋体"/>
                <w:sz w:val="24"/>
                <w:lang w:val="en-US" w:eastAsia="zh-CN"/>
              </w:rPr>
              <w:t>1</w:t>
            </w:r>
            <w:r>
              <w:rPr>
                <w:rFonts w:hint="eastAsia" w:ascii="宋体" w:hAnsi="宋体" w:eastAsia="宋体" w:cs="宋体"/>
                <w:sz w:val="24"/>
              </w:rPr>
              <w:t>分，最高得1分</w:t>
            </w:r>
            <w:r>
              <w:rPr>
                <w:rFonts w:hint="eastAsia" w:ascii="宋体" w:hAnsi="宋体" w:cs="宋体"/>
                <w:sz w:val="24"/>
                <w:lang w:eastAsia="zh-CN"/>
              </w:rPr>
              <w:t>。</w:t>
            </w:r>
          </w:p>
          <w:p>
            <w:pPr>
              <w:spacing w:line="240" w:lineRule="auto"/>
              <w:jc w:val="both"/>
              <w:outlineLvl w:val="0"/>
              <w:rPr>
                <w:rFonts w:hint="eastAsia" w:ascii="宋体" w:hAnsi="宋体" w:eastAsia="宋体" w:cs="宋体"/>
                <w:sz w:val="24"/>
                <w:lang w:eastAsia="zh-CN"/>
              </w:rPr>
            </w:pPr>
            <w:r>
              <w:rPr>
                <w:rFonts w:hint="eastAsia" w:ascii="宋体" w:hAnsi="宋体" w:cs="宋体"/>
                <w:sz w:val="24"/>
                <w:lang w:val="en-US" w:eastAsia="zh-CN"/>
              </w:rPr>
              <w:t>5</w:t>
            </w:r>
            <w:r>
              <w:rPr>
                <w:rFonts w:hint="eastAsia" w:ascii="宋体" w:hAnsi="宋体" w:eastAsia="宋体" w:cs="宋体"/>
                <w:sz w:val="24"/>
              </w:rPr>
              <w:t>、具有自动化中级及以上职称的，1人得1分，最高得1分最高得1分</w:t>
            </w:r>
            <w:r>
              <w:rPr>
                <w:rFonts w:hint="eastAsia" w:ascii="宋体" w:hAnsi="宋体" w:cs="宋体"/>
                <w:sz w:val="24"/>
                <w:lang w:eastAsia="zh-CN"/>
              </w:rPr>
              <w:t>。</w:t>
            </w:r>
          </w:p>
          <w:p>
            <w:pPr>
              <w:spacing w:line="240" w:lineRule="auto"/>
              <w:jc w:val="both"/>
              <w:outlineLvl w:val="0"/>
              <w:rPr>
                <w:rFonts w:hint="eastAsia" w:ascii="宋体" w:hAnsi="宋体" w:eastAsia="宋体" w:cs="宋体"/>
                <w:sz w:val="24"/>
              </w:rPr>
            </w:pPr>
            <w:r>
              <w:rPr>
                <w:rFonts w:hint="eastAsia" w:ascii="宋体" w:hAnsi="宋体" w:eastAsia="宋体" w:cs="宋体"/>
                <w:b/>
                <w:bCs/>
                <w:sz w:val="24"/>
              </w:rPr>
              <w:t>（提供近三个月的单位缴纳社保凭证及职称证书复印件并加盖公章，一人提供多种证书不累计得分）</w:t>
            </w:r>
          </w:p>
        </w:tc>
        <w:tc>
          <w:tcPr>
            <w:tcW w:w="539"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cs="宋体"/>
                <w:sz w:val="24"/>
                <w:lang w:val="en-US" w:eastAsia="zh-CN"/>
              </w:rPr>
              <w:t>0-6分</w:t>
            </w:r>
          </w:p>
        </w:tc>
        <w:tc>
          <w:tcPr>
            <w:tcW w:w="948" w:type="pct"/>
            <w:vAlign w:val="center"/>
          </w:tcPr>
          <w:p>
            <w:pPr>
              <w:spacing w:line="360" w:lineRule="auto"/>
              <w:jc w:val="center"/>
              <w:outlineLvl w:val="0"/>
              <w:rPr>
                <w:rFonts w:hint="eastAsia" w:ascii="宋体" w:hAnsi="宋体" w:eastAsia="宋体" w:cs="宋体"/>
                <w:b/>
                <w:bCs/>
                <w:sz w:val="24"/>
              </w:rPr>
            </w:pPr>
            <w:r>
              <w:rPr>
                <w:rFonts w:hint="eastAsia" w:ascii="宋体" w:hAnsi="宋体" w:eastAsia="宋体" w:cs="宋体"/>
                <w:b/>
                <w:bCs/>
                <w:sz w:val="24"/>
              </w:rPr>
              <w:t>项目团队人员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5" w:type="pct"/>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3115" w:type="pct"/>
            <w:vAlign w:val="center"/>
          </w:tcPr>
          <w:p>
            <w:pPr>
              <w:spacing w:line="240" w:lineRule="auto"/>
              <w:jc w:val="both"/>
              <w:rPr>
                <w:rFonts w:hint="eastAsia" w:ascii="宋体" w:hAnsi="宋体" w:eastAsia="宋体" w:cs="宋体"/>
                <w:sz w:val="24"/>
                <w:szCs w:val="24"/>
              </w:rPr>
            </w:pPr>
            <w:r>
              <w:rPr>
                <w:rFonts w:hint="eastAsia" w:ascii="宋体" w:hAnsi="宋体" w:eastAsia="宋体" w:cs="宋体"/>
                <w:sz w:val="24"/>
                <w:szCs w:val="24"/>
              </w:rPr>
              <w:t>本项目需对调试及试运行阶段的污水进行检测，为确保项目的正常推进和设施的高效运行，投标人投资建有200m²以上的检测实验室，且</w:t>
            </w:r>
            <w:r>
              <w:rPr>
                <w:rFonts w:hint="eastAsia" w:ascii="宋体" w:hAnsi="宋体" w:cs="宋体"/>
                <w:sz w:val="24"/>
                <w:szCs w:val="24"/>
                <w:lang w:eastAsia="zh-CN"/>
              </w:rPr>
              <w:t>该</w:t>
            </w:r>
            <w:r>
              <w:rPr>
                <w:rFonts w:hint="eastAsia" w:ascii="宋体" w:hAnsi="宋体" w:eastAsia="宋体" w:cs="宋体"/>
                <w:sz w:val="24"/>
                <w:szCs w:val="24"/>
              </w:rPr>
              <w:t>实验室被县（区）及以上行业主管部门（住建局</w:t>
            </w:r>
            <w:r>
              <w:rPr>
                <w:rFonts w:hint="eastAsia" w:ascii="宋体" w:hAnsi="宋体" w:cs="宋体"/>
                <w:sz w:val="24"/>
                <w:szCs w:val="24"/>
                <w:lang w:eastAsia="zh-CN"/>
              </w:rPr>
              <w:t>或环保局</w:t>
            </w:r>
            <w:r>
              <w:rPr>
                <w:rFonts w:hint="eastAsia" w:ascii="宋体" w:hAnsi="宋体" w:eastAsia="宋体" w:cs="宋体"/>
                <w:sz w:val="24"/>
                <w:szCs w:val="24"/>
              </w:rPr>
              <w:t>）认可或具有（CNAS、CMA）认证的得3分；</w:t>
            </w:r>
            <w:r>
              <w:rPr>
                <w:rFonts w:hint="eastAsia" w:ascii="宋体" w:hAnsi="宋体" w:cs="宋体"/>
                <w:sz w:val="24"/>
                <w:szCs w:val="24"/>
                <w:lang w:eastAsia="zh-CN"/>
              </w:rPr>
              <w:t>若该污水需委托第三方进行检测的</w:t>
            </w:r>
            <w:r>
              <w:rPr>
                <w:rFonts w:hint="eastAsia" w:ascii="宋体" w:hAnsi="宋体" w:eastAsia="宋体" w:cs="宋体"/>
                <w:sz w:val="24"/>
                <w:szCs w:val="24"/>
              </w:rPr>
              <w:t>，</w:t>
            </w:r>
            <w:r>
              <w:rPr>
                <w:rFonts w:hint="eastAsia" w:ascii="宋体" w:hAnsi="宋体" w:cs="宋体"/>
                <w:sz w:val="24"/>
                <w:szCs w:val="24"/>
                <w:lang w:eastAsia="zh-CN"/>
              </w:rPr>
              <w:t>该委托</w:t>
            </w:r>
            <w:r>
              <w:rPr>
                <w:rFonts w:hint="eastAsia" w:ascii="宋体" w:hAnsi="宋体" w:eastAsia="宋体" w:cs="宋体"/>
                <w:sz w:val="24"/>
                <w:szCs w:val="24"/>
              </w:rPr>
              <w:t>实验室须被县（区）及以上行业主管部门（住建局</w:t>
            </w:r>
            <w:r>
              <w:rPr>
                <w:rFonts w:hint="eastAsia" w:ascii="宋体" w:hAnsi="宋体" w:cs="宋体"/>
                <w:sz w:val="24"/>
                <w:szCs w:val="24"/>
                <w:lang w:eastAsia="zh-CN"/>
              </w:rPr>
              <w:t>或环保局</w:t>
            </w:r>
            <w:r>
              <w:rPr>
                <w:rFonts w:hint="eastAsia" w:ascii="宋体" w:hAnsi="宋体" w:eastAsia="宋体" w:cs="宋体"/>
                <w:sz w:val="24"/>
                <w:szCs w:val="24"/>
              </w:rPr>
              <w:t>）认可或具有（CNAS、CMA）认证的得1分。</w:t>
            </w:r>
          </w:p>
          <w:p>
            <w:pPr>
              <w:spacing w:line="240" w:lineRule="auto"/>
              <w:jc w:val="both"/>
              <w:rPr>
                <w:rFonts w:hint="eastAsia" w:ascii="宋体" w:hAnsi="宋体" w:eastAsia="宋体" w:cs="宋体"/>
                <w:sz w:val="24"/>
                <w:szCs w:val="24"/>
              </w:rPr>
            </w:pPr>
            <w:r>
              <w:rPr>
                <w:rFonts w:hint="eastAsia" w:ascii="宋体" w:hAnsi="宋体" w:eastAsia="宋体" w:cs="宋体"/>
                <w:b/>
                <w:bCs/>
                <w:sz w:val="24"/>
                <w:szCs w:val="24"/>
              </w:rPr>
              <w:t>（提供有效的证明材料，行业主管部门认可证明或CNAS、CMA认证证书</w:t>
            </w:r>
            <w:r>
              <w:rPr>
                <w:rFonts w:hint="eastAsia" w:ascii="宋体" w:hAnsi="宋体" w:cs="宋体"/>
                <w:b/>
                <w:bCs/>
                <w:sz w:val="24"/>
                <w:szCs w:val="24"/>
                <w:lang w:eastAsia="zh-CN"/>
              </w:rPr>
              <w:t>或委托协议书</w:t>
            </w:r>
            <w:r>
              <w:rPr>
                <w:rFonts w:hint="eastAsia" w:ascii="宋体" w:hAnsi="宋体" w:eastAsia="宋体" w:cs="宋体"/>
                <w:b/>
                <w:bCs/>
                <w:sz w:val="24"/>
                <w:szCs w:val="24"/>
              </w:rPr>
              <w:t>等，并附实验室照片）</w:t>
            </w:r>
          </w:p>
        </w:tc>
        <w:tc>
          <w:tcPr>
            <w:tcW w:w="539" w:type="pct"/>
            <w:vAlign w:val="center"/>
          </w:tcPr>
          <w:p>
            <w:pPr>
              <w:jc w:val="center"/>
              <w:rPr>
                <w:rFonts w:hint="default" w:ascii="宋体" w:hAnsi="宋体" w:eastAsia="宋体" w:cs="宋体"/>
                <w:lang w:val="en-US" w:eastAsia="zh-CN"/>
              </w:rPr>
            </w:pPr>
            <w:r>
              <w:rPr>
                <w:rFonts w:hint="eastAsia" w:ascii="宋体" w:hAnsi="宋体" w:cs="宋体"/>
                <w:sz w:val="24"/>
                <w:szCs w:val="24"/>
                <w:lang w:val="en-US" w:eastAsia="zh-CN"/>
              </w:rPr>
              <w:t>0-3分</w:t>
            </w:r>
          </w:p>
        </w:tc>
        <w:tc>
          <w:tcPr>
            <w:tcW w:w="948" w:type="pct"/>
            <w:vAlign w:val="center"/>
          </w:tcPr>
          <w:p>
            <w:pPr>
              <w:spacing w:line="360" w:lineRule="auto"/>
              <w:jc w:val="center"/>
              <w:outlineLvl w:val="0"/>
              <w:rPr>
                <w:rFonts w:hint="eastAsia" w:ascii="宋体" w:hAnsi="宋体" w:eastAsia="宋体" w:cs="宋体"/>
                <w:b/>
                <w:bCs/>
                <w:sz w:val="24"/>
              </w:rPr>
            </w:pPr>
            <w:r>
              <w:rPr>
                <w:rFonts w:hint="eastAsia" w:ascii="宋体" w:hAnsi="宋体" w:eastAsia="宋体" w:cs="宋体"/>
                <w:b/>
                <w:bCs/>
                <w:sz w:val="24"/>
              </w:rPr>
              <w:t>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5" w:type="pct"/>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3115" w:type="pct"/>
            <w:vAlign w:val="center"/>
          </w:tcPr>
          <w:p>
            <w:pPr>
              <w:spacing w:line="240" w:lineRule="auto"/>
              <w:jc w:val="both"/>
              <w:rPr>
                <w:rFonts w:hint="eastAsia" w:ascii="宋体" w:hAnsi="宋体" w:eastAsia="宋体" w:cs="宋体"/>
                <w:sz w:val="24"/>
                <w:szCs w:val="24"/>
              </w:rPr>
            </w:pPr>
            <w:r>
              <w:rPr>
                <w:rFonts w:hint="eastAsia" w:ascii="宋体" w:hAnsi="宋体" w:eastAsia="宋体" w:cs="宋体"/>
                <w:sz w:val="24"/>
                <w:szCs w:val="24"/>
              </w:rPr>
              <w:t>为确保污水厂正常运行，对水质及时快速检测的要求较高，投标单位上述“检测能力”中的实验室在临安区范围内的得3分，杭州市范围内的得2分，</w:t>
            </w:r>
            <w:r>
              <w:rPr>
                <w:rFonts w:hint="eastAsia" w:ascii="宋体" w:hAnsi="宋体" w:cs="宋体"/>
                <w:sz w:val="24"/>
                <w:szCs w:val="24"/>
                <w:lang w:eastAsia="zh-CN"/>
              </w:rPr>
              <w:t>浙江省范围内的得1分，其余地区不得分。</w:t>
            </w:r>
            <w:r>
              <w:rPr>
                <w:rFonts w:hint="eastAsia" w:ascii="宋体" w:hAnsi="宋体" w:eastAsia="宋体" w:cs="宋体"/>
                <w:b/>
                <w:bCs/>
                <w:sz w:val="24"/>
                <w:szCs w:val="24"/>
              </w:rPr>
              <w:t>（须提供相应证明材料）</w:t>
            </w:r>
          </w:p>
        </w:tc>
        <w:tc>
          <w:tcPr>
            <w:tcW w:w="539"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0-3分</w:t>
            </w:r>
          </w:p>
        </w:tc>
        <w:tc>
          <w:tcPr>
            <w:tcW w:w="948" w:type="pct"/>
            <w:vAlign w:val="center"/>
          </w:tcPr>
          <w:p>
            <w:pPr>
              <w:spacing w:line="360" w:lineRule="auto"/>
              <w:jc w:val="center"/>
              <w:outlineLvl w:val="0"/>
              <w:rPr>
                <w:rFonts w:hint="eastAsia" w:ascii="宋体" w:hAnsi="宋体" w:eastAsia="宋体" w:cs="宋体"/>
                <w:b/>
                <w:bCs/>
                <w:sz w:val="24"/>
              </w:rPr>
            </w:pPr>
            <w:r>
              <w:rPr>
                <w:rFonts w:hint="eastAsia" w:ascii="宋体" w:hAnsi="宋体" w:eastAsia="宋体" w:cs="宋体"/>
                <w:b/>
                <w:bCs/>
                <w:sz w:val="24"/>
                <w:lang w:val="en-US" w:eastAsia="zh-CN"/>
              </w:rPr>
              <w:t>检测效率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5" w:type="pct"/>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3115" w:type="pct"/>
            <w:vAlign w:val="center"/>
          </w:tcPr>
          <w:p>
            <w:pPr>
              <w:jc w:val="both"/>
              <w:rPr>
                <w:rFonts w:hint="eastAsia" w:ascii="宋体" w:hAnsi="宋体" w:eastAsia="宋体" w:cs="宋体"/>
                <w:sz w:val="24"/>
                <w:szCs w:val="24"/>
              </w:rPr>
            </w:pPr>
            <w:r>
              <w:rPr>
                <w:rFonts w:hint="eastAsia"/>
                <w:sz w:val="24"/>
                <w:szCs w:val="24"/>
                <w:lang w:val="en-US" w:eastAsia="zh-CN"/>
              </w:rPr>
              <w:t>对于是否响应“主要材料（设备）品牌表”中推荐的品牌，不响应推荐品牌的每一项减1分，全部响应的得满分。</w:t>
            </w:r>
          </w:p>
        </w:tc>
        <w:tc>
          <w:tcPr>
            <w:tcW w:w="539"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0-12分</w:t>
            </w:r>
          </w:p>
        </w:tc>
        <w:tc>
          <w:tcPr>
            <w:tcW w:w="948" w:type="pct"/>
            <w:vAlign w:val="center"/>
          </w:tcPr>
          <w:p>
            <w:pPr>
              <w:spacing w:line="240" w:lineRule="auto"/>
              <w:jc w:val="center"/>
              <w:outlineLvl w:val="0"/>
              <w:rPr>
                <w:rFonts w:hint="eastAsia" w:ascii="宋体" w:hAnsi="宋体" w:eastAsia="宋体" w:cs="宋体"/>
                <w:b/>
                <w:bCs/>
                <w:sz w:val="24"/>
              </w:rPr>
            </w:pPr>
            <w:r>
              <w:rPr>
                <w:rFonts w:hint="eastAsia" w:ascii="宋体" w:hAnsi="宋体" w:eastAsia="宋体" w:cs="宋体"/>
                <w:b/>
                <w:bCs/>
                <w:sz w:val="24"/>
                <w:lang w:eastAsia="zh-CN"/>
              </w:rPr>
              <w:t>主要材料（设备）品牌要求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5" w:type="pct"/>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3115" w:type="pct"/>
            <w:vAlign w:val="center"/>
          </w:tcPr>
          <w:p>
            <w:pPr>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SA"/>
              </w:rPr>
              <w:t>评委从各投标单位的投标文件中写明的施工进度计划管理</w:t>
            </w:r>
            <w:r>
              <w:rPr>
                <w:rFonts w:hint="eastAsia" w:ascii="宋体" w:hAnsi="宋体" w:cs="宋体"/>
                <w:kern w:val="2"/>
                <w:sz w:val="24"/>
                <w:szCs w:val="24"/>
                <w:lang w:val="en-US" w:eastAsia="zh-CN" w:bidi="ar-SA"/>
              </w:rPr>
              <w:t>保障</w:t>
            </w:r>
            <w:r>
              <w:rPr>
                <w:rFonts w:hint="eastAsia" w:ascii="宋体" w:hAnsi="宋体" w:eastAsia="宋体" w:cs="宋体"/>
                <w:kern w:val="2"/>
                <w:sz w:val="24"/>
                <w:szCs w:val="24"/>
                <w:lang w:val="en-US" w:eastAsia="zh-CN" w:bidi="ar-SA"/>
              </w:rPr>
              <w:t>措施横向比较，酌情打分。</w:t>
            </w:r>
          </w:p>
        </w:tc>
        <w:tc>
          <w:tcPr>
            <w:tcW w:w="539"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0-5分</w:t>
            </w:r>
          </w:p>
        </w:tc>
        <w:tc>
          <w:tcPr>
            <w:tcW w:w="948" w:type="pct"/>
            <w:vAlign w:val="center"/>
          </w:tcPr>
          <w:p>
            <w:pPr>
              <w:spacing w:line="240" w:lineRule="auto"/>
              <w:jc w:val="center"/>
              <w:outlineLvl w:val="0"/>
              <w:rPr>
                <w:rFonts w:hint="eastAsia" w:ascii="宋体" w:hAnsi="宋体" w:eastAsia="宋体" w:cs="宋体"/>
                <w:b/>
                <w:bCs/>
                <w:sz w:val="24"/>
              </w:rPr>
            </w:pPr>
            <w:r>
              <w:rPr>
                <w:rFonts w:hint="eastAsia" w:ascii="宋体" w:hAnsi="宋体" w:eastAsia="宋体" w:cs="宋体"/>
                <w:b/>
                <w:bCs/>
                <w:sz w:val="24"/>
                <w:lang w:val="en-US" w:eastAsia="zh-CN"/>
              </w:rPr>
              <w:t>施工进度计划管理保障措施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95" w:type="pct"/>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3115" w:type="pct"/>
            <w:vAlign w:val="center"/>
          </w:tcPr>
          <w:p>
            <w:pPr>
              <w:jc w:val="both"/>
              <w:rPr>
                <w:rFonts w:hint="eastAsia" w:ascii="宋体" w:hAnsi="宋体" w:eastAsia="宋体" w:cs="宋体"/>
                <w:sz w:val="24"/>
                <w:szCs w:val="24"/>
              </w:rPr>
            </w:pPr>
            <w:r>
              <w:rPr>
                <w:rFonts w:hint="eastAsia" w:eastAsia="宋体" w:cs="Times New Roman"/>
                <w:sz w:val="24"/>
                <w:szCs w:val="24"/>
                <w:lang w:val="en-US" w:eastAsia="zh-CN"/>
              </w:rPr>
              <w:t>评委从各投标单位的投标文件中写明的工程质量管理</w:t>
            </w:r>
            <w:r>
              <w:rPr>
                <w:rFonts w:hint="eastAsia" w:ascii="宋体" w:hAnsi="宋体" w:cs="宋体"/>
                <w:kern w:val="2"/>
                <w:sz w:val="24"/>
                <w:szCs w:val="24"/>
                <w:lang w:val="en-US" w:eastAsia="zh-CN" w:bidi="ar-SA"/>
              </w:rPr>
              <w:t>保障</w:t>
            </w:r>
            <w:r>
              <w:rPr>
                <w:rFonts w:hint="eastAsia" w:eastAsia="宋体" w:cs="Times New Roman"/>
                <w:sz w:val="24"/>
                <w:szCs w:val="24"/>
                <w:lang w:val="en-US" w:eastAsia="zh-CN"/>
              </w:rPr>
              <w:t>措施横向比较，酌情打分。</w:t>
            </w:r>
          </w:p>
        </w:tc>
        <w:tc>
          <w:tcPr>
            <w:tcW w:w="539"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0-5分</w:t>
            </w:r>
          </w:p>
        </w:tc>
        <w:tc>
          <w:tcPr>
            <w:tcW w:w="948" w:type="pct"/>
            <w:vAlign w:val="center"/>
          </w:tcPr>
          <w:p>
            <w:pPr>
              <w:spacing w:line="240" w:lineRule="auto"/>
              <w:jc w:val="center"/>
              <w:rPr>
                <w:rFonts w:hint="eastAsia" w:ascii="宋体" w:hAnsi="宋体" w:eastAsia="宋体" w:cs="宋体"/>
                <w:b/>
                <w:bCs/>
                <w:spacing w:val="-4"/>
                <w:kern w:val="2"/>
                <w:sz w:val="24"/>
                <w:szCs w:val="24"/>
                <w:highlight w:val="none"/>
                <w:lang w:val="en-US" w:eastAsia="zh-CN" w:bidi="ar-SA"/>
              </w:rPr>
            </w:pPr>
            <w:r>
              <w:rPr>
                <w:rFonts w:hint="eastAsia" w:ascii="宋体" w:hAnsi="宋体" w:cs="宋体"/>
                <w:b/>
                <w:bCs/>
                <w:spacing w:val="-4"/>
                <w:sz w:val="24"/>
                <w:szCs w:val="24"/>
                <w:highlight w:val="none"/>
                <w:lang w:val="en-US" w:eastAsia="zh-CN"/>
              </w:rPr>
              <w:t>工程质量管理保障措施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95" w:type="pct"/>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3115" w:type="pct"/>
            <w:vAlign w:val="center"/>
          </w:tcPr>
          <w:p>
            <w:pPr>
              <w:jc w:val="both"/>
              <w:rPr>
                <w:rFonts w:hint="eastAsia" w:ascii="宋体" w:hAnsi="宋体" w:eastAsia="宋体" w:cs="宋体"/>
                <w:sz w:val="24"/>
                <w:szCs w:val="24"/>
              </w:rPr>
            </w:pPr>
            <w:r>
              <w:rPr>
                <w:rFonts w:hint="eastAsia" w:eastAsia="宋体" w:cs="Times New Roman"/>
                <w:sz w:val="24"/>
                <w:szCs w:val="24"/>
                <w:lang w:val="en-US" w:eastAsia="zh-CN"/>
              </w:rPr>
              <w:t>评委从各投标单位的投标文件中写明的安全生产管理</w:t>
            </w:r>
            <w:r>
              <w:rPr>
                <w:rFonts w:hint="eastAsia" w:ascii="宋体" w:hAnsi="宋体" w:cs="宋体"/>
                <w:kern w:val="2"/>
                <w:sz w:val="24"/>
                <w:szCs w:val="24"/>
                <w:lang w:val="en-US" w:eastAsia="zh-CN" w:bidi="ar-SA"/>
              </w:rPr>
              <w:t>保障</w:t>
            </w:r>
            <w:r>
              <w:rPr>
                <w:rFonts w:hint="eastAsia" w:eastAsia="宋体" w:cs="Times New Roman"/>
                <w:sz w:val="24"/>
                <w:szCs w:val="24"/>
                <w:lang w:val="en-US" w:eastAsia="zh-CN"/>
              </w:rPr>
              <w:t>措施横向比较，酌情打分。</w:t>
            </w:r>
          </w:p>
        </w:tc>
        <w:tc>
          <w:tcPr>
            <w:tcW w:w="539"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0-5分</w:t>
            </w:r>
          </w:p>
        </w:tc>
        <w:tc>
          <w:tcPr>
            <w:tcW w:w="948" w:type="pct"/>
            <w:vAlign w:val="center"/>
          </w:tcPr>
          <w:p>
            <w:pPr>
              <w:widowControl/>
              <w:spacing w:line="240" w:lineRule="auto"/>
              <w:jc w:val="center"/>
              <w:rPr>
                <w:rFonts w:hint="eastAsia" w:ascii="宋体" w:hAnsi="宋体" w:eastAsia="宋体" w:cs="宋体"/>
                <w:b/>
                <w:bCs/>
                <w:spacing w:val="-4"/>
                <w:kern w:val="2"/>
                <w:sz w:val="24"/>
                <w:szCs w:val="24"/>
                <w:highlight w:val="none"/>
                <w:lang w:val="en-US" w:eastAsia="zh-CN" w:bidi="ar-SA"/>
              </w:rPr>
            </w:pPr>
            <w:r>
              <w:rPr>
                <w:rFonts w:hint="eastAsia" w:ascii="宋体" w:hAnsi="宋体" w:cs="宋体"/>
                <w:b/>
                <w:bCs/>
                <w:spacing w:val="-4"/>
                <w:sz w:val="24"/>
                <w:szCs w:val="24"/>
                <w:highlight w:val="none"/>
                <w:lang w:val="en-US" w:eastAsia="zh-CN"/>
              </w:rPr>
              <w:t>安全生产管理保障措施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95"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3115" w:type="pct"/>
            <w:vAlign w:val="center"/>
          </w:tcPr>
          <w:p>
            <w:pPr>
              <w:jc w:val="both"/>
              <w:rPr>
                <w:rFonts w:hint="eastAsia" w:ascii="宋体" w:hAnsi="宋体" w:eastAsia="宋体" w:cs="宋体"/>
                <w:sz w:val="24"/>
                <w:szCs w:val="24"/>
              </w:rPr>
            </w:pPr>
            <w:r>
              <w:rPr>
                <w:rFonts w:hint="eastAsia" w:eastAsia="宋体" w:cs="Times New Roman"/>
                <w:sz w:val="24"/>
                <w:szCs w:val="24"/>
                <w:lang w:val="en-US" w:eastAsia="zh-CN"/>
              </w:rPr>
              <w:t>评委从各投标单位的投标文件中写明的施工对环境影响及对策横向比较，酌情打分。</w:t>
            </w:r>
          </w:p>
        </w:tc>
        <w:tc>
          <w:tcPr>
            <w:tcW w:w="539" w:type="pct"/>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0-5分</w:t>
            </w:r>
          </w:p>
        </w:tc>
        <w:tc>
          <w:tcPr>
            <w:tcW w:w="948" w:type="pct"/>
            <w:vAlign w:val="center"/>
          </w:tcPr>
          <w:p>
            <w:pPr>
              <w:widowControl/>
              <w:spacing w:line="240" w:lineRule="auto"/>
              <w:jc w:val="center"/>
              <w:rPr>
                <w:rFonts w:hint="eastAsia" w:ascii="宋体" w:hAnsi="宋体" w:eastAsia="宋体" w:cs="宋体"/>
                <w:b/>
                <w:bCs/>
                <w:spacing w:val="-4"/>
                <w:kern w:val="2"/>
                <w:sz w:val="24"/>
                <w:szCs w:val="24"/>
                <w:highlight w:val="none"/>
                <w:lang w:val="en-US" w:eastAsia="zh-CN" w:bidi="ar-SA"/>
              </w:rPr>
            </w:pPr>
            <w:r>
              <w:rPr>
                <w:rFonts w:hint="eastAsia" w:ascii="宋体" w:hAnsi="宋体" w:cs="宋体"/>
                <w:b/>
                <w:bCs/>
                <w:spacing w:val="-4"/>
                <w:sz w:val="24"/>
                <w:szCs w:val="24"/>
                <w:highlight w:val="none"/>
                <w:lang w:val="en-US" w:eastAsia="zh-CN"/>
              </w:rPr>
              <w:t>施工对环境影响及对策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95"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3115" w:type="pct"/>
            <w:vAlign w:val="center"/>
          </w:tcPr>
          <w:p>
            <w:pPr>
              <w:jc w:val="both"/>
              <w:rPr>
                <w:rFonts w:hint="eastAsia" w:ascii="宋体" w:hAnsi="宋体" w:eastAsia="宋体" w:cs="宋体"/>
                <w:sz w:val="24"/>
                <w:szCs w:val="24"/>
              </w:rPr>
            </w:pPr>
            <w:r>
              <w:rPr>
                <w:rFonts w:hint="eastAsia" w:eastAsia="宋体" w:cs="Times New Roman"/>
                <w:sz w:val="24"/>
                <w:szCs w:val="24"/>
                <w:lang w:val="en-US" w:eastAsia="zh-CN"/>
              </w:rPr>
              <w:t>评委从各投标单位的投标文件中写明的试运行期间水质超标应急处置方案进行横向比较，酌情打分。</w:t>
            </w:r>
          </w:p>
        </w:tc>
        <w:tc>
          <w:tcPr>
            <w:tcW w:w="539" w:type="pct"/>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0-5分</w:t>
            </w:r>
          </w:p>
        </w:tc>
        <w:tc>
          <w:tcPr>
            <w:tcW w:w="948" w:type="pct"/>
            <w:vAlign w:val="center"/>
          </w:tcPr>
          <w:p>
            <w:pPr>
              <w:widowControl/>
              <w:spacing w:line="240" w:lineRule="auto"/>
              <w:ind w:left="241" w:leftChars="0" w:hanging="241" w:hangingChars="100"/>
              <w:jc w:val="center"/>
              <w:rPr>
                <w:rFonts w:hint="eastAsia" w:ascii="宋体" w:hAnsi="宋体" w:eastAsia="宋体" w:cs="宋体"/>
                <w:b/>
                <w:bCs/>
                <w:kern w:val="2"/>
                <w:sz w:val="24"/>
                <w:szCs w:val="24"/>
                <w:highlight w:val="none"/>
                <w:lang w:val="en-US" w:eastAsia="zh-CN" w:bidi="ar-SA"/>
              </w:rPr>
            </w:pPr>
            <w:r>
              <w:rPr>
                <w:rFonts w:hint="eastAsia" w:ascii="宋体" w:hAnsi="宋体" w:cs="宋体"/>
                <w:b/>
                <w:bCs/>
                <w:sz w:val="24"/>
                <w:szCs w:val="24"/>
                <w:highlight w:val="none"/>
                <w:lang w:val="en-US" w:eastAsia="zh-CN"/>
              </w:rPr>
              <w:t>水质超标应急处置方案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95"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3115" w:type="pct"/>
            <w:vAlign w:val="center"/>
          </w:tcPr>
          <w:p>
            <w:pPr>
              <w:jc w:val="both"/>
              <w:rPr>
                <w:rFonts w:hint="eastAsia" w:ascii="宋体" w:hAnsi="宋体" w:eastAsia="宋体" w:cs="宋体"/>
                <w:sz w:val="24"/>
                <w:szCs w:val="24"/>
              </w:rPr>
            </w:pPr>
            <w:r>
              <w:rPr>
                <w:rFonts w:hint="eastAsia" w:eastAsia="宋体"/>
                <w:sz w:val="24"/>
                <w:szCs w:val="24"/>
                <w:lang w:val="en-US" w:eastAsia="zh-CN"/>
              </w:rPr>
              <w:t>评委从各投标单位的投标文件中写明的针对本项目的工程调试进行横向比较，酌情打分。</w:t>
            </w:r>
          </w:p>
        </w:tc>
        <w:tc>
          <w:tcPr>
            <w:tcW w:w="539" w:type="pct"/>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0-5分</w:t>
            </w:r>
          </w:p>
        </w:tc>
        <w:tc>
          <w:tcPr>
            <w:tcW w:w="948" w:type="pct"/>
            <w:vAlign w:val="center"/>
          </w:tcPr>
          <w:p>
            <w:pPr>
              <w:spacing w:line="24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工程调试方案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95"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3115" w:type="pct"/>
            <w:vAlign w:val="center"/>
          </w:tcPr>
          <w:p>
            <w:pPr>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评委从各投标单位的投标文件中写明的对有限空间作业方案进行综合评分。</w:t>
            </w:r>
          </w:p>
        </w:tc>
        <w:tc>
          <w:tcPr>
            <w:tcW w:w="539" w:type="pct"/>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0-4分</w:t>
            </w:r>
          </w:p>
        </w:tc>
        <w:tc>
          <w:tcPr>
            <w:tcW w:w="948" w:type="pct"/>
            <w:vAlign w:val="center"/>
          </w:tcPr>
          <w:p>
            <w:pPr>
              <w:widowControl/>
              <w:spacing w:line="24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有限空间作业方案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95" w:type="pct"/>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3115" w:type="pct"/>
            <w:vAlign w:val="center"/>
          </w:tcPr>
          <w:p>
            <w:pPr>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评委从各投标单位的投标文件中写明的</w:t>
            </w:r>
            <w:r>
              <w:rPr>
                <w:rFonts w:hint="eastAsia" w:ascii="宋体" w:hAnsi="宋体" w:cs="宋体"/>
                <w:kern w:val="2"/>
                <w:sz w:val="24"/>
                <w:szCs w:val="24"/>
                <w:highlight w:val="none"/>
                <w:lang w:val="en-US" w:eastAsia="zh-CN" w:bidi="ar-SA"/>
              </w:rPr>
              <w:t>售后服务进行横向比较，酌情打分。</w:t>
            </w:r>
          </w:p>
        </w:tc>
        <w:tc>
          <w:tcPr>
            <w:tcW w:w="539" w:type="pct"/>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0-4分</w:t>
            </w:r>
          </w:p>
        </w:tc>
        <w:tc>
          <w:tcPr>
            <w:tcW w:w="948" w:type="pct"/>
            <w:vAlign w:val="center"/>
          </w:tcPr>
          <w:p>
            <w:pPr>
              <w:snapToGrid w:val="0"/>
              <w:spacing w:line="240" w:lineRule="auto"/>
              <w:jc w:val="center"/>
              <w:rPr>
                <w:rFonts w:hint="eastAsia" w:ascii="Times New Roman" w:hAnsi="Times New Roman" w:eastAsia="宋体" w:cs="Times New Roman"/>
                <w:b/>
                <w:bCs/>
                <w:kern w:val="2"/>
                <w:sz w:val="24"/>
                <w:szCs w:val="24"/>
                <w:lang w:val="en-US" w:eastAsia="zh-CN" w:bidi="ar-SA"/>
              </w:rPr>
            </w:pPr>
            <w:r>
              <w:rPr>
                <w:rFonts w:hint="eastAsia"/>
                <w:b/>
                <w:bCs/>
                <w:sz w:val="24"/>
                <w:szCs w:val="24"/>
                <w:lang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395" w:type="pct"/>
            <w:vAlign w:val="center"/>
          </w:tcPr>
          <w:p>
            <w:pPr>
              <w:spacing w:line="360" w:lineRule="auto"/>
              <w:jc w:val="center"/>
              <w:outlineLvl w:val="0"/>
              <w:rPr>
                <w:rFonts w:hint="default" w:ascii="宋体" w:hAnsi="宋体" w:eastAsia="宋体" w:cs="宋体"/>
                <w:sz w:val="24"/>
                <w:lang w:val="en-US" w:eastAsia="zh-CN"/>
              </w:rPr>
            </w:pPr>
            <w:r>
              <w:rPr>
                <w:rFonts w:hint="eastAsia" w:ascii="宋体" w:hAnsi="宋体" w:cs="宋体"/>
                <w:sz w:val="24"/>
                <w:lang w:val="en-US" w:eastAsia="zh-CN"/>
              </w:rPr>
              <w:t>15</w:t>
            </w:r>
          </w:p>
        </w:tc>
        <w:tc>
          <w:tcPr>
            <w:tcW w:w="3115" w:type="pct"/>
            <w:vAlign w:val="center"/>
          </w:tcPr>
          <w:p>
            <w:pPr>
              <w:spacing w:line="240" w:lineRule="auto"/>
              <w:ind w:firstLine="480" w:firstLineChars="200"/>
              <w:jc w:val="both"/>
              <w:outlineLvl w:val="0"/>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有效投标报价的最低价作为评标基准价，其最低报价为满分；按［投标报价得分=（评标基准价/投标报价）*30］的计算公式计算。</w:t>
            </w:r>
          </w:p>
          <w:p>
            <w:pPr>
              <w:spacing w:line="240" w:lineRule="auto"/>
              <w:ind w:left="479" w:leftChars="228" w:firstLine="0" w:firstLineChars="0"/>
              <w:jc w:val="both"/>
              <w:outlineLvl w:val="0"/>
              <w:rPr>
                <w:rFonts w:hint="eastAsia" w:ascii="宋体" w:hAnsi="宋体" w:eastAsia="宋体" w:cs="宋体"/>
                <w:sz w:val="24"/>
              </w:rPr>
            </w:pPr>
            <w:r>
              <w:rPr>
                <w:rFonts w:hint="eastAsia" w:ascii="宋体" w:hAnsi="宋体" w:eastAsia="宋体" w:cs="宋体"/>
                <w:sz w:val="24"/>
              </w:rPr>
              <w:t>评标过程中，不得去掉报价中的最高报价和最低报价。因落实政府采购政策需要进行价格调整的，以调整后的</w:t>
            </w:r>
          </w:p>
          <w:p>
            <w:pPr>
              <w:spacing w:line="240" w:lineRule="auto"/>
              <w:jc w:val="both"/>
              <w:outlineLvl w:val="0"/>
              <w:rPr>
                <w:rFonts w:hint="eastAsia" w:ascii="宋体" w:hAnsi="宋体" w:eastAsia="宋体" w:cs="宋体"/>
                <w:sz w:val="24"/>
              </w:rPr>
            </w:pPr>
            <w:r>
              <w:rPr>
                <w:rFonts w:hint="eastAsia" w:ascii="宋体" w:hAnsi="宋体" w:eastAsia="宋体" w:cs="宋体"/>
                <w:sz w:val="24"/>
              </w:rPr>
              <w:t>价格计算评标基准价和投标报价。</w:t>
            </w:r>
          </w:p>
        </w:tc>
        <w:tc>
          <w:tcPr>
            <w:tcW w:w="539"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30</w:t>
            </w:r>
          </w:p>
        </w:tc>
        <w:tc>
          <w:tcPr>
            <w:tcW w:w="948"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w:t>
            </w:r>
          </w:p>
        </w:tc>
      </w:tr>
    </w:tbl>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w:t>
      </w:r>
    </w:p>
    <w:p>
      <w:pPr>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8"/>
          <w:szCs w:val="28"/>
        </w:rPr>
      </w:pPr>
      <w:r>
        <w:rPr>
          <w:rFonts w:hint="eastAsia" w:ascii="宋体" w:hAnsi="宋体" w:eastAsia="宋体" w:cs="宋体"/>
          <w:b/>
          <w:sz w:val="28"/>
          <w:szCs w:val="28"/>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28"/>
          <w:szCs w:val="28"/>
        </w:rPr>
      </w:pPr>
      <w:r>
        <w:rPr>
          <w:rFonts w:hint="eastAsia" w:ascii="宋体" w:hAnsi="宋体" w:eastAsia="宋体" w:cs="宋体"/>
          <w:b/>
          <w:sz w:val="28"/>
          <w:szCs w:val="28"/>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28"/>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3.4.4关于税费、清单的详细评审</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报价评审是对投标文件中工程量清单的范围、数量、报价进行全面审核和对比分析。投标报价中有以下情形之一的，评审不予通过，否决其投标：</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安全文明施工费用报价低于建设行政主管部门颁发的取费计价文件规定的弹性费率下限计算值的；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规费、税金报价不符合现行规定的；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企业管理费报价低于建设行政主管部门规定的对应专业工程企业管理费弹性费率下限20%的；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现场监控、现场临时宿舍取暖降温费用未依据市政府、市建设行政主管部门有关规定报价的；（现场临时宿舍取暖降温费用，施工周期在6-9月的施工项目，必须进行报价，施工周期跨越其他月份的施工项目，由投标人根据我市施工现场标准化管理的要求自主报价）</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改变招标文件提供的工程量清单（含分部分项工程及措施项目、其他项目清单项目的编码、项目名称、计量单位、工程数量、项目特征描述）的；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改变招标文件明确的暂定不竞价内容的；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经评标委员会认定的投标报价低于成本价的；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投标人拒绝按评标委员会要求提供报价分析说明和证明材料的；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工程量清单报价与工、料、机报价及对应的报价分析不相符的，或与拟建工程的施工方案明显不匹配的；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投标报价错误累计达到或超过原总报价（招标控制价≦5000万元的按0.5%，招标控制价＞5000万元的按0.1%）的；</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法律、法规、规章及规范性文件规定其他应否决投标的情形。</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kern w:val="0"/>
          <w:szCs w:val="24"/>
        </w:rPr>
      </w:pPr>
      <w:r>
        <w:rPr>
          <w:rFonts w:hint="eastAsia" w:ascii="宋体" w:hAnsi="宋体" w:eastAsia="宋体" w:cs="宋体"/>
          <w:kern w:val="0"/>
          <w:szCs w:val="24"/>
        </w:rPr>
        <w:t>3.4.6对于未预留份额专门面向中小企业的政府采购货物或服务项目，以及预留份额政府采购货物或服务项目中的非预留部分标项，对小型和微型企业的投标报价给予10%的扣除，用扣除后的价格参与评审。对于未预留份额专门面向中小企业的政府采购工程项目，以及预留份额政府采购工程项目中的非预留部分标项，对小型和微型企业的投标报价给予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28"/>
          <w:szCs w:val="28"/>
        </w:rPr>
      </w:pPr>
      <w:r>
        <w:rPr>
          <w:rFonts w:hint="eastAsia" w:ascii="宋体" w:hAnsi="宋体" w:eastAsia="宋体" w:cs="宋体"/>
          <w:b/>
          <w:sz w:val="28"/>
          <w:szCs w:val="28"/>
        </w:rPr>
        <w:t>四、评标中的其他事项</w:t>
      </w:r>
    </w:p>
    <w:p>
      <w:pPr>
        <w:pStyle w:val="128"/>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pStyle w:val="7"/>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2"/>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pPr>
        <w:pStyle w:val="2"/>
        <w:snapToGrid w:val="0"/>
        <w:spacing w:line="360" w:lineRule="auto"/>
        <w:ind w:firstLine="0" w:firstLineChars="0"/>
        <w:rPr>
          <w:rFonts w:hint="eastAsia" w:ascii="宋体" w:hAnsi="宋体" w:eastAsia="宋体" w:cs="宋体"/>
        </w:rPr>
      </w:pPr>
    </w:p>
    <w:bookmarkEnd w:id="26"/>
    <w:p>
      <w:pPr>
        <w:spacing w:line="360" w:lineRule="auto"/>
        <w:ind w:left="720" w:leftChars="343" w:firstLine="1084" w:firstLineChars="300"/>
        <w:outlineLvl w:val="0"/>
        <w:rPr>
          <w:rFonts w:hint="eastAsia" w:ascii="宋体" w:hAnsi="宋体" w:eastAsia="宋体" w:cs="宋体"/>
          <w:b/>
          <w:sz w:val="36"/>
          <w:szCs w:val="36"/>
        </w:rPr>
      </w:pPr>
      <w:bookmarkStart w:id="392" w:name="第五部分"/>
      <w:bookmarkStart w:id="393" w:name="_Toc86217003"/>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 xml:space="preserve">    </w:t>
      </w: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pStyle w:val="42"/>
        <w:rPr>
          <w:rFonts w:hint="eastAsia" w:ascii="宋体" w:hAnsi="宋体" w:eastAsia="宋体" w:cs="宋体"/>
          <w:b/>
          <w:sz w:val="36"/>
          <w:szCs w:val="36"/>
        </w:rPr>
      </w:pPr>
    </w:p>
    <w:p>
      <w:pPr>
        <w:rPr>
          <w:rFonts w:hint="eastAsia" w:ascii="宋体" w:hAnsi="宋体" w:eastAsia="宋体" w:cs="宋体"/>
          <w:b/>
          <w:sz w:val="36"/>
          <w:szCs w:val="36"/>
        </w:rPr>
      </w:pPr>
    </w:p>
    <w:p>
      <w:pPr>
        <w:pStyle w:val="42"/>
        <w:rPr>
          <w:rFonts w:hint="eastAsia" w:ascii="宋体" w:hAnsi="宋体" w:eastAsia="宋体" w:cs="宋体"/>
          <w:b/>
          <w:sz w:val="36"/>
          <w:szCs w:val="36"/>
        </w:rPr>
      </w:pPr>
    </w:p>
    <w:p>
      <w:pPr>
        <w:rPr>
          <w:rFonts w:hint="eastAsia"/>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ind w:firstLine="3360" w:firstLineChars="1400"/>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48"/>
          <w:szCs w:val="48"/>
        </w:rPr>
      </w:pPr>
      <w:r>
        <w:rPr>
          <w:rFonts w:hint="eastAsia" w:ascii="宋体" w:hAnsi="宋体" w:eastAsia="宋体" w:cs="宋体"/>
          <w:b/>
          <w:sz w:val="48"/>
          <w:szCs w:val="48"/>
        </w:rPr>
        <w:t>建设工程施工合同示范文本</w:t>
      </w:r>
    </w:p>
    <w:p>
      <w:pPr>
        <w:pStyle w:val="699"/>
        <w:rPr>
          <w:rFonts w:hint="eastAsia" w:ascii="宋体" w:hAnsi="宋体" w:eastAsia="宋体" w:cs="宋体"/>
          <w:szCs w:val="24"/>
        </w:rPr>
      </w:pPr>
    </w:p>
    <w:p>
      <w:pPr>
        <w:pStyle w:val="699"/>
        <w:rPr>
          <w:rFonts w:hint="eastAsia" w:ascii="宋体" w:hAnsi="宋体" w:eastAsia="宋体" w:cs="宋体"/>
          <w:szCs w:val="24"/>
        </w:rPr>
      </w:pPr>
    </w:p>
    <w:p>
      <w:pPr>
        <w:pStyle w:val="699"/>
        <w:jc w:val="center"/>
        <w:rPr>
          <w:rFonts w:hint="eastAsia" w:ascii="宋体" w:hAnsi="宋体" w:eastAsia="宋体" w:cs="宋体"/>
          <w:szCs w:val="24"/>
        </w:rPr>
      </w:pPr>
    </w:p>
    <w:p>
      <w:pPr>
        <w:pStyle w:val="2"/>
        <w:rPr>
          <w:rFonts w:hint="eastAsia" w:ascii="宋体" w:hAnsi="宋体" w:eastAsia="宋体" w:cs="宋体"/>
          <w:szCs w:val="24"/>
        </w:rPr>
      </w:pPr>
    </w:p>
    <w:p>
      <w:pPr>
        <w:pStyle w:val="3"/>
        <w:rPr>
          <w:rFonts w:hint="eastAsia" w:ascii="宋体" w:hAnsi="宋体" w:eastAsia="宋体" w:cs="宋体"/>
          <w:szCs w:val="24"/>
        </w:rPr>
      </w:pPr>
    </w:p>
    <w:p>
      <w:pPr>
        <w:pStyle w:val="4"/>
        <w:rPr>
          <w:rFonts w:hint="eastAsia" w:ascii="宋体" w:hAnsi="宋体" w:eastAsia="宋体" w:cs="宋体"/>
          <w:szCs w:val="24"/>
        </w:rPr>
      </w:pPr>
    </w:p>
    <w:p>
      <w:pPr>
        <w:pStyle w:val="5"/>
        <w:rPr>
          <w:rFonts w:hint="eastAsia" w:ascii="宋体" w:hAnsi="宋体" w:eastAsia="宋体" w:cs="宋体"/>
          <w:szCs w:val="24"/>
        </w:rPr>
      </w:pPr>
    </w:p>
    <w:p>
      <w:pPr>
        <w:rPr>
          <w:rFonts w:hint="eastAsia" w:ascii="宋体" w:hAnsi="宋体" w:eastAsia="宋体" w:cs="宋体"/>
          <w:szCs w:val="24"/>
        </w:rPr>
      </w:pPr>
    </w:p>
    <w:p>
      <w:pPr>
        <w:pStyle w:val="2"/>
        <w:rPr>
          <w:rFonts w:hint="eastAsia" w:ascii="宋体" w:hAnsi="宋体" w:eastAsia="宋体" w:cs="宋体"/>
          <w:szCs w:val="24"/>
        </w:rPr>
      </w:pPr>
    </w:p>
    <w:p>
      <w:pPr>
        <w:pStyle w:val="3"/>
        <w:rPr>
          <w:rFonts w:hint="eastAsia"/>
        </w:rPr>
      </w:pPr>
    </w:p>
    <w:p>
      <w:pPr>
        <w:spacing w:before="120" w:line="22" w:lineRule="atLeast"/>
        <w:ind w:firstLine="1280" w:firstLineChars="400"/>
        <w:rPr>
          <w:rFonts w:hint="eastAsia" w:ascii="宋体" w:hAnsi="宋体" w:eastAsia="宋体" w:cs="宋体"/>
          <w:sz w:val="32"/>
          <w:szCs w:val="32"/>
          <w:u w:val="single"/>
        </w:rPr>
      </w:pPr>
    </w:p>
    <w:p>
      <w:pPr>
        <w:spacing w:line="3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住房和城乡建设部</w:t>
      </w:r>
    </w:p>
    <w:p>
      <w:pPr>
        <w:spacing w:line="320" w:lineRule="exact"/>
        <w:ind w:left="4200" w:firstLine="42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制定</w:t>
      </w:r>
    </w:p>
    <w:p>
      <w:pPr>
        <w:spacing w:line="3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国家工商行政管理总局</w:t>
      </w:r>
    </w:p>
    <w:p>
      <w:pPr>
        <w:widowControl/>
        <w:jc w:val="left"/>
        <w:rPr>
          <w:rFonts w:hint="eastAsia" w:ascii="宋体" w:hAnsi="宋体" w:eastAsia="宋体" w:cs="宋体"/>
          <w:kern w:val="0"/>
          <w:sz w:val="24"/>
        </w:rPr>
        <w:sectPr>
          <w:pgSz w:w="11907" w:h="16840"/>
          <w:pgMar w:top="1077" w:right="1020" w:bottom="1077" w:left="1020" w:header="851" w:footer="851" w:gutter="0"/>
          <w:cols w:space="720" w:num="1"/>
        </w:sectPr>
      </w:pPr>
    </w:p>
    <w:p>
      <w:pPr>
        <w:pStyle w:val="8"/>
        <w:spacing w:line="440" w:lineRule="exact"/>
        <w:jc w:val="center"/>
        <w:rPr>
          <w:rFonts w:hint="eastAsia" w:ascii="宋体" w:hAnsi="宋体"/>
          <w:b w:val="0"/>
          <w:color w:val="auto"/>
          <w:sz w:val="36"/>
          <w:szCs w:val="36"/>
          <w:highlight w:val="none"/>
        </w:rPr>
      </w:pPr>
      <w:bookmarkStart w:id="394" w:name="_Toc331685783"/>
      <w:r>
        <w:rPr>
          <w:rFonts w:ascii="宋体" w:hAnsi="宋体"/>
          <w:b w:val="0"/>
          <w:color w:val="auto"/>
          <w:sz w:val="36"/>
          <w:szCs w:val="36"/>
          <w:highlight w:val="none"/>
        </w:rPr>
        <w:t>第一部分 合同协议书</w:t>
      </w:r>
    </w:p>
    <w:p>
      <w:pPr>
        <w:spacing w:line="440" w:lineRule="exact"/>
        <w:jc w:val="center"/>
        <w:rPr>
          <w:rFonts w:hint="eastAsia" w:hAnsi="宋体"/>
          <w:b/>
          <w:color w:val="auto"/>
          <w:sz w:val="36"/>
          <w:szCs w:val="36"/>
          <w:highlight w:val="none"/>
        </w:rPr>
      </w:pPr>
    </w:p>
    <w:p>
      <w:pPr>
        <w:spacing w:line="400" w:lineRule="exact"/>
        <w:rPr>
          <w:rFonts w:hint="eastAsia" w:hAnsi="宋体"/>
          <w:b/>
          <w:color w:val="auto"/>
          <w:sz w:val="24"/>
          <w:highlight w:val="none"/>
          <w:u w:val="single"/>
        </w:rPr>
      </w:pPr>
      <w:r>
        <w:rPr>
          <w:rFonts w:hAnsi="宋体"/>
          <w:b/>
          <w:color w:val="auto"/>
          <w:sz w:val="24"/>
          <w:highlight w:val="none"/>
        </w:rPr>
        <w:t>发包人（</w:t>
      </w:r>
      <w:r>
        <w:rPr>
          <w:rFonts w:hint="eastAsia" w:hAnsi="宋体"/>
          <w:b/>
          <w:color w:val="auto"/>
          <w:sz w:val="24"/>
          <w:highlight w:val="none"/>
          <w:lang w:val="en-US" w:eastAsia="zh-CN"/>
        </w:rPr>
        <w:t>采购人</w:t>
      </w:r>
      <w:r>
        <w:rPr>
          <w:rFonts w:hAnsi="宋体"/>
          <w:b/>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olor w:val="auto"/>
          <w:sz w:val="24"/>
          <w:highlight w:val="none"/>
          <w:u w:val="single"/>
        </w:rPr>
        <w:t xml:space="preserve"> </w:t>
      </w:r>
      <w:r>
        <w:rPr>
          <w:rFonts w:hint="eastAsia" w:hAnsi="宋体"/>
          <w:color w:val="auto"/>
          <w:sz w:val="24"/>
          <w:highlight w:val="none"/>
        </w:rPr>
        <w:t xml:space="preserve">    </w:t>
      </w:r>
    </w:p>
    <w:p>
      <w:pPr>
        <w:spacing w:line="400" w:lineRule="exact"/>
        <w:rPr>
          <w:rFonts w:hAnsi="宋体"/>
          <w:color w:val="auto"/>
          <w:sz w:val="24"/>
          <w:highlight w:val="none"/>
          <w:u w:val="single"/>
        </w:rPr>
      </w:pPr>
      <w:r>
        <w:rPr>
          <w:rFonts w:hAnsi="宋体"/>
          <w:b/>
          <w:color w:val="auto"/>
          <w:sz w:val="24"/>
          <w:highlight w:val="none"/>
        </w:rPr>
        <w:t>承包人（</w:t>
      </w:r>
      <w:r>
        <w:rPr>
          <w:rFonts w:hint="eastAsia" w:hAnsi="宋体"/>
          <w:b/>
          <w:color w:val="auto"/>
          <w:sz w:val="24"/>
          <w:highlight w:val="none"/>
          <w:lang w:val="en-US" w:eastAsia="zh-CN"/>
        </w:rPr>
        <w:t>投标人</w:t>
      </w:r>
      <w:r>
        <w:rPr>
          <w:rFonts w:hAnsi="宋体"/>
          <w:b/>
          <w:color w:val="auto"/>
          <w:sz w:val="24"/>
          <w:highlight w:val="none"/>
        </w:rPr>
        <w:t>）：</w:t>
      </w:r>
      <w:r>
        <w:rPr>
          <w:rFonts w:hint="eastAsia" w:hAnsi="宋体" w:cs="宋体"/>
          <w:color w:val="auto"/>
          <w:sz w:val="24"/>
          <w:highlight w:val="none"/>
          <w:u w:val="single"/>
        </w:rPr>
        <w:t xml:space="preserve">             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根据《中华人民共和国</w:t>
      </w:r>
      <w:r>
        <w:rPr>
          <w:rFonts w:hint="eastAsia" w:hAnsi="宋体"/>
          <w:color w:val="auto"/>
          <w:sz w:val="24"/>
          <w:highlight w:val="none"/>
          <w:lang w:eastAsia="zh-CN"/>
        </w:rPr>
        <w:t>民法典</w:t>
      </w:r>
      <w:r>
        <w:rPr>
          <w:rFonts w:hAnsi="宋体"/>
          <w:color w:val="auto"/>
          <w:sz w:val="24"/>
          <w:highlight w:val="none"/>
        </w:rPr>
        <w:t>》、《中华人民共和国建筑法》及有关法律规定，遵循平等、自愿、公平和诚实信用的原则，双方就</w:t>
      </w:r>
      <w:r>
        <w:rPr>
          <w:rFonts w:hint="eastAsia" w:hAnsi="宋体"/>
          <w:color w:val="auto"/>
          <w:sz w:val="24"/>
          <w:highlight w:val="none"/>
          <w:u w:val="single"/>
          <w:lang w:eastAsia="zh-CN"/>
        </w:rPr>
        <w:t>龙岗污水处理厂提标改造工程——设备工程</w:t>
      </w:r>
      <w:r>
        <w:rPr>
          <w:rFonts w:hint="eastAsia" w:hAnsi="宋体" w:cs="宋体"/>
          <w:color w:val="auto"/>
          <w:sz w:val="24"/>
          <w:highlight w:val="none"/>
          <w:u w:val="single"/>
          <w:lang w:eastAsia="zh-CN"/>
        </w:rPr>
        <w:t>（</w:t>
      </w:r>
      <w:r>
        <w:rPr>
          <w:rFonts w:hint="eastAsia" w:hAnsi="宋体" w:cs="宋体"/>
          <w:color w:val="auto"/>
          <w:sz w:val="24"/>
          <w:highlight w:val="none"/>
          <w:u w:val="single"/>
          <w:lang w:val="en-US" w:eastAsia="zh-CN"/>
        </w:rPr>
        <w:t xml:space="preserve">项目编号：             </w:t>
      </w:r>
      <w:r>
        <w:rPr>
          <w:rFonts w:hint="eastAsia" w:hAnsi="宋体" w:cs="宋体"/>
          <w:color w:val="auto"/>
          <w:sz w:val="24"/>
          <w:highlight w:val="none"/>
          <w:u w:val="single"/>
          <w:lang w:eastAsia="zh-CN"/>
        </w:rPr>
        <w:t>）</w:t>
      </w:r>
      <w:r>
        <w:rPr>
          <w:rFonts w:hAnsi="宋体"/>
          <w:color w:val="auto"/>
          <w:sz w:val="24"/>
          <w:highlight w:val="none"/>
        </w:rPr>
        <w:t>施工及有关事项协商一致</w:t>
      </w:r>
      <w:r>
        <w:rPr>
          <w:rFonts w:hint="eastAsia" w:hAnsi="宋体"/>
          <w:color w:val="auto"/>
          <w:sz w:val="24"/>
          <w:highlight w:val="none"/>
        </w:rPr>
        <w:t>，</w:t>
      </w:r>
      <w:r>
        <w:rPr>
          <w:rFonts w:hAnsi="宋体"/>
          <w:color w:val="auto"/>
          <w:sz w:val="24"/>
          <w:highlight w:val="none"/>
        </w:rPr>
        <w:t>共同达成如下协议：</w:t>
      </w:r>
    </w:p>
    <w:p>
      <w:pPr>
        <w:spacing w:line="400" w:lineRule="exact"/>
        <w:ind w:firstLine="482" w:firstLineChars="200"/>
        <w:rPr>
          <w:rFonts w:hAnsi="宋体"/>
          <w:b/>
          <w:bCs/>
          <w:color w:val="auto"/>
          <w:sz w:val="24"/>
          <w:highlight w:val="none"/>
        </w:rPr>
      </w:pPr>
      <w:bookmarkStart w:id="395" w:name="_Toc351203481"/>
      <w:r>
        <w:rPr>
          <w:rFonts w:hAnsi="宋体"/>
          <w:b/>
          <w:color w:val="auto"/>
          <w:sz w:val="24"/>
          <w:highlight w:val="none"/>
        </w:rPr>
        <w:t>一、工程概况</w:t>
      </w:r>
      <w:bookmarkEnd w:id="395"/>
    </w:p>
    <w:p>
      <w:pPr>
        <w:spacing w:line="400" w:lineRule="exact"/>
        <w:ind w:firstLine="480" w:firstLineChars="200"/>
        <w:rPr>
          <w:rFonts w:hAnsi="宋体"/>
          <w:color w:val="auto"/>
          <w:sz w:val="24"/>
          <w:highlight w:val="none"/>
          <w:u w:val="single"/>
        </w:rPr>
      </w:pPr>
      <w:r>
        <w:rPr>
          <w:rFonts w:hAnsi="宋体"/>
          <w:bCs/>
          <w:color w:val="auto"/>
          <w:sz w:val="24"/>
          <w:highlight w:val="none"/>
        </w:rPr>
        <w:t>1.工程名称</w:t>
      </w:r>
      <w:r>
        <w:rPr>
          <w:rFonts w:hAnsi="宋体"/>
          <w:color w:val="auto"/>
          <w:sz w:val="24"/>
          <w:highlight w:val="none"/>
        </w:rPr>
        <w:t>：</w:t>
      </w:r>
      <w:r>
        <w:rPr>
          <w:rFonts w:hint="eastAsia" w:hAnsi="宋体"/>
          <w:color w:val="auto"/>
          <w:sz w:val="24"/>
          <w:highlight w:val="none"/>
          <w:u w:val="single"/>
          <w:lang w:eastAsia="zh-CN"/>
        </w:rPr>
        <w:t>龙岗污水处理厂提标改造工程——设备工程</w:t>
      </w:r>
      <w:r>
        <w:rPr>
          <w:rFonts w:hAnsi="宋体"/>
          <w:color w:val="auto"/>
          <w:sz w:val="24"/>
          <w:highlight w:val="none"/>
          <w:u w:val="single"/>
        </w:rPr>
        <w:t>。</w:t>
      </w:r>
    </w:p>
    <w:p>
      <w:pPr>
        <w:spacing w:line="400" w:lineRule="exact"/>
        <w:ind w:firstLine="480" w:firstLineChars="200"/>
        <w:rPr>
          <w:rFonts w:hint="eastAsia" w:hAnsi="宋体" w:cs="宋体"/>
          <w:color w:val="auto"/>
          <w:sz w:val="24"/>
          <w:highlight w:val="none"/>
          <w:u w:val="single"/>
        </w:rPr>
      </w:pPr>
      <w:r>
        <w:rPr>
          <w:rFonts w:hAnsi="宋体"/>
          <w:bCs/>
          <w:color w:val="auto"/>
          <w:sz w:val="24"/>
          <w:highlight w:val="none"/>
        </w:rPr>
        <w:t>2.工程地点：</w:t>
      </w:r>
      <w:r>
        <w:rPr>
          <w:rFonts w:hint="eastAsia"/>
          <w:b w:val="0"/>
          <w:bCs/>
          <w:color w:val="auto"/>
          <w:sz w:val="24"/>
          <w:highlight w:val="none"/>
          <w:u w:val="single"/>
          <w:lang w:eastAsia="zh-CN"/>
        </w:rPr>
        <w:t>临安区龙岗镇兴龙村</w:t>
      </w:r>
      <w:r>
        <w:rPr>
          <w:rFonts w:hint="eastAsia" w:hAnsi="宋体"/>
          <w:bCs/>
          <w:color w:val="auto"/>
          <w:sz w:val="24"/>
          <w:highlight w:val="none"/>
          <w:u w:val="single"/>
          <w:lang w:val="en-US" w:eastAsia="zh-CN"/>
        </w:rPr>
        <w:t xml:space="preserve"> </w:t>
      </w:r>
      <w:r>
        <w:rPr>
          <w:rFonts w:hint="eastAsia" w:hAnsi="宋体" w:cs="宋体"/>
          <w:color w:val="auto"/>
          <w:sz w:val="24"/>
          <w:highlight w:val="none"/>
          <w:u w:val="single"/>
        </w:rPr>
        <w:t>。</w:t>
      </w:r>
    </w:p>
    <w:p>
      <w:pPr>
        <w:spacing w:line="400" w:lineRule="exact"/>
        <w:ind w:firstLine="480" w:firstLineChars="200"/>
        <w:rPr>
          <w:rFonts w:hAnsi="宋体"/>
          <w:bCs/>
          <w:color w:val="auto"/>
          <w:sz w:val="24"/>
          <w:highlight w:val="none"/>
        </w:rPr>
      </w:pPr>
      <w:r>
        <w:rPr>
          <w:rFonts w:hAnsi="宋体"/>
          <w:bCs/>
          <w:color w:val="auto"/>
          <w:sz w:val="24"/>
          <w:highlight w:val="none"/>
        </w:rPr>
        <w:t>3.工程立项批准文号：</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w:t>
      </w:r>
      <w:r>
        <w:rPr>
          <w:rFonts w:hint="eastAsia" w:hAnsi="宋体"/>
          <w:color w:val="auto"/>
          <w:sz w:val="24"/>
          <w:highlight w:val="none"/>
          <w:u w:val="single"/>
        </w:rPr>
        <w:t xml:space="preserve">   </w:t>
      </w:r>
      <w:r>
        <w:rPr>
          <w:rFonts w:hAnsi="宋体"/>
          <w:bCs/>
          <w:color w:val="auto"/>
          <w:sz w:val="24"/>
          <w:highlight w:val="none"/>
        </w:rPr>
        <w:t>。</w:t>
      </w:r>
    </w:p>
    <w:p>
      <w:pPr>
        <w:spacing w:line="400" w:lineRule="exact"/>
        <w:ind w:firstLine="480" w:firstLineChars="200"/>
        <w:rPr>
          <w:rFonts w:hint="eastAsia" w:hAnsi="宋体"/>
          <w:bCs/>
          <w:color w:val="auto"/>
          <w:sz w:val="24"/>
          <w:highlight w:val="none"/>
        </w:rPr>
      </w:pPr>
      <w:r>
        <w:rPr>
          <w:rFonts w:hAnsi="宋体"/>
          <w:bCs/>
          <w:color w:val="auto"/>
          <w:sz w:val="24"/>
          <w:highlight w:val="none"/>
        </w:rPr>
        <w:t>4.资金来源：</w:t>
      </w:r>
      <w:r>
        <w:rPr>
          <w:rFonts w:hint="eastAsia" w:hAnsi="宋体"/>
          <w:bCs/>
          <w:color w:val="auto"/>
          <w:sz w:val="24"/>
          <w:highlight w:val="none"/>
          <w:u w:val="single"/>
          <w:lang w:val="en-US" w:eastAsia="zh-CN"/>
        </w:rPr>
        <w:t xml:space="preserve">             </w:t>
      </w:r>
      <w:r>
        <w:rPr>
          <w:rFonts w:hAnsi="宋体"/>
          <w:bCs/>
          <w:color w:val="auto"/>
          <w:sz w:val="24"/>
          <w:highlight w:val="none"/>
          <w:u w:val="single"/>
        </w:rPr>
        <w:t>。</w:t>
      </w:r>
    </w:p>
    <w:p>
      <w:pPr>
        <w:spacing w:line="400" w:lineRule="exact"/>
        <w:ind w:firstLine="480" w:firstLineChars="200"/>
        <w:jc w:val="left"/>
        <w:rPr>
          <w:rFonts w:hint="eastAsia" w:eastAsia="宋体"/>
          <w:b w:val="0"/>
          <w:bCs/>
          <w:color w:val="auto"/>
          <w:sz w:val="24"/>
          <w:highlight w:val="none"/>
          <w:u w:val="single"/>
          <w:lang w:eastAsia="zh-CN"/>
        </w:rPr>
      </w:pPr>
      <w:r>
        <w:rPr>
          <w:rFonts w:hint="eastAsia"/>
          <w:bCs/>
          <w:color w:val="auto"/>
          <w:sz w:val="24"/>
          <w:highlight w:val="none"/>
        </w:rPr>
        <w:t>5.工程内容：</w:t>
      </w:r>
      <w:r>
        <w:rPr>
          <w:rFonts w:hint="eastAsia"/>
          <w:b w:val="0"/>
          <w:bCs/>
          <w:color w:val="auto"/>
          <w:sz w:val="24"/>
          <w:highlight w:val="none"/>
          <w:u w:val="single"/>
          <w:lang w:eastAsia="zh-CN"/>
        </w:rPr>
        <w:t>龙岗污水处理厂提标改造工程——设备工程位于临安区龙岗镇兴龙村，本工程主要工程内容是对原有池体、设备或管材进行更换或维护，新增和原有建构筑物的配套设备、电气、自控安装工程。</w:t>
      </w:r>
    </w:p>
    <w:p>
      <w:pPr>
        <w:spacing w:line="400" w:lineRule="exact"/>
        <w:ind w:firstLine="480" w:firstLineChars="200"/>
        <w:jc w:val="left"/>
        <w:rPr>
          <w:rFonts w:hint="eastAsia" w:hAnsi="宋体"/>
          <w:color w:val="auto"/>
          <w:sz w:val="24"/>
          <w:highlight w:val="none"/>
        </w:rPr>
      </w:pPr>
      <w:r>
        <w:rPr>
          <w:rFonts w:hint="eastAsia" w:hAnsi="宋体"/>
          <w:color w:val="auto"/>
          <w:sz w:val="24"/>
          <w:highlight w:val="none"/>
        </w:rPr>
        <w:t>群体工程应附《承包人承揽工程项目一览表》（附件1）。</w:t>
      </w:r>
    </w:p>
    <w:p>
      <w:pPr>
        <w:spacing w:line="400" w:lineRule="exact"/>
        <w:ind w:firstLine="480" w:firstLineChars="200"/>
        <w:rPr>
          <w:rFonts w:hint="eastAsia" w:hAnsi="宋体"/>
          <w:color w:val="auto"/>
          <w:sz w:val="24"/>
          <w:highlight w:val="none"/>
          <w:u w:val="single"/>
        </w:rPr>
      </w:pPr>
      <w:r>
        <w:rPr>
          <w:rFonts w:hint="eastAsia" w:hAnsi="宋体"/>
          <w:bCs/>
          <w:color w:val="auto"/>
          <w:sz w:val="24"/>
          <w:highlight w:val="none"/>
        </w:rPr>
        <w:t>6</w:t>
      </w:r>
      <w:r>
        <w:rPr>
          <w:rFonts w:hAnsi="宋体"/>
          <w:bCs/>
          <w:color w:val="auto"/>
          <w:sz w:val="24"/>
          <w:highlight w:val="none"/>
        </w:rPr>
        <w:t>.工程承包范围：</w:t>
      </w:r>
      <w:r>
        <w:rPr>
          <w:rFonts w:hint="eastAsia" w:hAnsi="宋体"/>
          <w:color w:val="auto"/>
          <w:sz w:val="24"/>
          <w:highlight w:val="none"/>
          <w:u w:val="single"/>
        </w:rPr>
        <w:t>招标文件、工程施工图中所包括的一切内容，工程量清单等已明确的工程内容，和本工程可能出现的因施工图修改引起的工程量增减以及招标人明确指令增加减少的工程量的施工。</w:t>
      </w:r>
    </w:p>
    <w:p>
      <w:pPr>
        <w:spacing w:line="400" w:lineRule="exact"/>
        <w:ind w:firstLine="482" w:firstLineChars="200"/>
        <w:rPr>
          <w:rFonts w:hAnsi="宋体"/>
          <w:b/>
          <w:color w:val="auto"/>
          <w:sz w:val="24"/>
          <w:highlight w:val="none"/>
        </w:rPr>
      </w:pPr>
      <w:bookmarkStart w:id="396" w:name="_Toc351203482"/>
      <w:r>
        <w:rPr>
          <w:rFonts w:hAnsi="宋体"/>
          <w:b/>
          <w:color w:val="auto"/>
          <w:sz w:val="24"/>
          <w:highlight w:val="none"/>
        </w:rPr>
        <w:t>二、合同工期</w:t>
      </w:r>
      <w:bookmarkEnd w:id="396"/>
    </w:p>
    <w:p>
      <w:pPr>
        <w:spacing w:line="400" w:lineRule="exact"/>
        <w:ind w:firstLine="480" w:firstLineChars="200"/>
        <w:rPr>
          <w:rFonts w:hAnsi="宋体"/>
          <w:color w:val="auto"/>
          <w:sz w:val="24"/>
          <w:highlight w:val="none"/>
        </w:rPr>
      </w:pPr>
      <w:r>
        <w:rPr>
          <w:rFonts w:hAnsi="宋体"/>
          <w:color w:val="auto"/>
          <w:sz w:val="24"/>
          <w:highlight w:val="none"/>
        </w:rPr>
        <w:t>计划开工日期：</w:t>
      </w:r>
      <w:r>
        <w:rPr>
          <w:rFonts w:hint="eastAsia" w:hAnsi="宋体" w:cs="宋体"/>
          <w:color w:val="auto"/>
          <w:sz w:val="24"/>
          <w:highlight w:val="none"/>
          <w:u w:val="single"/>
        </w:rPr>
        <w:t></w:t>
      </w:r>
      <w:r>
        <w:rPr>
          <w:rFonts w:hAnsi="宋体"/>
          <w:color w:val="auto"/>
          <w:sz w:val="24"/>
          <w:highlight w:val="none"/>
        </w:rPr>
        <w:t>年</w:t>
      </w:r>
      <w:r>
        <w:rPr>
          <w:rFonts w:hint="eastAsia" w:hAnsi="宋体" w:cs="宋体"/>
          <w:color w:val="auto"/>
          <w:sz w:val="24"/>
          <w:highlight w:val="none"/>
          <w:u w:val="single"/>
        </w:rPr>
        <w:t></w:t>
      </w:r>
      <w:r>
        <w:rPr>
          <w:rFonts w:hAnsi="宋体"/>
          <w:color w:val="auto"/>
          <w:sz w:val="24"/>
          <w:highlight w:val="none"/>
        </w:rPr>
        <w:t>月</w:t>
      </w:r>
      <w:r>
        <w:rPr>
          <w:rFonts w:hint="eastAsia" w:hAnsi="宋体" w:cs="宋体"/>
          <w:color w:val="auto"/>
          <w:sz w:val="24"/>
          <w:highlight w:val="none"/>
          <w:u w:val="single"/>
        </w:rPr>
        <w:t></w:t>
      </w:r>
      <w:r>
        <w:rPr>
          <w:rFonts w:hAnsi="宋体"/>
          <w:color w:val="auto"/>
          <w:sz w:val="24"/>
          <w:highlight w:val="none"/>
        </w:rPr>
        <w:t>日。</w:t>
      </w:r>
    </w:p>
    <w:p>
      <w:pPr>
        <w:spacing w:line="400" w:lineRule="exact"/>
        <w:ind w:firstLine="480" w:firstLineChars="200"/>
        <w:rPr>
          <w:rFonts w:hAnsi="宋体"/>
          <w:color w:val="auto"/>
          <w:sz w:val="24"/>
          <w:highlight w:val="none"/>
        </w:rPr>
      </w:pPr>
      <w:r>
        <w:rPr>
          <w:rFonts w:hAnsi="宋体"/>
          <w:color w:val="auto"/>
          <w:sz w:val="24"/>
          <w:highlight w:val="none"/>
        </w:rPr>
        <w:t>计划竣工日期：</w:t>
      </w:r>
      <w:r>
        <w:rPr>
          <w:rFonts w:hint="eastAsia" w:hAnsi="宋体" w:cs="宋体"/>
          <w:color w:val="auto"/>
          <w:sz w:val="24"/>
          <w:highlight w:val="none"/>
          <w:u w:val="single"/>
        </w:rPr>
        <w:t></w:t>
      </w:r>
      <w:r>
        <w:rPr>
          <w:rFonts w:hAnsi="宋体"/>
          <w:color w:val="auto"/>
          <w:sz w:val="24"/>
          <w:highlight w:val="none"/>
        </w:rPr>
        <w:t>年</w:t>
      </w:r>
      <w:r>
        <w:rPr>
          <w:rFonts w:hint="eastAsia" w:hAnsi="宋体" w:cs="宋体"/>
          <w:color w:val="auto"/>
          <w:sz w:val="24"/>
          <w:highlight w:val="none"/>
          <w:u w:val="single"/>
        </w:rPr>
        <w:t></w:t>
      </w:r>
      <w:r>
        <w:rPr>
          <w:rFonts w:hAnsi="宋体"/>
          <w:color w:val="auto"/>
          <w:sz w:val="24"/>
          <w:highlight w:val="none"/>
        </w:rPr>
        <w:t>月</w:t>
      </w:r>
      <w:r>
        <w:rPr>
          <w:rFonts w:hint="eastAsia" w:hAnsi="宋体" w:cs="宋体"/>
          <w:color w:val="auto"/>
          <w:sz w:val="24"/>
          <w:highlight w:val="none"/>
          <w:u w:val="single"/>
        </w:rPr>
        <w:t></w:t>
      </w:r>
      <w:r>
        <w:rPr>
          <w:rFonts w:hAnsi="宋体"/>
          <w:color w:val="auto"/>
          <w:sz w:val="24"/>
          <w:highlight w:val="none"/>
        </w:rPr>
        <w:t>日。</w:t>
      </w:r>
    </w:p>
    <w:p>
      <w:pPr>
        <w:widowControl/>
        <w:spacing w:line="400" w:lineRule="exact"/>
        <w:ind w:firstLine="480" w:firstLineChars="200"/>
        <w:rPr>
          <w:rFonts w:hint="eastAsia" w:hAnsi="宋体"/>
          <w:color w:val="auto"/>
          <w:sz w:val="24"/>
          <w:highlight w:val="none"/>
        </w:rPr>
      </w:pPr>
      <w:r>
        <w:rPr>
          <w:rFonts w:hAnsi="宋体"/>
          <w:color w:val="auto"/>
          <w:sz w:val="24"/>
          <w:highlight w:val="none"/>
        </w:rPr>
        <w:t>工期总日历天数：</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hAnsi="宋体"/>
          <w:color w:val="auto"/>
          <w:sz w:val="24"/>
          <w:highlight w:val="none"/>
        </w:rPr>
        <w:t>日历天；</w:t>
      </w:r>
      <w:r>
        <w:rPr>
          <w:rFonts w:hint="eastAsia" w:ascii="宋体" w:hAnsi="宋体" w:cs="宋体"/>
          <w:color w:val="auto"/>
          <w:sz w:val="24"/>
          <w:highlight w:val="none"/>
          <w:lang w:val="en-US" w:eastAsia="zh-CN"/>
        </w:rPr>
        <w:t>必须在合同签订之日起至  年   月  日前竣工并移交整个工程；</w:t>
      </w:r>
      <w:r>
        <w:rPr>
          <w:rFonts w:hint="eastAsia" w:hAnsi="宋体"/>
          <w:color w:val="auto"/>
          <w:sz w:val="24"/>
          <w:highlight w:val="none"/>
        </w:rPr>
        <w:t>缺陷责任期24个月，</w:t>
      </w:r>
      <w:r>
        <w:rPr>
          <w:rFonts w:hint="eastAsia" w:ascii="宋体" w:hAnsi="宋体" w:cs="宋体"/>
          <w:bCs/>
          <w:color w:val="auto"/>
          <w:sz w:val="24"/>
          <w:highlight w:val="none"/>
        </w:rPr>
        <w:t>质量保修期</w:t>
      </w:r>
      <w:r>
        <w:rPr>
          <w:rFonts w:hint="eastAsia" w:hAnsi="宋体"/>
          <w:color w:val="auto"/>
          <w:sz w:val="24"/>
          <w:highlight w:val="none"/>
        </w:rPr>
        <w:t>遵照质量保修书约定</w:t>
      </w:r>
      <w:r>
        <w:rPr>
          <w:rFonts w:hAnsi="宋体"/>
          <w:color w:val="auto"/>
          <w:sz w:val="24"/>
          <w:highlight w:val="none"/>
        </w:rPr>
        <w:t>。</w:t>
      </w:r>
      <w:r>
        <w:rPr>
          <w:rFonts w:hint="eastAsia" w:hAnsi="宋体"/>
          <w:color w:val="auto"/>
          <w:sz w:val="24"/>
          <w:highlight w:val="none"/>
        </w:rPr>
        <w:t>工期总日历天数与根据前述计划开竣工日期计</w:t>
      </w:r>
      <w:r>
        <w:rPr>
          <w:rFonts w:hAnsi="宋体"/>
          <w:color w:val="auto"/>
          <w:sz w:val="24"/>
          <w:highlight w:val="none"/>
        </w:rPr>
        <w:t>算的工期天数不一致的，以工期总日历天数为准。</w:t>
      </w:r>
    </w:p>
    <w:p>
      <w:pPr>
        <w:spacing w:line="400" w:lineRule="exact"/>
        <w:ind w:firstLine="482" w:firstLineChars="200"/>
        <w:rPr>
          <w:rFonts w:hint="eastAsia" w:hAnsi="宋体"/>
          <w:b/>
          <w:bCs/>
          <w:color w:val="auto"/>
          <w:sz w:val="24"/>
          <w:highlight w:val="none"/>
        </w:rPr>
      </w:pPr>
      <w:bookmarkStart w:id="397" w:name="_Toc351203483"/>
      <w:r>
        <w:rPr>
          <w:rFonts w:hAnsi="宋体"/>
          <w:b/>
          <w:color w:val="auto"/>
          <w:sz w:val="24"/>
          <w:highlight w:val="none"/>
        </w:rPr>
        <w:t>三、质量标准</w:t>
      </w:r>
      <w:bookmarkEnd w:id="397"/>
    </w:p>
    <w:p>
      <w:pPr>
        <w:spacing w:line="400" w:lineRule="exact"/>
        <w:ind w:firstLine="480" w:firstLineChars="200"/>
        <w:rPr>
          <w:rFonts w:hint="eastAsia" w:hAnsi="宋体"/>
          <w:b/>
          <w:bCs/>
          <w:color w:val="auto"/>
          <w:sz w:val="24"/>
          <w:highlight w:val="none"/>
        </w:rPr>
      </w:pPr>
      <w:r>
        <w:rPr>
          <w:rFonts w:hAnsi="宋体"/>
          <w:color w:val="auto"/>
          <w:sz w:val="24"/>
          <w:highlight w:val="none"/>
        </w:rPr>
        <w:t>工程质量符合</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国家工程质量验收的</w:t>
      </w:r>
      <w:r>
        <w:rPr>
          <w:rFonts w:hAnsi="宋体"/>
          <w:color w:val="auto"/>
          <w:sz w:val="24"/>
          <w:highlight w:val="none"/>
          <w:u w:val="single"/>
        </w:rPr>
        <w:t>合格</w:t>
      </w:r>
      <w:r>
        <w:rPr>
          <w:rFonts w:hint="eastAsia" w:hAnsi="宋体"/>
          <w:color w:val="auto"/>
          <w:sz w:val="24"/>
          <w:highlight w:val="none"/>
          <w:u w:val="single"/>
        </w:rPr>
        <w:t xml:space="preserve">  </w:t>
      </w:r>
      <w:r>
        <w:rPr>
          <w:rFonts w:hAnsi="宋体"/>
          <w:color w:val="auto"/>
          <w:sz w:val="24"/>
          <w:highlight w:val="none"/>
          <w:u w:val="single"/>
        </w:rPr>
        <w:t>标</w:t>
      </w:r>
      <w:r>
        <w:rPr>
          <w:rFonts w:hAnsi="宋体"/>
          <w:color w:val="auto"/>
          <w:sz w:val="24"/>
          <w:highlight w:val="none"/>
        </w:rPr>
        <w:t>准</w:t>
      </w:r>
      <w:r>
        <w:rPr>
          <w:rFonts w:hint="eastAsia" w:hAnsi="宋体"/>
          <w:color w:val="auto"/>
          <w:sz w:val="24"/>
          <w:highlight w:val="none"/>
        </w:rPr>
        <w:t>。</w:t>
      </w:r>
    </w:p>
    <w:p>
      <w:pPr>
        <w:widowControl/>
        <w:spacing w:line="400" w:lineRule="exact"/>
        <w:ind w:firstLine="480" w:firstLineChars="200"/>
        <w:outlineLvl w:val="3"/>
        <w:rPr>
          <w:rFonts w:hint="eastAsia" w:hAnsi="宋体"/>
          <w:bCs/>
          <w:color w:val="auto"/>
          <w:kern w:val="0"/>
          <w:sz w:val="24"/>
          <w:highlight w:val="none"/>
        </w:rPr>
      </w:pPr>
      <w:bookmarkStart w:id="398" w:name="_Toc351203484"/>
      <w:r>
        <w:rPr>
          <w:rFonts w:hint="eastAsia" w:hAnsi="宋体"/>
          <w:color w:val="auto"/>
          <w:kern w:val="0"/>
          <w:sz w:val="24"/>
          <w:highlight w:val="none"/>
        </w:rPr>
        <w:t>四、签约合同价与合同价格形式</w:t>
      </w:r>
      <w:bookmarkEnd w:id="398"/>
    </w:p>
    <w:p>
      <w:pPr>
        <w:widowControl/>
        <w:spacing w:line="400" w:lineRule="exact"/>
        <w:ind w:firstLine="464" w:firstLineChars="200"/>
        <w:rPr>
          <w:rFonts w:hint="eastAsia" w:hAnsi="宋体"/>
          <w:color w:val="auto"/>
          <w:spacing w:val="-4"/>
          <w:kern w:val="0"/>
          <w:sz w:val="24"/>
          <w:highlight w:val="none"/>
        </w:rPr>
      </w:pPr>
      <w:r>
        <w:rPr>
          <w:rFonts w:hint="eastAsia" w:hAnsi="宋体"/>
          <w:color w:val="auto"/>
          <w:spacing w:val="-4"/>
          <w:kern w:val="0"/>
          <w:sz w:val="24"/>
          <w:highlight w:val="none"/>
        </w:rPr>
        <w:t>1.签约合同价为：</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rPr>
        <w:t>人民币（大写）</w:t>
      </w:r>
      <w:r>
        <w:rPr>
          <w:rFonts w:hint="eastAsia" w:hAnsi="宋体"/>
          <w:color w:val="auto"/>
          <w:kern w:val="0"/>
          <w:sz w:val="24"/>
          <w:highlight w:val="none"/>
          <w:u w:val="single"/>
        </w:rPr>
        <w:t xml:space="preserve">    </w:t>
      </w:r>
      <w:r>
        <w:rPr>
          <w:rFonts w:hint="eastAsia" w:hAnsi="宋体" w:cs="宋体"/>
          <w:color w:val="auto"/>
          <w:kern w:val="0"/>
          <w:sz w:val="24"/>
          <w:highlight w:val="none"/>
          <w:u w:val="single"/>
        </w:rPr>
        <w:t xml:space="preserve">           </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int="eastAsia" w:hAnsi="宋体"/>
          <w:color w:val="auto"/>
          <w:kern w:val="0"/>
          <w:sz w:val="24"/>
          <w:highlight w:val="none"/>
          <w:u w:val="single"/>
        </w:rPr>
        <w:t xml:space="preserve">    </w:t>
      </w:r>
      <w:r>
        <w:rPr>
          <w:rFonts w:hint="eastAsia" w:hAnsi="宋体" w:cs="宋体"/>
          <w:color w:val="auto"/>
          <w:kern w:val="0"/>
          <w:sz w:val="24"/>
          <w:highlight w:val="none"/>
          <w:u w:val="single"/>
        </w:rPr>
        <w:t xml:space="preserve">      </w:t>
      </w:r>
      <w:r>
        <w:rPr>
          <w:rFonts w:hint="eastAsia" w:hAnsi="宋体"/>
          <w:color w:val="auto"/>
          <w:kern w:val="0"/>
          <w:sz w:val="24"/>
          <w:highlight w:val="none"/>
          <w:u w:val="single"/>
        </w:rPr>
        <w:t xml:space="preserve">  </w:t>
      </w:r>
      <w:r>
        <w:rPr>
          <w:rFonts w:hint="eastAsia" w:hAnsi="宋体"/>
          <w:color w:val="auto"/>
          <w:kern w:val="0"/>
          <w:sz w:val="24"/>
          <w:highlight w:val="none"/>
        </w:rPr>
        <w:t>元)；</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rPr>
        <w:t>其中：</w:t>
      </w:r>
    </w:p>
    <w:p>
      <w:pPr>
        <w:widowControl/>
        <w:spacing w:line="440" w:lineRule="exact"/>
        <w:ind w:firstLine="480" w:firstLineChars="200"/>
        <w:rPr>
          <w:rFonts w:hint="eastAsia" w:hAnsi="宋体"/>
          <w:color w:val="auto"/>
          <w:kern w:val="0"/>
          <w:sz w:val="24"/>
          <w:szCs w:val="24"/>
          <w:highlight w:val="none"/>
        </w:rPr>
      </w:pPr>
      <w:r>
        <w:rPr>
          <w:rFonts w:hint="eastAsia" w:hAnsi="宋体"/>
          <w:color w:val="auto"/>
          <w:kern w:val="0"/>
          <w:sz w:val="24"/>
          <w:szCs w:val="24"/>
          <w:highlight w:val="none"/>
        </w:rPr>
        <w:t>（1）安全文明施工费：</w:t>
      </w:r>
    </w:p>
    <w:p>
      <w:pPr>
        <w:widowControl/>
        <w:spacing w:line="420" w:lineRule="exact"/>
        <w:ind w:firstLine="720" w:firstLineChars="300"/>
        <w:rPr>
          <w:rFonts w:hint="eastAsia"/>
          <w:color w:val="auto"/>
          <w:sz w:val="24"/>
          <w:highlight w:val="none"/>
        </w:rPr>
      </w:pPr>
      <w:r>
        <w:rPr>
          <w:rFonts w:hint="eastAsia"/>
          <w:color w:val="auto"/>
          <w:sz w:val="24"/>
          <w:highlight w:val="none"/>
        </w:rPr>
        <w:t>人民币（大写）</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元)；</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（2）材料和工程设备暂估价金额：</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人民币（大写）</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元)；</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（3）专业工程暂估价金额：</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人民币（大写）</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元)；</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（4）暂列金额：</w:t>
      </w:r>
    </w:p>
    <w:p>
      <w:pPr>
        <w:widowControl/>
        <w:spacing w:line="440" w:lineRule="exact"/>
        <w:ind w:firstLine="480" w:firstLineChars="200"/>
        <w:rPr>
          <w:rFonts w:hAnsi="宋体"/>
          <w:color w:val="auto"/>
          <w:kern w:val="0"/>
          <w:sz w:val="24"/>
          <w:szCs w:val="24"/>
          <w:highlight w:val="none"/>
        </w:rPr>
      </w:pPr>
      <w:r>
        <w:rPr>
          <w:rFonts w:hint="eastAsia" w:hAnsi="宋体"/>
          <w:color w:val="auto"/>
          <w:kern w:val="0"/>
          <w:sz w:val="24"/>
          <w:szCs w:val="24"/>
          <w:highlight w:val="none"/>
        </w:rPr>
        <w:t>人民币（大写）</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 xml:space="preserve"> (¥</w:t>
      </w:r>
      <w:r>
        <w:rPr>
          <w:rFonts w:hint="eastAsia" w:hAnsi="宋体"/>
          <w:color w:val="auto"/>
          <w:kern w:val="0"/>
          <w:sz w:val="24"/>
          <w:szCs w:val="24"/>
          <w:highlight w:val="none"/>
          <w:u w:val="single"/>
        </w:rPr>
        <w:t xml:space="preserve">    </w:t>
      </w:r>
      <w:r>
        <w:rPr>
          <w:rFonts w:hint="eastAsia" w:hAnsi="宋体" w:cs="宋体"/>
          <w:color w:val="auto"/>
          <w:kern w:val="0"/>
          <w:sz w:val="24"/>
          <w:szCs w:val="24"/>
          <w:highlight w:val="none"/>
          <w:u w:val="single"/>
        </w:rPr>
        <w:t xml:space="preserve">    </w:t>
      </w:r>
      <w:r>
        <w:rPr>
          <w:rFonts w:hint="eastAsia" w:hAnsi="宋体"/>
          <w:color w:val="auto"/>
          <w:kern w:val="0"/>
          <w:sz w:val="24"/>
          <w:szCs w:val="24"/>
          <w:highlight w:val="none"/>
          <w:u w:val="single"/>
        </w:rPr>
        <w:t xml:space="preserve">  </w:t>
      </w:r>
      <w:r>
        <w:rPr>
          <w:rFonts w:hint="eastAsia" w:hAnsi="宋体"/>
          <w:color w:val="auto"/>
          <w:kern w:val="0"/>
          <w:sz w:val="24"/>
          <w:szCs w:val="24"/>
          <w:highlight w:val="none"/>
        </w:rPr>
        <w:t>元)。</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rPr>
        <w:t>2.计税法（采用以下   条）</w:t>
      </w:r>
    </w:p>
    <w:p>
      <w:pPr>
        <w:widowControl/>
        <w:spacing w:line="400" w:lineRule="exact"/>
        <w:ind w:firstLine="480" w:firstLineChars="200"/>
        <w:rPr>
          <w:rFonts w:hint="eastAsia" w:hAnsi="宋体"/>
          <w:color w:val="auto"/>
          <w:kern w:val="0"/>
          <w:sz w:val="24"/>
          <w:highlight w:val="none"/>
        </w:rPr>
      </w:pPr>
      <w:r>
        <w:rPr>
          <w:rFonts w:hint="eastAsia" w:hAnsi="宋体"/>
          <w:color w:val="auto"/>
          <w:kern w:val="0"/>
          <w:sz w:val="24"/>
          <w:highlight w:val="none"/>
          <w:lang w:eastAsia="zh-CN"/>
        </w:rPr>
        <w:t>☑</w:t>
      </w:r>
      <w:r>
        <w:rPr>
          <w:rFonts w:hint="eastAsia" w:hAnsi="宋体"/>
          <w:color w:val="auto"/>
          <w:kern w:val="0"/>
          <w:sz w:val="24"/>
          <w:highlight w:val="none"/>
        </w:rPr>
        <w:t>2.1本项目采用一般计税法。</w:t>
      </w:r>
    </w:p>
    <w:p>
      <w:pPr>
        <w:spacing w:line="400" w:lineRule="exact"/>
        <w:ind w:firstLine="480" w:firstLineChars="200"/>
        <w:rPr>
          <w:rFonts w:hAnsi="宋体"/>
          <w:color w:val="auto"/>
          <w:sz w:val="24"/>
          <w:highlight w:val="none"/>
        </w:rPr>
      </w:pPr>
      <w:r>
        <w:rPr>
          <w:rFonts w:hint="eastAsia" w:hAnsi="宋体"/>
          <w:color w:val="auto"/>
          <w:kern w:val="0"/>
          <w:sz w:val="24"/>
          <w:highlight w:val="none"/>
        </w:rPr>
        <w:t>3.合同价格形式：</w:t>
      </w:r>
      <w:r>
        <w:rPr>
          <w:rFonts w:hint="eastAsia" w:hAnsi="宋体" w:cs="宋体"/>
          <w:color w:val="auto"/>
          <w:sz w:val="24"/>
          <w:highlight w:val="none"/>
          <w:u w:val="single"/>
        </w:rPr>
        <w:t xml:space="preserve">    单价合同</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s="宋体"/>
          <w:color w:val="auto"/>
          <w:sz w:val="24"/>
          <w:highlight w:val="none"/>
          <w:u w:val="single"/>
        </w:rPr>
        <w:t></w:t>
      </w:r>
      <w:r>
        <w:rPr>
          <w:rFonts w:hAnsi="宋体"/>
          <w:color w:val="auto"/>
          <w:sz w:val="24"/>
          <w:highlight w:val="none"/>
        </w:rPr>
        <w:t>。</w:t>
      </w:r>
    </w:p>
    <w:p>
      <w:pPr>
        <w:spacing w:line="400" w:lineRule="exact"/>
        <w:ind w:firstLine="482" w:firstLineChars="200"/>
        <w:rPr>
          <w:rFonts w:hAnsi="宋体"/>
          <w:b/>
          <w:color w:val="auto"/>
          <w:sz w:val="24"/>
          <w:highlight w:val="none"/>
        </w:rPr>
      </w:pPr>
      <w:bookmarkStart w:id="399" w:name="_Toc351203485"/>
      <w:r>
        <w:rPr>
          <w:rFonts w:hAnsi="宋体"/>
          <w:b/>
          <w:color w:val="auto"/>
          <w:sz w:val="24"/>
          <w:highlight w:val="none"/>
        </w:rPr>
        <w:t>五、</w:t>
      </w:r>
      <w:bookmarkEnd w:id="399"/>
      <w:r>
        <w:rPr>
          <w:rFonts w:hAnsi="宋体"/>
          <w:b/>
          <w:color w:val="auto"/>
          <w:sz w:val="24"/>
          <w:highlight w:val="none"/>
        </w:rPr>
        <w:t>项目经理</w:t>
      </w:r>
    </w:p>
    <w:p>
      <w:pPr>
        <w:widowControl/>
        <w:spacing w:line="400" w:lineRule="exact"/>
        <w:ind w:firstLine="480" w:firstLineChars="200"/>
        <w:rPr>
          <w:rFonts w:hint="eastAsia" w:hAnsi="宋体"/>
          <w:color w:val="auto"/>
          <w:kern w:val="0"/>
          <w:sz w:val="24"/>
          <w:highlight w:val="none"/>
          <w:u w:val="single"/>
        </w:rPr>
      </w:pPr>
      <w:bookmarkStart w:id="400" w:name="_Toc351203486"/>
      <w:r>
        <w:rPr>
          <w:rFonts w:hint="eastAsia" w:hAnsi="宋体"/>
          <w:color w:val="auto"/>
          <w:kern w:val="0"/>
          <w:sz w:val="24"/>
          <w:highlight w:val="none"/>
        </w:rPr>
        <w:t>姓名</w:t>
      </w:r>
      <w:r>
        <w:rPr>
          <w:rFonts w:hAnsi="宋体"/>
          <w:color w:val="auto"/>
          <w:kern w:val="0"/>
          <w:sz w:val="24"/>
          <w:highlight w:val="none"/>
        </w:rPr>
        <w:t>______________</w:t>
      </w:r>
      <w:r>
        <w:rPr>
          <w:rFonts w:hint="eastAsia" w:hAnsi="宋体"/>
          <w:color w:val="auto"/>
          <w:kern w:val="0"/>
          <w:sz w:val="24"/>
          <w:highlight w:val="none"/>
        </w:rPr>
        <w:t>身份证号</w:t>
      </w:r>
      <w:r>
        <w:rPr>
          <w:rFonts w:hAnsi="宋体"/>
          <w:color w:val="auto"/>
          <w:kern w:val="0"/>
          <w:sz w:val="24"/>
          <w:highlight w:val="none"/>
        </w:rPr>
        <w:t>___________________</w:t>
      </w:r>
      <w:r>
        <w:rPr>
          <w:rFonts w:hint="eastAsia" w:hAnsi="宋体"/>
          <w:color w:val="auto"/>
          <w:kern w:val="0"/>
          <w:sz w:val="24"/>
          <w:highlight w:val="none"/>
        </w:rPr>
        <w:t>电话</w:t>
      </w:r>
      <w:r>
        <w:rPr>
          <w:rFonts w:hAnsi="宋体"/>
          <w:color w:val="auto"/>
          <w:kern w:val="0"/>
          <w:sz w:val="24"/>
          <w:highlight w:val="none"/>
        </w:rPr>
        <w:t>___________________</w:t>
      </w:r>
    </w:p>
    <w:p>
      <w:pPr>
        <w:widowControl/>
        <w:spacing w:line="400" w:lineRule="exact"/>
        <w:ind w:firstLine="480" w:firstLineChars="200"/>
        <w:rPr>
          <w:rFonts w:hAnsi="宋体"/>
          <w:color w:val="auto"/>
          <w:kern w:val="0"/>
          <w:sz w:val="24"/>
          <w:highlight w:val="none"/>
        </w:rPr>
      </w:pPr>
      <w:r>
        <w:rPr>
          <w:rFonts w:hint="eastAsia" w:hAnsi="宋体"/>
          <w:color w:val="auto"/>
          <w:kern w:val="0"/>
          <w:sz w:val="24"/>
          <w:highlight w:val="none"/>
        </w:rPr>
        <w:t>注册执业资格</w:t>
      </w:r>
      <w:r>
        <w:rPr>
          <w:rFonts w:hAnsi="宋体"/>
          <w:color w:val="auto"/>
          <w:kern w:val="0"/>
          <w:sz w:val="24"/>
          <w:highlight w:val="none"/>
        </w:rPr>
        <w:t>______________________</w:t>
      </w:r>
    </w:p>
    <w:p>
      <w:pPr>
        <w:widowControl/>
        <w:spacing w:line="400" w:lineRule="exact"/>
        <w:ind w:firstLine="480" w:firstLineChars="200"/>
        <w:rPr>
          <w:rFonts w:hAnsi="宋体"/>
          <w:color w:val="auto"/>
          <w:kern w:val="0"/>
          <w:sz w:val="24"/>
          <w:highlight w:val="none"/>
        </w:rPr>
      </w:pPr>
      <w:r>
        <w:rPr>
          <w:rFonts w:hint="eastAsia" w:hAnsi="宋体"/>
          <w:color w:val="auto"/>
          <w:kern w:val="0"/>
          <w:sz w:val="24"/>
          <w:highlight w:val="none"/>
        </w:rPr>
        <w:t>注册执业证号</w:t>
      </w:r>
      <w:r>
        <w:rPr>
          <w:rFonts w:hAnsi="宋体"/>
          <w:color w:val="auto"/>
          <w:kern w:val="0"/>
          <w:sz w:val="24"/>
          <w:highlight w:val="none"/>
        </w:rPr>
        <w:t>_______________________</w:t>
      </w:r>
    </w:p>
    <w:p>
      <w:pPr>
        <w:widowControl/>
        <w:spacing w:line="400" w:lineRule="exact"/>
        <w:ind w:firstLine="480" w:firstLineChars="200"/>
        <w:rPr>
          <w:rFonts w:hAnsi="宋体"/>
          <w:color w:val="auto"/>
          <w:kern w:val="0"/>
          <w:sz w:val="24"/>
          <w:highlight w:val="none"/>
        </w:rPr>
      </w:pPr>
      <w:r>
        <w:rPr>
          <w:rFonts w:hAnsi="宋体"/>
          <w:color w:val="auto"/>
          <w:kern w:val="0"/>
          <w:sz w:val="24"/>
          <w:highlight w:val="none"/>
        </w:rPr>
        <w:t>B</w:t>
      </w:r>
      <w:r>
        <w:rPr>
          <w:rFonts w:hint="eastAsia" w:hAnsi="宋体"/>
          <w:color w:val="auto"/>
          <w:kern w:val="0"/>
          <w:sz w:val="24"/>
          <w:highlight w:val="none"/>
        </w:rPr>
        <w:t>证执业证号</w:t>
      </w:r>
      <w:r>
        <w:rPr>
          <w:rFonts w:hAnsi="宋体"/>
          <w:color w:val="auto"/>
          <w:kern w:val="0"/>
          <w:sz w:val="24"/>
          <w:highlight w:val="none"/>
        </w:rPr>
        <w:t>_______________________</w:t>
      </w:r>
    </w:p>
    <w:p>
      <w:pPr>
        <w:spacing w:line="400" w:lineRule="exact"/>
        <w:ind w:firstLine="482" w:firstLineChars="200"/>
        <w:rPr>
          <w:rFonts w:hAnsi="宋体"/>
          <w:b/>
          <w:bCs/>
          <w:color w:val="auto"/>
          <w:sz w:val="24"/>
          <w:highlight w:val="none"/>
        </w:rPr>
      </w:pPr>
      <w:r>
        <w:rPr>
          <w:rFonts w:hAnsi="宋体"/>
          <w:b/>
          <w:color w:val="auto"/>
          <w:sz w:val="24"/>
          <w:highlight w:val="none"/>
        </w:rPr>
        <w:t>六、合同文件构成</w:t>
      </w:r>
      <w:bookmarkEnd w:id="400"/>
    </w:p>
    <w:p>
      <w:pPr>
        <w:spacing w:line="400" w:lineRule="exact"/>
        <w:ind w:firstLine="480" w:firstLineChars="200"/>
        <w:rPr>
          <w:rFonts w:hAnsi="宋体"/>
          <w:bCs/>
          <w:color w:val="auto"/>
          <w:sz w:val="24"/>
          <w:highlight w:val="none"/>
        </w:rPr>
      </w:pPr>
      <w:r>
        <w:rPr>
          <w:rFonts w:hAnsi="宋体"/>
          <w:bCs/>
          <w:color w:val="auto"/>
          <w:sz w:val="24"/>
          <w:highlight w:val="none"/>
        </w:rPr>
        <w:t>本协议书与下列文件一起构成合同文件：</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（1）中标通知书（如果有）；</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 xml:space="preserve">（2）投标函及其附录（如果有）； </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（3）专用合同条款及其附件；</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（4）通用合同条款；</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（5）技术标准和要求；</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（6）图纸；</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（7）已标价工程量清单或预算书；</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（8）其他合同文件。</w:t>
      </w:r>
    </w:p>
    <w:p>
      <w:pPr>
        <w:autoSpaceDE w:val="0"/>
        <w:autoSpaceDN w:val="0"/>
        <w:adjustRightInd w:val="0"/>
        <w:spacing w:line="400" w:lineRule="exact"/>
        <w:ind w:firstLine="480" w:firstLineChars="200"/>
        <w:rPr>
          <w:rFonts w:hAnsi="宋体"/>
          <w:color w:val="auto"/>
          <w:sz w:val="24"/>
          <w:highlight w:val="none"/>
        </w:rPr>
      </w:pPr>
      <w:r>
        <w:rPr>
          <w:rFonts w:hAnsi="宋体"/>
          <w:color w:val="auto"/>
          <w:sz w:val="24"/>
          <w:highlight w:val="none"/>
        </w:rPr>
        <w:t>在合同订立及履行过程中形成的与合同有关的文件均构成合同文件组成部分。</w:t>
      </w:r>
    </w:p>
    <w:p>
      <w:pPr>
        <w:autoSpaceDE w:val="0"/>
        <w:autoSpaceDN w:val="0"/>
        <w:adjustRightInd w:val="0"/>
        <w:spacing w:line="400" w:lineRule="exact"/>
        <w:ind w:firstLine="464" w:firstLineChars="200"/>
        <w:rPr>
          <w:rFonts w:hint="eastAsia" w:hAnsi="宋体"/>
          <w:color w:val="auto"/>
          <w:spacing w:val="-4"/>
          <w:sz w:val="24"/>
          <w:highlight w:val="none"/>
        </w:rPr>
      </w:pPr>
      <w:r>
        <w:rPr>
          <w:rFonts w:hAnsi="宋体"/>
          <w:color w:val="auto"/>
          <w:spacing w:val="-4"/>
          <w:sz w:val="24"/>
          <w:highlight w:val="none"/>
        </w:rPr>
        <w:t>上述各项合同文件包括合同当事人就该项合同文件所作出的补充和修改，属于同一类内容的文件，应以最新签署的为准。</w:t>
      </w:r>
      <w:r>
        <w:rPr>
          <w:rFonts w:hint="eastAsia" w:hAnsi="宋体"/>
          <w:color w:val="auto"/>
          <w:spacing w:val="-4"/>
          <w:sz w:val="24"/>
          <w:highlight w:val="none"/>
        </w:rPr>
        <w:t>专用合同条款及其附件须经合同当事人签字或盖章。</w:t>
      </w:r>
    </w:p>
    <w:p>
      <w:pPr>
        <w:spacing w:line="400" w:lineRule="exact"/>
        <w:ind w:firstLine="482" w:firstLineChars="200"/>
        <w:rPr>
          <w:rFonts w:hAnsi="宋体"/>
          <w:b/>
          <w:bCs/>
          <w:color w:val="auto"/>
          <w:sz w:val="24"/>
          <w:highlight w:val="none"/>
        </w:rPr>
      </w:pPr>
      <w:bookmarkStart w:id="401" w:name="_Toc351203487"/>
      <w:r>
        <w:rPr>
          <w:rFonts w:hAnsi="宋体"/>
          <w:b/>
          <w:color w:val="auto"/>
          <w:sz w:val="24"/>
          <w:highlight w:val="none"/>
        </w:rPr>
        <w:t>七、承诺</w:t>
      </w:r>
      <w:bookmarkEnd w:id="401"/>
    </w:p>
    <w:p>
      <w:pPr>
        <w:spacing w:line="400" w:lineRule="exact"/>
        <w:ind w:firstLine="480" w:firstLineChars="200"/>
        <w:rPr>
          <w:rFonts w:hAnsi="宋体"/>
          <w:bCs/>
          <w:color w:val="auto"/>
          <w:sz w:val="24"/>
          <w:highlight w:val="none"/>
        </w:rPr>
      </w:pPr>
      <w:r>
        <w:rPr>
          <w:rFonts w:hAnsi="宋体"/>
          <w:bCs/>
          <w:color w:val="auto"/>
          <w:sz w:val="24"/>
          <w:highlight w:val="none"/>
        </w:rPr>
        <w:t>1.发包人承诺按照法律规定履行项目审批手续、筹集工程建设资金并按照合同约定的期限和方式支付合同价款。</w:t>
      </w:r>
    </w:p>
    <w:p>
      <w:pPr>
        <w:spacing w:line="400" w:lineRule="exact"/>
        <w:ind w:firstLine="480" w:firstLineChars="200"/>
        <w:rPr>
          <w:rFonts w:hAnsi="宋体"/>
          <w:bCs/>
          <w:color w:val="auto"/>
          <w:sz w:val="24"/>
          <w:highlight w:val="none"/>
        </w:rPr>
      </w:pPr>
      <w:r>
        <w:rPr>
          <w:rFonts w:hAnsi="宋体"/>
          <w:bCs/>
          <w:color w:val="auto"/>
          <w:sz w:val="24"/>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hAnsi="宋体"/>
          <w:bCs/>
          <w:color w:val="auto"/>
          <w:sz w:val="24"/>
          <w:highlight w:val="none"/>
        </w:rPr>
      </w:pPr>
      <w:r>
        <w:rPr>
          <w:rFonts w:hAnsi="宋体"/>
          <w:bCs/>
          <w:color w:val="auto"/>
          <w:sz w:val="24"/>
          <w:highlight w:val="none"/>
        </w:rPr>
        <w:t>3.发包人和承包人通过招投标形式签订合同的，双方理解并</w:t>
      </w:r>
      <w:r>
        <w:rPr>
          <w:rFonts w:hint="eastAsia" w:hAnsi="宋体"/>
          <w:bCs/>
          <w:color w:val="auto"/>
          <w:sz w:val="24"/>
          <w:highlight w:val="none"/>
        </w:rPr>
        <w:t>承诺</w:t>
      </w:r>
      <w:r>
        <w:rPr>
          <w:rFonts w:hAnsi="宋体"/>
          <w:bCs/>
          <w:color w:val="auto"/>
          <w:sz w:val="24"/>
          <w:highlight w:val="none"/>
        </w:rPr>
        <w:t>不再就同一工程另行签订与合同实质性内容相背离的协议。</w:t>
      </w:r>
    </w:p>
    <w:p>
      <w:pPr>
        <w:spacing w:line="400" w:lineRule="exact"/>
        <w:ind w:firstLine="482" w:firstLineChars="200"/>
        <w:rPr>
          <w:rFonts w:hAnsi="宋体"/>
          <w:bCs/>
          <w:color w:val="auto"/>
          <w:sz w:val="24"/>
          <w:highlight w:val="none"/>
        </w:rPr>
      </w:pPr>
      <w:bookmarkStart w:id="402" w:name="_Toc351203488"/>
      <w:r>
        <w:rPr>
          <w:rFonts w:hAnsi="宋体"/>
          <w:b/>
          <w:color w:val="auto"/>
          <w:sz w:val="24"/>
          <w:highlight w:val="none"/>
        </w:rPr>
        <w:t>八、词语含义</w:t>
      </w:r>
      <w:bookmarkEnd w:id="402"/>
    </w:p>
    <w:p>
      <w:pPr>
        <w:spacing w:line="400" w:lineRule="exact"/>
        <w:ind w:firstLine="480" w:firstLineChars="200"/>
        <w:rPr>
          <w:rFonts w:hAnsi="宋体"/>
          <w:bCs/>
          <w:color w:val="auto"/>
          <w:sz w:val="24"/>
          <w:highlight w:val="none"/>
        </w:rPr>
      </w:pPr>
      <w:r>
        <w:rPr>
          <w:rFonts w:hAnsi="宋体"/>
          <w:bCs/>
          <w:color w:val="auto"/>
          <w:sz w:val="24"/>
          <w:highlight w:val="none"/>
        </w:rPr>
        <w:t>本协议书中词语含义与第二部分通用合同条款中赋予的含义相同。</w:t>
      </w:r>
    </w:p>
    <w:p>
      <w:pPr>
        <w:spacing w:line="400" w:lineRule="exact"/>
        <w:ind w:firstLine="482" w:firstLineChars="200"/>
        <w:rPr>
          <w:rFonts w:hAnsi="宋体"/>
          <w:b/>
          <w:bCs/>
          <w:color w:val="auto"/>
          <w:sz w:val="24"/>
          <w:highlight w:val="none"/>
        </w:rPr>
      </w:pPr>
      <w:bookmarkStart w:id="403" w:name="_Toc351203489"/>
      <w:r>
        <w:rPr>
          <w:rFonts w:hAnsi="宋体"/>
          <w:b/>
          <w:color w:val="auto"/>
          <w:sz w:val="24"/>
          <w:highlight w:val="none"/>
        </w:rPr>
        <w:t>九、签订时间</w:t>
      </w:r>
      <w:bookmarkEnd w:id="403"/>
    </w:p>
    <w:p>
      <w:pPr>
        <w:spacing w:line="400" w:lineRule="exact"/>
        <w:ind w:firstLine="480" w:firstLineChars="200"/>
        <w:rPr>
          <w:rFonts w:hAnsi="宋体"/>
          <w:bCs/>
          <w:color w:val="auto"/>
          <w:sz w:val="24"/>
          <w:highlight w:val="none"/>
        </w:rPr>
      </w:pPr>
      <w:r>
        <w:rPr>
          <w:rFonts w:hAnsi="宋体"/>
          <w:bCs/>
          <w:color w:val="auto"/>
          <w:sz w:val="24"/>
          <w:highlight w:val="none"/>
        </w:rPr>
        <w:t>本合同于</w:t>
      </w:r>
      <w:r>
        <w:rPr>
          <w:rFonts w:hAnsi="宋体"/>
          <w:bCs/>
          <w:color w:val="auto"/>
          <w:sz w:val="24"/>
          <w:highlight w:val="none"/>
          <w:u w:val="single"/>
        </w:rPr>
        <w:t xml:space="preserve">         </w:t>
      </w:r>
      <w:r>
        <w:rPr>
          <w:rFonts w:hAnsi="宋体"/>
          <w:bCs/>
          <w:color w:val="auto"/>
          <w:sz w:val="24"/>
          <w:highlight w:val="none"/>
        </w:rPr>
        <w:t>年</w:t>
      </w:r>
      <w:r>
        <w:rPr>
          <w:rFonts w:hAnsi="宋体"/>
          <w:bCs/>
          <w:color w:val="auto"/>
          <w:sz w:val="24"/>
          <w:highlight w:val="none"/>
          <w:u w:val="single"/>
        </w:rPr>
        <w:t xml:space="preserve">    </w:t>
      </w:r>
      <w:r>
        <w:rPr>
          <w:rFonts w:hAnsi="宋体"/>
          <w:bCs/>
          <w:color w:val="auto"/>
          <w:sz w:val="24"/>
          <w:highlight w:val="none"/>
        </w:rPr>
        <w:t>月</w:t>
      </w:r>
      <w:r>
        <w:rPr>
          <w:rFonts w:hAnsi="宋体"/>
          <w:bCs/>
          <w:color w:val="auto"/>
          <w:sz w:val="24"/>
          <w:highlight w:val="none"/>
          <w:u w:val="single"/>
        </w:rPr>
        <w:t xml:space="preserve">    </w:t>
      </w:r>
      <w:r>
        <w:rPr>
          <w:rFonts w:hAnsi="宋体"/>
          <w:bCs/>
          <w:color w:val="auto"/>
          <w:sz w:val="24"/>
          <w:highlight w:val="none"/>
        </w:rPr>
        <w:t>日签订。</w:t>
      </w:r>
    </w:p>
    <w:p>
      <w:pPr>
        <w:spacing w:line="400" w:lineRule="exact"/>
        <w:ind w:firstLine="482" w:firstLineChars="200"/>
        <w:rPr>
          <w:rFonts w:hAnsi="宋体"/>
          <w:b/>
          <w:bCs/>
          <w:color w:val="auto"/>
          <w:sz w:val="24"/>
          <w:highlight w:val="none"/>
        </w:rPr>
      </w:pPr>
      <w:bookmarkStart w:id="404" w:name="_Toc351203490"/>
      <w:r>
        <w:rPr>
          <w:rFonts w:hAnsi="宋体"/>
          <w:b/>
          <w:color w:val="auto"/>
          <w:sz w:val="24"/>
          <w:highlight w:val="none"/>
        </w:rPr>
        <w:t>十、签订地点</w:t>
      </w:r>
      <w:bookmarkEnd w:id="404"/>
    </w:p>
    <w:p>
      <w:pPr>
        <w:spacing w:line="400" w:lineRule="exact"/>
        <w:ind w:firstLine="480" w:firstLineChars="200"/>
        <w:rPr>
          <w:rFonts w:hAnsi="宋体"/>
          <w:bCs/>
          <w:color w:val="auto"/>
          <w:sz w:val="24"/>
          <w:highlight w:val="none"/>
        </w:rPr>
      </w:pPr>
      <w:r>
        <w:rPr>
          <w:rFonts w:hAnsi="宋体"/>
          <w:bCs/>
          <w:color w:val="auto"/>
          <w:sz w:val="24"/>
          <w:highlight w:val="none"/>
        </w:rPr>
        <w:t>本合同在</w:t>
      </w:r>
      <w:r>
        <w:rPr>
          <w:rFonts w:hAnsi="宋体"/>
          <w:bCs/>
          <w:color w:val="auto"/>
          <w:sz w:val="24"/>
          <w:highlight w:val="none"/>
          <w:u w:val="single"/>
        </w:rPr>
        <w:t xml:space="preserve">                                    </w:t>
      </w:r>
      <w:r>
        <w:rPr>
          <w:rFonts w:hAnsi="宋体"/>
          <w:bCs/>
          <w:color w:val="auto"/>
          <w:sz w:val="24"/>
          <w:highlight w:val="none"/>
        </w:rPr>
        <w:t>签订。</w:t>
      </w:r>
    </w:p>
    <w:p>
      <w:pPr>
        <w:spacing w:line="400" w:lineRule="exact"/>
        <w:ind w:firstLine="482" w:firstLineChars="200"/>
        <w:rPr>
          <w:rFonts w:hAnsi="宋体"/>
          <w:b/>
          <w:bCs/>
          <w:color w:val="auto"/>
          <w:sz w:val="24"/>
          <w:highlight w:val="none"/>
        </w:rPr>
      </w:pPr>
      <w:bookmarkStart w:id="405" w:name="_Toc351203491"/>
      <w:r>
        <w:rPr>
          <w:rFonts w:hAnsi="宋体"/>
          <w:b/>
          <w:color w:val="auto"/>
          <w:sz w:val="24"/>
          <w:highlight w:val="none"/>
        </w:rPr>
        <w:t>十一、补充协议</w:t>
      </w:r>
      <w:bookmarkEnd w:id="405"/>
    </w:p>
    <w:p>
      <w:pPr>
        <w:spacing w:line="400" w:lineRule="exact"/>
        <w:ind w:firstLine="480" w:firstLineChars="200"/>
        <w:rPr>
          <w:rFonts w:hAnsi="宋体"/>
          <w:b/>
          <w:bCs/>
          <w:color w:val="auto"/>
          <w:sz w:val="24"/>
          <w:highlight w:val="none"/>
        </w:rPr>
      </w:pPr>
      <w:r>
        <w:rPr>
          <w:rFonts w:hAnsi="宋体"/>
          <w:bCs/>
          <w:color w:val="auto"/>
          <w:sz w:val="24"/>
          <w:highlight w:val="none"/>
        </w:rPr>
        <w:t>合同未尽事宜，合同当事人另行签订补充协议</w:t>
      </w:r>
      <w:r>
        <w:rPr>
          <w:rFonts w:hint="eastAsia" w:hAnsi="宋体"/>
          <w:bCs/>
          <w:color w:val="auto"/>
          <w:sz w:val="24"/>
          <w:highlight w:val="none"/>
        </w:rPr>
        <w:t>，</w:t>
      </w:r>
      <w:r>
        <w:rPr>
          <w:rFonts w:hAnsi="宋体"/>
          <w:bCs/>
          <w:color w:val="auto"/>
          <w:sz w:val="24"/>
          <w:highlight w:val="none"/>
        </w:rPr>
        <w:t>补充协议是合同的组成部分。</w:t>
      </w:r>
    </w:p>
    <w:p>
      <w:pPr>
        <w:spacing w:line="400" w:lineRule="exact"/>
        <w:ind w:firstLine="482" w:firstLineChars="200"/>
        <w:rPr>
          <w:rFonts w:hAnsi="宋体"/>
          <w:b/>
          <w:bCs/>
          <w:color w:val="auto"/>
          <w:sz w:val="24"/>
          <w:highlight w:val="none"/>
        </w:rPr>
      </w:pPr>
      <w:bookmarkStart w:id="406" w:name="_Toc351203492"/>
      <w:r>
        <w:rPr>
          <w:rFonts w:hAnsi="宋体"/>
          <w:b/>
          <w:color w:val="auto"/>
          <w:sz w:val="24"/>
          <w:highlight w:val="none"/>
        </w:rPr>
        <w:t>十二、合同生效</w:t>
      </w:r>
      <w:bookmarkEnd w:id="406"/>
    </w:p>
    <w:p>
      <w:pPr>
        <w:spacing w:line="400" w:lineRule="exact"/>
        <w:ind w:firstLine="480" w:firstLineChars="200"/>
        <w:rPr>
          <w:rFonts w:hAnsi="宋体"/>
          <w:bCs/>
          <w:color w:val="auto"/>
          <w:sz w:val="24"/>
          <w:highlight w:val="none"/>
        </w:rPr>
      </w:pPr>
      <w:r>
        <w:rPr>
          <w:rFonts w:hAnsi="宋体"/>
          <w:bCs/>
          <w:color w:val="auto"/>
          <w:sz w:val="24"/>
          <w:highlight w:val="none"/>
        </w:rPr>
        <w:t>本合同自</w:t>
      </w:r>
      <w:r>
        <w:rPr>
          <w:rFonts w:hAnsi="宋体"/>
          <w:bCs/>
          <w:color w:val="auto"/>
          <w:sz w:val="24"/>
          <w:highlight w:val="none"/>
          <w:u w:val="single"/>
        </w:rPr>
        <w:t xml:space="preserve">                                   </w:t>
      </w:r>
      <w:r>
        <w:rPr>
          <w:rFonts w:hAnsi="宋体"/>
          <w:bCs/>
          <w:color w:val="auto"/>
          <w:sz w:val="24"/>
          <w:highlight w:val="none"/>
        </w:rPr>
        <w:t>生效。</w:t>
      </w:r>
    </w:p>
    <w:p>
      <w:pPr>
        <w:spacing w:line="400" w:lineRule="exact"/>
        <w:ind w:firstLine="482" w:firstLineChars="200"/>
        <w:rPr>
          <w:rFonts w:hAnsi="宋体"/>
          <w:b/>
          <w:bCs/>
          <w:color w:val="auto"/>
          <w:sz w:val="24"/>
          <w:highlight w:val="none"/>
        </w:rPr>
      </w:pPr>
      <w:bookmarkStart w:id="407" w:name="_Toc351203493"/>
      <w:r>
        <w:rPr>
          <w:rFonts w:hAnsi="宋体"/>
          <w:b/>
          <w:color w:val="auto"/>
          <w:sz w:val="24"/>
          <w:highlight w:val="none"/>
        </w:rPr>
        <w:t>十三、合同份数</w:t>
      </w:r>
      <w:bookmarkEnd w:id="407"/>
    </w:p>
    <w:p>
      <w:pPr>
        <w:spacing w:line="400" w:lineRule="exact"/>
        <w:ind w:firstLine="480" w:firstLineChars="200"/>
        <w:rPr>
          <w:rFonts w:hAnsi="宋体"/>
          <w:bCs/>
          <w:color w:val="auto"/>
          <w:sz w:val="24"/>
          <w:highlight w:val="none"/>
        </w:rPr>
      </w:pPr>
      <w:r>
        <w:rPr>
          <w:rFonts w:hAnsi="宋体"/>
          <w:bCs/>
          <w:color w:val="auto"/>
          <w:sz w:val="24"/>
          <w:highlight w:val="none"/>
        </w:rPr>
        <w:t>本合同一式</w:t>
      </w:r>
      <w:r>
        <w:rPr>
          <w:rFonts w:hAnsi="宋体"/>
          <w:bCs/>
          <w:color w:val="auto"/>
          <w:sz w:val="24"/>
          <w:highlight w:val="none"/>
          <w:u w:val="single"/>
        </w:rPr>
        <w:t xml:space="preserve"> </w:t>
      </w:r>
      <w:r>
        <w:rPr>
          <w:rFonts w:hint="eastAsia" w:hAnsi="宋体"/>
          <w:bCs/>
          <w:color w:val="auto"/>
          <w:sz w:val="24"/>
          <w:highlight w:val="none"/>
          <w:u w:val="single"/>
        </w:rPr>
        <w:t>8</w:t>
      </w:r>
      <w:r>
        <w:rPr>
          <w:rFonts w:hAnsi="宋体"/>
          <w:bCs/>
          <w:color w:val="auto"/>
          <w:sz w:val="24"/>
          <w:highlight w:val="none"/>
          <w:u w:val="single"/>
        </w:rPr>
        <w:t xml:space="preserve"> </w:t>
      </w:r>
      <w:r>
        <w:rPr>
          <w:rFonts w:hAnsi="宋体"/>
          <w:bCs/>
          <w:color w:val="auto"/>
          <w:sz w:val="24"/>
          <w:highlight w:val="none"/>
        </w:rPr>
        <w:t>份，均具有同等法律效力，发包人执</w:t>
      </w:r>
      <w:r>
        <w:rPr>
          <w:rFonts w:hAnsi="宋体"/>
          <w:bCs/>
          <w:color w:val="auto"/>
          <w:sz w:val="24"/>
          <w:highlight w:val="none"/>
          <w:u w:val="single"/>
        </w:rPr>
        <w:t xml:space="preserve"> </w:t>
      </w:r>
      <w:r>
        <w:rPr>
          <w:rFonts w:hint="eastAsia" w:hAnsi="宋体"/>
          <w:bCs/>
          <w:color w:val="auto"/>
          <w:sz w:val="24"/>
          <w:highlight w:val="none"/>
          <w:u w:val="single"/>
        </w:rPr>
        <w:t>6</w:t>
      </w:r>
      <w:r>
        <w:rPr>
          <w:rFonts w:hAnsi="宋体"/>
          <w:bCs/>
          <w:color w:val="auto"/>
          <w:sz w:val="24"/>
          <w:highlight w:val="none"/>
          <w:u w:val="single"/>
        </w:rPr>
        <w:t xml:space="preserve"> </w:t>
      </w:r>
      <w:r>
        <w:rPr>
          <w:rFonts w:hAnsi="宋体"/>
          <w:bCs/>
          <w:color w:val="auto"/>
          <w:sz w:val="24"/>
          <w:highlight w:val="none"/>
        </w:rPr>
        <w:t>份，承包人执</w:t>
      </w:r>
      <w:r>
        <w:rPr>
          <w:rFonts w:hAnsi="宋体"/>
          <w:bCs/>
          <w:color w:val="auto"/>
          <w:sz w:val="24"/>
          <w:highlight w:val="none"/>
          <w:u w:val="single"/>
        </w:rPr>
        <w:t xml:space="preserve"> </w:t>
      </w:r>
      <w:r>
        <w:rPr>
          <w:rFonts w:hint="eastAsia" w:hAnsi="宋体"/>
          <w:bCs/>
          <w:color w:val="auto"/>
          <w:sz w:val="24"/>
          <w:highlight w:val="none"/>
          <w:u w:val="single"/>
        </w:rPr>
        <w:t>2</w:t>
      </w:r>
      <w:r>
        <w:rPr>
          <w:rFonts w:hAnsi="宋体"/>
          <w:bCs/>
          <w:color w:val="auto"/>
          <w:sz w:val="24"/>
          <w:highlight w:val="none"/>
          <w:u w:val="single"/>
        </w:rPr>
        <w:t xml:space="preserve"> </w:t>
      </w:r>
      <w:r>
        <w:rPr>
          <w:rFonts w:hAnsi="宋体"/>
          <w:bCs/>
          <w:color w:val="auto"/>
          <w:sz w:val="24"/>
          <w:highlight w:val="none"/>
        </w:rPr>
        <w:t>份。</w:t>
      </w:r>
    </w:p>
    <w:p>
      <w:pPr>
        <w:spacing w:line="400" w:lineRule="exact"/>
        <w:ind w:firstLine="480" w:firstLineChars="200"/>
        <w:rPr>
          <w:rFonts w:hint="eastAsia" w:hAnsi="宋体"/>
          <w:color w:val="auto"/>
          <w:sz w:val="24"/>
          <w:highlight w:val="none"/>
        </w:rPr>
      </w:pPr>
      <w:r>
        <w:rPr>
          <w:rFonts w:hAnsi="宋体"/>
          <w:color w:val="auto"/>
          <w:sz w:val="24"/>
          <w:highlight w:val="none"/>
        </w:rPr>
        <w:t>发包人</w:t>
      </w:r>
      <w:r>
        <w:rPr>
          <w:rFonts w:hint="eastAsia" w:hAnsi="宋体"/>
          <w:color w:val="auto"/>
          <w:sz w:val="24"/>
          <w:highlight w:val="none"/>
        </w:rPr>
        <w:t xml:space="preserve">：  </w:t>
      </w:r>
      <w:r>
        <w:rPr>
          <w:rFonts w:hAnsi="宋体"/>
          <w:color w:val="auto"/>
          <w:sz w:val="24"/>
          <w:highlight w:val="none"/>
        </w:rPr>
        <w:t>(公章)</w:t>
      </w:r>
      <w:r>
        <w:rPr>
          <w:rFonts w:hint="eastAsia" w:hAnsi="宋体"/>
          <w:color w:val="auto"/>
          <w:sz w:val="24"/>
          <w:highlight w:val="none"/>
        </w:rPr>
        <w:t xml:space="preserve">            </w:t>
      </w:r>
      <w:r>
        <w:rPr>
          <w:rFonts w:hAnsi="宋体"/>
          <w:color w:val="auto"/>
          <w:sz w:val="24"/>
          <w:highlight w:val="none"/>
        </w:rPr>
        <w:t>承包人</w:t>
      </w:r>
      <w:r>
        <w:rPr>
          <w:rFonts w:hint="eastAsia" w:hAnsi="宋体"/>
          <w:color w:val="auto"/>
          <w:sz w:val="24"/>
          <w:highlight w:val="none"/>
        </w:rPr>
        <w:t xml:space="preserve">：  </w:t>
      </w:r>
      <w:r>
        <w:rPr>
          <w:rFonts w:hAnsi="宋体"/>
          <w:color w:val="auto"/>
          <w:sz w:val="24"/>
          <w:highlight w:val="none"/>
        </w:rPr>
        <w:t>(公章)</w:t>
      </w:r>
    </w:p>
    <w:p>
      <w:pPr>
        <w:spacing w:line="400" w:lineRule="exact"/>
        <w:ind w:firstLine="480" w:firstLineChars="200"/>
        <w:rPr>
          <w:rFonts w:hint="eastAsia" w:hAnsi="宋体"/>
          <w:color w:val="auto"/>
          <w:sz w:val="24"/>
          <w:highlight w:val="none"/>
        </w:rPr>
      </w:pPr>
      <w:r>
        <w:rPr>
          <w:rFonts w:hint="eastAsia" w:hAnsi="宋体"/>
          <w:color w:val="auto"/>
          <w:sz w:val="24"/>
          <w:highlight w:val="none"/>
        </w:rPr>
        <w:t xml:space="preserve">法定代表人或其委托代理人：（签字）   法定代表人或其委托代理人：（签字）                </w:t>
      </w:r>
    </w:p>
    <w:p>
      <w:pPr>
        <w:tabs>
          <w:tab w:val="left" w:pos="4410"/>
        </w:tabs>
        <w:spacing w:line="400" w:lineRule="exact"/>
        <w:ind w:firstLine="480" w:firstLineChars="200"/>
        <w:rPr>
          <w:rFonts w:hAnsi="宋体"/>
          <w:color w:val="auto"/>
          <w:sz w:val="24"/>
          <w:highlight w:val="none"/>
        </w:rPr>
      </w:pPr>
      <w:r>
        <w:rPr>
          <w:rFonts w:hint="eastAsia" w:hAnsi="宋体"/>
          <w:color w:val="auto"/>
          <w:sz w:val="24"/>
          <w:highlight w:val="none"/>
        </w:rPr>
        <w:t>组织机构代码：</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组织机构代码：</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地  址：</w:t>
      </w:r>
      <w:r>
        <w:rPr>
          <w:rFonts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rPr>
        <w:t xml:space="preserve">  </w:t>
      </w:r>
      <w:r>
        <w:rPr>
          <w:rFonts w:hAnsi="宋体"/>
          <w:color w:val="auto"/>
          <w:sz w:val="24"/>
          <w:highlight w:val="none"/>
        </w:rPr>
        <w:t>地  址：</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邮政编码：</w:t>
      </w:r>
      <w:r>
        <w:rPr>
          <w:rFonts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邮政编码：</w:t>
      </w:r>
      <w:r>
        <w:rPr>
          <w:rFonts w:hint="eastAsia" w:hAnsi="宋体" w:cs="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法定代表人：</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法定代表人：</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委托代理人：</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委托代理人：</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电  话：</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电  话：</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传  真：</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传  真：</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电子信箱：</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电子信箱：</w:t>
      </w:r>
      <w:r>
        <w:rPr>
          <w:rFonts w:hint="eastAsia" w:hAnsi="宋体" w:cs="宋体"/>
          <w:color w:val="auto"/>
          <w:sz w:val="24"/>
          <w:highlight w:val="none"/>
          <w:u w:val="single"/>
        </w:rPr>
        <w:t xml:space="preserve">   </w:t>
      </w:r>
    </w:p>
    <w:p>
      <w:pPr>
        <w:spacing w:line="400" w:lineRule="exact"/>
        <w:ind w:firstLine="480" w:firstLineChars="200"/>
        <w:rPr>
          <w:rFonts w:hAnsi="宋体"/>
          <w:color w:val="auto"/>
          <w:sz w:val="24"/>
          <w:highlight w:val="none"/>
        </w:rPr>
      </w:pPr>
      <w:r>
        <w:rPr>
          <w:rFonts w:hAnsi="宋体"/>
          <w:color w:val="auto"/>
          <w:sz w:val="24"/>
          <w:highlight w:val="none"/>
        </w:rPr>
        <w:t>开户银行：</w:t>
      </w:r>
      <w:r>
        <w:rPr>
          <w:rFonts w:hint="eastAsia" w:hAnsi="宋体" w:cs="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 xml:space="preserve"> </w:t>
      </w:r>
      <w:r>
        <w:rPr>
          <w:rFonts w:hAnsi="宋体"/>
          <w:color w:val="auto"/>
          <w:sz w:val="24"/>
          <w:highlight w:val="none"/>
        </w:rPr>
        <w:t>开户银行：</w:t>
      </w:r>
      <w:r>
        <w:rPr>
          <w:rFonts w:hint="eastAsia" w:hAnsi="宋体" w:cs="宋体"/>
          <w:color w:val="auto"/>
          <w:sz w:val="24"/>
          <w:highlight w:val="none"/>
          <w:u w:val="single"/>
        </w:rPr>
        <w:t xml:space="preserve">   </w:t>
      </w:r>
    </w:p>
    <w:p>
      <w:pPr>
        <w:spacing w:line="400" w:lineRule="exact"/>
        <w:ind w:firstLine="480" w:firstLineChars="200"/>
        <w:rPr>
          <w:rFonts w:hint="eastAsia" w:hAnsi="宋体"/>
          <w:color w:val="auto"/>
          <w:sz w:val="24"/>
          <w:highlight w:val="none"/>
          <w:u w:val="single"/>
        </w:rPr>
      </w:pPr>
      <w:r>
        <w:rPr>
          <w:rFonts w:hAnsi="宋体"/>
          <w:color w:val="auto"/>
          <w:sz w:val="24"/>
          <w:highlight w:val="none"/>
        </w:rPr>
        <w:t>账  号：</w:t>
      </w:r>
      <w:r>
        <w:rPr>
          <w:rFonts w:hint="eastAsia" w:hAnsi="宋体" w:cs="宋体"/>
          <w:color w:val="auto"/>
          <w:sz w:val="24"/>
          <w:highlight w:val="none"/>
          <w:u w:val="single"/>
        </w:rPr>
        <w:t xml:space="preserve">       </w:t>
      </w:r>
      <w:r>
        <w:rPr>
          <w:rFonts w:hint="eastAsia" w:hAnsi="宋体"/>
          <w:color w:val="auto"/>
          <w:sz w:val="24"/>
          <w:highlight w:val="none"/>
        </w:rPr>
        <w:t xml:space="preserve">  </w:t>
      </w:r>
      <w:r>
        <w:rPr>
          <w:rFonts w:hAnsi="宋体"/>
          <w:color w:val="auto"/>
          <w:sz w:val="24"/>
          <w:highlight w:val="none"/>
        </w:rPr>
        <w:t>账</w:t>
      </w:r>
      <w:r>
        <w:rPr>
          <w:rFonts w:hint="eastAsia" w:hAnsi="宋体"/>
          <w:color w:val="auto"/>
          <w:sz w:val="24"/>
          <w:highlight w:val="none"/>
        </w:rPr>
        <w:t xml:space="preserve"> </w:t>
      </w:r>
      <w:r>
        <w:rPr>
          <w:rFonts w:hAnsi="宋体"/>
          <w:color w:val="auto"/>
          <w:sz w:val="24"/>
          <w:highlight w:val="none"/>
        </w:rPr>
        <w:t xml:space="preserve"> 号：</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pPr>
        <w:pStyle w:val="699"/>
        <w:spacing w:line="560" w:lineRule="exact"/>
        <w:ind w:left="0" w:leftChars="0" w:firstLine="0" w:firstLineChars="0"/>
        <w:jc w:val="both"/>
        <w:rPr>
          <w:rFonts w:hint="eastAsia" w:ascii="宋体" w:hAnsi="宋体" w:eastAsia="宋体" w:cs="宋体"/>
          <w:b/>
          <w:szCs w:val="24"/>
        </w:rPr>
        <w:sectPr>
          <w:headerReference r:id="rId9" w:type="first"/>
          <w:footerReference r:id="rId11" w:type="first"/>
          <w:headerReference r:id="rId8" w:type="default"/>
          <w:footerReference r:id="rId10" w:type="default"/>
          <w:pgSz w:w="11906" w:h="16838"/>
          <w:pgMar w:top="1077" w:right="1020" w:bottom="1077" w:left="1020" w:header="851" w:footer="992" w:gutter="0"/>
          <w:cols w:space="720" w:num="1"/>
          <w:titlePg/>
          <w:docGrid w:linePitch="312" w:charSpace="0"/>
        </w:sectPr>
      </w:pPr>
    </w:p>
    <w:p>
      <w:pPr>
        <w:pStyle w:val="952"/>
        <w:numPr>
          <w:ilvl w:val="0"/>
          <w:numId w:val="0"/>
        </w:numPr>
        <w:tabs>
          <w:tab w:val="left" w:pos="3780"/>
        </w:tabs>
        <w:spacing w:before="0" w:after="0" w:line="440" w:lineRule="exact"/>
        <w:ind w:right="0" w:rightChars="0"/>
        <w:jc w:val="center"/>
        <w:rPr>
          <w:rFonts w:hint="eastAsia" w:hAnsi="宋体"/>
          <w:color w:val="auto"/>
          <w:sz w:val="32"/>
          <w:szCs w:val="32"/>
          <w:highlight w:val="none"/>
        </w:rPr>
      </w:pPr>
      <w:r>
        <w:rPr>
          <w:rFonts w:hint="eastAsia" w:ascii="宋体" w:hAnsi="宋体"/>
          <w:b/>
          <w:color w:val="auto"/>
          <w:sz w:val="32"/>
          <w:szCs w:val="32"/>
          <w:highlight w:val="none"/>
          <w:lang w:val="en-US" w:eastAsia="zh-CN"/>
        </w:rPr>
        <w:t xml:space="preserve">第二部分  </w:t>
      </w:r>
      <w:r>
        <w:rPr>
          <w:rFonts w:hint="eastAsia" w:ascii="宋体" w:hAnsi="宋体"/>
          <w:b/>
          <w:color w:val="auto"/>
          <w:sz w:val="32"/>
          <w:szCs w:val="32"/>
          <w:highlight w:val="none"/>
        </w:rPr>
        <w:t>通用条款</w:t>
      </w:r>
      <w:r>
        <w:rPr>
          <w:rFonts w:hint="eastAsia" w:hAnsi="宋体"/>
          <w:color w:val="auto"/>
          <w:sz w:val="32"/>
          <w:szCs w:val="32"/>
          <w:highlight w:val="none"/>
        </w:rPr>
        <w:t>（略）</w:t>
      </w:r>
    </w:p>
    <w:p>
      <w:pPr>
        <w:spacing w:line="420" w:lineRule="exact"/>
        <w:jc w:val="center"/>
        <w:rPr>
          <w:rFonts w:hint="eastAsia" w:hAnsi="宋体" w:cs="宋体"/>
          <w:b/>
          <w:color w:val="auto"/>
          <w:sz w:val="24"/>
          <w:szCs w:val="24"/>
          <w:highlight w:val="none"/>
        </w:rPr>
      </w:pPr>
      <w:r>
        <w:rPr>
          <w:rFonts w:hint="eastAsia" w:hAnsi="宋体" w:cs="宋体"/>
          <w:b/>
          <w:color w:val="auto"/>
          <w:sz w:val="24"/>
          <w:szCs w:val="24"/>
          <w:highlight w:val="none"/>
        </w:rPr>
        <w:t>采用《建设工程施工合同（示范文本）》（GF—2017—0201）列明的通用条款。</w:t>
      </w:r>
    </w:p>
    <w:p>
      <w:pPr>
        <w:pStyle w:val="699"/>
        <w:spacing w:line="560" w:lineRule="exact"/>
        <w:ind w:left="0" w:leftChars="0" w:firstLine="0" w:firstLineChars="0"/>
        <w:jc w:val="both"/>
        <w:rPr>
          <w:rFonts w:hint="eastAsia" w:ascii="宋体" w:hAnsi="宋体" w:eastAsia="宋体" w:cs="宋体"/>
          <w:b/>
          <w:szCs w:val="24"/>
        </w:rPr>
      </w:pPr>
    </w:p>
    <w:p>
      <w:pPr>
        <w:pStyle w:val="8"/>
        <w:spacing w:line="440" w:lineRule="exact"/>
        <w:jc w:val="center"/>
        <w:rPr>
          <w:rFonts w:hint="eastAsia" w:hAnsi="宋体"/>
          <w:b w:val="0"/>
          <w:color w:val="auto"/>
          <w:highlight w:val="none"/>
        </w:rPr>
      </w:pPr>
      <w:r>
        <w:rPr>
          <w:rFonts w:hAnsi="宋体"/>
          <w:b w:val="0"/>
          <w:color w:val="auto"/>
          <w:highlight w:val="none"/>
        </w:rPr>
        <w:t xml:space="preserve">第三部分 </w:t>
      </w:r>
      <w:r>
        <w:rPr>
          <w:rFonts w:hint="eastAsia" w:hAnsi="宋体"/>
          <w:b w:val="0"/>
          <w:color w:val="auto"/>
          <w:highlight w:val="none"/>
        </w:rPr>
        <w:t>专用合同条款</w:t>
      </w:r>
    </w:p>
    <w:p>
      <w:pPr>
        <w:spacing w:line="440" w:lineRule="exact"/>
        <w:ind w:firstLine="480" w:firstLineChars="200"/>
        <w:rPr>
          <w:rFonts w:hAnsi="宋体"/>
          <w:color w:val="auto"/>
          <w:sz w:val="24"/>
          <w:highlight w:val="none"/>
        </w:rPr>
      </w:pPr>
      <w:bookmarkStart w:id="408" w:name="_Toc351203633"/>
      <w:r>
        <w:rPr>
          <w:rFonts w:hAnsi="宋体"/>
          <w:color w:val="auto"/>
          <w:sz w:val="24"/>
          <w:highlight w:val="none"/>
        </w:rPr>
        <w:t>1</w:t>
      </w:r>
      <w:bookmarkStart w:id="409" w:name="_Toc296503156"/>
      <w:bookmarkStart w:id="410" w:name="_Toc292559361"/>
      <w:bookmarkStart w:id="411" w:name="_Toc296891196"/>
      <w:bookmarkStart w:id="412" w:name="_Toc297120456"/>
      <w:bookmarkStart w:id="413" w:name="_Toc292559866"/>
      <w:bookmarkStart w:id="414" w:name="_Toc297048342"/>
      <w:bookmarkStart w:id="415" w:name="_Toc296346657"/>
      <w:bookmarkStart w:id="416" w:name="_Toc296944495"/>
      <w:bookmarkStart w:id="417" w:name="_Toc296347155"/>
      <w:bookmarkStart w:id="418" w:name="_Toc296890984"/>
      <w:r>
        <w:rPr>
          <w:rFonts w:hAnsi="宋体"/>
          <w:color w:val="auto"/>
          <w:sz w:val="24"/>
          <w:highlight w:val="none"/>
        </w:rPr>
        <w:t>. 一般约定</w:t>
      </w:r>
      <w:bookmarkEnd w:id="408"/>
    </w:p>
    <w:bookmarkEnd w:id="409"/>
    <w:bookmarkEnd w:id="410"/>
    <w:bookmarkEnd w:id="411"/>
    <w:bookmarkEnd w:id="412"/>
    <w:bookmarkEnd w:id="413"/>
    <w:bookmarkEnd w:id="414"/>
    <w:bookmarkEnd w:id="415"/>
    <w:bookmarkEnd w:id="416"/>
    <w:bookmarkEnd w:id="417"/>
    <w:bookmarkEnd w:id="418"/>
    <w:p>
      <w:pPr>
        <w:spacing w:line="440" w:lineRule="exact"/>
        <w:ind w:firstLine="480" w:firstLineChars="200"/>
        <w:rPr>
          <w:rFonts w:hAnsi="宋体"/>
          <w:color w:val="auto"/>
          <w:sz w:val="24"/>
          <w:highlight w:val="none"/>
        </w:rPr>
      </w:pPr>
      <w:r>
        <w:rPr>
          <w:rFonts w:hAnsi="宋体"/>
          <w:color w:val="auto"/>
          <w:sz w:val="24"/>
          <w:highlight w:val="none"/>
        </w:rPr>
        <w:t>1.1 词语定义</w:t>
      </w:r>
    </w:p>
    <w:p>
      <w:pPr>
        <w:spacing w:line="440" w:lineRule="exact"/>
        <w:ind w:firstLine="480" w:firstLineChars="200"/>
        <w:rPr>
          <w:rFonts w:hAnsi="宋体"/>
          <w:color w:val="auto"/>
          <w:kern w:val="0"/>
          <w:sz w:val="24"/>
          <w:highlight w:val="none"/>
        </w:rPr>
      </w:pPr>
      <w:r>
        <w:rPr>
          <w:rFonts w:hAnsi="宋体"/>
          <w:color w:val="auto"/>
          <w:kern w:val="0"/>
          <w:sz w:val="24"/>
          <w:highlight w:val="none"/>
        </w:rPr>
        <w:t>1.1.1合同</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1.1.1.10其他合同文件包括：</w:t>
      </w:r>
      <w:r>
        <w:rPr>
          <w:rFonts w:hint="eastAsia" w:hAnsi="宋体"/>
          <w:color w:val="auto"/>
          <w:sz w:val="24"/>
          <w:highlight w:val="none"/>
          <w:u w:val="single"/>
        </w:rPr>
        <w:t>施工组织设计：施工组织</w:t>
      </w:r>
      <w:r>
        <w:rPr>
          <w:rFonts w:hAnsi="宋体"/>
          <w:color w:val="auto"/>
          <w:sz w:val="24"/>
          <w:highlight w:val="none"/>
          <w:u w:val="single"/>
        </w:rPr>
        <w:fldChar w:fldCharType="begin"/>
      </w:r>
      <w:r>
        <w:rPr>
          <w:rFonts w:hAnsi="宋体"/>
          <w:color w:val="auto"/>
          <w:sz w:val="24"/>
          <w:highlight w:val="none"/>
          <w:u w:val="single"/>
        </w:rPr>
        <w:instrText xml:space="preserve"> HYPERLINK "http://baike.baidu.com/view/14417.htm" \t "_blank" </w:instrText>
      </w:r>
      <w:r>
        <w:rPr>
          <w:rFonts w:hAnsi="宋体"/>
          <w:color w:val="auto"/>
          <w:sz w:val="24"/>
          <w:highlight w:val="none"/>
          <w:u w:val="single"/>
        </w:rPr>
        <w:fldChar w:fldCharType="separate"/>
      </w:r>
      <w:r>
        <w:rPr>
          <w:rFonts w:hint="eastAsia" w:hAnsi="宋体"/>
          <w:color w:val="auto"/>
          <w:sz w:val="24"/>
          <w:highlight w:val="none"/>
          <w:u w:val="single"/>
        </w:rPr>
        <w:t>设计</w:t>
      </w:r>
      <w:r>
        <w:rPr>
          <w:rFonts w:hAnsi="宋体"/>
          <w:color w:val="auto"/>
          <w:sz w:val="24"/>
          <w:highlight w:val="none"/>
          <w:u w:val="single"/>
        </w:rPr>
        <w:fldChar w:fldCharType="end"/>
      </w:r>
      <w:r>
        <w:rPr>
          <w:rFonts w:hint="eastAsia" w:hAnsi="宋体"/>
          <w:color w:val="auto"/>
          <w:sz w:val="24"/>
          <w:highlight w:val="none"/>
          <w:u w:val="single"/>
        </w:rPr>
        <w:t>是用来指导</w:t>
      </w:r>
      <w:r>
        <w:rPr>
          <w:rFonts w:hAnsi="宋体"/>
          <w:color w:val="auto"/>
          <w:sz w:val="24"/>
          <w:highlight w:val="none"/>
          <w:u w:val="single"/>
        </w:rPr>
        <w:fldChar w:fldCharType="begin"/>
      </w:r>
      <w:r>
        <w:rPr>
          <w:rFonts w:hAnsi="宋体"/>
          <w:color w:val="auto"/>
          <w:sz w:val="24"/>
          <w:highlight w:val="none"/>
          <w:u w:val="single"/>
        </w:rPr>
        <w:instrText xml:space="preserve"> HYPERLINK "http://baike.baidu.com/view/1094820.htm" \t "_blank" </w:instrText>
      </w:r>
      <w:r>
        <w:rPr>
          <w:rFonts w:hAnsi="宋体"/>
          <w:color w:val="auto"/>
          <w:sz w:val="24"/>
          <w:highlight w:val="none"/>
          <w:u w:val="single"/>
        </w:rPr>
        <w:fldChar w:fldCharType="separate"/>
      </w:r>
      <w:r>
        <w:rPr>
          <w:rFonts w:hint="eastAsia" w:hAnsi="宋体"/>
          <w:color w:val="auto"/>
          <w:sz w:val="24"/>
          <w:highlight w:val="none"/>
          <w:u w:val="single"/>
        </w:rPr>
        <w:t>施工项目</w:t>
      </w:r>
      <w:r>
        <w:rPr>
          <w:rFonts w:hAnsi="宋体"/>
          <w:color w:val="auto"/>
          <w:sz w:val="24"/>
          <w:highlight w:val="none"/>
          <w:u w:val="single"/>
        </w:rPr>
        <w:fldChar w:fldCharType="end"/>
      </w:r>
      <w:r>
        <w:rPr>
          <w:rFonts w:hint="eastAsia" w:hAnsi="宋体"/>
          <w:color w:val="auto"/>
          <w:sz w:val="24"/>
          <w:highlight w:val="none"/>
          <w:u w:val="single"/>
        </w:rPr>
        <w:t xml:space="preserve">全过程各项活动的技术、经济和组织的综合性文件 </w:t>
      </w:r>
      <w:r>
        <w:rPr>
          <w:rFonts w:hint="eastAsia" w:hAnsi="宋体"/>
          <w:color w:val="auto"/>
          <w:sz w:val="24"/>
          <w:highlight w:val="none"/>
        </w:rPr>
        <w:t>。</w:t>
      </w:r>
    </w:p>
    <w:p>
      <w:pPr>
        <w:spacing w:line="420" w:lineRule="exact"/>
        <w:ind w:firstLine="480" w:firstLineChars="200"/>
        <w:rPr>
          <w:rFonts w:hint="eastAsia" w:hAnsi="宋体" w:cs="宋体"/>
          <w:color w:val="auto"/>
          <w:sz w:val="24"/>
          <w:highlight w:val="none"/>
          <w:u w:val="single"/>
        </w:rPr>
      </w:pPr>
      <w:r>
        <w:rPr>
          <w:rFonts w:hAnsi="宋体"/>
          <w:color w:val="auto"/>
          <w:sz w:val="24"/>
          <w:highlight w:val="none"/>
        </w:rPr>
        <w:t>1.1.2 合同当事人及其他相关方</w:t>
      </w:r>
      <w:r>
        <w:rPr>
          <w:rFonts w:hint="eastAsia" w:hAnsi="宋体"/>
          <w:color w:val="auto"/>
          <w:sz w:val="24"/>
          <w:highlight w:val="none"/>
          <w:lang w:eastAsia="zh-CN"/>
        </w:rPr>
        <w:t>：</w:t>
      </w:r>
      <w:r>
        <w:rPr>
          <w:rFonts w:hint="eastAsia" w:hAnsi="宋体" w:cs="宋体"/>
          <w:color w:val="auto"/>
          <w:sz w:val="24"/>
          <w:highlight w:val="none"/>
          <w:u w:val="single"/>
        </w:rPr>
        <w:t>财政局、审计局代表、甲方委托的造价咨询机构。</w:t>
      </w:r>
    </w:p>
    <w:p>
      <w:pPr>
        <w:spacing w:line="440" w:lineRule="exact"/>
        <w:ind w:firstLine="480" w:firstLineChars="200"/>
        <w:rPr>
          <w:rFonts w:hAnsi="宋体"/>
          <w:color w:val="auto"/>
          <w:sz w:val="24"/>
          <w:highlight w:val="none"/>
        </w:rPr>
      </w:pPr>
      <w:r>
        <w:rPr>
          <w:rFonts w:hAnsi="宋体"/>
          <w:color w:val="auto"/>
          <w:sz w:val="24"/>
          <w:highlight w:val="none"/>
        </w:rPr>
        <w:t>1.1.2.4监理人：</w:t>
      </w:r>
    </w:p>
    <w:p>
      <w:pPr>
        <w:spacing w:line="440" w:lineRule="exact"/>
        <w:ind w:firstLine="480" w:firstLineChars="200"/>
        <w:rPr>
          <w:rFonts w:hAnsi="宋体"/>
          <w:color w:val="auto"/>
          <w:sz w:val="24"/>
          <w:highlight w:val="none"/>
        </w:rPr>
      </w:pPr>
      <w:r>
        <w:rPr>
          <w:rFonts w:hAnsi="宋体"/>
          <w:color w:val="auto"/>
          <w:sz w:val="24"/>
          <w:highlight w:val="none"/>
        </w:rPr>
        <w:t>名    称：</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资质类别和等级：</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1.1.2.5 设计人：</w:t>
      </w:r>
    </w:p>
    <w:p>
      <w:pPr>
        <w:spacing w:line="440" w:lineRule="exact"/>
        <w:ind w:firstLine="480" w:firstLineChars="200"/>
        <w:rPr>
          <w:rFonts w:hAnsi="宋体"/>
          <w:color w:val="auto"/>
          <w:sz w:val="24"/>
          <w:highlight w:val="none"/>
        </w:rPr>
      </w:pPr>
      <w:r>
        <w:rPr>
          <w:rFonts w:hAnsi="宋体"/>
          <w:color w:val="auto"/>
          <w:sz w:val="24"/>
          <w:highlight w:val="none"/>
        </w:rPr>
        <w:t>名    称：</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资质类别和等级：</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1.1.3 工程和设备</w:t>
      </w:r>
    </w:p>
    <w:p>
      <w:pPr>
        <w:spacing w:line="440" w:lineRule="exact"/>
        <w:ind w:firstLine="480" w:firstLineChars="200"/>
        <w:rPr>
          <w:rFonts w:hAnsi="宋体"/>
          <w:color w:val="auto"/>
          <w:sz w:val="24"/>
          <w:highlight w:val="none"/>
          <w:u w:val="single"/>
        </w:rPr>
      </w:pPr>
      <w:r>
        <w:rPr>
          <w:rFonts w:hAnsi="宋体"/>
          <w:color w:val="auto"/>
          <w:sz w:val="24"/>
          <w:highlight w:val="none"/>
        </w:rPr>
        <w:t>1.1.3.7 作为施工现场组成部分的其他场所包括：</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1.1.3.9 永久占地包括：</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kern w:val="0"/>
          <w:sz w:val="24"/>
          <w:highlight w:val="none"/>
        </w:rPr>
        <w:t>1.1.3.10 临时占地包括：</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 xml:space="preserve">1.3法律 </w:t>
      </w:r>
    </w:p>
    <w:p>
      <w:pPr>
        <w:adjustRightInd/>
        <w:spacing w:line="400" w:lineRule="exact"/>
        <w:ind w:firstLine="475" w:firstLineChars="198"/>
        <w:rPr>
          <w:rFonts w:ascii="宋体" w:hAnsi="宋体" w:cs="宋体"/>
          <w:b/>
          <w:bCs/>
          <w:color w:val="auto"/>
          <w:sz w:val="24"/>
          <w:szCs w:val="24"/>
          <w:highlight w:val="none"/>
          <w:u w:val="single"/>
        </w:rPr>
      </w:pPr>
      <w:r>
        <w:rPr>
          <w:rFonts w:hAnsi="宋体"/>
          <w:color w:val="auto"/>
          <w:sz w:val="24"/>
          <w:highlight w:val="none"/>
        </w:rPr>
        <w:t>适用于合同的其他规范性文件：</w:t>
      </w:r>
      <w:r>
        <w:rPr>
          <w:rFonts w:hint="eastAsia" w:ascii="宋体" w:hAnsi="宋体" w:cs="宋体"/>
          <w:b/>
          <w:bCs/>
          <w:color w:val="auto"/>
          <w:sz w:val="24"/>
          <w:szCs w:val="24"/>
          <w:highlight w:val="none"/>
          <w:u w:val="single"/>
        </w:rPr>
        <w:t>1.3.1  杭州市建设工程工程量清单计价实施细则》(杭建市发〔2018〕578号)；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1.3.2  《关于进一步加强杭州市建设工程市场要素价格动态管理的指导意见》（杭建市发〔2018〕579号）；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1.3.3  省市建设行政部门颁发的其他现行有效文件(包括但不仅限于以下文件)：</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（1）《关于转发省建设厅&lt;关于进一步加强建筑施工领域企业安全生产工作的实施意见&gt;的通知》（杭建工发〔2011〕130号）；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（2）《关于进一步加强建设工程安全质量物联网管理应用平台建设的通知》（杭建工发〔2012〕426号）；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（3）《关于开展建筑工程扬尘在线监测设施安装工作的通知》（杭建工〔2019〕103号）；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（4）《关于巩固G20杭州峰会成果进一步加强建设工程文明施工管理的若干意见》（杭建工发〔2017〕112号）；</w:t>
      </w:r>
    </w:p>
    <w:p>
      <w:pPr>
        <w:adjustRightInd/>
        <w:spacing w:line="400" w:lineRule="exact"/>
        <w:ind w:firstLine="477" w:firstLineChars="198"/>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（5）《杭州市建设领域农民工“无欠薪”管理实施细则（试行）》（杭建市〔2018〕161号）；</w:t>
      </w:r>
    </w:p>
    <w:p>
      <w:pPr>
        <w:adjustRightInd/>
        <w:spacing w:line="400" w:lineRule="exact"/>
        <w:ind w:firstLine="477" w:firstLineChars="198"/>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（6）其他：</w:t>
      </w:r>
      <w:r>
        <w:rPr>
          <w:rFonts w:hint="eastAsia" w:ascii="宋体" w:hAnsi="宋体" w:cs="宋体"/>
          <w:b/>
          <w:bCs/>
          <w:color w:val="auto"/>
          <w:sz w:val="24"/>
          <w:szCs w:val="24"/>
          <w:highlight w:val="none"/>
          <w:u w:val="single"/>
        </w:rPr>
        <w:t xml:space="preserve"> 《中华人民共和国</w:t>
      </w:r>
      <w:r>
        <w:rPr>
          <w:rFonts w:hint="eastAsia" w:ascii="宋体" w:hAnsi="宋体" w:cs="宋体"/>
          <w:b/>
          <w:bCs/>
          <w:color w:val="auto"/>
          <w:sz w:val="24"/>
          <w:szCs w:val="24"/>
          <w:highlight w:val="none"/>
          <w:u w:val="single"/>
          <w:lang w:eastAsia="zh-CN"/>
        </w:rPr>
        <w:t>民法典</w:t>
      </w:r>
      <w:r>
        <w:rPr>
          <w:rFonts w:hint="eastAsia" w:ascii="宋体" w:hAnsi="宋体" w:cs="宋体"/>
          <w:b/>
          <w:bCs/>
          <w:color w:val="auto"/>
          <w:sz w:val="24"/>
          <w:szCs w:val="24"/>
          <w:highlight w:val="none"/>
          <w:u w:val="single"/>
        </w:rPr>
        <w:t>》、《中华人民共和国招标投标法》、《浙江省建设工程计价规则》、中华人民共和国《建设工程安全生产管理条例》《建设工程质量检验评定标准》等国家现行法律法规及省、杭州市、临安区颁发的相关规范性文件。</w:t>
      </w:r>
    </w:p>
    <w:p>
      <w:pPr>
        <w:adjustRightInd/>
        <w:spacing w:line="400" w:lineRule="exact"/>
        <w:ind w:firstLine="477" w:firstLineChars="198"/>
        <w:rPr>
          <w:rFonts w:ascii="宋体" w:hAnsi="宋体" w:cs="宋体"/>
          <w:b/>
          <w:bCs/>
          <w:color w:val="auto"/>
          <w:sz w:val="24"/>
          <w:szCs w:val="24"/>
          <w:highlight w:val="none"/>
        </w:rPr>
      </w:pPr>
      <w:r>
        <w:rPr>
          <w:rFonts w:hint="eastAsia" w:ascii="宋体" w:hAnsi="宋体" w:cs="宋体"/>
          <w:b/>
          <w:bCs/>
          <w:color w:val="auto"/>
          <w:sz w:val="24"/>
          <w:szCs w:val="24"/>
          <w:highlight w:val="none"/>
        </w:rPr>
        <w:t>1.3.4  新工艺、新技术的约定：</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pPr>
        <w:adjustRightInd/>
        <w:spacing w:line="400" w:lineRule="exact"/>
        <w:ind w:firstLine="477" w:firstLineChars="198"/>
        <w:rPr>
          <w:rFonts w:ascii="宋体" w:hAnsi="宋体" w:cs="宋体"/>
          <w:b/>
          <w:bCs/>
          <w:color w:val="auto"/>
          <w:sz w:val="24"/>
          <w:szCs w:val="24"/>
          <w:highlight w:val="none"/>
        </w:rPr>
      </w:pPr>
      <w:r>
        <w:rPr>
          <w:rFonts w:hint="eastAsia" w:ascii="宋体" w:hAnsi="宋体" w:cs="宋体"/>
          <w:b/>
          <w:bCs/>
          <w:color w:val="auto"/>
          <w:sz w:val="24"/>
          <w:szCs w:val="24"/>
          <w:highlight w:val="none"/>
        </w:rPr>
        <w:t>1.3.5  其他</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1.4 标准和规范</w:t>
      </w:r>
    </w:p>
    <w:p>
      <w:pPr>
        <w:spacing w:line="420" w:lineRule="exact"/>
        <w:ind w:firstLine="480" w:firstLineChars="200"/>
        <w:rPr>
          <w:rFonts w:hint="eastAsia" w:hAnsi="宋体" w:cs="宋体"/>
          <w:color w:val="auto"/>
          <w:sz w:val="24"/>
          <w:highlight w:val="none"/>
        </w:rPr>
      </w:pPr>
      <w:r>
        <w:rPr>
          <w:rFonts w:hAnsi="宋体"/>
          <w:color w:val="auto"/>
          <w:sz w:val="24"/>
          <w:highlight w:val="none"/>
        </w:rPr>
        <w:t>1.4.1适用于工程的标准规范包括：</w:t>
      </w:r>
      <w:r>
        <w:rPr>
          <w:rFonts w:hint="eastAsia" w:hAnsi="宋体" w:cs="宋体"/>
          <w:b/>
          <w:bCs/>
          <w:color w:val="auto"/>
          <w:sz w:val="24"/>
          <w:highlight w:val="none"/>
          <w:u w:val="single"/>
        </w:rPr>
        <w:t>（1）按通用条款约定；</w:t>
      </w:r>
    </w:p>
    <w:p>
      <w:pPr>
        <w:spacing w:line="440" w:lineRule="exact"/>
        <w:ind w:firstLine="480" w:firstLineChars="200"/>
        <w:rPr>
          <w:rFonts w:hAnsi="宋体"/>
          <w:color w:val="auto"/>
          <w:sz w:val="24"/>
          <w:highlight w:val="none"/>
          <w:u w:val="single"/>
        </w:rPr>
      </w:pPr>
      <w:r>
        <w:rPr>
          <w:rFonts w:hint="eastAsia" w:hAnsi="宋体"/>
          <w:color w:val="auto"/>
          <w:sz w:val="24"/>
          <w:highlight w:val="none"/>
          <w:u w:val="single"/>
        </w:rPr>
        <w:t>执行国家、省、市及行业现行的有关规范标准、规程。并按如下办法确定适用的标准、规范：“现行标准、规范及有关技术说明”与“合同图纸”之间出现歧义或矛盾时，施工质量要求或工艺标准以两者之间相对较高的为准。“合同图纸”不符合“现行标准，规范及有关技术说明”，承包人有义务及时向发包人提出；标准、规范及有关技术说明有出入的以严格的为准，颁布时间有前后的，以新的为准。</w:t>
      </w:r>
    </w:p>
    <w:p>
      <w:pPr>
        <w:spacing w:line="440" w:lineRule="exact"/>
        <w:ind w:firstLine="480" w:firstLineChars="200"/>
        <w:rPr>
          <w:rFonts w:hAnsi="宋体"/>
          <w:color w:val="auto"/>
          <w:kern w:val="0"/>
          <w:sz w:val="24"/>
          <w:highlight w:val="none"/>
        </w:rPr>
      </w:pPr>
      <w:r>
        <w:rPr>
          <w:rFonts w:hAnsi="宋体"/>
          <w:color w:val="auto"/>
          <w:kern w:val="0"/>
          <w:sz w:val="24"/>
          <w:highlight w:val="none"/>
        </w:rPr>
        <w:t>1.4.2 发包人提供国外标准、规范的名称：</w:t>
      </w:r>
      <w:r>
        <w:rPr>
          <w:rFonts w:hint="eastAsia" w:hAnsi="宋体"/>
          <w:color w:val="auto"/>
          <w:sz w:val="24"/>
          <w:highlight w:val="none"/>
          <w:u w:val="single"/>
        </w:rPr>
        <w:t xml:space="preserve">承包人自备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发包人提供国外标准、规范的份数：</w:t>
      </w:r>
      <w:r>
        <w:rPr>
          <w:rFonts w:hAnsi="宋体"/>
          <w:color w:val="auto"/>
          <w:kern w:val="0"/>
          <w:sz w:val="24"/>
          <w:highlight w:val="none"/>
          <w:u w:val="single"/>
        </w:rPr>
        <w:t xml:space="preserve">  </w:t>
      </w:r>
      <w:r>
        <w:rPr>
          <w:rFonts w:hint="eastAsia" w:hAnsi="宋体"/>
          <w:color w:val="auto"/>
          <w:sz w:val="24"/>
          <w:highlight w:val="none"/>
          <w:u w:val="single"/>
        </w:rPr>
        <w:t>承包人自备</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kern w:val="0"/>
          <w:sz w:val="24"/>
          <w:highlight w:val="none"/>
        </w:rPr>
        <w:t>发包人提供国外标准、规范的</w:t>
      </w:r>
      <w:r>
        <w:rPr>
          <w:rFonts w:hint="eastAsia" w:hAnsi="宋体"/>
          <w:color w:val="auto"/>
          <w:kern w:val="0"/>
          <w:sz w:val="24"/>
          <w:highlight w:val="none"/>
        </w:rPr>
        <w:t>时间</w:t>
      </w:r>
      <w:r>
        <w:rPr>
          <w:rFonts w:hAnsi="宋体"/>
          <w:color w:val="auto"/>
          <w:kern w:val="0"/>
          <w:sz w:val="24"/>
          <w:highlight w:val="none"/>
        </w:rPr>
        <w:t>：</w:t>
      </w:r>
      <w:r>
        <w:rPr>
          <w:rFonts w:hint="eastAsia" w:hAnsi="宋体"/>
          <w:color w:val="auto"/>
          <w:kern w:val="0"/>
          <w:sz w:val="24"/>
          <w:highlight w:val="none"/>
          <w:u w:val="single"/>
        </w:rPr>
        <w:t xml:space="preserve">  </w:t>
      </w:r>
      <w:r>
        <w:rPr>
          <w:rFonts w:hint="eastAsia" w:hAnsi="宋体"/>
          <w:color w:val="auto"/>
          <w:sz w:val="24"/>
          <w:highlight w:val="none"/>
          <w:u w:val="single"/>
        </w:rPr>
        <w:t>承包人自备</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pStyle w:val="2"/>
        <w:snapToGrid w:val="0"/>
        <w:spacing w:line="440" w:lineRule="exact"/>
        <w:ind w:firstLine="480"/>
        <w:outlineLvl w:val="0"/>
        <w:rPr>
          <w:rFonts w:hint="eastAsia"/>
          <w:color w:val="auto"/>
          <w:highlight w:val="none"/>
          <w:u w:val="single"/>
        </w:rPr>
      </w:pPr>
      <w:r>
        <w:rPr>
          <w:color w:val="auto"/>
          <w:sz w:val="24"/>
          <w:szCs w:val="24"/>
          <w:highlight w:val="none"/>
        </w:rPr>
        <w:t>1.4.3发包人对工程的技术标准和功能要求的特殊要求</w:t>
      </w:r>
      <w:r>
        <w:rPr>
          <w:rFonts w:hint="eastAsia"/>
          <w:color w:val="auto"/>
          <w:sz w:val="24"/>
          <w:szCs w:val="24"/>
          <w:highlight w:val="none"/>
        </w:rPr>
        <w:t>：</w:t>
      </w:r>
      <w:r>
        <w:rPr>
          <w:rFonts w:hint="eastAsia"/>
          <w:color w:val="auto"/>
          <w:sz w:val="24"/>
          <w:szCs w:val="24"/>
          <w:highlight w:val="none"/>
          <w:u w:val="single"/>
        </w:rPr>
        <w:t>由承包人、设计人、监理单位、发包人共同商定，报质监部门认可</w:t>
      </w:r>
      <w:r>
        <w:rPr>
          <w:rFonts w:hint="eastAsia"/>
          <w:bCs/>
          <w:color w:val="auto"/>
          <w:sz w:val="24"/>
          <w:szCs w:val="24"/>
          <w:highlight w:val="none"/>
          <w:u w:val="single"/>
        </w:rPr>
        <w:t xml:space="preserve"> 。</w:t>
      </w:r>
      <w:r>
        <w:rPr>
          <w:color w:val="auto"/>
          <w:sz w:val="24"/>
          <w:szCs w:val="24"/>
          <w:highlight w:val="none"/>
          <w:u w:val="singl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1.5 合同文件的优先顺序</w:t>
      </w:r>
    </w:p>
    <w:p>
      <w:pPr>
        <w:autoSpaceDE w:val="0"/>
        <w:autoSpaceDN w:val="0"/>
        <w:adjustRightInd w:val="0"/>
        <w:spacing w:line="440" w:lineRule="exact"/>
        <w:ind w:firstLine="480" w:firstLineChars="200"/>
        <w:rPr>
          <w:rFonts w:hint="eastAsia" w:hAnsi="宋体"/>
          <w:color w:val="auto"/>
          <w:kern w:val="0"/>
          <w:sz w:val="24"/>
          <w:highlight w:val="none"/>
          <w:u w:val="single"/>
        </w:rPr>
      </w:pPr>
      <w:r>
        <w:rPr>
          <w:color w:val="auto"/>
          <w:sz w:val="24"/>
          <w:highlight w:val="none"/>
        </w:rPr>
        <w:t>合同文件组成及优先顺序为：</w:t>
      </w:r>
      <w:r>
        <w:rPr>
          <w:rFonts w:hint="eastAsia" w:hAnsi="宋体"/>
          <w:color w:val="auto"/>
          <w:kern w:val="0"/>
          <w:sz w:val="24"/>
          <w:highlight w:val="none"/>
          <w:u w:val="single"/>
        </w:rPr>
        <w:t xml:space="preserve">（1）合同协议书；（2）中标通知书；（3）投标函及其附录（如果有）；（4）专用合同条款及其附件；（5）通用合同条款；（6）技术标准和要求；（7）图纸；（8）已标价工程量清单或预算书；（9）其他合同文件：①施工组织设计；②其他：     </w:t>
      </w:r>
    </w:p>
    <w:p>
      <w:pPr>
        <w:spacing w:line="440" w:lineRule="exact"/>
        <w:ind w:firstLine="480" w:firstLineChars="200"/>
        <w:rPr>
          <w:color w:val="auto"/>
          <w:sz w:val="24"/>
          <w:highlight w:val="none"/>
        </w:rPr>
      </w:pPr>
      <w:r>
        <w:rPr>
          <w:color w:val="auto"/>
          <w:sz w:val="24"/>
          <w:highlight w:val="none"/>
        </w:rPr>
        <w:t>1.6 图纸和承包人文件</w:t>
      </w:r>
      <w:r>
        <w:rPr>
          <w:color w:val="auto"/>
          <w:sz w:val="24"/>
          <w:highlight w:val="none"/>
        </w:rPr>
        <w:tab/>
      </w:r>
    </w:p>
    <w:p>
      <w:pPr>
        <w:spacing w:line="440" w:lineRule="exact"/>
        <w:ind w:firstLine="480" w:firstLineChars="200"/>
        <w:rPr>
          <w:rFonts w:hAnsi="宋体"/>
          <w:color w:val="auto"/>
          <w:sz w:val="24"/>
          <w:highlight w:val="none"/>
        </w:rPr>
      </w:pPr>
      <w:r>
        <w:rPr>
          <w:rFonts w:hAnsi="宋体"/>
          <w:color w:val="auto"/>
          <w:sz w:val="24"/>
          <w:highlight w:val="none"/>
        </w:rPr>
        <w:t>1.6.1 图纸的提供</w:t>
      </w:r>
    </w:p>
    <w:p>
      <w:pPr>
        <w:pStyle w:val="2"/>
        <w:snapToGrid w:val="0"/>
        <w:spacing w:line="440" w:lineRule="exact"/>
        <w:ind w:firstLine="480"/>
        <w:rPr>
          <w:rFonts w:hint="eastAsia"/>
          <w:color w:val="auto"/>
          <w:sz w:val="24"/>
          <w:szCs w:val="24"/>
          <w:highlight w:val="none"/>
          <w:u w:val="single"/>
        </w:rPr>
      </w:pPr>
      <w:r>
        <w:rPr>
          <w:color w:val="auto"/>
          <w:sz w:val="24"/>
          <w:szCs w:val="24"/>
          <w:highlight w:val="none"/>
        </w:rPr>
        <w:t>发包人向承包人提供图纸的期限：</w:t>
      </w:r>
      <w:r>
        <w:rPr>
          <w:rFonts w:hint="eastAsia"/>
          <w:color w:val="auto"/>
          <w:sz w:val="24"/>
          <w:szCs w:val="24"/>
          <w:highlight w:val="none"/>
          <w:u w:val="single"/>
        </w:rPr>
        <w:t>合同签订后；</w:t>
      </w:r>
    </w:p>
    <w:p>
      <w:pPr>
        <w:spacing w:line="440" w:lineRule="exact"/>
        <w:ind w:firstLine="480" w:firstLineChars="200"/>
        <w:rPr>
          <w:rFonts w:hAnsi="宋体"/>
          <w:color w:val="auto"/>
          <w:sz w:val="24"/>
          <w:highlight w:val="none"/>
        </w:rPr>
      </w:pPr>
      <w:r>
        <w:rPr>
          <w:rFonts w:hAnsi="宋体"/>
          <w:color w:val="auto"/>
          <w:sz w:val="24"/>
          <w:highlight w:val="none"/>
        </w:rPr>
        <w:t>发包人向承包人提供图纸的数量：</w:t>
      </w:r>
      <w:r>
        <w:rPr>
          <w:rFonts w:hint="eastAsia" w:hAnsi="宋体"/>
          <w:color w:val="auto"/>
          <w:sz w:val="24"/>
          <w:highlight w:val="none"/>
          <w:u w:val="single"/>
        </w:rPr>
        <w:t>叁 套</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发包人向承包人提供图纸的内容：</w:t>
      </w:r>
      <w:r>
        <w:rPr>
          <w:rFonts w:hint="eastAsia" w:hAnsi="宋体"/>
          <w:color w:val="auto"/>
          <w:sz w:val="24"/>
          <w:highlight w:val="none"/>
          <w:u w:val="single"/>
        </w:rPr>
        <w:t>施工图</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1.6.4 承包人文件</w:t>
      </w:r>
    </w:p>
    <w:p>
      <w:pPr>
        <w:spacing w:line="440" w:lineRule="exact"/>
        <w:ind w:firstLine="480" w:firstLineChars="200"/>
        <w:rPr>
          <w:rFonts w:hint="eastAsia" w:hAnsi="宋体" w:cs="宋体"/>
          <w:color w:val="auto"/>
          <w:sz w:val="24"/>
          <w:highlight w:val="none"/>
          <w:u w:val="single"/>
        </w:rPr>
      </w:pPr>
      <w:r>
        <w:rPr>
          <w:rFonts w:hAnsi="宋体"/>
          <w:color w:val="auto"/>
          <w:sz w:val="24"/>
          <w:highlight w:val="none"/>
        </w:rPr>
        <w:t>需要由承包人提供的文件，包括：</w:t>
      </w:r>
      <w:r>
        <w:rPr>
          <w:rFonts w:hint="eastAsia" w:hAnsi="宋体" w:cs="宋体"/>
          <w:color w:val="auto"/>
          <w:sz w:val="24"/>
          <w:highlight w:val="none"/>
          <w:u w:val="single"/>
        </w:rPr>
        <w:t>提供施工组织计划和进度计划以及材料供应计划等，并上报项目班子人员名单。如工程师另有要求时，还应按工程师指定的进度提交单位工程的进度计划；总体施工计划（网络图和横道图均需标示关键线路）于工程开工前七天提供3套。</w:t>
      </w:r>
    </w:p>
    <w:p>
      <w:pPr>
        <w:spacing w:line="440" w:lineRule="exact"/>
        <w:ind w:firstLine="480" w:firstLineChars="200"/>
        <w:rPr>
          <w:rFonts w:hint="eastAsia" w:hAnsi="宋体" w:cs="宋体"/>
          <w:color w:val="auto"/>
          <w:sz w:val="24"/>
          <w:highlight w:val="none"/>
          <w:u w:val="single"/>
        </w:rPr>
      </w:pPr>
      <w:r>
        <w:rPr>
          <w:rFonts w:hint="eastAsia" w:hAnsi="宋体" w:cs="宋体"/>
          <w:color w:val="auto"/>
          <w:sz w:val="24"/>
          <w:highlight w:val="none"/>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p>
    <w:p>
      <w:pPr>
        <w:spacing w:line="440" w:lineRule="exact"/>
        <w:ind w:firstLine="480" w:firstLineChars="200"/>
        <w:rPr>
          <w:rFonts w:hAnsi="宋体"/>
          <w:color w:val="auto"/>
          <w:sz w:val="24"/>
          <w:highlight w:val="none"/>
        </w:rPr>
      </w:pPr>
      <w:r>
        <w:rPr>
          <w:rFonts w:hAnsi="宋体"/>
          <w:color w:val="auto"/>
          <w:sz w:val="24"/>
          <w:highlight w:val="none"/>
        </w:rPr>
        <w:t>承包人提供的文件的期限为：</w:t>
      </w:r>
      <w:r>
        <w:rPr>
          <w:rFonts w:hint="eastAsia" w:hAnsi="宋体"/>
          <w:color w:val="auto"/>
          <w:sz w:val="24"/>
          <w:highlight w:val="none"/>
          <w:u w:val="single"/>
        </w:rPr>
        <w:t>合同签订后七天内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承包人提供的文件的数量为：</w:t>
      </w:r>
      <w:r>
        <w:rPr>
          <w:rFonts w:hint="eastAsia" w:hAnsi="宋体"/>
          <w:color w:val="auto"/>
          <w:sz w:val="24"/>
          <w:highlight w:val="none"/>
          <w:u w:val="single"/>
        </w:rPr>
        <w:t>竣工资料五套，电子文档</w:t>
      </w:r>
      <w:r>
        <w:rPr>
          <w:rFonts w:hint="eastAsia" w:hAnsi="宋体"/>
          <w:color w:val="auto"/>
          <w:sz w:val="24"/>
          <w:szCs w:val="24"/>
          <w:highlight w:val="none"/>
          <w:u w:val="single"/>
        </w:rPr>
        <w:t>（竣工图）</w:t>
      </w:r>
      <w:r>
        <w:rPr>
          <w:rFonts w:hint="eastAsia" w:hAnsi="宋体"/>
          <w:color w:val="auto"/>
          <w:sz w:val="24"/>
          <w:highlight w:val="none"/>
          <w:u w:val="single"/>
        </w:rPr>
        <w:t>光盘二份</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承包人提供的文件的形式为：</w:t>
      </w:r>
      <w:r>
        <w:rPr>
          <w:rFonts w:hint="eastAsia" w:hAnsi="宋体"/>
          <w:color w:val="auto"/>
          <w:sz w:val="24"/>
          <w:highlight w:val="none"/>
          <w:u w:val="single"/>
        </w:rPr>
        <w:t>纸质文本</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w:t>
      </w:r>
      <w:r>
        <w:rPr>
          <w:rFonts w:hint="eastAsia" w:hAnsi="宋体"/>
          <w:color w:val="auto"/>
          <w:sz w:val="24"/>
          <w:highlight w:val="none"/>
        </w:rPr>
        <w:t>审批</w:t>
      </w:r>
      <w:r>
        <w:rPr>
          <w:rFonts w:hAnsi="宋体"/>
          <w:color w:val="auto"/>
          <w:sz w:val="24"/>
          <w:highlight w:val="none"/>
        </w:rPr>
        <w:t>承包人文件的期限：</w:t>
      </w:r>
      <w:r>
        <w:rPr>
          <w:rFonts w:hint="eastAsia" w:hAnsi="宋体"/>
          <w:color w:val="auto"/>
          <w:sz w:val="24"/>
          <w:highlight w:val="none"/>
          <w:u w:val="single"/>
        </w:rPr>
        <w:t>7天内</w:t>
      </w:r>
      <w:r>
        <w:rPr>
          <w:rFonts w:hAnsi="宋体"/>
          <w:color w:val="auto"/>
          <w:sz w:val="24"/>
          <w:highlight w:val="none"/>
        </w:rPr>
        <w:t>。</w:t>
      </w:r>
    </w:p>
    <w:p>
      <w:pPr>
        <w:spacing w:line="440" w:lineRule="exact"/>
        <w:ind w:firstLine="480" w:firstLineChars="200"/>
        <w:rPr>
          <w:rFonts w:hint="eastAsia" w:hAnsi="宋体" w:eastAsia="宋体"/>
          <w:color w:val="auto"/>
          <w:sz w:val="24"/>
          <w:highlight w:val="none"/>
          <w:lang w:val="en-US" w:eastAsia="zh-CN"/>
        </w:rPr>
      </w:pPr>
      <w:r>
        <w:rPr>
          <w:rFonts w:hAnsi="宋体"/>
          <w:color w:val="auto"/>
          <w:sz w:val="24"/>
          <w:highlight w:val="none"/>
        </w:rPr>
        <w:t>1.6.5 现场图纸准备</w:t>
      </w:r>
      <w:r>
        <w:rPr>
          <w:rFonts w:hint="eastAsia" w:hAnsi="宋体"/>
          <w:color w:val="auto"/>
          <w:sz w:val="24"/>
          <w:highlight w:val="none"/>
          <w:lang w:val="en-US" w:eastAsia="zh-CN"/>
        </w:rPr>
        <w:t>.</w:t>
      </w:r>
    </w:p>
    <w:p>
      <w:pPr>
        <w:spacing w:line="440" w:lineRule="exact"/>
        <w:ind w:firstLine="480" w:firstLineChars="200"/>
        <w:rPr>
          <w:rFonts w:hAnsi="宋体"/>
          <w:color w:val="auto"/>
          <w:sz w:val="24"/>
          <w:highlight w:val="none"/>
        </w:rPr>
      </w:pPr>
      <w:r>
        <w:rPr>
          <w:rFonts w:hAnsi="宋体"/>
          <w:color w:val="auto"/>
          <w:sz w:val="24"/>
          <w:highlight w:val="none"/>
        </w:rPr>
        <w:t>关于现场图纸准备的约定：</w:t>
      </w:r>
      <w:r>
        <w:rPr>
          <w:rFonts w:hint="eastAsia" w:hAnsi="宋体"/>
          <w:color w:val="auto"/>
          <w:sz w:val="24"/>
          <w:highlight w:val="none"/>
          <w:u w:val="single"/>
        </w:rPr>
        <w:t>由承包人保存</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1.7 联络</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1.7.1发包人和承包人应当在</w:t>
      </w:r>
      <w:r>
        <w:rPr>
          <w:rFonts w:hint="eastAsia" w:hAnsi="宋体"/>
          <w:color w:val="auto"/>
          <w:sz w:val="24"/>
          <w:highlight w:val="none"/>
          <w:u w:val="single"/>
        </w:rPr>
        <w:t>7</w:t>
      </w:r>
      <w:r>
        <w:rPr>
          <w:rFonts w:hAnsi="宋体"/>
          <w:color w:val="auto"/>
          <w:kern w:val="0"/>
          <w:sz w:val="24"/>
          <w:highlight w:val="none"/>
        </w:rPr>
        <w:t>天内将与合同有关的通知、批准、证明、证书、指示、指令、要求、请求、同意、意见、确定和决定等书面函件送达对方当事人</w:t>
      </w:r>
      <w:r>
        <w:rPr>
          <w:rFonts w:hint="eastAsia"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1.7.2 发包人接收文件的地点：</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发包人指定的接收人为：</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承包人接收文件的地点：</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承包人指定的接收人为：</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监理人接收文件的地点：</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监理人指定的接收人为：</w:t>
      </w:r>
      <w:r>
        <w:rPr>
          <w:rFonts w:hint="eastAsia" w:hAnsi="宋体" w:cs="宋体"/>
          <w:color w:val="auto"/>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1.10 交通运输</w:t>
      </w:r>
    </w:p>
    <w:p>
      <w:pPr>
        <w:spacing w:line="440" w:lineRule="exact"/>
        <w:ind w:firstLine="480" w:firstLineChars="200"/>
        <w:rPr>
          <w:rFonts w:hAnsi="宋体"/>
          <w:color w:val="auto"/>
          <w:sz w:val="24"/>
          <w:highlight w:val="none"/>
        </w:rPr>
      </w:pPr>
      <w:r>
        <w:rPr>
          <w:rFonts w:hAnsi="宋体"/>
          <w:color w:val="auto"/>
          <w:sz w:val="24"/>
          <w:highlight w:val="none"/>
        </w:rPr>
        <w:t>1</w:t>
      </w:r>
      <w:bookmarkStart w:id="419" w:name="_Toc312677986"/>
      <w:bookmarkStart w:id="420" w:name="_Toc304295521"/>
      <w:bookmarkStart w:id="421" w:name="_Toc300934943"/>
      <w:bookmarkStart w:id="422" w:name="_Toc303539100"/>
      <w:bookmarkStart w:id="423" w:name="_Toc318581155"/>
      <w:r>
        <w:rPr>
          <w:rFonts w:hAnsi="宋体"/>
          <w:color w:val="auto"/>
          <w:sz w:val="24"/>
          <w:highlight w:val="none"/>
        </w:rPr>
        <w:t>.10.1 出入现场的权利</w:t>
      </w:r>
    </w:p>
    <w:p>
      <w:pPr>
        <w:spacing w:line="440" w:lineRule="exact"/>
        <w:ind w:firstLine="480" w:firstLineChars="200"/>
        <w:rPr>
          <w:rFonts w:hAnsi="宋体"/>
          <w:color w:val="auto"/>
          <w:sz w:val="24"/>
          <w:highlight w:val="none"/>
          <w:u w:val="single"/>
        </w:rPr>
      </w:pPr>
      <w:r>
        <w:rPr>
          <w:rFonts w:hAnsi="宋体"/>
          <w:color w:val="auto"/>
          <w:sz w:val="24"/>
          <w:highlight w:val="none"/>
        </w:rPr>
        <w:t>关于出入现场的权利的约定：</w:t>
      </w:r>
      <w:r>
        <w:rPr>
          <w:rFonts w:hint="eastAsia" w:hAnsi="宋体"/>
          <w:color w:val="auto"/>
          <w:sz w:val="24"/>
          <w:highlight w:val="none"/>
          <w:u w:val="single"/>
        </w:rPr>
        <w:t>由承包人负责管理并承担费用</w:t>
      </w:r>
      <w:r>
        <w:rPr>
          <w:rFonts w:hAnsi="宋体"/>
          <w:color w:val="auto"/>
          <w:sz w:val="24"/>
          <w:highlight w:val="none"/>
        </w:rPr>
        <w:t>。</w:t>
      </w:r>
    </w:p>
    <w:bookmarkEnd w:id="419"/>
    <w:bookmarkEnd w:id="420"/>
    <w:bookmarkEnd w:id="421"/>
    <w:bookmarkEnd w:id="422"/>
    <w:bookmarkEnd w:id="423"/>
    <w:p>
      <w:pPr>
        <w:spacing w:line="440" w:lineRule="exact"/>
        <w:ind w:firstLine="480" w:firstLineChars="200"/>
        <w:rPr>
          <w:rFonts w:hAnsi="宋体"/>
          <w:color w:val="auto"/>
          <w:sz w:val="24"/>
          <w:highlight w:val="none"/>
        </w:rPr>
      </w:pPr>
      <w:r>
        <w:rPr>
          <w:rFonts w:hAnsi="宋体"/>
          <w:color w:val="auto"/>
          <w:sz w:val="24"/>
          <w:highlight w:val="none"/>
        </w:rPr>
        <w:t>1</w:t>
      </w:r>
      <w:bookmarkStart w:id="424" w:name="_Toc300934944"/>
      <w:bookmarkStart w:id="425" w:name="_Toc303539101"/>
      <w:bookmarkStart w:id="426" w:name="_Toc318581156"/>
      <w:bookmarkStart w:id="427" w:name="_Toc312677987"/>
      <w:bookmarkStart w:id="428" w:name="_Toc304295522"/>
      <w:r>
        <w:rPr>
          <w:rFonts w:hAnsi="宋体"/>
          <w:color w:val="auto"/>
          <w:sz w:val="24"/>
          <w:highlight w:val="none"/>
        </w:rPr>
        <w:t>.10.3 场内交通</w:t>
      </w:r>
    </w:p>
    <w:p>
      <w:pPr>
        <w:spacing w:line="440" w:lineRule="exact"/>
        <w:ind w:firstLine="480" w:firstLineChars="200"/>
        <w:rPr>
          <w:rFonts w:hAnsi="宋体"/>
          <w:color w:val="auto"/>
          <w:kern w:val="0"/>
          <w:sz w:val="24"/>
          <w:highlight w:val="none"/>
        </w:rPr>
      </w:pPr>
      <w:r>
        <w:rPr>
          <w:rFonts w:hAnsi="宋体"/>
          <w:color w:val="auto"/>
          <w:kern w:val="0"/>
          <w:sz w:val="24"/>
          <w:highlight w:val="none"/>
        </w:rPr>
        <w:t>关于场外交通和场内交通的边界的约定：</w:t>
      </w:r>
      <w:r>
        <w:rPr>
          <w:rFonts w:hint="eastAsia" w:hAnsi="宋体"/>
          <w:color w:val="auto"/>
          <w:sz w:val="24"/>
          <w:highlight w:val="none"/>
          <w:u w:val="single"/>
        </w:rPr>
        <w:t>由承包人负责管理并承担费用</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关于发包人向承包人免费提供满足工程施工需要的场内道路和交通设施的约定：</w:t>
      </w:r>
      <w:r>
        <w:rPr>
          <w:rFonts w:hint="eastAsia" w:hAnsi="宋体"/>
          <w:color w:val="auto"/>
          <w:sz w:val="24"/>
          <w:highlight w:val="none"/>
          <w:u w:val="single"/>
        </w:rPr>
        <w:t>均由承包人自行负责并承担费用</w:t>
      </w:r>
      <w:r>
        <w:rPr>
          <w:rFonts w:hAnsi="宋体"/>
          <w:color w:val="auto"/>
          <w:sz w:val="24"/>
          <w:highlight w:val="none"/>
        </w:rPr>
        <w:t>。</w:t>
      </w:r>
      <w:bookmarkEnd w:id="424"/>
      <w:bookmarkEnd w:id="425"/>
      <w:bookmarkEnd w:id="426"/>
      <w:bookmarkEnd w:id="427"/>
      <w:bookmarkEnd w:id="428"/>
      <w:r>
        <w:rPr>
          <w:rFonts w:hAnsi="宋体"/>
          <w:color w:val="auto"/>
          <w:sz w:val="24"/>
          <w:highlight w:val="none"/>
        </w:rPr>
        <w:t xml:space="preserve"> </w:t>
      </w:r>
      <w:bookmarkStart w:id="429" w:name="_Toc318581157"/>
    </w:p>
    <w:p>
      <w:pPr>
        <w:spacing w:line="440" w:lineRule="exact"/>
        <w:ind w:firstLine="480" w:firstLineChars="200"/>
        <w:rPr>
          <w:rFonts w:hAnsi="宋体"/>
          <w:color w:val="auto"/>
          <w:sz w:val="24"/>
          <w:highlight w:val="none"/>
        </w:rPr>
      </w:pPr>
      <w:r>
        <w:rPr>
          <w:rFonts w:hAnsi="宋体"/>
          <w:color w:val="auto"/>
          <w:sz w:val="24"/>
          <w:highlight w:val="none"/>
        </w:rPr>
        <w:t>1.10.4超大件和超重件的运输</w:t>
      </w:r>
    </w:p>
    <w:p>
      <w:pPr>
        <w:spacing w:line="440" w:lineRule="exact"/>
        <w:ind w:firstLine="480" w:firstLineChars="200"/>
        <w:rPr>
          <w:rFonts w:hAnsi="宋体"/>
          <w:color w:val="auto"/>
          <w:sz w:val="24"/>
          <w:highlight w:val="none"/>
        </w:rPr>
      </w:pPr>
      <w:r>
        <w:rPr>
          <w:rFonts w:hAnsi="宋体"/>
          <w:color w:val="auto"/>
          <w:sz w:val="24"/>
          <w:highlight w:val="none"/>
        </w:rPr>
        <w:t>运输超大件或超重件所需的道路和桥梁临时加固改造费用和其他有关费用由</w:t>
      </w:r>
      <w:r>
        <w:rPr>
          <w:rFonts w:hint="eastAsia" w:hAnsi="宋体"/>
          <w:color w:val="auto"/>
          <w:sz w:val="24"/>
          <w:highlight w:val="none"/>
          <w:u w:val="single"/>
        </w:rPr>
        <w:t>承包人</w:t>
      </w:r>
      <w:r>
        <w:rPr>
          <w:rFonts w:hAnsi="宋体"/>
          <w:color w:val="auto"/>
          <w:sz w:val="24"/>
          <w:highlight w:val="none"/>
        </w:rPr>
        <w:t>承担。</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本工程的超大件：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本工程的超重件：</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29"/>
    <w:p>
      <w:pPr>
        <w:spacing w:line="440" w:lineRule="exact"/>
        <w:ind w:firstLine="480" w:firstLineChars="200"/>
        <w:rPr>
          <w:rFonts w:hAnsi="宋体"/>
          <w:color w:val="auto"/>
          <w:sz w:val="24"/>
          <w:highlight w:val="none"/>
        </w:rPr>
      </w:pPr>
      <w:r>
        <w:rPr>
          <w:rFonts w:hAnsi="宋体"/>
          <w:color w:val="auto"/>
          <w:sz w:val="24"/>
          <w:highlight w:val="none"/>
        </w:rPr>
        <w:t>1.11 知识产权</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hAnsi="宋体"/>
          <w:color w:val="auto"/>
          <w:sz w:val="24"/>
          <w:highlight w:val="none"/>
          <w:u w:val="single"/>
        </w:rPr>
        <w:t>归发包人所有</w:t>
      </w:r>
      <w:r>
        <w:rPr>
          <w:rFonts w:hAnsi="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关于发包人提供的上述文件的使用限制的要求：</w:t>
      </w:r>
      <w:r>
        <w:rPr>
          <w:rFonts w:hint="eastAsia" w:hAnsi="宋体"/>
          <w:color w:val="auto"/>
          <w:sz w:val="24"/>
          <w:highlight w:val="none"/>
          <w:u w:val="single"/>
        </w:rPr>
        <w:t>须经发包人书面同意</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1.11.2 关于承包人为实施工程所编制文件的著作权的归属：</w:t>
      </w:r>
      <w:r>
        <w:rPr>
          <w:rFonts w:hint="eastAsia" w:hAnsi="宋体"/>
          <w:color w:val="auto"/>
          <w:sz w:val="24"/>
          <w:highlight w:val="none"/>
          <w:u w:val="single"/>
        </w:rPr>
        <w:t>归发包人</w:t>
      </w:r>
      <w:r>
        <w:rPr>
          <w:rFonts w:hAnsi="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关于承包人提供的上述文件的使用限制的要求：</w:t>
      </w:r>
      <w:r>
        <w:rPr>
          <w:rFonts w:hint="eastAsia" w:hAnsi="宋体"/>
          <w:color w:val="auto"/>
          <w:sz w:val="24"/>
          <w:highlight w:val="none"/>
          <w:u w:val="single"/>
        </w:rPr>
        <w:t>须经发包人书面同意</w:t>
      </w:r>
      <w:r>
        <w:rPr>
          <w:rFonts w:hAnsi="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sz w:val="24"/>
          <w:highlight w:val="none"/>
        </w:rPr>
        <w:t>1.11.4 承包人在施工过程中所采用的专利、专有技术、技术秘密的使用费的承担方式：</w:t>
      </w:r>
      <w:r>
        <w:rPr>
          <w:rFonts w:hint="eastAsia" w:hAnsi="宋体"/>
          <w:b/>
          <w:color w:val="auto"/>
          <w:sz w:val="24"/>
          <w:highlight w:val="none"/>
          <w:u w:val="single"/>
        </w:rPr>
        <w:t xml:space="preserve">（除发包人指明外）承包人在施工过程中所采用的专利、专有技术、技术秘密的使用费包含在合同价款内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1.13工程量清单错误的修正</w:t>
      </w:r>
    </w:p>
    <w:p>
      <w:pPr>
        <w:spacing w:line="440" w:lineRule="exact"/>
        <w:ind w:firstLine="480" w:firstLineChars="200"/>
        <w:rPr>
          <w:rFonts w:hint="eastAsia" w:hAnsi="宋体"/>
          <w:color w:val="auto"/>
          <w:kern w:val="0"/>
          <w:sz w:val="24"/>
          <w:highlight w:val="none"/>
        </w:rPr>
      </w:pPr>
      <w:r>
        <w:rPr>
          <w:rFonts w:hint="eastAsia" w:hAnsi="宋体"/>
          <w:color w:val="auto"/>
          <w:sz w:val="24"/>
          <w:highlight w:val="none"/>
        </w:rPr>
        <w:t>出现工程量清单错误时，是否调整合同价格：</w:t>
      </w:r>
      <w:r>
        <w:rPr>
          <w:rFonts w:hint="eastAsia" w:hAnsi="宋体"/>
          <w:b/>
          <w:color w:val="auto"/>
          <w:sz w:val="24"/>
          <w:highlight w:val="none"/>
          <w:u w:val="single"/>
        </w:rPr>
        <w:t xml:space="preserve"> </w:t>
      </w:r>
      <w:r>
        <w:rPr>
          <w:rFonts w:hint="eastAsia" w:hAnsi="宋体" w:cs="宋体"/>
          <w:color w:val="auto"/>
          <w:sz w:val="24"/>
          <w:highlight w:val="none"/>
          <w:u w:val="single"/>
        </w:rPr>
        <w:t xml:space="preserve">工程量确有错误的，工程量经相关部门对工程结算审核确认后调整  </w:t>
      </w:r>
      <w:r>
        <w:rPr>
          <w:rFonts w:hint="eastAsia" w:hAnsi="宋体" w:cs="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sz w:val="24"/>
          <w:highlight w:val="none"/>
        </w:rPr>
        <w:t>允许调整合同价格的工程量偏差范围：</w:t>
      </w:r>
      <w:r>
        <w:rPr>
          <w:rFonts w:hint="eastAsia" w:hAnsi="宋体"/>
          <w:color w:val="auto"/>
          <w:sz w:val="24"/>
          <w:highlight w:val="none"/>
          <w:u w:val="single"/>
        </w:rPr>
        <w:t>工程量按实结算，单价不变</w:t>
      </w:r>
      <w:r>
        <w:rPr>
          <w:rFonts w:hAnsi="宋体"/>
          <w:color w:val="auto"/>
          <w:kern w:val="0"/>
          <w:sz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调整合同价格的修正时间：</w:t>
      </w:r>
      <w:r>
        <w:rPr>
          <w:rFonts w:hint="eastAsia" w:ascii="宋体" w:hAnsi="宋体" w:eastAsia="宋体" w:cs="宋体"/>
          <w:b/>
          <w:bCs/>
          <w:color w:val="auto"/>
          <w:sz w:val="24"/>
          <w:szCs w:val="24"/>
          <w:highlight w:val="none"/>
          <w:u w:val="single"/>
        </w:rPr>
        <w:t xml:space="preserve">          </w:t>
      </w:r>
      <w:r>
        <w:rPr>
          <w:rFonts w:hint="eastAsia"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1.14 合同价款</w:t>
      </w:r>
    </w:p>
    <w:p>
      <w:pPr>
        <w:spacing w:line="440" w:lineRule="exact"/>
        <w:ind w:firstLine="480" w:firstLineChars="200"/>
        <w:rPr>
          <w:rFonts w:hAnsi="宋体"/>
          <w:color w:val="auto"/>
          <w:sz w:val="24"/>
          <w:highlight w:val="none"/>
          <w:u w:val="single"/>
        </w:rPr>
      </w:pPr>
      <w:r>
        <w:rPr>
          <w:rFonts w:hint="eastAsia" w:hAnsi="宋体"/>
          <w:color w:val="auto"/>
          <w:sz w:val="24"/>
          <w:highlight w:val="none"/>
          <w:u w:val="single"/>
        </w:rPr>
        <w:t>本合同为单价合同，工程量按实调整。合同价仅为进度款支付依据，最终结算价以建设单位委托的审价公司出具的审核报告为准。</w:t>
      </w:r>
    </w:p>
    <w:p>
      <w:pPr>
        <w:spacing w:line="440" w:lineRule="exact"/>
        <w:ind w:firstLine="480" w:firstLineChars="200"/>
        <w:rPr>
          <w:rFonts w:hint="eastAsia"/>
          <w:color w:val="auto"/>
          <w:sz w:val="24"/>
          <w:highlight w:val="none"/>
        </w:rPr>
      </w:pPr>
      <w:bookmarkStart w:id="430" w:name="_Toc351203634"/>
      <w:r>
        <w:rPr>
          <w:color w:val="auto"/>
          <w:sz w:val="24"/>
          <w:highlight w:val="none"/>
        </w:rPr>
        <w:t>2</w:t>
      </w:r>
      <w:bookmarkStart w:id="431" w:name="_Toc292559867"/>
      <w:bookmarkStart w:id="432" w:name="_Toc296944496"/>
      <w:bookmarkStart w:id="433" w:name="_Toc296346658"/>
      <w:bookmarkStart w:id="434" w:name="_Toc297120457"/>
      <w:bookmarkStart w:id="435" w:name="_Toc292559362"/>
      <w:bookmarkStart w:id="436" w:name="_Toc296891197"/>
      <w:bookmarkStart w:id="437" w:name="_Toc297048343"/>
      <w:bookmarkStart w:id="438" w:name="_Toc296890985"/>
      <w:bookmarkStart w:id="439" w:name="_Toc296347156"/>
      <w:bookmarkStart w:id="440" w:name="_Toc296503157"/>
      <w:r>
        <w:rPr>
          <w:color w:val="auto"/>
          <w:sz w:val="24"/>
          <w:highlight w:val="none"/>
        </w:rPr>
        <w:t>. 发包人</w:t>
      </w:r>
      <w:bookmarkEnd w:id="430"/>
    </w:p>
    <w:p>
      <w:pPr>
        <w:keepNext w:val="0"/>
        <w:keepLines w:val="0"/>
        <w:pageBreakBefore w:val="0"/>
        <w:widowControl w:val="0"/>
        <w:kinsoku/>
        <w:wordWrap/>
        <w:overflowPunct/>
        <w:topLinePunct w:val="0"/>
        <w:bidi w:val="0"/>
        <w:adjustRightInd/>
        <w:snapToGrid/>
        <w:spacing w:line="400" w:lineRule="exact"/>
        <w:ind w:firstLine="354" w:firstLineChars="147"/>
        <w:textAlignment w:val="auto"/>
        <w:rPr>
          <w:rFonts w:hint="eastAsia" w:ascii="宋体" w:hAnsi="宋体" w:eastAsia="宋体" w:cs="宋体"/>
          <w:b/>
          <w:bCs/>
          <w:color w:val="auto"/>
          <w:sz w:val="24"/>
          <w:szCs w:val="24"/>
          <w:highlight w:val="none"/>
        </w:rPr>
      </w:pPr>
      <w:r>
        <w:rPr>
          <w:rFonts w:hint="eastAsia" w:hAnsi="宋体"/>
          <w:b/>
          <w:color w:val="auto"/>
          <w:sz w:val="24"/>
          <w:highlight w:val="none"/>
        </w:rPr>
        <w:t>发包人应根据工程所需配备发包人代表，同时配备1-2名相关人员到岗履职。</w:t>
      </w:r>
      <w:r>
        <w:rPr>
          <w:rFonts w:hint="eastAsia" w:ascii="宋体" w:hAnsi="宋体" w:eastAsia="宋体" w:cs="宋体"/>
          <w:b/>
          <w:bCs/>
          <w:color w:val="auto"/>
          <w:sz w:val="24"/>
          <w:szCs w:val="24"/>
          <w:highlight w:val="none"/>
        </w:rPr>
        <w:t>发包人应做好承包人农民工工资保证金缴存情况的审核工作，督促未缴存农民工工资保证金的承包人及时缴存。</w:t>
      </w:r>
    </w:p>
    <w:bookmarkEnd w:id="431"/>
    <w:bookmarkEnd w:id="432"/>
    <w:bookmarkEnd w:id="433"/>
    <w:bookmarkEnd w:id="434"/>
    <w:bookmarkEnd w:id="435"/>
    <w:bookmarkEnd w:id="436"/>
    <w:bookmarkEnd w:id="437"/>
    <w:bookmarkEnd w:id="438"/>
    <w:bookmarkEnd w:id="439"/>
    <w:bookmarkEnd w:id="440"/>
    <w:p>
      <w:pPr>
        <w:spacing w:line="440" w:lineRule="exact"/>
        <w:ind w:firstLine="480" w:firstLineChars="200"/>
        <w:rPr>
          <w:rFonts w:hAnsi="宋体"/>
          <w:color w:val="auto"/>
          <w:sz w:val="24"/>
          <w:highlight w:val="none"/>
        </w:rPr>
      </w:pPr>
      <w:r>
        <w:rPr>
          <w:rFonts w:hAnsi="宋体"/>
          <w:color w:val="auto"/>
          <w:sz w:val="24"/>
          <w:highlight w:val="none"/>
        </w:rPr>
        <w:t>2.2 发包人代表</w:t>
      </w:r>
    </w:p>
    <w:p>
      <w:pPr>
        <w:spacing w:line="440" w:lineRule="exact"/>
        <w:ind w:firstLine="480" w:firstLineChars="200"/>
        <w:rPr>
          <w:rFonts w:hAnsi="宋体"/>
          <w:color w:val="auto"/>
          <w:sz w:val="24"/>
          <w:highlight w:val="none"/>
        </w:rPr>
      </w:pPr>
      <w:r>
        <w:rPr>
          <w:rFonts w:hAnsi="宋体"/>
          <w:color w:val="auto"/>
          <w:sz w:val="24"/>
          <w:highlight w:val="none"/>
        </w:rPr>
        <w:t>发包人代表：</w:t>
      </w:r>
    </w:p>
    <w:p>
      <w:pPr>
        <w:spacing w:line="440" w:lineRule="exact"/>
        <w:ind w:firstLine="480" w:firstLineChars="200"/>
        <w:rPr>
          <w:rFonts w:hAnsi="宋体"/>
          <w:color w:val="auto"/>
          <w:sz w:val="24"/>
          <w:highlight w:val="none"/>
        </w:rPr>
      </w:pPr>
      <w:r>
        <w:rPr>
          <w:rFonts w:hAnsi="宋体"/>
          <w:color w:val="auto"/>
          <w:sz w:val="24"/>
          <w:highlight w:val="none"/>
        </w:rPr>
        <w:t>姓    名：</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身份证号：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职    务：</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color w:val="auto"/>
          <w:sz w:val="24"/>
          <w:highlight w:val="none"/>
        </w:rPr>
      </w:pPr>
      <w:r>
        <w:rPr>
          <w:rFonts w:hAnsi="宋体"/>
          <w:color w:val="auto"/>
          <w:sz w:val="24"/>
          <w:highlight w:val="none"/>
        </w:rPr>
        <w:t>发包人对发包人代表的授权范围如下：</w:t>
      </w:r>
      <w:r>
        <w:rPr>
          <w:rFonts w:hint="eastAsia" w:hAnsi="宋体"/>
          <w:color w:val="auto"/>
          <w:sz w:val="24"/>
          <w:highlight w:val="none"/>
          <w:u w:val="single"/>
        </w:rPr>
        <w:t>对工程进度、质量、成本及合同执行情况进行监督和检查，负责设计问题的联络处理，代表发包人履行设计变更、联系单及工程进度款的签证等职责（以上需经工程师核定签字，并由发包方盖章后方为有效。详细的权限根据发包人公司相关制度的规定）。</w:t>
      </w:r>
    </w:p>
    <w:p>
      <w:pPr>
        <w:spacing w:line="440" w:lineRule="exact"/>
        <w:ind w:firstLine="480" w:firstLineChars="200"/>
        <w:rPr>
          <w:rFonts w:hAnsi="宋体"/>
          <w:color w:val="auto"/>
          <w:sz w:val="24"/>
          <w:highlight w:val="none"/>
        </w:rPr>
      </w:pPr>
      <w:r>
        <w:rPr>
          <w:rFonts w:hAnsi="宋体"/>
          <w:color w:val="auto"/>
          <w:sz w:val="24"/>
          <w:highlight w:val="none"/>
        </w:rPr>
        <w:t>2.4 施工现场、施工条件和基础资料的提供</w:t>
      </w:r>
    </w:p>
    <w:p>
      <w:pPr>
        <w:spacing w:line="440" w:lineRule="exact"/>
        <w:ind w:firstLine="480" w:firstLineChars="200"/>
        <w:rPr>
          <w:rFonts w:hAnsi="宋体"/>
          <w:color w:val="auto"/>
          <w:sz w:val="24"/>
          <w:highlight w:val="none"/>
        </w:rPr>
      </w:pPr>
      <w:r>
        <w:rPr>
          <w:rFonts w:hAnsi="宋体"/>
          <w:color w:val="auto"/>
          <w:sz w:val="24"/>
          <w:highlight w:val="none"/>
        </w:rPr>
        <w:t>2.4.1 提供施工现场</w:t>
      </w:r>
    </w:p>
    <w:p>
      <w:pPr>
        <w:spacing w:line="440" w:lineRule="exact"/>
        <w:ind w:firstLine="480" w:firstLineChars="200"/>
        <w:rPr>
          <w:rFonts w:hAnsi="宋体"/>
          <w:color w:val="auto"/>
          <w:sz w:val="24"/>
          <w:highlight w:val="none"/>
        </w:rPr>
      </w:pPr>
      <w:r>
        <w:rPr>
          <w:rFonts w:hAnsi="宋体"/>
          <w:color w:val="auto"/>
          <w:sz w:val="24"/>
          <w:highlight w:val="none"/>
        </w:rPr>
        <w:t>关于发包人移交施工现场的期限要求：</w:t>
      </w:r>
      <w:r>
        <w:rPr>
          <w:rFonts w:hint="eastAsia"/>
          <w:color w:val="auto"/>
          <w:sz w:val="24"/>
          <w:highlight w:val="none"/>
          <w:u w:val="single"/>
        </w:rPr>
        <w:t>合同签订后5天内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2.4.2 提供施工条件</w:t>
      </w:r>
    </w:p>
    <w:p>
      <w:pPr>
        <w:spacing w:line="440" w:lineRule="exact"/>
        <w:ind w:firstLine="480" w:firstLineChars="200"/>
        <w:rPr>
          <w:rFonts w:hAnsi="宋体"/>
          <w:color w:val="auto"/>
          <w:sz w:val="24"/>
          <w:highlight w:val="none"/>
        </w:rPr>
      </w:pPr>
      <w:r>
        <w:rPr>
          <w:rFonts w:hAnsi="宋体"/>
          <w:color w:val="auto"/>
          <w:sz w:val="24"/>
          <w:highlight w:val="none"/>
        </w:rPr>
        <w:t>关于发包人应负责提供施工</w:t>
      </w:r>
      <w:r>
        <w:rPr>
          <w:rFonts w:hint="eastAsia" w:hAnsi="宋体"/>
          <w:color w:val="auto"/>
          <w:sz w:val="24"/>
          <w:highlight w:val="none"/>
        </w:rPr>
        <w:t>所需要的条件，</w:t>
      </w:r>
      <w:r>
        <w:rPr>
          <w:rFonts w:hAnsi="宋体"/>
          <w:color w:val="auto"/>
          <w:sz w:val="24"/>
          <w:highlight w:val="none"/>
        </w:rPr>
        <w:t>包括：</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（1）施工场地已具备施工条件的要求及完成的时间：现场已具备开工条件，有关进场准备工作由承包人负责做好，费用已含在承包人的投标报价中。</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承包人已对施工现场勘查完毕并充分了解，认为具备施工条件。施工前，发包人已要求承包人自行到工地现场勘查，承包人已充分了解工地位置、情况、道路、装卸限制及任何其他足以影响承包价的现场情况，任何忽视或误解工地现场情况而导致的索赔或工期延长申请将不获批准。</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2）施工现场水、电、通迅线路接到施工现场的时间、地点和供应要求：发包人负责提供电源、水源，由承包人接入施工现场，设置分电源箱，并单独装表计量。安装费、线路、设备购置费及施工过程中发生的所有电费、水费，均已含在投标报价中。</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（3）施工场地与公共道路的通道开通时间和要求：</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（4）工程地质和地下管线资料（如有）的提供时间：</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（5）图纸会审和设计交底</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（6）协调处理施工场地周围地下管线和邻近建筑物、构筑物、古树名木保护等工作：由承包人自行解决。</w:t>
      </w:r>
    </w:p>
    <w:p>
      <w:pPr>
        <w:spacing w:line="440" w:lineRule="exact"/>
        <w:ind w:firstLine="480" w:firstLineChars="200"/>
        <w:rPr>
          <w:rFonts w:hAnsi="宋体"/>
          <w:color w:val="auto"/>
          <w:sz w:val="24"/>
          <w:highlight w:val="none"/>
        </w:rPr>
      </w:pPr>
      <w:r>
        <w:rPr>
          <w:rFonts w:hAnsi="宋体"/>
          <w:color w:val="auto"/>
          <w:sz w:val="24"/>
          <w:highlight w:val="none"/>
        </w:rPr>
        <w:t>2.5 资金来源证明及支付担保</w:t>
      </w:r>
    </w:p>
    <w:p>
      <w:pPr>
        <w:spacing w:line="440" w:lineRule="exact"/>
        <w:ind w:firstLine="480" w:firstLineChars="200"/>
        <w:rPr>
          <w:rFonts w:hAnsi="宋体"/>
          <w:color w:val="auto"/>
          <w:sz w:val="24"/>
          <w:highlight w:val="none"/>
        </w:rPr>
      </w:pPr>
      <w:r>
        <w:rPr>
          <w:rFonts w:hAnsi="宋体"/>
          <w:color w:val="auto"/>
          <w:sz w:val="24"/>
          <w:highlight w:val="none"/>
        </w:rPr>
        <w:t>发包人提供资金来源证明的期限要求：</w:t>
      </w:r>
      <w:r>
        <w:rPr>
          <w:rFonts w:hint="eastAsia" w:hAnsi="宋体" w:cs="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发包人是否提供支付担保：</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发包人提供支付担保的形式：</w:t>
      </w:r>
      <w:r>
        <w:rPr>
          <w:rFonts w:hint="eastAsia" w:hAnsi="宋体" w:cs="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color w:val="auto"/>
          <w:sz w:val="24"/>
          <w:highlight w:val="none"/>
        </w:rPr>
      </w:pPr>
      <w:bookmarkStart w:id="441" w:name="_Toc351203635"/>
      <w:r>
        <w:rPr>
          <w:color w:val="auto"/>
          <w:sz w:val="24"/>
          <w:highlight w:val="none"/>
        </w:rPr>
        <w:t>3</w:t>
      </w:r>
      <w:bookmarkStart w:id="442" w:name="_Toc296347157"/>
      <w:bookmarkStart w:id="443" w:name="_Toc296944497"/>
      <w:bookmarkStart w:id="444" w:name="_Toc292559363"/>
      <w:bookmarkStart w:id="445" w:name="_Toc292559868"/>
      <w:bookmarkStart w:id="446" w:name="_Toc296890986"/>
      <w:bookmarkStart w:id="447" w:name="_Toc296891198"/>
      <w:bookmarkStart w:id="448" w:name="_Toc296503158"/>
      <w:bookmarkStart w:id="449" w:name="_Toc297048344"/>
      <w:bookmarkStart w:id="450" w:name="_Toc296346659"/>
      <w:bookmarkStart w:id="451" w:name="_Toc297120458"/>
      <w:r>
        <w:rPr>
          <w:color w:val="auto"/>
          <w:sz w:val="24"/>
          <w:highlight w:val="none"/>
        </w:rPr>
        <w:t>. 承包人</w:t>
      </w:r>
      <w:bookmarkEnd w:id="441"/>
    </w:p>
    <w:bookmarkEnd w:id="442"/>
    <w:bookmarkEnd w:id="443"/>
    <w:bookmarkEnd w:id="444"/>
    <w:bookmarkEnd w:id="445"/>
    <w:bookmarkEnd w:id="446"/>
    <w:bookmarkEnd w:id="447"/>
    <w:bookmarkEnd w:id="448"/>
    <w:bookmarkEnd w:id="449"/>
    <w:bookmarkEnd w:id="450"/>
    <w:bookmarkEnd w:id="451"/>
    <w:p>
      <w:pPr>
        <w:spacing w:line="440" w:lineRule="exact"/>
        <w:ind w:firstLine="480" w:firstLineChars="200"/>
        <w:rPr>
          <w:rFonts w:hAnsi="宋体"/>
          <w:color w:val="auto"/>
          <w:sz w:val="24"/>
          <w:highlight w:val="none"/>
        </w:rPr>
      </w:pPr>
      <w:r>
        <w:rPr>
          <w:rFonts w:hAnsi="宋体"/>
          <w:color w:val="auto"/>
          <w:sz w:val="24"/>
          <w:highlight w:val="none"/>
        </w:rPr>
        <w:t>3.1 承包人的一般义务</w:t>
      </w:r>
    </w:p>
    <w:p>
      <w:pPr>
        <w:pStyle w:val="26"/>
        <w:spacing w:after="0" w:line="440" w:lineRule="exact"/>
        <w:ind w:firstLine="480" w:firstLineChars="200"/>
        <w:rPr>
          <w:rFonts w:hint="eastAsia" w:hAnsi="宋体"/>
          <w:color w:val="auto"/>
          <w:sz w:val="24"/>
          <w:highlight w:val="none"/>
          <w:u w:val="single"/>
        </w:rPr>
      </w:pPr>
      <w:r>
        <w:rPr>
          <w:rFonts w:hAnsi="宋体"/>
          <w:color w:val="auto"/>
          <w:sz w:val="24"/>
          <w:highlight w:val="none"/>
        </w:rPr>
        <w:t>（</w:t>
      </w:r>
      <w:r>
        <w:rPr>
          <w:rFonts w:hint="eastAsia" w:hAnsi="宋体"/>
          <w:color w:val="auto"/>
          <w:sz w:val="24"/>
          <w:highlight w:val="none"/>
          <w:lang w:val="en-US" w:eastAsia="zh-CN"/>
        </w:rPr>
        <w:t>9</w:t>
      </w:r>
      <w:r>
        <w:rPr>
          <w:rFonts w:hAnsi="宋体"/>
          <w:color w:val="auto"/>
          <w:sz w:val="24"/>
          <w:highlight w:val="none"/>
        </w:rPr>
        <w:t>）承包人提交的竣工资料的内容：</w:t>
      </w:r>
      <w:r>
        <w:rPr>
          <w:rFonts w:hint="eastAsia" w:hAnsi="宋体"/>
          <w:color w:val="auto"/>
          <w:sz w:val="24"/>
          <w:highlight w:val="none"/>
          <w:u w:val="single"/>
        </w:rPr>
        <w:t>在工程竣工前免费向发包人提供符合城建档案等部门要求的竣工资料。</w:t>
      </w:r>
    </w:p>
    <w:p>
      <w:pPr>
        <w:spacing w:line="440" w:lineRule="exact"/>
        <w:ind w:firstLine="480" w:firstLineChars="200"/>
        <w:rPr>
          <w:rFonts w:hint="eastAsia" w:hAnsi="宋体"/>
          <w:color w:val="auto"/>
          <w:sz w:val="24"/>
          <w:highlight w:val="none"/>
        </w:rPr>
      </w:pPr>
      <w:r>
        <w:rPr>
          <w:rFonts w:hAnsi="宋体"/>
          <w:color w:val="auto"/>
          <w:sz w:val="24"/>
          <w:highlight w:val="none"/>
        </w:rPr>
        <w:t>承包人需要提交的竣工资料套数：</w:t>
      </w:r>
      <w:r>
        <w:rPr>
          <w:rFonts w:hint="eastAsia" w:hAnsi="宋体"/>
          <w:color w:val="auto"/>
          <w:sz w:val="24"/>
          <w:highlight w:val="none"/>
          <w:u w:val="single"/>
        </w:rPr>
        <w:t>各五套（包括电子文档五套），其中一套必须是原件及电子光盘一套）</w:t>
      </w:r>
      <w:r>
        <w:rPr>
          <w:rFonts w:hint="eastAsia"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承包人提交的竣工资料的费用承担：</w:t>
      </w:r>
      <w:r>
        <w:rPr>
          <w:rFonts w:hint="eastAsia" w:hAnsi="宋体"/>
          <w:color w:val="auto"/>
          <w:sz w:val="24"/>
          <w:highlight w:val="none"/>
          <w:u w:val="single"/>
        </w:rPr>
        <w:t>自行承担</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承包人提交的竣工资料移交时间：</w:t>
      </w:r>
      <w:r>
        <w:rPr>
          <w:rFonts w:hint="eastAsia" w:hAnsi="宋体"/>
          <w:color w:val="auto"/>
          <w:sz w:val="24"/>
          <w:highlight w:val="none"/>
          <w:u w:val="single"/>
        </w:rPr>
        <w:t xml:space="preserve">竣工验收后5天内及相应的进度款支付前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承包人提交的竣工资料形式要求：</w:t>
      </w:r>
      <w:r>
        <w:rPr>
          <w:rFonts w:hint="eastAsia" w:hAnsi="宋体"/>
          <w:color w:val="auto"/>
          <w:sz w:val="24"/>
          <w:highlight w:val="none"/>
          <w:u w:val="single"/>
        </w:rPr>
        <w:t>纸质文本、电子光盘</w:t>
      </w:r>
      <w:r>
        <w:rPr>
          <w:rFonts w:hAnsi="宋体"/>
          <w:color w:val="auto"/>
          <w:sz w:val="24"/>
          <w:highlight w:val="none"/>
        </w:rPr>
        <w:t>。</w:t>
      </w:r>
    </w:p>
    <w:p>
      <w:pPr>
        <w:spacing w:line="440" w:lineRule="exact"/>
        <w:ind w:firstLine="480" w:firstLineChars="200"/>
        <w:rPr>
          <w:rFonts w:hint="eastAsia" w:hAnsi="宋体" w:cs="宋体"/>
          <w:color w:val="auto"/>
          <w:sz w:val="24"/>
          <w:highlight w:val="none"/>
          <w:u w:val="single"/>
        </w:rPr>
      </w:pPr>
      <w:r>
        <w:rPr>
          <w:rFonts w:hint="eastAsia" w:hAnsi="宋体" w:cs="宋体"/>
          <w:color w:val="auto"/>
          <w:sz w:val="24"/>
          <w:highlight w:val="none"/>
          <w:u w:val="single"/>
        </w:rPr>
        <w:t>承包人提交的竣工资料必须按临安城建档案馆归档要求提供。如因资料不符合城建档案馆及其他有关部门的要求，而产生的资料整理费用由承包人承担，承包人还应承担由此给发包人造成的其它损失。</w:t>
      </w:r>
    </w:p>
    <w:p>
      <w:pPr>
        <w:numPr>
          <w:ilvl w:val="0"/>
          <w:numId w:val="0"/>
        </w:numPr>
        <w:tabs>
          <w:tab w:val="left" w:pos="2856"/>
        </w:tabs>
        <w:spacing w:line="440" w:lineRule="exact"/>
        <w:ind w:firstLine="480" w:firstLineChars="200"/>
        <w:rPr>
          <w:rFonts w:hAnsi="宋体"/>
          <w:color w:val="auto"/>
          <w:kern w:val="0"/>
          <w:sz w:val="24"/>
          <w:highlight w:val="none"/>
        </w:rPr>
      </w:pPr>
      <w:r>
        <w:rPr>
          <w:rFonts w:hint="eastAsia" w:hAnsi="宋体"/>
          <w:color w:val="auto"/>
          <w:kern w:val="0"/>
          <w:sz w:val="24"/>
          <w:highlight w:val="none"/>
          <w:lang w:eastAsia="zh-CN"/>
        </w:rPr>
        <w:t>（</w:t>
      </w:r>
      <w:r>
        <w:rPr>
          <w:rFonts w:hint="eastAsia" w:hAnsi="宋体"/>
          <w:color w:val="auto"/>
          <w:kern w:val="0"/>
          <w:sz w:val="24"/>
          <w:highlight w:val="none"/>
          <w:lang w:val="en-US" w:eastAsia="zh-CN"/>
        </w:rPr>
        <w:t>10</w:t>
      </w:r>
      <w:r>
        <w:rPr>
          <w:rFonts w:hint="eastAsia" w:hAnsi="宋体"/>
          <w:color w:val="auto"/>
          <w:kern w:val="0"/>
          <w:sz w:val="24"/>
          <w:highlight w:val="none"/>
          <w:lang w:eastAsia="zh-CN"/>
        </w:rPr>
        <w:t>）</w:t>
      </w:r>
      <w:r>
        <w:rPr>
          <w:rFonts w:hAnsi="宋体"/>
          <w:color w:val="auto"/>
          <w:kern w:val="0"/>
          <w:sz w:val="24"/>
          <w:highlight w:val="none"/>
        </w:rPr>
        <w:t>承包人应履行的其他义务：</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1）</w:t>
      </w:r>
      <w:r>
        <w:rPr>
          <w:rFonts w:hint="eastAsia"/>
          <w:b/>
          <w:bCs/>
          <w:color w:val="auto"/>
          <w:sz w:val="24"/>
          <w:szCs w:val="24"/>
          <w:highlight w:val="none"/>
          <w:u w:val="single"/>
        </w:rPr>
        <w:t>承包人应当在工程开工建设前，到项目所在地商业银行开设农民工工资专用账户，专项用于支付该工程建设项目农民工工资。</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2）</w:t>
      </w:r>
      <w:r>
        <w:rPr>
          <w:rFonts w:hint="eastAsia"/>
          <w:b/>
          <w:bCs/>
          <w:color w:val="auto"/>
          <w:sz w:val="24"/>
          <w:szCs w:val="24"/>
          <w:highlight w:val="none"/>
          <w:u w:val="single"/>
        </w:rPr>
        <w:t>承包人应建立实名制电子考勤系统，做好与杭州市智慧工地实名制管理应用系统以及全国建筑工人管理服务信息平台的数据对接工作。</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3）</w:t>
      </w:r>
      <w:r>
        <w:rPr>
          <w:rFonts w:hint="eastAsia"/>
          <w:b/>
          <w:bCs/>
          <w:color w:val="auto"/>
          <w:sz w:val="24"/>
          <w:szCs w:val="24"/>
          <w:highlight w:val="none"/>
          <w:u w:val="single"/>
        </w:rPr>
        <w:t>承包人应及时向项目所在地保证金管理部门缴存农民工工资保证金，并做好分包单位农民工工资保证金缴存的查验工作。</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4）</w:t>
      </w:r>
      <w:r>
        <w:rPr>
          <w:rFonts w:hint="eastAsia"/>
          <w:b/>
          <w:bCs/>
          <w:color w:val="auto"/>
          <w:sz w:val="24"/>
          <w:szCs w:val="24"/>
          <w:highlight w:val="none"/>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pPr>
        <w:spacing w:line="420" w:lineRule="exact"/>
        <w:ind w:firstLine="482" w:firstLineChars="200"/>
        <w:rPr>
          <w:rFonts w:hint="eastAsia"/>
          <w:b/>
          <w:bCs/>
          <w:color w:val="auto"/>
          <w:sz w:val="24"/>
          <w:szCs w:val="24"/>
          <w:highlight w:val="none"/>
          <w:u w:val="single"/>
        </w:rPr>
      </w:pPr>
      <w:r>
        <w:rPr>
          <w:rFonts w:hint="eastAsia"/>
          <w:b/>
          <w:bCs/>
          <w:color w:val="auto"/>
          <w:sz w:val="24"/>
          <w:szCs w:val="24"/>
          <w:highlight w:val="none"/>
          <w:u w:val="single"/>
          <w:lang w:val="en-US" w:eastAsia="zh-CN"/>
        </w:rPr>
        <w:t>5）</w:t>
      </w:r>
      <w:r>
        <w:rPr>
          <w:rFonts w:hint="eastAsia"/>
          <w:b/>
          <w:bCs/>
          <w:color w:val="auto"/>
          <w:sz w:val="24"/>
          <w:szCs w:val="24"/>
          <w:highlight w:val="none"/>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pPr>
        <w:numPr>
          <w:ilvl w:val="0"/>
          <w:numId w:val="0"/>
        </w:numPr>
        <w:tabs>
          <w:tab w:val="left" w:pos="2856"/>
        </w:tabs>
        <w:spacing w:line="440" w:lineRule="exact"/>
        <w:ind w:firstLine="480" w:firstLineChars="200"/>
        <w:rPr>
          <w:rFonts w:hint="eastAsia" w:hAnsi="宋体"/>
          <w:color w:val="auto"/>
          <w:sz w:val="24"/>
          <w:highlight w:val="none"/>
        </w:rPr>
      </w:pPr>
      <w:r>
        <w:rPr>
          <w:rFonts w:hint="eastAsia" w:hAnsi="宋体"/>
          <w:color w:val="auto"/>
          <w:sz w:val="24"/>
          <w:highlight w:val="none"/>
          <w:u w:val="single"/>
        </w:rPr>
        <w:t>承包人负责安装在施工过程中为自己所用的供水管网、线路及其设施，并严格按供水供电的有关规定执行，否则一切后果均由承包人负责。施工场地内的施工便道由承包人负责，费用已含在投标总价中。如工程师另有要求时，还应按工程师指定的进度提交单位工程的进度计划等及</w:t>
      </w:r>
      <w:r>
        <w:rPr>
          <w:rFonts w:hint="eastAsia"/>
          <w:color w:val="auto"/>
          <w:sz w:val="24"/>
          <w:highlight w:val="none"/>
          <w:u w:val="single"/>
        </w:rPr>
        <w:t>工程报监、施工许可证办理、工程竣工备案资料整理等有关手续。</w:t>
      </w:r>
      <w:r>
        <w:rPr>
          <w:color w:val="auto"/>
          <w:sz w:val="24"/>
          <w:highlight w:val="none"/>
          <w:u w:val="single"/>
        </w:rPr>
        <w:t xml:space="preserve">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 xml:space="preserve">如因资料不符合城建档案馆及其他有关部门的要求，而产生的资料整理费用，由承包人承担。并提供竣工资料电子档一份 。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施工中发生的水、电费用，由施工单位自装水表、电表，自行支付。</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承包单位必须做好与有关专业单位的配合工作。必须严格遵守安全施工的操作规程,完善安全施工措施，如发现安全事故，由施工单位承担一切责任。水源、电源的接入口到施工、生活现场的费用，已在报价时考虑，结算时不再增加。</w:t>
      </w:r>
    </w:p>
    <w:p>
      <w:pPr>
        <w:spacing w:line="440" w:lineRule="exact"/>
        <w:ind w:firstLine="480" w:firstLineChars="200"/>
        <w:rPr>
          <w:rFonts w:hint="eastAsia" w:hAnsi="宋体"/>
          <w:color w:val="auto"/>
          <w:kern w:val="0"/>
          <w:sz w:val="24"/>
          <w:highlight w:val="none"/>
          <w:u w:val="single"/>
        </w:rPr>
      </w:pPr>
      <w:r>
        <w:rPr>
          <w:rFonts w:hint="eastAsia" w:hAnsi="宋体"/>
          <w:color w:val="auto"/>
          <w:kern w:val="0"/>
          <w:sz w:val="24"/>
          <w:highlight w:val="none"/>
          <w:u w:val="single"/>
        </w:rPr>
        <w:t>承包人必须对施工场地周边设施妥善保护，如出现损坏由承包负责赔偿及处理。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 xml:space="preserve">工程在具备一定完工条件或竣工验收条件之前，承包单位如接到发包人和监理单位要求其清场并撤离的通知后7日内，必须完成机械设备的撤离施工现场、建筑垃圾的清运出场等场地清理工作（场地清理要符合发包人和监理单位的现场代表的要求），修复场内的交通道路，撤离所有施工人员。如逾期仍未撤离完的，应赔偿发包人每日2000元的赔偿金。同时，发包人有权采取强制手段清除现场，且无须征得承包人的许可，为此所发生的费用从未付工程款中扣除。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施工承包单位应严格按已确认的设计图纸和施工技术方案组织施工，并无条件的接受发包人及发包人委托的监理单位对施工质量的监督和管理。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由于本工程施工而对道路及其它设施设备的影响、破坏，其修复费用由承包人自行承担。</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承包人应依法为本合同下雇佣的职员和工人提供适当和充分的劳动保护。</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承包人为本合同所雇佣的特殊工种的工人和操作人员应受过专门的培训并已取得有关管理机构规定的上岗证书。严格执行施工规范、安全操作规程、防火安全规定、环境保护规定，严格按图施工，做好各项质量检查记录。</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材料的运输、保管、装卸及二次运输等涉及的费用已含在投标总价内，结算时不再增加。</w:t>
      </w:r>
    </w:p>
    <w:p>
      <w:pPr>
        <w:spacing w:line="440" w:lineRule="exact"/>
        <w:ind w:firstLine="480" w:firstLineChars="200"/>
        <w:rPr>
          <w:rFonts w:hAnsi="宋体"/>
          <w:color w:val="auto"/>
          <w:sz w:val="24"/>
          <w:highlight w:val="none"/>
        </w:rPr>
      </w:pPr>
      <w:r>
        <w:rPr>
          <w:rFonts w:hAnsi="宋体"/>
          <w:color w:val="auto"/>
          <w:sz w:val="24"/>
          <w:highlight w:val="none"/>
        </w:rPr>
        <w:t>3.2 项目经理</w:t>
      </w:r>
    </w:p>
    <w:p>
      <w:pPr>
        <w:spacing w:line="440" w:lineRule="exact"/>
        <w:ind w:firstLine="480" w:firstLineChars="200"/>
        <w:rPr>
          <w:rFonts w:hAnsi="宋体"/>
          <w:color w:val="auto"/>
          <w:sz w:val="24"/>
          <w:highlight w:val="none"/>
        </w:rPr>
      </w:pPr>
      <w:r>
        <w:rPr>
          <w:rFonts w:hAnsi="宋体"/>
          <w:color w:val="auto"/>
          <w:kern w:val="0"/>
          <w:sz w:val="24"/>
          <w:highlight w:val="none"/>
        </w:rPr>
        <w:t xml:space="preserve">3.2.1 </w:t>
      </w:r>
      <w:r>
        <w:rPr>
          <w:rFonts w:hAnsi="宋体"/>
          <w:color w:val="auto"/>
          <w:sz w:val="24"/>
          <w:highlight w:val="none"/>
        </w:rPr>
        <w:t>项目经理：</w:t>
      </w:r>
    </w:p>
    <w:p>
      <w:pPr>
        <w:spacing w:line="440" w:lineRule="exact"/>
        <w:ind w:firstLine="480" w:firstLineChars="200"/>
        <w:rPr>
          <w:rFonts w:hAnsi="宋体"/>
          <w:color w:val="auto"/>
          <w:sz w:val="24"/>
          <w:highlight w:val="none"/>
        </w:rPr>
      </w:pPr>
      <w:r>
        <w:rPr>
          <w:rFonts w:hAnsi="宋体"/>
          <w:color w:val="auto"/>
          <w:sz w:val="24"/>
          <w:highlight w:val="none"/>
        </w:rPr>
        <w:t>姓    名：</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身份证号：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建造师执业资格等级：</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建造师注册证书号：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建造师执业印章号：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安全生产考核合格证书号：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color w:val="auto"/>
          <w:sz w:val="24"/>
          <w:highlight w:val="none"/>
          <w:u w:val="single"/>
        </w:rPr>
      </w:pPr>
      <w:r>
        <w:rPr>
          <w:rFonts w:hAnsi="宋体"/>
          <w:color w:val="auto"/>
          <w:sz w:val="24"/>
          <w:highlight w:val="none"/>
        </w:rPr>
        <w:t>承包人对项目经理的授权范围如下：</w:t>
      </w:r>
      <w:r>
        <w:rPr>
          <w:rFonts w:hint="eastAsia"/>
          <w:color w:val="auto"/>
          <w:sz w:val="24"/>
          <w:highlight w:val="none"/>
          <w:u w:val="single"/>
        </w:rPr>
        <w:t>按合同约定的项目进度计划，并按发包人代表和</w:t>
      </w:r>
      <w:r>
        <w:rPr>
          <w:color w:val="auto"/>
          <w:sz w:val="24"/>
          <w:highlight w:val="none"/>
          <w:u w:val="single"/>
        </w:rPr>
        <w:t>（</w:t>
      </w:r>
      <w:r>
        <w:rPr>
          <w:rFonts w:hint="eastAsia"/>
          <w:color w:val="auto"/>
          <w:sz w:val="24"/>
          <w:highlight w:val="none"/>
          <w:u w:val="single"/>
        </w:rPr>
        <w:t>或</w:t>
      </w:r>
      <w:r>
        <w:rPr>
          <w:color w:val="auto"/>
          <w:sz w:val="24"/>
          <w:highlight w:val="none"/>
          <w:u w:val="single"/>
        </w:rPr>
        <w:t>)</w:t>
      </w:r>
      <w:r>
        <w:rPr>
          <w:rFonts w:hint="eastAsia"/>
          <w:color w:val="auto"/>
          <w:sz w:val="24"/>
          <w:highlight w:val="none"/>
          <w:u w:val="single"/>
        </w:rPr>
        <w:t>工程总监依据合同发出的指令组织项目实施。在紧急情况下，且无法与发包人代表和</w:t>
      </w:r>
      <w:r>
        <w:rPr>
          <w:color w:val="auto"/>
          <w:sz w:val="24"/>
          <w:highlight w:val="none"/>
          <w:u w:val="single"/>
        </w:rPr>
        <w:t>（</w:t>
      </w:r>
      <w:r>
        <w:rPr>
          <w:rFonts w:hint="eastAsia"/>
          <w:color w:val="auto"/>
          <w:sz w:val="24"/>
          <w:highlight w:val="none"/>
          <w:u w:val="single"/>
        </w:rPr>
        <w:t>或</w:t>
      </w:r>
      <w:r>
        <w:rPr>
          <w:color w:val="auto"/>
          <w:sz w:val="24"/>
          <w:highlight w:val="none"/>
          <w:u w:val="single"/>
        </w:rPr>
        <w:t>)</w:t>
      </w:r>
      <w:r>
        <w:rPr>
          <w:rFonts w:hint="eastAsia"/>
          <w:color w:val="auto"/>
          <w:sz w:val="24"/>
          <w:highlight w:val="none"/>
          <w:u w:val="single"/>
        </w:rPr>
        <w:t>工程总监取得联系时，项目经理有权采取必要的措施保证人身、工程和财产的安全，但须在事后24小时内向发包人代表和（或)工程总监送交书面报告。保障项目的顺利实施，做好与各相关单位的协调工作。</w:t>
      </w:r>
    </w:p>
    <w:p>
      <w:pPr>
        <w:spacing w:line="440" w:lineRule="exact"/>
        <w:ind w:firstLine="480" w:firstLineChars="200"/>
        <w:rPr>
          <w:rFonts w:hint="eastAsia" w:hAnsi="宋体" w:cs="宋体"/>
          <w:color w:val="auto"/>
          <w:sz w:val="24"/>
          <w:highlight w:val="none"/>
        </w:rPr>
      </w:pPr>
      <w:r>
        <w:rPr>
          <w:rFonts w:hAnsi="宋体"/>
          <w:color w:val="auto"/>
          <w:kern w:val="0"/>
          <w:sz w:val="24"/>
          <w:highlight w:val="none"/>
        </w:rPr>
        <w:t>关于项目经理每月在施工现场的时间要求：</w:t>
      </w:r>
      <w:r>
        <w:rPr>
          <w:rFonts w:hint="eastAsia" w:hAnsi="宋体"/>
          <w:color w:val="auto"/>
          <w:sz w:val="24"/>
          <w:highlight w:val="none"/>
          <w:u w:val="single"/>
        </w:rPr>
        <w:t>每月不少于26天</w:t>
      </w:r>
      <w:r>
        <w:rPr>
          <w:rFonts w:hint="eastAsia" w:hAnsi="宋体" w:cs="宋体"/>
          <w:color w:val="auto"/>
          <w:sz w:val="24"/>
          <w:highlight w:val="none"/>
        </w:rPr>
        <w:t>。</w:t>
      </w:r>
    </w:p>
    <w:p>
      <w:pPr>
        <w:spacing w:line="440" w:lineRule="exact"/>
        <w:ind w:firstLine="480" w:firstLineChars="200"/>
        <w:rPr>
          <w:rFonts w:hAnsi="宋体"/>
          <w:color w:val="auto"/>
          <w:sz w:val="24"/>
          <w:szCs w:val="21"/>
          <w:highlight w:val="none"/>
          <w:u w:val="single"/>
        </w:rPr>
      </w:pPr>
      <w:r>
        <w:rPr>
          <w:rFonts w:hAnsi="宋体"/>
          <w:color w:val="auto"/>
          <w:kern w:val="0"/>
          <w:sz w:val="24"/>
          <w:highlight w:val="none"/>
        </w:rPr>
        <w:t>承包人未提交劳动合同，以及没有为项目经理缴纳社会保险证明的违约责任：</w:t>
      </w:r>
      <w:r>
        <w:rPr>
          <w:rFonts w:hint="eastAsia"/>
          <w:color w:val="auto"/>
          <w:sz w:val="24"/>
          <w:highlight w:val="none"/>
          <w:u w:val="single"/>
        </w:rPr>
        <w:t>责令补缴</w:t>
      </w:r>
      <w:r>
        <w:rPr>
          <w:rFonts w:hint="eastAsia"/>
          <w:color w:val="auto"/>
          <w:sz w:val="24"/>
          <w:szCs w:val="24"/>
          <w:highlight w:val="none"/>
          <w:u w:val="single"/>
        </w:rPr>
        <w:t>，由承包人承担责任</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项目经理未经批准，擅自离开施工现场的违约责任：</w:t>
      </w:r>
      <w:r>
        <w:rPr>
          <w:rFonts w:hint="eastAsia" w:hAnsi="宋体"/>
          <w:color w:val="auto"/>
          <w:kern w:val="0"/>
          <w:sz w:val="24"/>
          <w:highlight w:val="none"/>
          <w:u w:val="single"/>
        </w:rPr>
        <w:t>每少一天应向发包人支付违约金2000元，累计三次未在岗即终止合同，清退出场，由发包人确定其它承包人施工，并通报相关部门。</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3.2.3 承包人擅自更换项目经理的违约责任：</w:t>
      </w:r>
    </w:p>
    <w:p>
      <w:pPr>
        <w:spacing w:line="440" w:lineRule="exact"/>
        <w:ind w:firstLine="482" w:firstLineChars="200"/>
        <w:rPr>
          <w:rFonts w:hint="eastAsia" w:hAnsi="宋体"/>
          <w:color w:val="auto"/>
          <w:sz w:val="24"/>
          <w:szCs w:val="21"/>
          <w:highlight w:val="none"/>
          <w:u w:val="single"/>
        </w:rPr>
      </w:pPr>
      <w:r>
        <w:rPr>
          <w:rFonts w:hint="eastAsia" w:hAnsi="宋体"/>
          <w:b/>
          <w:color w:val="auto"/>
          <w:sz w:val="24"/>
          <w:highlight w:val="none"/>
        </w:rPr>
        <w:t>（1）</w:t>
      </w:r>
      <w:r>
        <w:rPr>
          <w:rFonts w:hint="eastAsia" w:hAnsi="宋体"/>
          <w:b/>
          <w:color w:val="auto"/>
          <w:kern w:val="0"/>
          <w:sz w:val="24"/>
          <w:highlight w:val="none"/>
        </w:rPr>
        <w:t>承包人确需更换项目经理的，继任项目经理注册执业资格、管理经验的约定：</w:t>
      </w:r>
      <w:r>
        <w:rPr>
          <w:rFonts w:hint="eastAsia" w:hAnsi="宋体"/>
          <w:color w:val="auto"/>
          <w:sz w:val="24"/>
          <w:szCs w:val="21"/>
          <w:highlight w:val="none"/>
          <w:u w:val="single"/>
        </w:rPr>
        <w:t>经发包人同意，且更换的项目经理资格、经验等须同等及以上，</w:t>
      </w:r>
      <w:r>
        <w:rPr>
          <w:rFonts w:hint="eastAsia" w:hAnsi="宋体"/>
          <w:color w:val="auto"/>
          <w:sz w:val="24"/>
          <w:highlight w:val="none"/>
          <w:u w:val="single"/>
        </w:rPr>
        <w:t>须追加10万元项目班子保证金</w:t>
      </w:r>
      <w:r>
        <w:rPr>
          <w:rFonts w:hint="eastAsia" w:hAnsi="宋体"/>
          <w:color w:val="auto"/>
          <w:sz w:val="24"/>
          <w:szCs w:val="21"/>
          <w:highlight w:val="none"/>
          <w:u w:val="single"/>
        </w:rPr>
        <w:t>。</w:t>
      </w:r>
    </w:p>
    <w:p>
      <w:pPr>
        <w:spacing w:line="440" w:lineRule="exact"/>
        <w:ind w:firstLine="480" w:firstLineChars="200"/>
        <w:rPr>
          <w:rFonts w:hint="eastAsia" w:hAnsi="宋体"/>
          <w:color w:val="auto"/>
          <w:sz w:val="24"/>
          <w:szCs w:val="21"/>
          <w:highlight w:val="none"/>
          <w:u w:val="single"/>
        </w:rPr>
      </w:pPr>
      <w:r>
        <w:rPr>
          <w:rFonts w:hint="eastAsia" w:hAnsi="宋体"/>
          <w:color w:val="auto"/>
          <w:sz w:val="24"/>
          <w:szCs w:val="21"/>
          <w:highlight w:val="none"/>
          <w:u w:val="single"/>
        </w:rPr>
        <w:t>（2）承包人擅自更换项目经理的违约责任：处以签约合同价1%的罚金并承担由此增加的费用和延误的工期 。</w:t>
      </w:r>
    </w:p>
    <w:p>
      <w:pPr>
        <w:spacing w:line="440" w:lineRule="exact"/>
        <w:ind w:firstLine="480" w:firstLineChars="200"/>
        <w:rPr>
          <w:rFonts w:hint="eastAsia" w:hAnsi="宋体"/>
          <w:color w:val="auto"/>
          <w:sz w:val="24"/>
          <w:szCs w:val="21"/>
          <w:highlight w:val="none"/>
          <w:u w:val="single"/>
        </w:rPr>
      </w:pPr>
      <w:r>
        <w:rPr>
          <w:rFonts w:hint="eastAsia" w:hAnsi="宋体"/>
          <w:color w:val="auto"/>
          <w:sz w:val="24"/>
          <w:szCs w:val="21"/>
          <w:highlight w:val="none"/>
          <w:u w:val="single"/>
        </w:rPr>
        <w:t>3.2.4 承包人无正当理由拒绝更换项目经理的违约责任：处以签约合同价1%的罚金并承担由此增加的费用和延误的工期。</w:t>
      </w:r>
    </w:p>
    <w:p>
      <w:pPr>
        <w:spacing w:line="440" w:lineRule="exact"/>
        <w:ind w:firstLine="480" w:firstLineChars="200"/>
        <w:rPr>
          <w:rFonts w:hAnsi="宋体"/>
          <w:color w:val="auto"/>
          <w:sz w:val="24"/>
          <w:highlight w:val="none"/>
        </w:rPr>
      </w:pPr>
      <w:r>
        <w:rPr>
          <w:rFonts w:hAnsi="宋体"/>
          <w:color w:val="auto"/>
          <w:sz w:val="24"/>
          <w:highlight w:val="none"/>
        </w:rPr>
        <w:t>3.3 承包人人员</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3.3.1 承包人提交项目管理机构及施工现场管理人员安排报告的期限：</w:t>
      </w:r>
      <w:r>
        <w:rPr>
          <w:rFonts w:hint="eastAsia" w:hAnsi="宋体"/>
          <w:color w:val="auto"/>
          <w:sz w:val="24"/>
          <w:highlight w:val="none"/>
          <w:u w:val="single"/>
        </w:rPr>
        <w:t>中标通知书发出后3天内，到岗率必须</w:t>
      </w:r>
      <w:r>
        <w:rPr>
          <w:rFonts w:hint="eastAsia" w:hAnsi="宋体"/>
          <w:color w:val="auto"/>
          <w:sz w:val="24"/>
          <w:szCs w:val="21"/>
          <w:highlight w:val="none"/>
          <w:u w:val="single"/>
        </w:rPr>
        <w:t>达到100%，到岗</w:t>
      </w:r>
      <w:r>
        <w:rPr>
          <w:rFonts w:hint="eastAsia" w:hAnsi="宋体"/>
          <w:color w:val="auto"/>
          <w:sz w:val="24"/>
          <w:highlight w:val="none"/>
          <w:u w:val="single"/>
        </w:rPr>
        <w:t xml:space="preserve">率按月计算，并由建设单位本工程管理人员或委托监理人考核。  </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rPr>
        <w:t>3.3.2 承包人需更换主要施工管理人员的，继任人员的数量、注册执业资格、管理经验的约定：</w:t>
      </w:r>
      <w:r>
        <w:rPr>
          <w:rFonts w:hint="eastAsia" w:hAnsi="宋体"/>
          <w:b/>
          <w:color w:val="auto"/>
          <w:sz w:val="24"/>
          <w:highlight w:val="none"/>
          <w:u w:val="single"/>
        </w:rPr>
        <w:t>须经发包人同意，且更换的资格、经验等须同等及以上，</w:t>
      </w:r>
      <w:r>
        <w:rPr>
          <w:rFonts w:hint="eastAsia" w:hAnsi="宋体"/>
          <w:color w:val="auto"/>
          <w:sz w:val="24"/>
          <w:highlight w:val="none"/>
          <w:u w:val="single"/>
        </w:rPr>
        <w:t>但须追加10万元项目班子保证金</w:t>
      </w:r>
      <w:r>
        <w:rPr>
          <w:rFonts w:hint="eastAsia" w:hAnsi="宋体"/>
          <w:b/>
          <w:color w:val="auto"/>
          <w:sz w:val="24"/>
          <w:highlight w:val="none"/>
          <w:u w:val="single"/>
        </w:rPr>
        <w:t>。</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3.3.3 承包人无正当理由拒绝撤换主要施工管理人员的违约责任：</w:t>
      </w:r>
      <w:r>
        <w:rPr>
          <w:rFonts w:hint="eastAsia" w:hAnsi="宋体"/>
          <w:color w:val="auto"/>
          <w:sz w:val="24"/>
          <w:highlight w:val="none"/>
          <w:u w:val="single"/>
        </w:rPr>
        <w:t>直接扣除10%履约保证金.</w:t>
      </w:r>
    </w:p>
    <w:p>
      <w:pPr>
        <w:spacing w:line="440" w:lineRule="exact"/>
        <w:ind w:firstLine="480" w:firstLineChars="200"/>
        <w:rPr>
          <w:rFonts w:hAnsi="宋体"/>
          <w:color w:val="auto"/>
          <w:sz w:val="24"/>
          <w:highlight w:val="none"/>
          <w:u w:val="single"/>
        </w:rPr>
      </w:pPr>
      <w:r>
        <w:rPr>
          <w:rFonts w:hAnsi="宋体"/>
          <w:color w:val="auto"/>
          <w:sz w:val="24"/>
          <w:highlight w:val="none"/>
        </w:rPr>
        <w:t>3.3.4 承包人主要施工管理人员离开施工现场的批准要求：</w:t>
      </w:r>
      <w:r>
        <w:rPr>
          <w:rFonts w:hint="eastAsia" w:hAnsi="宋体"/>
          <w:color w:val="auto"/>
          <w:sz w:val="24"/>
          <w:highlight w:val="none"/>
          <w:u w:val="single"/>
        </w:rPr>
        <w:t>须经现场监理工程师和发包人代表同意</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int="eastAsia" w:hAnsi="宋体" w:cs="宋体"/>
          <w:color w:val="auto"/>
          <w:sz w:val="24"/>
          <w:highlight w:val="none"/>
        </w:rPr>
        <w:t>3.3.5</w:t>
      </w:r>
      <w:r>
        <w:rPr>
          <w:rFonts w:hint="eastAsia" w:hAnsi="宋体"/>
          <w:color w:val="auto"/>
          <w:sz w:val="24"/>
          <w:highlight w:val="none"/>
        </w:rPr>
        <w:t>承包人擅自更换主要施工管理人员的违约责任：</w:t>
      </w:r>
      <w:r>
        <w:rPr>
          <w:rFonts w:hint="eastAsia" w:hAnsi="宋体"/>
          <w:color w:val="auto"/>
          <w:sz w:val="24"/>
          <w:highlight w:val="none"/>
          <w:u w:val="single"/>
        </w:rPr>
        <w:t>处以签约合同价0.5%的罚金并承担由此增加的费用和延误的工期 。</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承包人主要施工管理人员擅自离开施工现场的违约责任：</w:t>
      </w:r>
      <w:r>
        <w:rPr>
          <w:rFonts w:hint="eastAsia" w:hAnsi="宋体"/>
          <w:color w:val="auto"/>
          <w:sz w:val="24"/>
          <w:highlight w:val="none"/>
          <w:u w:val="single"/>
        </w:rPr>
        <w:t>每人次扣除人员履约保证金的1%</w:t>
      </w:r>
      <w:r>
        <w:rPr>
          <w:rFonts w:hint="eastAsia"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主要施工管理人员包括项目副经理、专职技术负责人、质量检查员、安全生产管理人员、施工试验管理人员等。</w:t>
      </w:r>
    </w:p>
    <w:p>
      <w:pPr>
        <w:spacing w:line="440" w:lineRule="exact"/>
        <w:ind w:firstLine="480" w:firstLineChars="200"/>
        <w:rPr>
          <w:rFonts w:hint="eastAsia" w:hAnsi="宋体"/>
          <w:color w:val="auto"/>
          <w:sz w:val="24"/>
          <w:highlight w:val="none"/>
          <w:u w:val="single"/>
        </w:rPr>
      </w:pPr>
      <w:r>
        <w:rPr>
          <w:rFonts w:hint="eastAsia" w:hAnsi="宋体" w:cs="宋体"/>
          <w:color w:val="auto"/>
          <w:sz w:val="24"/>
          <w:highlight w:val="none"/>
          <w:u w:val="single"/>
        </w:rPr>
        <w:t>机械设备到位：机械设备的到位率须达到100%或以上（即每月到位至少30天），到位率未达到要求的扣罚到位率保证金的20%/次。由发包人代表或委托监理人考核。</w:t>
      </w:r>
    </w:p>
    <w:p>
      <w:pPr>
        <w:spacing w:line="440" w:lineRule="exact"/>
        <w:ind w:firstLine="480" w:firstLineChars="200"/>
        <w:rPr>
          <w:rFonts w:hAnsi="宋体"/>
          <w:color w:val="auto"/>
          <w:sz w:val="24"/>
          <w:highlight w:val="none"/>
        </w:rPr>
      </w:pPr>
      <w:r>
        <w:rPr>
          <w:rFonts w:hAnsi="宋体"/>
          <w:color w:val="auto"/>
          <w:sz w:val="24"/>
          <w:highlight w:val="none"/>
        </w:rPr>
        <w:t>3</w:t>
      </w:r>
      <w:bookmarkStart w:id="452" w:name="_Toc303539102"/>
      <w:bookmarkStart w:id="453" w:name="_Toc297048345"/>
      <w:bookmarkStart w:id="454" w:name="_Toc312677988"/>
      <w:bookmarkStart w:id="455" w:name="_Toc300934945"/>
      <w:bookmarkStart w:id="456" w:name="_Toc296890987"/>
      <w:bookmarkStart w:id="457" w:name="_Toc304295523"/>
      <w:bookmarkStart w:id="458" w:name="_Toc292559869"/>
      <w:bookmarkStart w:id="459" w:name="_Toc296503159"/>
      <w:bookmarkStart w:id="460" w:name="_Toc297120459"/>
      <w:bookmarkStart w:id="461" w:name="_Toc297123492"/>
      <w:bookmarkStart w:id="462" w:name="_Toc296346660"/>
      <w:bookmarkStart w:id="463" w:name="_Toc297216151"/>
      <w:bookmarkStart w:id="464" w:name="_Toc296944498"/>
      <w:bookmarkStart w:id="465" w:name="_Toc296891199"/>
      <w:bookmarkStart w:id="466" w:name="_Toc292559364"/>
      <w:bookmarkStart w:id="467" w:name="_Toc296347158"/>
      <w:r>
        <w:rPr>
          <w:rFonts w:hAnsi="宋体"/>
          <w:color w:val="auto"/>
          <w:sz w:val="24"/>
          <w:highlight w:val="none"/>
        </w:rPr>
        <w:t>.5 分包</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Pr>
        <w:spacing w:line="440" w:lineRule="exact"/>
        <w:ind w:firstLine="480" w:firstLineChars="200"/>
        <w:rPr>
          <w:rFonts w:hAnsi="宋体"/>
          <w:color w:val="auto"/>
          <w:sz w:val="24"/>
          <w:highlight w:val="none"/>
        </w:rPr>
      </w:pPr>
      <w:r>
        <w:rPr>
          <w:rFonts w:hAnsi="宋体"/>
          <w:color w:val="auto"/>
          <w:sz w:val="24"/>
          <w:highlight w:val="none"/>
        </w:rPr>
        <w:t>3</w:t>
      </w:r>
      <w:bookmarkStart w:id="468" w:name="_Toc296503160"/>
      <w:bookmarkStart w:id="469" w:name="_Toc304295524"/>
      <w:bookmarkStart w:id="470" w:name="_Toc303539103"/>
      <w:bookmarkStart w:id="471" w:name="_Toc297216152"/>
      <w:bookmarkStart w:id="472" w:name="_Toc297048346"/>
      <w:bookmarkStart w:id="473" w:name="_Toc296346661"/>
      <w:bookmarkStart w:id="474" w:name="_Toc296891200"/>
      <w:bookmarkStart w:id="475" w:name="_Toc292559870"/>
      <w:bookmarkStart w:id="476" w:name="_Toc297123493"/>
      <w:bookmarkStart w:id="477" w:name="_Toc300934946"/>
      <w:bookmarkStart w:id="478" w:name="_Toc296890988"/>
      <w:bookmarkStart w:id="479" w:name="_Toc296944499"/>
      <w:bookmarkStart w:id="480" w:name="_Toc296347159"/>
      <w:bookmarkStart w:id="481" w:name="_Toc297120460"/>
      <w:bookmarkStart w:id="482" w:name="_Toc292559365"/>
      <w:bookmarkStart w:id="483" w:name="_Toc318581158"/>
      <w:bookmarkStart w:id="484" w:name="_Toc312677989"/>
      <w:r>
        <w:rPr>
          <w:rFonts w:hAnsi="宋体"/>
          <w:color w:val="auto"/>
          <w:sz w:val="24"/>
          <w:highlight w:val="none"/>
        </w:rPr>
        <w:t>.5.1 分包的一般约定</w:t>
      </w:r>
    </w:p>
    <w:p>
      <w:pPr>
        <w:spacing w:line="440" w:lineRule="exact"/>
        <w:ind w:firstLine="480" w:firstLineChars="200"/>
        <w:rPr>
          <w:rFonts w:hint="eastAsia" w:hAnsi="宋体" w:cs="宋体"/>
          <w:color w:val="auto"/>
          <w:sz w:val="24"/>
          <w:highlight w:val="none"/>
        </w:rPr>
      </w:pPr>
      <w:r>
        <w:rPr>
          <w:rFonts w:hAnsi="宋体"/>
          <w:color w:val="auto"/>
          <w:sz w:val="24"/>
          <w:highlight w:val="none"/>
        </w:rPr>
        <w:t>禁止分包的工程包括：</w:t>
      </w:r>
      <w:r>
        <w:rPr>
          <w:rFonts w:hint="eastAsia" w:hAnsi="宋体" w:cs="宋体"/>
          <w:color w:val="auto"/>
          <w:sz w:val="24"/>
          <w:highlight w:val="none"/>
          <w:u w:val="single"/>
        </w:rPr>
        <w:t>本工程主体、关键部分工程内容</w:t>
      </w:r>
      <w:r>
        <w:rPr>
          <w:rFonts w:hint="eastAsia" w:hAnsi="宋体" w:cs="宋体"/>
          <w:color w:val="auto"/>
          <w:sz w:val="24"/>
          <w:highlight w:val="none"/>
        </w:rPr>
        <w:t>。</w:t>
      </w:r>
    </w:p>
    <w:p>
      <w:pPr>
        <w:spacing w:line="440" w:lineRule="exact"/>
        <w:ind w:firstLine="480" w:firstLineChars="200"/>
        <w:rPr>
          <w:rFonts w:hAnsi="宋体"/>
          <w:color w:val="auto"/>
          <w:sz w:val="24"/>
          <w:highlight w:val="none"/>
          <w:u w:val="single"/>
        </w:rPr>
      </w:pPr>
      <w:r>
        <w:rPr>
          <w:rFonts w:hAnsi="宋体"/>
          <w:color w:val="auto"/>
          <w:sz w:val="24"/>
          <w:highlight w:val="none"/>
        </w:rPr>
        <w:t>主体结构、关键性工作的范围：</w:t>
      </w:r>
      <w:r>
        <w:rPr>
          <w:rFonts w:hint="eastAsia" w:hAnsi="宋体"/>
          <w:color w:val="auto"/>
          <w:sz w:val="24"/>
          <w:highlight w:val="none"/>
          <w:u w:val="single"/>
        </w:rPr>
        <w:t>见工程量清单及施工图纸</w:t>
      </w:r>
      <w:r>
        <w:rPr>
          <w:rFonts w:hAnsi="宋体"/>
          <w:color w:val="auto"/>
          <w:sz w:val="24"/>
          <w:highlight w:val="none"/>
        </w:rPr>
        <w:t>。</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Start w:id="485" w:name="_Toc297123494"/>
      <w:bookmarkStart w:id="486" w:name="_Toc297216153"/>
      <w:bookmarkStart w:id="487" w:name="_Toc296890989"/>
      <w:bookmarkStart w:id="488" w:name="_Toc296347160"/>
      <w:bookmarkStart w:id="489" w:name="_Toc296891201"/>
      <w:bookmarkStart w:id="490" w:name="_Toc300934947"/>
      <w:bookmarkStart w:id="491" w:name="_Toc296346662"/>
      <w:bookmarkStart w:id="492" w:name="_Toc304295525"/>
      <w:bookmarkStart w:id="493" w:name="_Toc296944500"/>
      <w:bookmarkStart w:id="494" w:name="_Toc297120461"/>
      <w:bookmarkStart w:id="495" w:name="_Toc303539104"/>
      <w:bookmarkStart w:id="496" w:name="_Toc296503161"/>
      <w:bookmarkStart w:id="497" w:name="_Toc297048347"/>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spacing w:line="440" w:lineRule="exact"/>
        <w:ind w:firstLine="480" w:firstLineChars="200"/>
        <w:rPr>
          <w:rFonts w:hAnsi="宋体"/>
          <w:color w:val="auto"/>
          <w:sz w:val="24"/>
          <w:highlight w:val="none"/>
        </w:rPr>
      </w:pPr>
      <w:r>
        <w:rPr>
          <w:rFonts w:hAnsi="宋体"/>
          <w:color w:val="auto"/>
          <w:sz w:val="24"/>
          <w:highlight w:val="none"/>
        </w:rPr>
        <w:t>3</w:t>
      </w:r>
      <w:bookmarkStart w:id="498" w:name="_Toc318581159"/>
      <w:bookmarkStart w:id="499" w:name="_Toc312677990"/>
      <w:r>
        <w:rPr>
          <w:rFonts w:hAnsi="宋体"/>
          <w:color w:val="auto"/>
          <w:sz w:val="24"/>
          <w:highlight w:val="none"/>
        </w:rPr>
        <w:t>.5.2分包的确定</w:t>
      </w:r>
    </w:p>
    <w:p>
      <w:pPr>
        <w:spacing w:line="440" w:lineRule="exact"/>
        <w:ind w:firstLine="480" w:firstLineChars="200"/>
        <w:rPr>
          <w:rFonts w:hAnsi="宋体"/>
          <w:color w:val="auto"/>
          <w:sz w:val="24"/>
          <w:highlight w:val="none"/>
          <w:u w:val="single"/>
        </w:rPr>
      </w:pPr>
      <w:r>
        <w:rPr>
          <w:rFonts w:hAnsi="宋体"/>
          <w:color w:val="auto"/>
          <w:sz w:val="24"/>
          <w:highlight w:val="none"/>
        </w:rPr>
        <w:t>允许分包的专业工程包括：</w:t>
      </w:r>
      <w:r>
        <w:rPr>
          <w:rFonts w:hint="eastAsia" w:hAnsi="宋体" w:cs="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其他关于分包的约定：</w:t>
      </w:r>
      <w:r>
        <w:rPr>
          <w:rFonts w:hint="eastAsia" w:hAnsi="宋体"/>
          <w:color w:val="auto"/>
          <w:sz w:val="24"/>
          <w:highlight w:val="none"/>
          <w:u w:val="single"/>
        </w:rPr>
        <w:t xml:space="preserve">   /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3.5.4 分包合同价款</w:t>
      </w:r>
    </w:p>
    <w:p>
      <w:pPr>
        <w:spacing w:line="440" w:lineRule="exact"/>
        <w:ind w:firstLine="480" w:firstLineChars="200"/>
        <w:rPr>
          <w:rFonts w:hAnsi="宋体"/>
          <w:color w:val="auto"/>
          <w:sz w:val="24"/>
          <w:highlight w:val="none"/>
        </w:rPr>
      </w:pPr>
      <w:r>
        <w:rPr>
          <w:rFonts w:hAnsi="宋体"/>
          <w:color w:val="auto"/>
          <w:sz w:val="24"/>
          <w:highlight w:val="none"/>
        </w:rPr>
        <w:t>关于分包合同价款支付的约定：</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bookmarkEnd w:id="498"/>
    <w:bookmarkEnd w:id="499"/>
    <w:p>
      <w:pPr>
        <w:spacing w:line="440" w:lineRule="exact"/>
        <w:ind w:firstLine="480" w:firstLineChars="200"/>
        <w:rPr>
          <w:rFonts w:hAnsi="宋体"/>
          <w:color w:val="auto"/>
          <w:sz w:val="24"/>
          <w:highlight w:val="none"/>
        </w:rPr>
      </w:pPr>
      <w:r>
        <w:rPr>
          <w:rFonts w:hAnsi="宋体"/>
          <w:color w:val="auto"/>
          <w:sz w:val="24"/>
          <w:highlight w:val="none"/>
        </w:rPr>
        <w:t>3.6 工程照管与成品、半成品保护</w:t>
      </w:r>
    </w:p>
    <w:p>
      <w:pPr>
        <w:spacing w:line="440" w:lineRule="exact"/>
        <w:ind w:firstLine="480" w:firstLineChars="200"/>
        <w:rPr>
          <w:rFonts w:hAnsi="宋体"/>
          <w:color w:val="auto"/>
          <w:kern w:val="0"/>
          <w:sz w:val="24"/>
          <w:highlight w:val="none"/>
          <w:u w:val="single"/>
        </w:rPr>
      </w:pPr>
      <w:r>
        <w:rPr>
          <w:rFonts w:hAnsi="宋体"/>
          <w:color w:val="auto"/>
          <w:kern w:val="0"/>
          <w:sz w:val="24"/>
          <w:highlight w:val="none"/>
        </w:rPr>
        <w:t>承包人负责照管工程及工程相关的材料、工程设备的起始时间：</w:t>
      </w:r>
      <w:r>
        <w:rPr>
          <w:rFonts w:hint="eastAsia" w:hAnsi="宋体"/>
          <w:color w:val="auto"/>
          <w:kern w:val="0"/>
          <w:sz w:val="24"/>
          <w:highlight w:val="none"/>
          <w:u w:val="single"/>
        </w:rPr>
        <w:t>从发包人移交施工现场之日起，直到颁发工程接收证书之日止</w:t>
      </w:r>
      <w:r>
        <w:rPr>
          <w:rFonts w:hAnsi="宋体"/>
          <w:color w:val="auto"/>
          <w:kern w:val="0"/>
          <w:sz w:val="24"/>
          <w:highlight w:val="none"/>
          <w:u w:val="single"/>
        </w:rPr>
        <w:t>。</w:t>
      </w:r>
      <w:r>
        <w:rPr>
          <w:rFonts w:hint="eastAsia" w:hAnsi="宋体"/>
          <w:color w:val="auto"/>
          <w:kern w:val="0"/>
          <w:sz w:val="24"/>
          <w:highlight w:val="none"/>
          <w:u w:val="single"/>
        </w:rPr>
        <w:t>保护期间发生损坏，承包人自费予以修复。如果由此造成的工期延误，承包人自行承担相应违约责任。</w:t>
      </w:r>
    </w:p>
    <w:p>
      <w:pPr>
        <w:spacing w:line="440" w:lineRule="exact"/>
        <w:ind w:firstLine="480" w:firstLineChars="200"/>
        <w:rPr>
          <w:rFonts w:hAnsi="宋体"/>
          <w:color w:val="auto"/>
          <w:sz w:val="24"/>
          <w:highlight w:val="none"/>
        </w:rPr>
      </w:pPr>
      <w:r>
        <w:rPr>
          <w:rFonts w:hAnsi="宋体"/>
          <w:color w:val="auto"/>
          <w:sz w:val="24"/>
          <w:highlight w:val="none"/>
        </w:rPr>
        <w:t>3.7 履约担保</w:t>
      </w:r>
    </w:p>
    <w:p>
      <w:pPr>
        <w:spacing w:line="440" w:lineRule="exact"/>
        <w:ind w:firstLine="480" w:firstLineChars="200"/>
        <w:rPr>
          <w:rFonts w:hAnsi="宋体"/>
          <w:color w:val="auto"/>
          <w:sz w:val="24"/>
          <w:highlight w:val="none"/>
        </w:rPr>
      </w:pPr>
      <w:r>
        <w:rPr>
          <w:rFonts w:hint="eastAsia" w:hAnsi="宋体"/>
          <w:color w:val="auto"/>
          <w:sz w:val="24"/>
          <w:highlight w:val="none"/>
        </w:rPr>
        <w:t>承包人是否提供履约担保：</w:t>
      </w:r>
      <w:r>
        <w:rPr>
          <w:rFonts w:hint="eastAsia" w:hAnsi="宋体"/>
          <w:color w:val="auto"/>
          <w:sz w:val="24"/>
          <w:highlight w:val="none"/>
          <w:u w:val="single"/>
        </w:rPr>
        <w:t xml:space="preserve">是              </w:t>
      </w:r>
      <w:r>
        <w:rPr>
          <w:rFonts w:hAnsi="宋体"/>
          <w:color w:val="auto"/>
          <w:sz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hAnsi="宋体"/>
          <w:b/>
          <w:bCs/>
          <w:color w:val="auto"/>
          <w:sz w:val="24"/>
          <w:szCs w:val="24"/>
          <w:highlight w:val="none"/>
        </w:rPr>
        <w:t>承包人提供履约担保的形式、金额及期限的</w:t>
      </w:r>
      <w:r>
        <w:rPr>
          <w:rFonts w:hint="eastAsia" w:ascii="宋体" w:hAnsi="宋体" w:eastAsia="宋体" w:cs="宋体"/>
          <w:b/>
          <w:bCs/>
          <w:color w:val="auto"/>
          <w:sz w:val="24"/>
          <w:szCs w:val="24"/>
          <w:highlight w:val="none"/>
        </w:rPr>
        <w:t>，采用以下第</w:t>
      </w:r>
      <w:r>
        <w:rPr>
          <w:rFonts w:hint="eastAsia" w:ascii="宋体" w:hAnsi="宋体" w:eastAsia="宋体" w:cs="宋体"/>
          <w:b/>
          <w:bCs/>
          <w:color w:val="auto"/>
          <w:sz w:val="24"/>
          <w:szCs w:val="24"/>
          <w:highlight w:val="none"/>
          <w:u w:val="single"/>
        </w:rPr>
        <w:t xml:space="preserve"> </w:t>
      </w:r>
      <w:r>
        <w:rPr>
          <w:rFonts w:hint="eastAsia" w:hAnsi="宋体" w:eastAsia="宋体" w:cs="宋体"/>
          <w:b/>
          <w:bCs/>
          <w:color w:val="auto"/>
          <w:sz w:val="24"/>
          <w:szCs w:val="24"/>
          <w:highlight w:val="none"/>
          <w:u w:val="single"/>
          <w:lang w:val="en-US" w:eastAsia="zh-CN"/>
        </w:rPr>
        <w:t xml:space="preserve"> （2）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种方式：</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u w:val="single"/>
        </w:rPr>
        <w:t>保证保险，金额及期限为：</w:t>
      </w:r>
      <w:r>
        <w:rPr>
          <w:rFonts w:hint="eastAsia" w:hAnsi="宋体" w:eastAsia="宋体"/>
          <w:b/>
          <w:bCs/>
          <w:color w:val="auto"/>
          <w:sz w:val="24"/>
          <w:szCs w:val="24"/>
          <w:highlight w:val="none"/>
          <w:u w:val="single"/>
          <w:lang w:val="en-US" w:eastAsia="zh-CN"/>
        </w:rPr>
        <w:t>/</w:t>
      </w:r>
      <w:r>
        <w:rPr>
          <w:rFonts w:hint="eastAsia" w:hAnsi="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pPr>
        <w:spacing w:line="420" w:lineRule="exact"/>
        <w:ind w:firstLine="482" w:firstLineChars="200"/>
        <w:rPr>
          <w:rFonts w:hint="eastAsia" w:hAnsi="宋体" w:cs="宋体"/>
          <w:color w:val="auto"/>
          <w:sz w:val="24"/>
          <w:highlight w:val="none"/>
          <w:u w:val="singl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u w:val="single"/>
        </w:rPr>
        <w:t xml:space="preserve">银行保函，金额及期限为： </w:t>
      </w:r>
      <w:r>
        <w:rPr>
          <w:rFonts w:hint="eastAsia" w:hAnsi="宋体"/>
          <w:b/>
          <w:bCs/>
          <w:color w:val="auto"/>
          <w:sz w:val="24"/>
          <w:szCs w:val="24"/>
          <w:highlight w:val="none"/>
          <w:u w:val="single"/>
        </w:rPr>
        <w:t>合同总价的</w:t>
      </w:r>
      <w:r>
        <w:rPr>
          <w:rFonts w:hint="eastAsia" w:hAnsi="宋体"/>
          <w:b/>
          <w:bCs/>
          <w:color w:val="auto"/>
          <w:sz w:val="24"/>
          <w:szCs w:val="24"/>
          <w:highlight w:val="none"/>
          <w:u w:val="single"/>
          <w:lang w:val="en-US" w:eastAsia="zh-CN"/>
        </w:rPr>
        <w:t>2</w:t>
      </w:r>
      <w:r>
        <w:rPr>
          <w:rFonts w:hint="eastAsia" w:hAnsi="宋体"/>
          <w:b/>
          <w:bCs/>
          <w:color w:val="auto"/>
          <w:sz w:val="24"/>
          <w:szCs w:val="24"/>
          <w:highlight w:val="none"/>
          <w:u w:val="single"/>
        </w:rPr>
        <w:t>%，</w:t>
      </w:r>
      <w:r>
        <w:rPr>
          <w:rFonts w:hint="eastAsia" w:hAnsi="宋体" w:cs="宋体"/>
          <w:color w:val="auto"/>
          <w:sz w:val="24"/>
          <w:highlight w:val="none"/>
          <w:u w:val="single"/>
        </w:rPr>
        <w:t>在收到</w:t>
      </w:r>
      <w:r>
        <w:rPr>
          <w:rFonts w:hint="eastAsia" w:hAnsi="宋体" w:cs="宋体"/>
          <w:color w:val="auto"/>
          <w:sz w:val="24"/>
          <w:highlight w:val="none"/>
          <w:u w:val="single"/>
          <w:lang w:val="en-US" w:eastAsia="zh-CN"/>
        </w:rPr>
        <w:t>成交通知书（</w:t>
      </w:r>
      <w:r>
        <w:rPr>
          <w:rFonts w:hint="eastAsia" w:hAnsi="宋体" w:cs="宋体"/>
          <w:color w:val="auto"/>
          <w:sz w:val="24"/>
          <w:highlight w:val="none"/>
          <w:u w:val="single"/>
        </w:rPr>
        <w:t>中标通知书</w:t>
      </w:r>
      <w:r>
        <w:rPr>
          <w:rFonts w:hint="eastAsia" w:hAnsi="宋体" w:cs="宋体"/>
          <w:color w:val="auto"/>
          <w:sz w:val="24"/>
          <w:highlight w:val="none"/>
          <w:u w:val="single"/>
          <w:lang w:eastAsia="zh-CN"/>
        </w:rPr>
        <w:t>）</w:t>
      </w:r>
      <w:r>
        <w:rPr>
          <w:rFonts w:hint="eastAsia" w:hAnsi="宋体" w:cs="宋体"/>
          <w:color w:val="auto"/>
          <w:sz w:val="24"/>
          <w:highlight w:val="none"/>
          <w:u w:val="single"/>
        </w:rPr>
        <w:t>后5天内必须提交</w:t>
      </w:r>
      <w:r>
        <w:rPr>
          <w:rFonts w:hint="eastAsia" w:hAnsi="宋体" w:cs="宋体"/>
          <w:color w:val="auto"/>
          <w:sz w:val="24"/>
          <w:highlight w:val="none"/>
          <w:u w:val="single"/>
          <w:lang w:eastAsia="zh-CN"/>
        </w:rPr>
        <w:t>，</w:t>
      </w:r>
      <w:r>
        <w:rPr>
          <w:rFonts w:hint="eastAsia" w:hAnsi="宋体" w:cs="宋体"/>
          <w:color w:val="auto"/>
          <w:sz w:val="24"/>
          <w:highlight w:val="none"/>
          <w:u w:val="single"/>
        </w:rPr>
        <w:t>保函须由国有或股份制商业银行出具</w:t>
      </w:r>
      <w:r>
        <w:rPr>
          <w:rFonts w:hint="eastAsia" w:hAnsi="宋体" w:cs="宋体"/>
          <w:color w:val="auto"/>
          <w:sz w:val="24"/>
          <w:highlight w:val="none"/>
          <w:u w:val="single"/>
          <w:lang w:eastAsia="zh-CN"/>
        </w:rPr>
        <w:t>，</w:t>
      </w:r>
      <w:r>
        <w:rPr>
          <w:rFonts w:hint="eastAsia" w:hAnsi="宋体" w:cs="宋体"/>
          <w:color w:val="auto"/>
          <w:sz w:val="24"/>
          <w:highlight w:val="none"/>
          <w:u w:val="single"/>
        </w:rPr>
        <w:t>保函须以竣工验收证书为保函到期解除条件，不得以合同工期为到期条件。</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hAnsi="宋体" w:cs="宋体"/>
          <w:b/>
          <w:bCs/>
          <w:color w:val="auto"/>
          <w:sz w:val="24"/>
          <w:szCs w:val="22"/>
          <w:highlight w:val="none"/>
          <w:u w:val="singl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u w:val="single"/>
        </w:rPr>
        <w:t xml:space="preserve">其他方式: </w:t>
      </w:r>
      <w:r>
        <w:rPr>
          <w:rFonts w:hint="eastAsia" w:hAnsi="宋体" w:eastAsia="宋体"/>
          <w:b/>
          <w:bCs/>
          <w:color w:val="auto"/>
          <w:sz w:val="24"/>
          <w:szCs w:val="24"/>
          <w:highlight w:val="none"/>
          <w:u w:val="single"/>
          <w:lang w:val="en-US" w:eastAsia="zh-CN"/>
        </w:rPr>
        <w:t>/</w:t>
      </w:r>
      <w:r>
        <w:rPr>
          <w:rFonts w:hint="eastAsia" w:hAnsi="宋体" w:cs="宋体"/>
          <w:b/>
          <w:bCs/>
          <w:color w:val="auto"/>
          <w:sz w:val="24"/>
          <w:szCs w:val="22"/>
          <w:highlight w:val="none"/>
          <w:u w:val="none"/>
        </w:rPr>
        <w:t>。</w:t>
      </w:r>
    </w:p>
    <w:p>
      <w:pPr>
        <w:pStyle w:val="34"/>
        <w:ind w:firstLine="480"/>
        <w:rPr>
          <w:rFonts w:hint="eastAsia" w:ascii="Times New Roman" w:hAnsi="宋体" w:eastAsia="宋体" w:cs="Times New Roman"/>
          <w:snapToGrid/>
          <w:color w:val="auto"/>
          <w:kern w:val="2"/>
          <w:sz w:val="24"/>
          <w:szCs w:val="24"/>
          <w:highlight w:val="none"/>
          <w:u w:val="single"/>
          <w:lang w:val="en-US" w:eastAsia="zh-CN" w:bidi="ar-SA"/>
        </w:rPr>
      </w:pPr>
      <w:bookmarkStart w:id="500" w:name="_Toc351203636"/>
      <w:r>
        <w:rPr>
          <w:rFonts w:hint="eastAsia" w:ascii="Times New Roman" w:hAnsi="宋体" w:eastAsia="宋体" w:cs="Times New Roman"/>
          <w:snapToGrid/>
          <w:color w:val="auto"/>
          <w:kern w:val="2"/>
          <w:sz w:val="24"/>
          <w:szCs w:val="24"/>
          <w:highlight w:val="none"/>
          <w:u w:val="single"/>
          <w:lang w:val="en-US" w:eastAsia="zh-CN" w:bidi="ar-SA"/>
        </w:rPr>
        <w:t xml:space="preserve">1、承包人在收到成交通知书（中标通知书）后5天内，应先向发包人提交中标金额2%的履约保证金，若不按发包人规定时间内交纳的，取消其中标资格；且执行本条各项要求所需的费用由承包人承担，此保证金发包方在承包方如期完成全部工程内容，按发包人规定期限退还承包方（无息）。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2、履约保证金内容包括：工程质量履约担保占履约担保总额的35%，工期履约担保占履约担保总额的30%，安全、文明、环境保护施工履约担保占履约担保总额的20%，项目班子、机械设备到岗率履约担保占履约担保总额的10%，工程资料保证金占履约担保总额的5%。</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3、履约保证金在工程竣工验收通过、工程和工程资料移交后 1 个月内，发包人扣除应扣罚的违约金后，退还剩余的履约保证金，履约保证金不计利息。</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4、有下列违约情形的，相应的工程履约保证金发包人不予退还，并可在当期工程款（进度款）中扣除承包人给发包人造成的损失：</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A、由于承包人原因在执行过程中解除合同，工程履约保证金不予退还；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B、竣工验收，未能一次性验收合格，质量履约保证金不予退还；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C、承包人在施工期间发生重大质量事故的，工程质量履约保证金不予退还；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D、工程未能在合同约定的期限内完工，按合同有关条款处罚，工期履约保证金若不足以抵扣工期违约金的，在工程价款中相应扣足；</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E、在施工期间发生重大安全事故的，安全、文明、环境保护施工履约保证金不予退还；</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F、承包人在合同履行期间不能及时填写、整理、提交完整的工程技术资料，工程资料保证金不予退还。若承包人在投标时提供了虚假资料，一经发现，工程资料保证金不予退还，并承担一切法律责任。</w:t>
      </w:r>
    </w:p>
    <w:p>
      <w:pPr>
        <w:spacing w:line="440" w:lineRule="exact"/>
        <w:ind w:firstLine="480" w:firstLineChars="200"/>
        <w:rPr>
          <w:rFonts w:hAnsi="宋体"/>
          <w:color w:val="auto"/>
          <w:sz w:val="24"/>
          <w:highlight w:val="none"/>
          <w:u w:val="single"/>
        </w:rPr>
      </w:pPr>
      <w:r>
        <w:rPr>
          <w:color w:val="auto"/>
          <w:sz w:val="24"/>
          <w:highlight w:val="none"/>
        </w:rPr>
        <w:t>4</w:t>
      </w:r>
      <w:bookmarkStart w:id="501" w:name="_Toc296503162"/>
      <w:bookmarkStart w:id="502" w:name="_Toc292559366"/>
      <w:bookmarkStart w:id="503" w:name="_Toc296890990"/>
      <w:bookmarkStart w:id="504" w:name="_Toc297048348"/>
      <w:bookmarkStart w:id="505" w:name="_Toc267251413"/>
      <w:bookmarkStart w:id="506" w:name="_Toc296944501"/>
      <w:bookmarkStart w:id="507" w:name="_Toc297120462"/>
      <w:bookmarkStart w:id="508" w:name="_Toc296891202"/>
      <w:bookmarkStart w:id="509" w:name="_Toc296346663"/>
      <w:bookmarkStart w:id="510" w:name="_Toc292559871"/>
      <w:bookmarkStart w:id="511" w:name="_Toc296347161"/>
      <w:r>
        <w:rPr>
          <w:color w:val="auto"/>
          <w:sz w:val="24"/>
          <w:highlight w:val="none"/>
        </w:rPr>
        <w:t>. 监</w:t>
      </w:r>
      <w:bookmarkEnd w:id="501"/>
      <w:bookmarkEnd w:id="502"/>
      <w:bookmarkEnd w:id="503"/>
      <w:bookmarkEnd w:id="504"/>
      <w:bookmarkEnd w:id="505"/>
      <w:bookmarkEnd w:id="506"/>
      <w:bookmarkEnd w:id="507"/>
      <w:bookmarkEnd w:id="508"/>
      <w:bookmarkEnd w:id="509"/>
      <w:bookmarkEnd w:id="510"/>
      <w:bookmarkEnd w:id="511"/>
      <w:r>
        <w:rPr>
          <w:color w:val="auto"/>
          <w:sz w:val="24"/>
          <w:highlight w:val="none"/>
        </w:rPr>
        <w:t>理人</w:t>
      </w:r>
      <w:bookmarkEnd w:id="500"/>
    </w:p>
    <w:p>
      <w:pPr>
        <w:spacing w:line="440" w:lineRule="exact"/>
        <w:ind w:firstLine="480" w:firstLineChars="200"/>
        <w:rPr>
          <w:rFonts w:hAnsi="宋体"/>
          <w:color w:val="auto"/>
          <w:sz w:val="24"/>
          <w:highlight w:val="none"/>
        </w:rPr>
      </w:pPr>
      <w:r>
        <w:rPr>
          <w:rFonts w:hAnsi="宋体"/>
          <w:color w:val="auto"/>
          <w:sz w:val="24"/>
          <w:highlight w:val="none"/>
        </w:rPr>
        <w:t>4.1监理人的一般规定</w:t>
      </w:r>
    </w:p>
    <w:p>
      <w:pPr>
        <w:spacing w:line="440" w:lineRule="exact"/>
        <w:ind w:firstLine="480" w:firstLineChars="200"/>
        <w:rPr>
          <w:rFonts w:hAnsi="宋体"/>
          <w:color w:val="auto"/>
          <w:sz w:val="24"/>
          <w:highlight w:val="none"/>
        </w:rPr>
      </w:pPr>
      <w:r>
        <w:rPr>
          <w:rFonts w:hAnsi="宋体"/>
          <w:color w:val="auto"/>
          <w:sz w:val="24"/>
          <w:highlight w:val="none"/>
        </w:rPr>
        <w:t>关于监理人的监理内容：</w:t>
      </w:r>
      <w:r>
        <w:rPr>
          <w:rFonts w:hint="eastAsia" w:hAnsi="宋体"/>
          <w:color w:val="auto"/>
          <w:sz w:val="24"/>
          <w:highlight w:val="none"/>
          <w:u w:val="single"/>
        </w:rPr>
        <w:t>按监理规范、上级文件要求和监理合同执行</w:t>
      </w:r>
      <w:r>
        <w:rPr>
          <w:rFonts w:hAnsi="宋体"/>
          <w:color w:val="auto"/>
          <w:sz w:val="24"/>
          <w:highlight w:val="none"/>
        </w:rPr>
        <w:t>。</w:t>
      </w:r>
    </w:p>
    <w:p>
      <w:pPr>
        <w:pStyle w:val="57"/>
        <w:tabs>
          <w:tab w:val="left" w:pos="2856"/>
        </w:tabs>
        <w:snapToGrid w:val="0"/>
        <w:spacing w:before="0" w:beforeAutospacing="0" w:after="0" w:afterAutospacing="0" w:line="440" w:lineRule="exact"/>
        <w:ind w:firstLine="480" w:firstLineChars="200"/>
        <w:jc w:val="both"/>
        <w:rPr>
          <w:rFonts w:cs="Courier New"/>
          <w:color w:val="auto"/>
          <w:kern w:val="2"/>
          <w:highlight w:val="none"/>
          <w:u w:val="single"/>
        </w:rPr>
      </w:pPr>
      <w:r>
        <w:rPr>
          <w:color w:val="auto"/>
          <w:highlight w:val="none"/>
        </w:rPr>
        <w:t>关于监理人的监理权限：</w:t>
      </w:r>
      <w:r>
        <w:rPr>
          <w:rFonts w:hint="eastAsia" w:cs="Courier New"/>
          <w:color w:val="auto"/>
          <w:kern w:val="2"/>
          <w:highlight w:val="none"/>
          <w:u w:val="single"/>
        </w:rPr>
        <w:t xml:space="preserve">对工程的质量、安全、造价、进度等所有内容进行全面控制和管理及施工协调（如下）。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(1)参加由发包人组织的设计技术交底会，并负责技术交底纪要的整理；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(2)审核承包人报送的施工组织设计、技术方案、进度计划；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(3)报经发包人同意后，发布开工令、停工令、复工令。如在紧急情况下未能事先报告，则应在24小时内向发包人作出书面报告；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(4)进场材料、半成品、成品及设备的检验、验收；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(5)工程质量的监督、检验；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(6)审核签署承包人的申请、支付证书；未经总监理工程师书面签字确认，发包人不支付工程款；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(7)审查和处理工程变更；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(8)调解发包人与承包人的合同争议、处理索赔、审批工程延期；                </w:t>
      </w:r>
    </w:p>
    <w:p>
      <w:pPr>
        <w:pStyle w:val="56"/>
        <w:numPr>
          <w:ilvl w:val="0"/>
          <w:numId w:val="0"/>
        </w:numPr>
        <w:tabs>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(9)主题会议的主持权，并负责相关纪要的整理；                              </w:t>
      </w:r>
    </w:p>
    <w:p>
      <w:pPr>
        <w:pStyle w:val="56"/>
        <w:numPr>
          <w:ilvl w:val="0"/>
          <w:numId w:val="0"/>
        </w:numPr>
        <w:tabs>
          <w:tab w:val="left" w:pos="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Ansi="宋体"/>
          <w:color w:val="auto"/>
          <w:sz w:val="24"/>
          <w:szCs w:val="24"/>
          <w:highlight w:val="none"/>
          <w:u w:val="single"/>
        </w:rPr>
      </w:pPr>
      <w:r>
        <w:rPr>
          <w:rFonts w:hint="eastAsia" w:ascii="宋体" w:hAnsi="宋体" w:eastAsia="宋体" w:cs="宋体"/>
          <w:color w:val="auto"/>
          <w:sz w:val="24"/>
          <w:szCs w:val="24"/>
          <w:highlight w:val="none"/>
          <w:u w:val="single"/>
        </w:rPr>
        <w:t xml:space="preserve">(10)主持或参与工程质量事故的调查。                                       </w:t>
      </w:r>
    </w:p>
    <w:p>
      <w:pPr>
        <w:pStyle w:val="57"/>
        <w:tabs>
          <w:tab w:val="left" w:pos="0"/>
          <w:tab w:val="left" w:pos="2856"/>
        </w:tabs>
        <w:snapToGrid w:val="0"/>
        <w:spacing w:before="0" w:beforeAutospacing="0" w:after="0" w:afterAutospacing="0" w:line="440" w:lineRule="exact"/>
        <w:ind w:firstLine="480" w:firstLineChars="200"/>
        <w:jc w:val="both"/>
        <w:rPr>
          <w:color w:val="auto"/>
          <w:highlight w:val="none"/>
          <w:u w:val="single"/>
        </w:rPr>
      </w:pPr>
      <w:r>
        <w:rPr>
          <w:color w:val="auto"/>
          <w:highlight w:val="none"/>
        </w:rPr>
        <w:t>需要取得</w:t>
      </w:r>
      <w:r>
        <w:rPr>
          <w:rFonts w:hint="eastAsia"/>
          <w:color w:val="auto"/>
          <w:highlight w:val="none"/>
        </w:rPr>
        <w:t>业主</w:t>
      </w:r>
      <w:r>
        <w:rPr>
          <w:color w:val="auto"/>
          <w:highlight w:val="none"/>
        </w:rPr>
        <w:t>批准才能行使的职权：</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(1)发布停、复工令应当事先向发包人报告。报经发包人同意后，发布开工令、停工令、复工令。当对设计单位或承包人提出建议时，该建议会提高工程造价或延长工期的，必须事先报经发包人同意。      </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(2)监理人在发包人的书面授权下可对承包人合同规定的义务提出变更。          </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总监理工程师行使除上述职权外还包括通用条款中明确规定由总监理工程师行使的职权和义务。总监理工程师在履行上述授权的任何行为都不会额外增加发包人的义务，更不会解除或减轻合同中承包人的义务，否则该行为不会对发包人有任何约束力。</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(4)监理人的任何批准、检查、证书、同意、通知、建议、检验、指令、决定和要求等不解除承包商在合同中的责任。</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u w:val="single"/>
        </w:rPr>
        <w:t>(5)工程变更所引起的工程量及价款的调整，监理工程师只能对工程量进行确定，工程变更价款须由发包人确定。</w:t>
      </w:r>
    </w:p>
    <w:p>
      <w:pPr>
        <w:pStyle w:val="56"/>
        <w:numPr>
          <w:ilvl w:val="0"/>
          <w:numId w:val="0"/>
        </w:numPr>
        <w:tabs>
          <w:tab w:val="left" w:pos="1560"/>
          <w:tab w:val="left" w:pos="2856"/>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440" w:lineRule="exact"/>
        <w:ind w:left="480"/>
        <w:rPr>
          <w:rFonts w:hint="eastAsia"/>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由承包人提供。</w:t>
      </w:r>
    </w:p>
    <w:p>
      <w:pPr>
        <w:spacing w:line="440" w:lineRule="exact"/>
        <w:ind w:firstLine="480" w:firstLineChars="200"/>
        <w:rPr>
          <w:rFonts w:hAnsi="宋体"/>
          <w:color w:val="auto"/>
          <w:sz w:val="24"/>
          <w:highlight w:val="none"/>
        </w:rPr>
      </w:pPr>
      <w:r>
        <w:rPr>
          <w:rFonts w:hAnsi="宋体"/>
          <w:color w:val="auto"/>
          <w:sz w:val="24"/>
          <w:highlight w:val="none"/>
        </w:rPr>
        <w:t>4.2 监理人员</w:t>
      </w:r>
    </w:p>
    <w:p>
      <w:pPr>
        <w:spacing w:line="440" w:lineRule="exact"/>
        <w:ind w:firstLine="480" w:firstLineChars="200"/>
        <w:rPr>
          <w:rFonts w:hAnsi="宋体"/>
          <w:color w:val="auto"/>
          <w:sz w:val="24"/>
          <w:highlight w:val="none"/>
        </w:rPr>
      </w:pPr>
      <w:r>
        <w:rPr>
          <w:rFonts w:hAnsi="宋体"/>
          <w:color w:val="auto"/>
          <w:sz w:val="24"/>
          <w:highlight w:val="none"/>
        </w:rPr>
        <w:t>总监理工程师：</w:t>
      </w:r>
    </w:p>
    <w:p>
      <w:pPr>
        <w:spacing w:line="440" w:lineRule="exact"/>
        <w:ind w:firstLine="480" w:firstLineChars="200"/>
        <w:rPr>
          <w:rFonts w:hAnsi="宋体"/>
          <w:color w:val="auto"/>
          <w:sz w:val="24"/>
          <w:highlight w:val="none"/>
        </w:rPr>
      </w:pPr>
      <w:r>
        <w:rPr>
          <w:rFonts w:hAnsi="宋体"/>
          <w:color w:val="auto"/>
          <w:sz w:val="24"/>
          <w:highlight w:val="none"/>
        </w:rPr>
        <w:t>姓    名：</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职    务：</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监理工程师执业资格证书号：</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联系电话：</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电子信箱：</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通信地址：</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关于监理人的其他约定：</w:t>
      </w:r>
      <w:r>
        <w:rPr>
          <w:rFonts w:hint="eastAsia" w:hAnsi="宋体" w:cs="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4.4 商定或确定</w:t>
      </w:r>
    </w:p>
    <w:p>
      <w:pPr>
        <w:spacing w:line="440" w:lineRule="exact"/>
        <w:ind w:firstLine="480" w:firstLineChars="200"/>
        <w:rPr>
          <w:rFonts w:hAnsi="宋体"/>
          <w:color w:val="auto"/>
          <w:sz w:val="24"/>
          <w:highlight w:val="none"/>
        </w:rPr>
      </w:pPr>
      <w:bookmarkStart w:id="512" w:name="_Toc267251418"/>
      <w:r>
        <w:rPr>
          <w:rFonts w:hAnsi="宋体"/>
          <w:color w:val="auto"/>
          <w:sz w:val="24"/>
          <w:highlight w:val="none"/>
        </w:rPr>
        <w:t>在发包人和承包人不能通过协商达成一致意见时，发包人授权监理人对以下事项进行确定：</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（1）</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（2）</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（3）</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color w:val="auto"/>
          <w:sz w:val="24"/>
          <w:highlight w:val="none"/>
        </w:rPr>
      </w:pPr>
      <w:bookmarkStart w:id="513" w:name="_Toc351203637"/>
      <w:r>
        <w:rPr>
          <w:color w:val="auto"/>
          <w:sz w:val="24"/>
          <w:highlight w:val="none"/>
        </w:rPr>
        <w:t>5</w:t>
      </w:r>
      <w:bookmarkEnd w:id="512"/>
      <w:bookmarkStart w:id="514" w:name="_Toc297120463"/>
      <w:bookmarkStart w:id="515" w:name="_Toc292559367"/>
      <w:bookmarkStart w:id="516" w:name="_Toc296347162"/>
      <w:bookmarkStart w:id="517" w:name="_Toc296890991"/>
      <w:bookmarkStart w:id="518" w:name="_Toc292559872"/>
      <w:bookmarkStart w:id="519" w:name="_Toc296503163"/>
      <w:bookmarkStart w:id="520" w:name="_Toc297048349"/>
      <w:bookmarkStart w:id="521" w:name="_Toc296891203"/>
      <w:bookmarkStart w:id="522" w:name="_Toc296944502"/>
      <w:bookmarkStart w:id="523" w:name="_Toc296346664"/>
      <w:r>
        <w:rPr>
          <w:color w:val="auto"/>
          <w:sz w:val="24"/>
          <w:highlight w:val="none"/>
        </w:rPr>
        <w:t>. 工程质量</w:t>
      </w:r>
      <w:bookmarkEnd w:id="513"/>
    </w:p>
    <w:p>
      <w:pPr>
        <w:spacing w:line="440" w:lineRule="exact"/>
        <w:ind w:firstLine="480" w:firstLineChars="200"/>
        <w:rPr>
          <w:rFonts w:hAnsi="宋体"/>
          <w:color w:val="auto"/>
          <w:sz w:val="24"/>
          <w:highlight w:val="none"/>
        </w:rPr>
      </w:pPr>
      <w:r>
        <w:rPr>
          <w:rFonts w:hAnsi="宋体"/>
          <w:color w:val="auto"/>
          <w:sz w:val="24"/>
          <w:highlight w:val="none"/>
        </w:rPr>
        <w:t>5.1 质量要求</w:t>
      </w:r>
    </w:p>
    <w:p>
      <w:pPr>
        <w:spacing w:line="440" w:lineRule="exact"/>
        <w:ind w:firstLine="480" w:firstLineChars="200"/>
        <w:rPr>
          <w:rFonts w:hint="eastAsia" w:hAnsi="宋体"/>
          <w:color w:val="auto"/>
          <w:sz w:val="24"/>
          <w:highlight w:val="none"/>
        </w:rPr>
      </w:pPr>
      <w:r>
        <w:rPr>
          <w:rFonts w:hAnsi="宋体"/>
          <w:color w:val="auto"/>
          <w:sz w:val="24"/>
          <w:highlight w:val="none"/>
        </w:rPr>
        <w:t>5</w:t>
      </w:r>
      <w:bookmarkStart w:id="524" w:name="_Toc297123496"/>
      <w:bookmarkStart w:id="525" w:name="_Toc312677997"/>
      <w:bookmarkStart w:id="526" w:name="_Toc304295527"/>
      <w:bookmarkStart w:id="527" w:name="_Toc303539106"/>
      <w:bookmarkStart w:id="528" w:name="_Toc318581164"/>
      <w:bookmarkStart w:id="529" w:name="_Toc297216155"/>
      <w:bookmarkStart w:id="530" w:name="_Toc300934949"/>
      <w:r>
        <w:rPr>
          <w:rFonts w:hAnsi="宋体"/>
          <w:color w:val="auto"/>
          <w:sz w:val="24"/>
          <w:highlight w:val="none"/>
        </w:rPr>
        <w:t>.1.1 特殊质量标准和要求：</w:t>
      </w:r>
      <w:r>
        <w:rPr>
          <w:rFonts w:hint="eastAsia" w:hAnsi="宋体"/>
          <w:bCs/>
          <w:color w:val="auto"/>
          <w:sz w:val="24"/>
          <w:highlight w:val="none"/>
          <w:u w:val="single"/>
        </w:rPr>
        <w:t>合格标准</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关于工程奖项的约定：</w:t>
      </w:r>
      <w:r>
        <w:rPr>
          <w:rFonts w:hint="eastAsia" w:hAnsi="宋体"/>
          <w:color w:val="auto"/>
          <w:sz w:val="24"/>
          <w:highlight w:val="none"/>
        </w:rPr>
        <w:t>/</w:t>
      </w:r>
      <w:r>
        <w:rPr>
          <w:rFonts w:hint="eastAsia" w:hAnsi="宋体"/>
          <w:color w:val="auto"/>
          <w:sz w:val="24"/>
          <w:highlight w:val="none"/>
          <w:u w:val="single"/>
        </w:rPr>
        <w:t>。</w:t>
      </w:r>
    </w:p>
    <w:p>
      <w:pPr>
        <w:spacing w:line="440" w:lineRule="exact"/>
        <w:ind w:firstLine="480" w:firstLineChars="200"/>
        <w:rPr>
          <w:rFonts w:hAnsi="宋体"/>
          <w:color w:val="auto"/>
          <w:sz w:val="24"/>
          <w:highlight w:val="none"/>
        </w:rPr>
      </w:pPr>
      <w:r>
        <w:rPr>
          <w:rFonts w:hAnsi="宋体"/>
          <w:color w:val="auto"/>
          <w:sz w:val="24"/>
          <w:highlight w:val="none"/>
        </w:rPr>
        <w:t>5.3 隐蔽工程检查</w:t>
      </w:r>
    </w:p>
    <w:p>
      <w:pPr>
        <w:spacing w:line="440" w:lineRule="exact"/>
        <w:ind w:firstLine="480" w:firstLineChars="200"/>
        <w:rPr>
          <w:rFonts w:hint="eastAsia" w:hAnsi="宋体" w:cs="宋体"/>
          <w:color w:val="auto"/>
          <w:sz w:val="24"/>
          <w:highlight w:val="none"/>
        </w:rPr>
      </w:pPr>
      <w:r>
        <w:rPr>
          <w:rFonts w:hAnsi="宋体"/>
          <w:color w:val="auto"/>
          <w:sz w:val="24"/>
          <w:highlight w:val="none"/>
        </w:rPr>
        <w:t>5.3.2承包人提前通知监理人隐蔽工程检查的期限的约定：</w:t>
      </w:r>
      <w:r>
        <w:rPr>
          <w:rFonts w:hint="eastAsia" w:hAnsi="宋体" w:cs="宋体"/>
          <w:color w:val="auto"/>
          <w:sz w:val="24"/>
          <w:highlight w:val="none"/>
          <w:u w:val="single"/>
        </w:rPr>
        <w:t xml:space="preserve">经承包人自检确认后，48 小时内书面通知监理人检查，质检按现行规范规定和临安区建设工程质量安全监督站的规定执行。  </w:t>
      </w:r>
    </w:p>
    <w:p>
      <w:pPr>
        <w:spacing w:line="440" w:lineRule="exact"/>
        <w:ind w:firstLine="480" w:firstLineChars="200"/>
        <w:rPr>
          <w:rFonts w:hAnsi="宋体"/>
          <w:color w:val="auto"/>
          <w:sz w:val="24"/>
          <w:highlight w:val="none"/>
        </w:rPr>
      </w:pPr>
      <w:r>
        <w:rPr>
          <w:rFonts w:hAnsi="宋体"/>
          <w:color w:val="auto"/>
          <w:sz w:val="24"/>
          <w:highlight w:val="none"/>
        </w:rPr>
        <w:t>监理人不能按时进行检查时，应提前</w:t>
      </w:r>
      <w:r>
        <w:rPr>
          <w:rFonts w:hAnsi="宋体"/>
          <w:color w:val="auto"/>
          <w:sz w:val="24"/>
          <w:highlight w:val="none"/>
          <w:u w:val="single"/>
        </w:rPr>
        <w:t xml:space="preserve"> </w:t>
      </w:r>
      <w:r>
        <w:rPr>
          <w:rFonts w:hint="eastAsia" w:hAnsi="宋体"/>
          <w:color w:val="auto"/>
          <w:sz w:val="24"/>
          <w:highlight w:val="none"/>
          <w:u w:val="single"/>
        </w:rPr>
        <w:t>24</w:t>
      </w:r>
      <w:r>
        <w:rPr>
          <w:rFonts w:hAnsi="宋体"/>
          <w:color w:val="auto"/>
          <w:sz w:val="24"/>
          <w:highlight w:val="none"/>
          <w:u w:val="single"/>
        </w:rPr>
        <w:t xml:space="preserve"> </w:t>
      </w:r>
      <w:r>
        <w:rPr>
          <w:rFonts w:hAnsi="宋体"/>
          <w:color w:val="auto"/>
          <w:sz w:val="24"/>
          <w:highlight w:val="none"/>
        </w:rPr>
        <w:t>小时提交书面延期要求。</w:t>
      </w:r>
    </w:p>
    <w:p>
      <w:pPr>
        <w:spacing w:line="440" w:lineRule="exact"/>
        <w:ind w:firstLine="480" w:firstLineChars="200"/>
        <w:rPr>
          <w:rFonts w:hAnsi="宋体"/>
          <w:color w:val="auto"/>
          <w:sz w:val="24"/>
          <w:highlight w:val="none"/>
        </w:rPr>
      </w:pPr>
      <w:r>
        <w:rPr>
          <w:rFonts w:hAnsi="宋体"/>
          <w:color w:val="auto"/>
          <w:sz w:val="24"/>
          <w:highlight w:val="none"/>
        </w:rPr>
        <w:t>关于延期最长不得超过：</w:t>
      </w:r>
      <w:r>
        <w:rPr>
          <w:rFonts w:hAnsi="宋体"/>
          <w:color w:val="auto"/>
          <w:sz w:val="24"/>
          <w:highlight w:val="none"/>
          <w:u w:val="single"/>
        </w:rPr>
        <w:t xml:space="preserve"> </w:t>
      </w:r>
      <w:r>
        <w:rPr>
          <w:rFonts w:hint="eastAsia" w:hAnsi="宋体"/>
          <w:color w:val="auto"/>
          <w:sz w:val="24"/>
          <w:highlight w:val="none"/>
          <w:u w:val="single"/>
        </w:rPr>
        <w:t>48</w:t>
      </w:r>
      <w:r>
        <w:rPr>
          <w:rFonts w:hAnsi="宋体"/>
          <w:color w:val="auto"/>
          <w:sz w:val="24"/>
          <w:highlight w:val="none"/>
          <w:u w:val="single"/>
        </w:rPr>
        <w:t xml:space="preserve"> </w:t>
      </w:r>
      <w:r>
        <w:rPr>
          <w:rFonts w:hAnsi="宋体"/>
          <w:color w:val="auto"/>
          <w:sz w:val="24"/>
          <w:highlight w:val="none"/>
        </w:rPr>
        <w:t>小时。</w:t>
      </w:r>
    </w:p>
    <w:p>
      <w:pPr>
        <w:spacing w:line="440" w:lineRule="exact"/>
        <w:ind w:firstLine="480" w:firstLineChars="200"/>
        <w:rPr>
          <w:color w:val="auto"/>
          <w:sz w:val="24"/>
          <w:highlight w:val="none"/>
        </w:rPr>
      </w:pPr>
      <w:bookmarkStart w:id="531" w:name="_Toc351203638"/>
      <w:r>
        <w:rPr>
          <w:color w:val="auto"/>
          <w:sz w:val="24"/>
          <w:highlight w:val="none"/>
        </w:rPr>
        <w:t>6. 安全文明施工与环境保护</w:t>
      </w:r>
      <w:bookmarkEnd w:id="531"/>
    </w:p>
    <w:p>
      <w:pPr>
        <w:spacing w:line="440" w:lineRule="exact"/>
        <w:ind w:firstLine="480" w:firstLineChars="200"/>
        <w:rPr>
          <w:rFonts w:hAnsi="宋体"/>
          <w:color w:val="auto"/>
          <w:sz w:val="24"/>
          <w:highlight w:val="none"/>
        </w:rPr>
      </w:pPr>
      <w:r>
        <w:rPr>
          <w:rFonts w:hAnsi="宋体"/>
          <w:color w:val="auto"/>
          <w:sz w:val="24"/>
          <w:highlight w:val="none"/>
        </w:rPr>
        <w:t>6.1安全文明施工</w:t>
      </w:r>
    </w:p>
    <w:p>
      <w:pPr>
        <w:tabs>
          <w:tab w:val="left" w:pos="2856"/>
        </w:tabs>
        <w:spacing w:line="440" w:lineRule="exact"/>
        <w:ind w:firstLine="480" w:firstLineChars="200"/>
        <w:rPr>
          <w:rFonts w:hAnsi="宋体"/>
          <w:color w:val="auto"/>
          <w:sz w:val="24"/>
          <w:highlight w:val="none"/>
        </w:rPr>
      </w:pPr>
      <w:r>
        <w:rPr>
          <w:rFonts w:hAnsi="宋体"/>
          <w:color w:val="auto"/>
          <w:sz w:val="24"/>
          <w:highlight w:val="none"/>
        </w:rPr>
        <w:t>6.1.1 项目安全生产的达标目标及相应事项的约定：</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承包人应认真执行当地有关施工安全生产条例和规定及发包人的有关要求，做好安全管理工作，杜绝安全事故的发生，同时做好社会综合治理工作，确保本工程达到安全文明施工标准化工地，并明确相关措施：</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1）做好安全、防火教育工作，确保无火灾事故发生。</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2）承包人应对施工安全负责，加强施工的安全生产管理，制定安全操作规程，保证工程施工的安全。承包人应教育其职工进行文明施工，配备必要的安全生产设施和劳动保护用具，并配备专职安全负责人，以确保生产安全。</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3）承包人应对其管辖范围内的人员和设备（包括进入施工场地内及施工场地附近人员和财产）以及工程的安全负责。应负责做好其所辖人员的工作场所和居住区的日常治安管理和安全保护工作，设置必要的消防水源和简易消防设备。承包人必须注意保护工地、邻近建筑物和附近居民的安全，防止因施工措施不当使附近居民的人员财产遭受损失，否则承包人负全责。</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4）承包人必须对施工现场的用电安全负责，配备专职用电管理员，全面负责施工用电的管理。施工现场用电必须遵照相关的施工现场用电管理条例执行，无触电伤人事故。</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5）承包人在工地现场做好警戒告示牌，提醒过往行人、通行车辆以及进入施工现场人员注意，承担所有安全保卫责任。在施工过程中无人员重大伤亡事故，无重大行车交通事故，无重大居民投诉治安事件。在施工过程中由于承包人原因而发生的人身伤亡、财产损失及其它一切事故，均由承包人承担一切经济及法律责任。</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6）工程施工及投入使用期间，由于工程施工质量问题造成安全事故或第三方人员伤亡及其它损失的，均由承包人承担一切经济及法律责任。</w:t>
      </w:r>
    </w:p>
    <w:p>
      <w:pPr>
        <w:tabs>
          <w:tab w:val="left" w:pos="2856"/>
        </w:tabs>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7）管理人员、班组长、施工人员、特殊工种等应有上岗证（国家有明确规定须经培训获得上岗资格的全部施工人员必须持证上岗）。</w:t>
      </w:r>
    </w:p>
    <w:p>
      <w:pPr>
        <w:spacing w:line="42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8）本项目施工时，承包人负责处理好与周边社区、居民的关系及其安全、预见规避一切安全风险，避免安全事故的发生，并充分考虑施工对周边村庄、建（构）筑物、道路、地上地下管线、设备、人员等人身、财产的损害赔偿，费用与投标报价时考虑在内，一旦中标，结算时不再增加此类费用。若实际施工时对周边、建（构）筑物、道路、地上地下管线、设备、人员等人身、财产产生损害的，一切经济、法律后果均由承包人负责处理并承担费用，发包人仅给予必要的协助但不承担费用。</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6.1.4 关于治安保卫的特别约定：</w:t>
      </w:r>
      <w:r>
        <w:rPr>
          <w:rFonts w:hint="eastAsia" w:hAnsi="宋体"/>
          <w:color w:val="auto"/>
          <w:sz w:val="24"/>
          <w:highlight w:val="none"/>
          <w:u w:val="single"/>
          <w:lang w:val="en-US" w:eastAsia="zh-CN"/>
        </w:rPr>
        <w:t>/</w:t>
      </w:r>
      <w:r>
        <w:rPr>
          <w:rFonts w:hint="eastAsia" w:hAnsi="宋体"/>
          <w:color w:val="auto"/>
          <w:sz w:val="24"/>
          <w:highlight w:val="none"/>
          <w:u w:val="single"/>
        </w:rPr>
        <w:t xml:space="preserve">。         </w:t>
      </w:r>
    </w:p>
    <w:p>
      <w:pPr>
        <w:spacing w:line="440" w:lineRule="exact"/>
        <w:ind w:firstLine="480" w:firstLineChars="200"/>
        <w:rPr>
          <w:rFonts w:hint="eastAsia" w:hAnsi="宋体"/>
          <w:color w:val="auto"/>
          <w:sz w:val="24"/>
          <w:highlight w:val="none"/>
        </w:rPr>
      </w:pPr>
      <w:r>
        <w:rPr>
          <w:rFonts w:hAnsi="宋体"/>
          <w:color w:val="auto"/>
          <w:sz w:val="24"/>
          <w:highlight w:val="none"/>
        </w:rPr>
        <w:t>关于编制施工场地治安管理计划的约定：</w:t>
      </w:r>
      <w:r>
        <w:rPr>
          <w:rFonts w:hint="eastAsia" w:hAnsi="宋体"/>
          <w:color w:val="auto"/>
          <w:sz w:val="24"/>
          <w:highlight w:val="none"/>
          <w:u w:val="single"/>
        </w:rPr>
        <w:t>承包人应在开工后7天内编制施工场地治安管理计划，并制定应对突发治安事件的紧急预案，报监理工程师和发包人确认</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6.1.5 文明施工</w:t>
      </w:r>
    </w:p>
    <w:p>
      <w:pPr>
        <w:spacing w:line="440" w:lineRule="exact"/>
        <w:ind w:firstLine="480" w:firstLineChars="200"/>
        <w:rPr>
          <w:rFonts w:hint="eastAsia" w:hAnsi="宋体"/>
          <w:b/>
          <w:color w:val="auto"/>
          <w:sz w:val="24"/>
          <w:highlight w:val="none"/>
          <w:u w:val="single"/>
          <w:lang w:val="zh-CN"/>
        </w:rPr>
      </w:pPr>
      <w:r>
        <w:rPr>
          <w:rFonts w:hint="eastAsia" w:hAnsi="宋体"/>
          <w:color w:val="auto"/>
          <w:sz w:val="24"/>
          <w:highlight w:val="none"/>
        </w:rPr>
        <w:t>合同当事人对文明施工的要求：</w:t>
      </w:r>
      <w:r>
        <w:rPr>
          <w:rFonts w:hint="eastAsia" w:hAnsi="宋体"/>
          <w:b/>
          <w:color w:val="auto"/>
          <w:sz w:val="24"/>
          <w:highlight w:val="none"/>
          <w:u w:val="single"/>
        </w:rPr>
        <w:t>（1）</w:t>
      </w:r>
      <w:r>
        <w:rPr>
          <w:rFonts w:hint="eastAsia" w:hAnsi="宋体"/>
          <w:b/>
          <w:color w:val="auto"/>
          <w:sz w:val="24"/>
          <w:highlight w:val="none"/>
          <w:u w:val="single"/>
          <w:lang w:val="zh-CN"/>
        </w:rPr>
        <w:t>遵守地方政府和有关部门对施工场地交通、环卫、安全和施工噪音等管理规定，并办理相关审批手续</w:t>
      </w:r>
      <w:r>
        <w:rPr>
          <w:rFonts w:hint="eastAsia" w:hAnsi="宋体"/>
          <w:b/>
          <w:color w:val="auto"/>
          <w:sz w:val="24"/>
          <w:highlight w:val="none"/>
          <w:lang w:val="zh-CN"/>
        </w:rPr>
        <w:t>。</w:t>
      </w:r>
    </w:p>
    <w:p>
      <w:pPr>
        <w:spacing w:line="440" w:lineRule="exact"/>
        <w:ind w:firstLine="482" w:firstLineChars="200"/>
        <w:rPr>
          <w:rFonts w:hint="eastAsia" w:hAnsi="宋体"/>
          <w:b/>
          <w:color w:val="auto"/>
          <w:sz w:val="24"/>
          <w:highlight w:val="none"/>
          <w:lang w:val="zh-CN"/>
        </w:rPr>
      </w:pPr>
      <w:r>
        <w:rPr>
          <w:rFonts w:hint="eastAsia" w:hAnsi="宋体"/>
          <w:b/>
          <w:color w:val="auto"/>
          <w:sz w:val="24"/>
          <w:highlight w:val="none"/>
          <w:u w:val="single"/>
          <w:lang w:val="zh-CN"/>
        </w:rPr>
        <w:t>（2）承包人应采取有效措施尽量减小尘土和噪音污染，需要进行夜间作业时应经有关部门批准</w:t>
      </w:r>
      <w:r>
        <w:rPr>
          <w:rFonts w:hint="eastAsia" w:hAnsi="宋体"/>
          <w:b/>
          <w:color w:val="auto"/>
          <w:sz w:val="24"/>
          <w:highlight w:val="none"/>
          <w:lang w:val="zh-CN"/>
        </w:rPr>
        <w:t>。</w:t>
      </w:r>
    </w:p>
    <w:p>
      <w:pPr>
        <w:spacing w:line="440" w:lineRule="exact"/>
        <w:ind w:firstLine="482" w:firstLineChars="200"/>
        <w:rPr>
          <w:rFonts w:hint="eastAsia" w:hAnsi="宋体"/>
          <w:color w:val="auto"/>
          <w:sz w:val="24"/>
          <w:highlight w:val="none"/>
        </w:rPr>
      </w:pPr>
      <w:r>
        <w:rPr>
          <w:rFonts w:hint="eastAsia" w:hAnsi="宋体"/>
          <w:b/>
          <w:color w:val="auto"/>
          <w:sz w:val="24"/>
          <w:highlight w:val="none"/>
          <w:u w:val="single"/>
          <w:lang w:val="zh-CN"/>
        </w:rPr>
        <w:t>（3）其他：</w:t>
      </w:r>
      <w:r>
        <w:rPr>
          <w:rFonts w:hint="eastAsia" w:hAnsi="宋体"/>
          <w:color w:val="auto"/>
          <w:sz w:val="24"/>
          <w:highlight w:val="none"/>
          <w:u w:val="single"/>
        </w:rPr>
        <w:t>承包人在工程施工期间，应当采取措施保持施工现场平整，物料堆放整齐。工程所在地有关政府行政管理部门有特殊要求的，按照其要求执行</w:t>
      </w:r>
      <w:r>
        <w:rPr>
          <w:rFonts w:hint="eastAsia"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场地须硬化，并每天专人清理，对发包人分配的包干区必须派专人清扫，办公室外、厕所、食堂、生活设施等要整洁。如承包人接到书面通知后不积极配合，发包人有权安排其他施工单位进行场地清理和垃圾外运，所发生的费用从承包人的结算中双倍扣除。</w:t>
      </w:r>
    </w:p>
    <w:p>
      <w:pPr>
        <w:spacing w:line="420" w:lineRule="exact"/>
        <w:ind w:firstLine="480" w:firstLineChars="200"/>
        <w:rPr>
          <w:rFonts w:hint="eastAsia" w:hAnsi="宋体"/>
          <w:color w:val="auto"/>
          <w:sz w:val="24"/>
          <w:szCs w:val="24"/>
          <w:highlight w:val="none"/>
        </w:rPr>
      </w:pPr>
      <w:r>
        <w:rPr>
          <w:rFonts w:hint="eastAsia" w:hAnsi="宋体" w:cs="宋体"/>
          <w:color w:val="auto"/>
          <w:sz w:val="24"/>
          <w:highlight w:val="none"/>
        </w:rPr>
        <w:t>6.1.6 关于安全文明施工费支付比例和支付期限的约定：</w:t>
      </w:r>
      <w:r>
        <w:rPr>
          <w:rFonts w:hint="eastAsia" w:hAnsi="宋体"/>
          <w:color w:val="auto"/>
          <w:sz w:val="24"/>
          <w:szCs w:val="24"/>
          <w:highlight w:val="none"/>
          <w:u w:val="single"/>
        </w:rPr>
        <w:t>承包人应加大安全文明施工的投入并确保投标书中的安全文明费用的投入，否则发包人有权扣除安全文明未投入部分费用</w:t>
      </w:r>
      <w:r>
        <w:rPr>
          <w:rFonts w:hint="eastAsia" w:hAnsi="宋体"/>
          <w:color w:val="auto"/>
          <w:sz w:val="24"/>
          <w:szCs w:val="24"/>
          <w:highlight w:val="none"/>
        </w:rPr>
        <w:t>。</w:t>
      </w:r>
    </w:p>
    <w:p>
      <w:pPr>
        <w:spacing w:line="40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发包人有权在工程实施中不定期抽查安全文明施工情况，若发现安全文明施工未到位一次处以3000元的违约金，三次以上扣罚所有安全文明施工履约保证金；在施工期间发生重大质量、安全事故的，安全施工履约保证金不予退还。</w:t>
      </w:r>
    </w:p>
    <w:p>
      <w:pPr>
        <w:spacing w:line="40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不得拖欠民工工资、分包商各种款项，因拖欠民工工资、分包商各种款项造成的一切后果均由承包人承担，发包人有权暂扣工程款（进度款），代付清工资。拖欠民工工资的，还要扣罚承包人40-50万元。同时，文明施工履约保证金不予退还。</w:t>
      </w:r>
    </w:p>
    <w:p>
      <w:pPr>
        <w:spacing w:line="40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u w:val="single"/>
        </w:rPr>
        <w:t>安全防护、文明施工措施费和建设工程质量检验试验费不得挪作他用，实施过程中根据投标文件的承诺和合同规定，经监理单位审查认可后由发包人足额支付。</w:t>
      </w:r>
    </w:p>
    <w:bookmarkEnd w:id="524"/>
    <w:bookmarkEnd w:id="525"/>
    <w:bookmarkEnd w:id="526"/>
    <w:bookmarkEnd w:id="527"/>
    <w:bookmarkEnd w:id="528"/>
    <w:bookmarkEnd w:id="529"/>
    <w:bookmarkEnd w:id="530"/>
    <w:p>
      <w:pPr>
        <w:spacing w:line="440" w:lineRule="exact"/>
        <w:ind w:firstLine="480" w:firstLineChars="200"/>
        <w:rPr>
          <w:color w:val="auto"/>
          <w:sz w:val="24"/>
          <w:highlight w:val="none"/>
        </w:rPr>
      </w:pPr>
      <w:bookmarkStart w:id="532" w:name="_Toc351203639"/>
      <w:r>
        <w:rPr>
          <w:rFonts w:hint="eastAsia"/>
          <w:color w:val="auto"/>
          <w:sz w:val="24"/>
          <w:highlight w:val="none"/>
        </w:rPr>
        <w:t>6.3 环境保护</w:t>
      </w:r>
    </w:p>
    <w:p>
      <w:pPr>
        <w:spacing w:line="440" w:lineRule="exact"/>
        <w:ind w:firstLine="480" w:firstLineChars="200"/>
        <w:rPr>
          <w:color w:val="auto"/>
          <w:sz w:val="24"/>
          <w:highlight w:val="none"/>
        </w:rPr>
      </w:pPr>
      <w:r>
        <w:rPr>
          <w:rFonts w:hint="eastAsia"/>
          <w:color w:val="auto"/>
          <w:sz w:val="24"/>
          <w:highlight w:val="none"/>
          <w:u w:val="single"/>
        </w:rPr>
        <w:t>承包人应按要求实施标化管理，做好现场公共部位的清洁绿化工作并承担费用。工程完工交付前现场应清除所有不再需要的临时工程、临时设施、承包人的设备和多余材料、全部建筑和生活垃圾、施工机械等，达到工程师要求，所需费用承包人自理。如承包人不履行，发包人可自行清除，发生的费用和损失由承包人双倍承担。</w:t>
      </w:r>
    </w:p>
    <w:p>
      <w:pPr>
        <w:spacing w:line="440" w:lineRule="exact"/>
        <w:ind w:firstLine="480" w:firstLineChars="200"/>
        <w:rPr>
          <w:color w:val="auto"/>
          <w:sz w:val="24"/>
          <w:highlight w:val="none"/>
        </w:rPr>
      </w:pPr>
      <w:r>
        <w:rPr>
          <w:color w:val="auto"/>
          <w:sz w:val="24"/>
          <w:highlight w:val="none"/>
        </w:rPr>
        <w:t>7. 工期和进度</w:t>
      </w:r>
      <w:bookmarkEnd w:id="532"/>
    </w:p>
    <w:p>
      <w:pPr>
        <w:spacing w:line="440" w:lineRule="exact"/>
        <w:ind w:firstLine="480" w:firstLineChars="200"/>
        <w:rPr>
          <w:rFonts w:hAnsi="宋体"/>
          <w:color w:val="auto"/>
          <w:sz w:val="24"/>
          <w:highlight w:val="none"/>
        </w:rPr>
      </w:pPr>
      <w:r>
        <w:rPr>
          <w:rFonts w:hAnsi="宋体"/>
          <w:color w:val="auto"/>
          <w:sz w:val="24"/>
          <w:highlight w:val="none"/>
        </w:rPr>
        <w:t>7.1 施工组织设计</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sz w:val="24"/>
          <w:highlight w:val="none"/>
        </w:rPr>
        <w:t>7.1.</w:t>
      </w:r>
      <w:r>
        <w:rPr>
          <w:rFonts w:hint="eastAsia" w:hAnsi="宋体"/>
          <w:color w:val="auto"/>
          <w:sz w:val="24"/>
          <w:highlight w:val="none"/>
        </w:rPr>
        <w:t>1 合</w:t>
      </w:r>
      <w:r>
        <w:rPr>
          <w:rFonts w:hint="eastAsia" w:hAnsi="宋体"/>
          <w:color w:val="auto"/>
          <w:kern w:val="0"/>
          <w:sz w:val="24"/>
          <w:highlight w:val="none"/>
        </w:rPr>
        <w:t>同当事人约定的</w:t>
      </w:r>
      <w:r>
        <w:rPr>
          <w:rFonts w:hAnsi="宋体"/>
          <w:color w:val="auto"/>
          <w:kern w:val="0"/>
          <w:sz w:val="24"/>
          <w:highlight w:val="none"/>
        </w:rPr>
        <w:t>施工组织设计</w:t>
      </w:r>
      <w:r>
        <w:rPr>
          <w:rFonts w:hint="eastAsia" w:hAnsi="宋体"/>
          <w:color w:val="auto"/>
          <w:kern w:val="0"/>
          <w:sz w:val="24"/>
          <w:highlight w:val="none"/>
        </w:rPr>
        <w:t>应包括的其他内容</w:t>
      </w:r>
      <w:r>
        <w:rPr>
          <w:rFonts w:hAnsi="宋体"/>
          <w:color w:val="auto"/>
          <w:kern w:val="0"/>
          <w:sz w:val="24"/>
          <w:highlight w:val="none"/>
        </w:rPr>
        <w:t>：</w:t>
      </w:r>
      <w:r>
        <w:rPr>
          <w:rFonts w:hint="eastAsia" w:hAnsi="宋体"/>
          <w:color w:val="auto"/>
          <w:sz w:val="24"/>
          <w:highlight w:val="none"/>
          <w:u w:val="single"/>
        </w:rPr>
        <w:t>/</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sz w:val="24"/>
          <w:highlight w:val="none"/>
        </w:rPr>
        <w:t xml:space="preserve">7.1.2 </w:t>
      </w:r>
      <w:r>
        <w:rPr>
          <w:rFonts w:hAnsi="宋体"/>
          <w:color w:val="auto"/>
          <w:kern w:val="0"/>
          <w:sz w:val="24"/>
          <w:highlight w:val="none"/>
        </w:rPr>
        <w:t>施工组织设计的提交和修改</w:t>
      </w:r>
    </w:p>
    <w:p>
      <w:pPr>
        <w:pStyle w:val="2"/>
        <w:snapToGrid w:val="0"/>
        <w:spacing w:line="440" w:lineRule="exact"/>
        <w:ind w:firstLine="480"/>
        <w:outlineLvl w:val="0"/>
        <w:rPr>
          <w:rFonts w:hint="eastAsia"/>
          <w:color w:val="auto"/>
          <w:sz w:val="24"/>
          <w:szCs w:val="24"/>
          <w:highlight w:val="none"/>
          <w:u w:val="single"/>
        </w:rPr>
      </w:pPr>
      <w:r>
        <w:rPr>
          <w:color w:val="auto"/>
          <w:sz w:val="24"/>
          <w:szCs w:val="24"/>
          <w:highlight w:val="none"/>
        </w:rPr>
        <w:t>承包人提交详细施工组织设计的期限的约定：</w:t>
      </w:r>
      <w:r>
        <w:rPr>
          <w:rFonts w:hint="eastAsia"/>
          <w:color w:val="auto"/>
          <w:sz w:val="24"/>
          <w:szCs w:val="24"/>
          <w:highlight w:val="none"/>
          <w:u w:val="single"/>
        </w:rPr>
        <w:t>合同签定后7天内，承包人提交施工组织设计（施工方案）和施工进度计划一式五份。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承包人提交的施工组织设计应当载明如下内容（包括但不限于）：</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w:t>
      </w:r>
      <w:r>
        <w:rPr>
          <w:color w:val="auto"/>
          <w:sz w:val="24"/>
          <w:szCs w:val="24"/>
          <w:highlight w:val="none"/>
          <w:u w:val="single"/>
        </w:rPr>
        <w:t>1</w:t>
      </w:r>
      <w:r>
        <w:rPr>
          <w:rFonts w:hint="eastAsia"/>
          <w:color w:val="auto"/>
          <w:sz w:val="24"/>
          <w:szCs w:val="24"/>
          <w:highlight w:val="none"/>
          <w:u w:val="single"/>
        </w:rPr>
        <w:t>）各分部分项工程的完整的施工方案和施工组织设计包括：①施工总平面布置；②主要分项工程的施工方案、施工方法和工艺；③质量、安全生产目标及保证体系和保证措施；④文明施工管理方案；⑤工程施工管理方案。⑥与其他专业工程承包人的交叉施工与协调管理工作方案和措施。⑦对甲供设备材料等安装过程中的配合协调方案和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（2）施工资源投入计划包括：机械设备进场计划、机电设备材料和物料进场计划、施工人员进场计划等；</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（3）施工现场平面布置图及施工道路平面图；</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（4）季节性施工措施；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（5）地下管线及其他地下设施的加固措施；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（6）保证工期、质量的措施；</w:t>
      </w:r>
    </w:p>
    <w:p>
      <w:pPr>
        <w:pStyle w:val="2"/>
        <w:snapToGrid w:val="0"/>
        <w:spacing w:line="440" w:lineRule="exact"/>
        <w:ind w:firstLine="480"/>
        <w:outlineLvl w:val="0"/>
        <w:rPr>
          <w:rFonts w:hint="eastAsia"/>
          <w:color w:val="auto"/>
          <w:sz w:val="24"/>
          <w:szCs w:val="24"/>
          <w:highlight w:val="none"/>
          <w:u w:val="single"/>
        </w:rPr>
      </w:pPr>
      <w:r>
        <w:rPr>
          <w:rFonts w:hint="eastAsia"/>
          <w:color w:val="auto"/>
          <w:sz w:val="24"/>
          <w:szCs w:val="24"/>
          <w:highlight w:val="none"/>
          <w:u w:val="single"/>
        </w:rPr>
        <w:t xml:space="preserve">（7）保证安全生产，文明施工，减少扰民降低环境污染和噪音的措施； </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（8）妥善处理与相邻施工地作业现场关系的措施；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（9）其他与工程施工有关的管理方案、措施。</w:t>
      </w:r>
    </w:p>
    <w:p>
      <w:pPr>
        <w:pStyle w:val="2"/>
        <w:snapToGrid w:val="0"/>
        <w:spacing w:line="440" w:lineRule="exact"/>
        <w:ind w:firstLine="480"/>
        <w:outlineLvl w:val="0"/>
        <w:rPr>
          <w:color w:val="auto"/>
          <w:sz w:val="24"/>
          <w:szCs w:val="24"/>
          <w:highlight w:val="none"/>
          <w:u w:val="single"/>
        </w:rPr>
      </w:pPr>
      <w:r>
        <w:rPr>
          <w:rFonts w:hint="eastAsia"/>
          <w:color w:val="auto"/>
          <w:sz w:val="24"/>
          <w:szCs w:val="24"/>
          <w:highlight w:val="none"/>
          <w:u w:val="single"/>
        </w:rPr>
        <w:t>承包人编制的工程进度计划内容应全面详实，且应针对工程的全部或分项施工作业和特点提出施工方法、施工穿插顺序及时间安排，并在各节点位置标注相应的工程量、资金使用计划、人机组织及材料消耗量。</w:t>
      </w:r>
    </w:p>
    <w:p>
      <w:pPr>
        <w:pStyle w:val="2"/>
        <w:snapToGrid w:val="0"/>
        <w:spacing w:line="440" w:lineRule="exact"/>
        <w:ind w:firstLine="480"/>
        <w:outlineLvl w:val="0"/>
        <w:rPr>
          <w:rFonts w:hint="eastAsia"/>
          <w:color w:val="auto"/>
          <w:sz w:val="24"/>
          <w:szCs w:val="24"/>
          <w:highlight w:val="none"/>
        </w:rPr>
      </w:pPr>
      <w:r>
        <w:rPr>
          <w:color w:val="auto"/>
          <w:sz w:val="24"/>
          <w:szCs w:val="24"/>
          <w:highlight w:val="none"/>
        </w:rPr>
        <w:t>发包人和监理人在收到</w:t>
      </w:r>
      <w:r>
        <w:rPr>
          <w:rFonts w:hint="eastAsia"/>
          <w:color w:val="auto"/>
          <w:sz w:val="24"/>
          <w:szCs w:val="24"/>
          <w:highlight w:val="none"/>
        </w:rPr>
        <w:t>详细的施工组织设计</w:t>
      </w:r>
      <w:r>
        <w:rPr>
          <w:color w:val="auto"/>
          <w:sz w:val="24"/>
          <w:szCs w:val="24"/>
          <w:highlight w:val="none"/>
        </w:rPr>
        <w:t>后确认或提出修改意见的期限：</w:t>
      </w:r>
      <w:r>
        <w:rPr>
          <w:rFonts w:hint="eastAsia"/>
          <w:color w:val="auto"/>
          <w:sz w:val="24"/>
          <w:szCs w:val="24"/>
          <w:highlight w:val="none"/>
          <w:u w:val="single"/>
        </w:rPr>
        <w:t>收到施工组织设计后</w:t>
      </w:r>
      <w:r>
        <w:rPr>
          <w:color w:val="auto"/>
          <w:sz w:val="24"/>
          <w:szCs w:val="24"/>
          <w:highlight w:val="none"/>
          <w:u w:val="single"/>
        </w:rPr>
        <w:t xml:space="preserve">10 </w:t>
      </w:r>
      <w:r>
        <w:rPr>
          <w:rFonts w:hint="eastAsia"/>
          <w:color w:val="auto"/>
          <w:sz w:val="24"/>
          <w:szCs w:val="24"/>
          <w:highlight w:val="none"/>
          <w:u w:val="single"/>
        </w:rPr>
        <w:t>天内给予批复。对施工组织设计方案的确认是对施工组织设计方案可行性的确认，并不是对所涉及费用的确认，施工组织设计方案属承包人自身的施工措施，所增加人工、材料、机械等措施费用均由承包人自身承担并已考虑在报价中。</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7</w:t>
      </w:r>
      <w:bookmarkStart w:id="533" w:name="_Toc300934966"/>
      <w:bookmarkStart w:id="534" w:name="_Toc297123514"/>
      <w:bookmarkStart w:id="535" w:name="_Toc312678005"/>
      <w:bookmarkStart w:id="536" w:name="_Toc312677479"/>
      <w:bookmarkStart w:id="537" w:name="_Toc297216173"/>
      <w:bookmarkStart w:id="538" w:name="_Toc303539123"/>
      <w:bookmarkStart w:id="539" w:name="_Toc304295541"/>
      <w:r>
        <w:rPr>
          <w:rFonts w:hAnsi="宋体"/>
          <w:color w:val="auto"/>
          <w:sz w:val="24"/>
          <w:highlight w:val="none"/>
        </w:rPr>
        <w:t>.2 施工进度计划</w:t>
      </w:r>
    </w:p>
    <w:p>
      <w:pPr>
        <w:spacing w:line="440" w:lineRule="exact"/>
        <w:ind w:firstLine="480" w:firstLineChars="200"/>
        <w:rPr>
          <w:rFonts w:hAnsi="宋体"/>
          <w:color w:val="auto"/>
          <w:sz w:val="24"/>
          <w:highlight w:val="none"/>
        </w:rPr>
      </w:pPr>
      <w:r>
        <w:rPr>
          <w:rFonts w:hAnsi="宋体"/>
          <w:color w:val="auto"/>
          <w:sz w:val="24"/>
          <w:highlight w:val="none"/>
        </w:rPr>
        <w:t>7.2.2 施工进度计划的修订</w:t>
      </w:r>
    </w:p>
    <w:p>
      <w:pPr>
        <w:pStyle w:val="2"/>
        <w:snapToGrid w:val="0"/>
        <w:spacing w:line="440" w:lineRule="exact"/>
        <w:ind w:firstLine="480"/>
        <w:outlineLvl w:val="0"/>
        <w:rPr>
          <w:rFonts w:hint="eastAsia"/>
          <w:color w:val="auto"/>
          <w:sz w:val="24"/>
          <w:szCs w:val="24"/>
          <w:highlight w:val="none"/>
        </w:rPr>
      </w:pPr>
      <w:r>
        <w:rPr>
          <w:color w:val="auto"/>
          <w:sz w:val="24"/>
          <w:szCs w:val="24"/>
          <w:highlight w:val="none"/>
        </w:rPr>
        <w:t>发包人和监理人在收到修订的施工进度计划后确认或提出修改意见的期限：</w:t>
      </w:r>
      <w:r>
        <w:rPr>
          <w:rFonts w:hint="eastAsia"/>
          <w:color w:val="auto"/>
          <w:sz w:val="24"/>
          <w:szCs w:val="24"/>
          <w:highlight w:val="none"/>
          <w:u w:val="single"/>
        </w:rPr>
        <w:t>收到施工进度计划后</w:t>
      </w:r>
      <w:r>
        <w:rPr>
          <w:color w:val="auto"/>
          <w:sz w:val="24"/>
          <w:szCs w:val="24"/>
          <w:highlight w:val="none"/>
          <w:u w:val="single"/>
        </w:rPr>
        <w:t xml:space="preserve">10 </w:t>
      </w:r>
      <w:r>
        <w:rPr>
          <w:rFonts w:hint="eastAsia"/>
          <w:color w:val="auto"/>
          <w:sz w:val="24"/>
          <w:szCs w:val="24"/>
          <w:highlight w:val="none"/>
          <w:u w:val="single"/>
        </w:rPr>
        <w:t xml:space="preserve">天内给予批复。 </w:t>
      </w:r>
    </w:p>
    <w:p>
      <w:pPr>
        <w:spacing w:line="440" w:lineRule="exact"/>
        <w:ind w:firstLine="480" w:firstLineChars="200"/>
        <w:rPr>
          <w:rFonts w:hAnsi="宋体"/>
          <w:color w:val="auto"/>
          <w:sz w:val="24"/>
          <w:highlight w:val="none"/>
        </w:rPr>
      </w:pPr>
      <w:r>
        <w:rPr>
          <w:rFonts w:hAnsi="宋体"/>
          <w:color w:val="auto"/>
          <w:sz w:val="24"/>
          <w:highlight w:val="none"/>
        </w:rPr>
        <w:t>7.3 开工</w:t>
      </w:r>
    </w:p>
    <w:p>
      <w:pPr>
        <w:spacing w:line="440" w:lineRule="exact"/>
        <w:ind w:firstLine="480" w:firstLineChars="200"/>
        <w:rPr>
          <w:rFonts w:hAnsi="宋体"/>
          <w:color w:val="auto"/>
          <w:sz w:val="24"/>
          <w:highlight w:val="none"/>
        </w:rPr>
      </w:pPr>
      <w:r>
        <w:rPr>
          <w:rFonts w:hAnsi="宋体"/>
          <w:color w:val="auto"/>
          <w:sz w:val="24"/>
          <w:highlight w:val="none"/>
        </w:rPr>
        <w:t>7.3.1 开工准备</w:t>
      </w:r>
    </w:p>
    <w:p>
      <w:pPr>
        <w:spacing w:line="440" w:lineRule="exact"/>
        <w:ind w:firstLine="480" w:firstLineChars="200"/>
        <w:rPr>
          <w:rFonts w:hAnsi="宋体"/>
          <w:color w:val="auto"/>
          <w:sz w:val="24"/>
          <w:highlight w:val="none"/>
          <w:u w:val="single"/>
        </w:rPr>
      </w:pPr>
      <w:r>
        <w:rPr>
          <w:rFonts w:hAnsi="宋体"/>
          <w:color w:val="auto"/>
          <w:sz w:val="24"/>
          <w:highlight w:val="none"/>
        </w:rPr>
        <w:t>关于承包人提交</w:t>
      </w:r>
      <w:r>
        <w:rPr>
          <w:rFonts w:hAnsi="宋体"/>
          <w:color w:val="auto"/>
          <w:kern w:val="0"/>
          <w:sz w:val="24"/>
          <w:highlight w:val="none"/>
        </w:rPr>
        <w:t>工程开工报审表的期限：</w:t>
      </w:r>
      <w:r>
        <w:rPr>
          <w:rFonts w:hint="eastAsia" w:hAnsi="宋体"/>
          <w:color w:val="auto"/>
          <w:sz w:val="24"/>
          <w:highlight w:val="none"/>
          <w:u w:val="single"/>
        </w:rPr>
        <w:t>合同签订后7天内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关于发包人应完成的其他开工准备工作及期限：</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关于承包人应完成的其他开工准备工作及期限：</w:t>
      </w:r>
      <w:r>
        <w:rPr>
          <w:rFonts w:hint="eastAsia" w:hAnsi="宋体"/>
          <w:color w:val="auto"/>
          <w:sz w:val="24"/>
          <w:highlight w:val="none"/>
          <w:u w:val="single"/>
        </w:rPr>
        <w:t>根据施工需要或发包人要求提供</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7.3.2开工通知</w:t>
      </w:r>
    </w:p>
    <w:p>
      <w:pPr>
        <w:spacing w:line="440" w:lineRule="exact"/>
        <w:ind w:firstLine="480" w:firstLineChars="200"/>
        <w:rPr>
          <w:rFonts w:hint="eastAsia" w:hAnsi="宋体"/>
          <w:color w:val="auto"/>
          <w:sz w:val="24"/>
          <w:highlight w:val="none"/>
        </w:rPr>
      </w:pPr>
      <w:r>
        <w:rPr>
          <w:rFonts w:hAnsi="宋体"/>
          <w:color w:val="auto"/>
          <w:sz w:val="24"/>
          <w:highlight w:val="none"/>
        </w:rPr>
        <w:t>因发包人原因造成监理人未能在计划开工日期之日起</w:t>
      </w:r>
      <w:r>
        <w:rPr>
          <w:rFonts w:hint="eastAsia" w:hAnsi="宋体"/>
          <w:color w:val="auto"/>
          <w:sz w:val="24"/>
          <w:highlight w:val="none"/>
          <w:u w:val="single"/>
        </w:rPr>
        <w:t xml:space="preserve"> / </w:t>
      </w:r>
      <w:r>
        <w:rPr>
          <w:rFonts w:hAnsi="宋体"/>
          <w:color w:val="auto"/>
          <w:sz w:val="24"/>
          <w:highlight w:val="none"/>
        </w:rPr>
        <w:t>天内发出开工通知的，承包人有权提出价格调整要求，或者解除合同。</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工程师应以书面形式通知承包人开工日期，若在书面通知后推迟开工日期的，工期顺延。若在约定的开工日期承包人没有进场的，发包人不承担任何费用。如在工程施工过程中，由于发包人原因或非承包人原因致使工程停工或者窝工的（不可抗力因素除外），15天以内的，由承包人通过赶工和其他施工组织设计，保证工程在合同约定工期内完工；超过15天的，经发包人签证后，延长工期超过15天的部分予以顺延，但不补偿承包人任何损失。</w:t>
      </w:r>
    </w:p>
    <w:bookmarkEnd w:id="533"/>
    <w:bookmarkEnd w:id="534"/>
    <w:bookmarkEnd w:id="535"/>
    <w:bookmarkEnd w:id="536"/>
    <w:bookmarkEnd w:id="537"/>
    <w:bookmarkEnd w:id="538"/>
    <w:bookmarkEnd w:id="539"/>
    <w:p>
      <w:pPr>
        <w:spacing w:line="440" w:lineRule="exact"/>
        <w:ind w:firstLine="480" w:firstLineChars="200"/>
        <w:rPr>
          <w:rFonts w:hAnsi="宋体"/>
          <w:color w:val="auto"/>
          <w:sz w:val="24"/>
          <w:highlight w:val="none"/>
        </w:rPr>
      </w:pPr>
      <w:r>
        <w:rPr>
          <w:rFonts w:hAnsi="宋体"/>
          <w:color w:val="auto"/>
          <w:sz w:val="24"/>
          <w:highlight w:val="none"/>
        </w:rPr>
        <w:t>7.4 测量放线</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7.4.1发包人通过监理人向承包人提供测量基准点、基准线和水准点及其书面资料的期限：</w:t>
      </w:r>
      <w:r>
        <w:rPr>
          <w:rFonts w:hint="eastAsia" w:hAnsi="宋体"/>
          <w:color w:val="auto"/>
          <w:sz w:val="24"/>
          <w:highlight w:val="none"/>
          <w:u w:val="single"/>
        </w:rPr>
        <w:t>开工日期前7天</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7</w:t>
      </w:r>
      <w:bookmarkStart w:id="540" w:name="_Toc312677484"/>
      <w:bookmarkStart w:id="541" w:name="_Toc300934968"/>
      <w:bookmarkStart w:id="542" w:name="_Toc297216175"/>
      <w:bookmarkStart w:id="543" w:name="_Toc312678010"/>
      <w:bookmarkStart w:id="544" w:name="_Toc304295546"/>
      <w:bookmarkStart w:id="545" w:name="_Toc303539125"/>
      <w:bookmarkStart w:id="546" w:name="_Toc297123516"/>
      <w:r>
        <w:rPr>
          <w:rFonts w:hAnsi="宋体"/>
          <w:color w:val="auto"/>
          <w:sz w:val="24"/>
          <w:highlight w:val="none"/>
        </w:rPr>
        <w:t>.5 工期延误</w:t>
      </w:r>
    </w:p>
    <w:bookmarkEnd w:id="540"/>
    <w:bookmarkEnd w:id="541"/>
    <w:bookmarkEnd w:id="542"/>
    <w:bookmarkEnd w:id="543"/>
    <w:bookmarkEnd w:id="544"/>
    <w:bookmarkEnd w:id="545"/>
    <w:bookmarkEnd w:id="546"/>
    <w:p>
      <w:pPr>
        <w:spacing w:line="440" w:lineRule="exact"/>
        <w:ind w:firstLine="480" w:firstLineChars="200"/>
        <w:rPr>
          <w:rFonts w:hAnsi="宋体"/>
          <w:color w:val="auto"/>
          <w:sz w:val="24"/>
          <w:highlight w:val="none"/>
        </w:rPr>
      </w:pPr>
      <w:r>
        <w:rPr>
          <w:rFonts w:hAnsi="宋体"/>
          <w:color w:val="auto"/>
          <w:sz w:val="24"/>
          <w:highlight w:val="none"/>
        </w:rPr>
        <w:t>7.5.1 因发包人原因导致工期延误</w:t>
      </w:r>
    </w:p>
    <w:p>
      <w:pPr>
        <w:spacing w:line="440" w:lineRule="exact"/>
        <w:ind w:firstLine="480" w:firstLineChars="200"/>
        <w:rPr>
          <w:rFonts w:hint="eastAsia" w:hAnsi="宋体"/>
          <w:color w:val="auto"/>
          <w:sz w:val="24"/>
          <w:highlight w:val="none"/>
        </w:rPr>
      </w:pPr>
      <w:r>
        <w:rPr>
          <w:rFonts w:hAnsi="宋体"/>
          <w:color w:val="auto"/>
          <w:sz w:val="24"/>
          <w:highlight w:val="none"/>
        </w:rPr>
        <w:t>（7）因发包人原因导致工期延误的其他情形：</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①重大设计变更引起的工期延误                        </w:t>
      </w:r>
      <w:r>
        <w:rPr>
          <w:rFonts w:hint="eastAsia" w:hAnsi="宋体"/>
          <w:b/>
          <w:color w:val="auto"/>
          <w:sz w:val="24"/>
          <w:highlight w:val="none"/>
        </w:rPr>
        <w:t>；</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②其他：                                           </w:t>
      </w:r>
      <w:r>
        <w:rPr>
          <w:rFonts w:hint="eastAsia" w:hAnsi="宋体"/>
          <w:b/>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7</w:t>
      </w:r>
      <w:bookmarkStart w:id="547" w:name="_Toc318581169"/>
      <w:bookmarkStart w:id="548" w:name="_Toc312678012"/>
      <w:bookmarkStart w:id="549" w:name="_Toc312677486"/>
      <w:bookmarkStart w:id="550" w:name="_Toc304295548"/>
      <w:bookmarkStart w:id="551" w:name="_Toc303539127"/>
      <w:bookmarkStart w:id="552" w:name="_Toc297216177"/>
      <w:bookmarkStart w:id="553" w:name="_Toc300934970"/>
      <w:bookmarkStart w:id="554" w:name="_Toc297123518"/>
      <w:r>
        <w:rPr>
          <w:rFonts w:hAnsi="宋体"/>
          <w:color w:val="auto"/>
          <w:sz w:val="24"/>
          <w:highlight w:val="none"/>
        </w:rPr>
        <w:t>.5.2 因承包人原因导致工期延误</w:t>
      </w:r>
    </w:p>
    <w:bookmarkEnd w:id="547"/>
    <w:bookmarkEnd w:id="548"/>
    <w:bookmarkEnd w:id="549"/>
    <w:p>
      <w:pPr>
        <w:spacing w:line="440" w:lineRule="exact"/>
        <w:ind w:firstLine="480" w:firstLineChars="200"/>
        <w:rPr>
          <w:rFonts w:hint="eastAsia" w:hAnsi="宋体" w:cs="宋体"/>
          <w:color w:val="auto"/>
          <w:sz w:val="24"/>
          <w:highlight w:val="none"/>
          <w:u w:val="single"/>
        </w:rPr>
      </w:pPr>
      <w:r>
        <w:rPr>
          <w:rFonts w:hAnsi="宋体" w:cs="宋体"/>
          <w:color w:val="auto"/>
          <w:sz w:val="24"/>
          <w:highlight w:val="none"/>
          <w:u w:val="single"/>
        </w:rPr>
        <w:t>因</w:t>
      </w:r>
      <w:bookmarkStart w:id="555" w:name="_Toc312677487"/>
      <w:bookmarkStart w:id="556" w:name="_Toc318581170"/>
      <w:bookmarkStart w:id="557" w:name="_Toc312678013"/>
      <w:r>
        <w:rPr>
          <w:rFonts w:hAnsi="宋体" w:cs="宋体"/>
          <w:color w:val="auto"/>
          <w:sz w:val="24"/>
          <w:highlight w:val="none"/>
          <w:u w:val="single"/>
        </w:rPr>
        <w:t>承包人原因造成工期延误，逾期竣工违约金的计算方法为：</w:t>
      </w:r>
      <w:bookmarkEnd w:id="550"/>
      <w:bookmarkEnd w:id="551"/>
      <w:bookmarkEnd w:id="552"/>
      <w:bookmarkEnd w:id="553"/>
      <w:bookmarkEnd w:id="554"/>
      <w:bookmarkEnd w:id="555"/>
      <w:bookmarkEnd w:id="556"/>
      <w:bookmarkEnd w:id="557"/>
      <w:r>
        <w:rPr>
          <w:rFonts w:hint="eastAsia" w:hAnsi="宋体" w:cs="宋体"/>
          <w:color w:val="auto"/>
          <w:sz w:val="24"/>
          <w:highlight w:val="none"/>
          <w:u w:val="single"/>
        </w:rPr>
        <w:t>因承包人原因造成工期延误，逾期竣工违约金的计算方法为：每延误 1 天发包人按2000元/天向承包人计取违约金，延期7天以上的发包人有权扣除全部工期履约保证金。</w:t>
      </w:r>
    </w:p>
    <w:p>
      <w:pPr>
        <w:spacing w:line="440" w:lineRule="exact"/>
        <w:ind w:firstLine="480" w:firstLineChars="200"/>
        <w:rPr>
          <w:rFonts w:hint="eastAsia" w:hAnsi="宋体"/>
          <w:color w:val="auto"/>
          <w:sz w:val="24"/>
          <w:highlight w:val="none"/>
        </w:rPr>
      </w:pPr>
      <w:r>
        <w:rPr>
          <w:rFonts w:hAnsi="宋体"/>
          <w:color w:val="auto"/>
          <w:sz w:val="24"/>
          <w:highlight w:val="none"/>
        </w:rPr>
        <w:t>因承包人原因造成工期延误，逾</w:t>
      </w:r>
      <w:bookmarkStart w:id="558" w:name="_Toc318581171"/>
      <w:bookmarkStart w:id="559" w:name="_Toc312678014"/>
      <w:r>
        <w:rPr>
          <w:rFonts w:hAnsi="宋体"/>
          <w:color w:val="auto"/>
          <w:sz w:val="24"/>
          <w:highlight w:val="none"/>
        </w:rPr>
        <w:t>期竣工违约金的上限：</w:t>
      </w:r>
      <w:r>
        <w:rPr>
          <w:rFonts w:hint="eastAsia" w:hAnsi="宋体"/>
          <w:color w:val="auto"/>
          <w:sz w:val="24"/>
          <w:highlight w:val="none"/>
        </w:rPr>
        <w:t xml:space="preserve">合同价格的 </w:t>
      </w:r>
      <w:r>
        <w:rPr>
          <w:rFonts w:hint="eastAsia" w:hAnsi="宋体"/>
          <w:color w:val="auto"/>
          <w:sz w:val="24"/>
          <w:highlight w:val="none"/>
          <w:u w:val="single"/>
        </w:rPr>
        <w:t>10</w:t>
      </w:r>
      <w:r>
        <w:rPr>
          <w:rFonts w:hint="eastAsia" w:hAnsi="宋体"/>
          <w:color w:val="auto"/>
          <w:sz w:val="24"/>
          <w:highlight w:val="none"/>
        </w:rPr>
        <w:t xml:space="preserve"> %</w:t>
      </w:r>
      <w:r>
        <w:rPr>
          <w:rFonts w:hAnsi="宋体"/>
          <w:color w:val="auto"/>
          <w:sz w:val="24"/>
          <w:highlight w:val="none"/>
        </w:rPr>
        <w:t>。</w:t>
      </w:r>
    </w:p>
    <w:bookmarkEnd w:id="558"/>
    <w:bookmarkEnd w:id="559"/>
    <w:p>
      <w:pPr>
        <w:spacing w:line="440" w:lineRule="exact"/>
        <w:ind w:firstLine="480" w:firstLineChars="200"/>
        <w:rPr>
          <w:rFonts w:hAnsi="宋体"/>
          <w:color w:val="auto"/>
          <w:sz w:val="24"/>
          <w:highlight w:val="none"/>
        </w:rPr>
      </w:pPr>
      <w:r>
        <w:rPr>
          <w:rFonts w:hAnsi="宋体"/>
          <w:color w:val="auto"/>
          <w:sz w:val="24"/>
          <w:highlight w:val="none"/>
        </w:rPr>
        <w:t>7</w:t>
      </w:r>
      <w:bookmarkStart w:id="560" w:name="_Toc300934971"/>
      <w:bookmarkStart w:id="561" w:name="_Toc303539128"/>
      <w:bookmarkStart w:id="562" w:name="_Toc312678015"/>
      <w:bookmarkStart w:id="563" w:name="_Toc297123519"/>
      <w:bookmarkStart w:id="564" w:name="_Toc297216178"/>
      <w:bookmarkStart w:id="565" w:name="_Toc304295549"/>
      <w:r>
        <w:rPr>
          <w:rFonts w:hAnsi="宋体"/>
          <w:color w:val="auto"/>
          <w:sz w:val="24"/>
          <w:highlight w:val="none"/>
        </w:rPr>
        <w:t>.6 不</w:t>
      </w:r>
      <w:bookmarkEnd w:id="560"/>
      <w:bookmarkEnd w:id="561"/>
      <w:bookmarkEnd w:id="562"/>
      <w:bookmarkEnd w:id="563"/>
      <w:bookmarkEnd w:id="564"/>
      <w:bookmarkEnd w:id="565"/>
      <w:r>
        <w:rPr>
          <w:rFonts w:hAnsi="宋体"/>
          <w:color w:val="auto"/>
          <w:sz w:val="24"/>
          <w:highlight w:val="none"/>
        </w:rPr>
        <w:t>利物质条件</w:t>
      </w:r>
    </w:p>
    <w:p>
      <w:pPr>
        <w:spacing w:line="440" w:lineRule="exact"/>
        <w:ind w:firstLine="480" w:firstLineChars="200"/>
        <w:rPr>
          <w:rFonts w:hint="eastAsia" w:hAnsi="宋体"/>
          <w:color w:val="auto"/>
          <w:sz w:val="24"/>
          <w:highlight w:val="none"/>
        </w:rPr>
      </w:pPr>
      <w:bookmarkStart w:id="566" w:name="_Toc312678016"/>
      <w:bookmarkStart w:id="567" w:name="_Toc318581172"/>
      <w:bookmarkStart w:id="568" w:name="_Toc297123520"/>
      <w:bookmarkStart w:id="569" w:name="_Toc297216179"/>
      <w:bookmarkStart w:id="570" w:name="_Toc300934972"/>
      <w:bookmarkStart w:id="571" w:name="_Toc304295550"/>
      <w:bookmarkStart w:id="572" w:name="_Toc303539129"/>
      <w:r>
        <w:rPr>
          <w:rFonts w:hAnsi="宋体"/>
          <w:color w:val="auto"/>
          <w:sz w:val="24"/>
          <w:highlight w:val="none"/>
        </w:rPr>
        <w:t>不利物质条件的其他情形和有关约定：</w:t>
      </w:r>
      <w:bookmarkEnd w:id="566"/>
      <w:bookmarkEnd w:id="567"/>
      <w:bookmarkEnd w:id="568"/>
      <w:bookmarkEnd w:id="569"/>
      <w:bookmarkEnd w:id="570"/>
      <w:bookmarkEnd w:id="571"/>
      <w:bookmarkEnd w:id="572"/>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（1）施工场地周围地下管线                            </w:t>
      </w:r>
      <w:r>
        <w:rPr>
          <w:rFonts w:hint="eastAsia" w:hAnsi="宋体"/>
          <w:b/>
          <w:color w:val="auto"/>
          <w:sz w:val="24"/>
          <w:highlight w:val="none"/>
        </w:rPr>
        <w:t>；</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 xml:space="preserve">（2）地下障碍物和污染物                              </w:t>
      </w:r>
      <w:r>
        <w:rPr>
          <w:rFonts w:hint="eastAsia" w:hAnsi="宋体"/>
          <w:b/>
          <w:color w:val="auto"/>
          <w:sz w:val="24"/>
          <w:highlight w:val="none"/>
        </w:rPr>
        <w:t>；</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（3）邻近建筑物、构筑物的保护要求                    ；</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（4）其他                                            。</w:t>
      </w:r>
    </w:p>
    <w:p>
      <w:pPr>
        <w:tabs>
          <w:tab w:val="left" w:pos="1276"/>
          <w:tab w:val="left" w:pos="2856"/>
        </w:tabs>
        <w:spacing w:line="440" w:lineRule="exact"/>
        <w:ind w:firstLine="480" w:firstLineChars="200"/>
        <w:rPr>
          <w:rFonts w:hAnsi="宋体"/>
          <w:color w:val="auto"/>
          <w:sz w:val="24"/>
          <w:highlight w:val="none"/>
        </w:rPr>
      </w:pPr>
      <w:r>
        <w:rPr>
          <w:rFonts w:hAnsi="宋体"/>
          <w:color w:val="auto"/>
          <w:sz w:val="24"/>
          <w:highlight w:val="none"/>
        </w:rPr>
        <w:t>7</w:t>
      </w:r>
      <w:bookmarkStart w:id="573" w:name="_Toc297216180"/>
      <w:bookmarkStart w:id="574" w:name="_Toc297123521"/>
      <w:bookmarkStart w:id="575" w:name="_Toc300934973"/>
      <w:bookmarkStart w:id="576" w:name="_Toc303539130"/>
      <w:bookmarkStart w:id="577" w:name="_Toc304295551"/>
      <w:bookmarkStart w:id="578" w:name="_Toc312678017"/>
      <w:r>
        <w:rPr>
          <w:rFonts w:hAnsi="宋体"/>
          <w:color w:val="auto"/>
          <w:sz w:val="24"/>
          <w:highlight w:val="none"/>
        </w:rPr>
        <w:t>.7异常恶劣的气候条件</w:t>
      </w:r>
    </w:p>
    <w:bookmarkEnd w:id="573"/>
    <w:bookmarkEnd w:id="574"/>
    <w:bookmarkEnd w:id="575"/>
    <w:bookmarkEnd w:id="576"/>
    <w:bookmarkEnd w:id="577"/>
    <w:bookmarkEnd w:id="578"/>
    <w:p>
      <w:pPr>
        <w:spacing w:line="440" w:lineRule="exact"/>
        <w:ind w:firstLine="480" w:firstLineChars="200"/>
        <w:rPr>
          <w:rFonts w:hAnsi="宋体"/>
          <w:color w:val="auto"/>
          <w:sz w:val="24"/>
          <w:highlight w:val="none"/>
        </w:rPr>
      </w:pPr>
      <w:r>
        <w:rPr>
          <w:rFonts w:hAnsi="宋体"/>
          <w:color w:val="auto"/>
          <w:sz w:val="24"/>
          <w:highlight w:val="none"/>
        </w:rPr>
        <w:t>发包人和承包人同意以下情形视为异常恶劣的气候条件：</w:t>
      </w:r>
    </w:p>
    <w:p>
      <w:pPr>
        <w:spacing w:line="44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7.8暂停施工</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7.8.1因发包人原因引起的暂停施工，其费用于投标时考虑，结算时不再增加该笔费用。</w:t>
      </w:r>
    </w:p>
    <w:p>
      <w:pPr>
        <w:spacing w:line="440" w:lineRule="exact"/>
        <w:ind w:firstLine="480" w:firstLineChars="200"/>
        <w:rPr>
          <w:rFonts w:hAnsi="宋体"/>
          <w:color w:val="auto"/>
          <w:sz w:val="24"/>
          <w:highlight w:val="none"/>
        </w:rPr>
      </w:pPr>
      <w:r>
        <w:rPr>
          <w:rFonts w:hAnsi="宋体"/>
          <w:color w:val="auto"/>
          <w:sz w:val="24"/>
          <w:highlight w:val="none"/>
        </w:rPr>
        <w:t>7.9</w:t>
      </w:r>
      <w:r>
        <w:rPr>
          <w:rFonts w:hint="eastAsia" w:hAnsi="宋体"/>
          <w:color w:val="auto"/>
          <w:sz w:val="24"/>
          <w:highlight w:val="none"/>
        </w:rPr>
        <w:t>关于工期的奖惩</w:t>
      </w:r>
    </w:p>
    <w:p>
      <w:pPr>
        <w:spacing w:line="440" w:lineRule="exact"/>
        <w:ind w:firstLine="480" w:firstLineChars="200"/>
        <w:rPr>
          <w:rFonts w:hint="eastAsia"/>
          <w:color w:val="auto"/>
          <w:sz w:val="24"/>
          <w:highlight w:val="none"/>
          <w:u w:val="single"/>
        </w:rPr>
      </w:pPr>
      <w:r>
        <w:rPr>
          <w:rFonts w:hAnsi="宋体"/>
          <w:color w:val="auto"/>
          <w:sz w:val="24"/>
          <w:highlight w:val="none"/>
        </w:rPr>
        <w:t>7.9.2提前竣工的奖励：</w:t>
      </w:r>
      <w:r>
        <w:rPr>
          <w:rFonts w:hint="eastAsia" w:hAnsi="宋体"/>
          <w:color w:val="auto"/>
          <w:sz w:val="24"/>
          <w:highlight w:val="none"/>
        </w:rPr>
        <w:t>/</w:t>
      </w:r>
      <w:r>
        <w:rPr>
          <w:rFonts w:hint="eastAsia"/>
          <w:color w:val="auto"/>
          <w:sz w:val="24"/>
          <w:highlight w:val="none"/>
          <w:u w:val="single"/>
        </w:rPr>
        <w:t>。</w:t>
      </w:r>
    </w:p>
    <w:p>
      <w:pPr>
        <w:spacing w:line="440" w:lineRule="exact"/>
        <w:ind w:firstLine="480" w:firstLineChars="200"/>
        <w:rPr>
          <w:rFonts w:hint="eastAsia" w:hAnsi="宋体"/>
          <w:color w:val="auto"/>
          <w:sz w:val="24"/>
          <w:highlight w:val="none"/>
        </w:rPr>
      </w:pPr>
      <w:bookmarkStart w:id="579" w:name="_Toc351203640"/>
      <w:r>
        <w:rPr>
          <w:color w:val="auto"/>
          <w:sz w:val="24"/>
          <w:highlight w:val="none"/>
        </w:rPr>
        <w:t>8. 材料与设备</w:t>
      </w:r>
      <w:bookmarkEnd w:id="514"/>
      <w:bookmarkEnd w:id="515"/>
      <w:bookmarkEnd w:id="516"/>
      <w:bookmarkEnd w:id="517"/>
      <w:bookmarkEnd w:id="518"/>
      <w:bookmarkEnd w:id="519"/>
      <w:bookmarkEnd w:id="520"/>
      <w:bookmarkEnd w:id="521"/>
      <w:bookmarkEnd w:id="522"/>
      <w:bookmarkEnd w:id="523"/>
      <w:bookmarkEnd w:id="579"/>
    </w:p>
    <w:p>
      <w:pPr>
        <w:spacing w:line="440" w:lineRule="exact"/>
        <w:ind w:firstLine="480" w:firstLineChars="200"/>
        <w:rPr>
          <w:rFonts w:hint="eastAsia" w:hAnsi="宋体"/>
          <w:color w:val="auto"/>
          <w:sz w:val="24"/>
          <w:highlight w:val="none"/>
        </w:rPr>
      </w:pPr>
      <w:r>
        <w:rPr>
          <w:rFonts w:hAnsi="宋体"/>
          <w:color w:val="auto"/>
          <w:sz w:val="24"/>
          <w:highlight w:val="none"/>
        </w:rPr>
        <w:t>8</w:t>
      </w:r>
      <w:bookmarkStart w:id="580" w:name="_Toc292559372"/>
      <w:bookmarkStart w:id="581" w:name="_Toc296944506"/>
      <w:bookmarkStart w:id="582" w:name="_Toc297216186"/>
      <w:bookmarkStart w:id="583" w:name="_Toc296890995"/>
      <w:bookmarkStart w:id="584" w:name="_Toc312677493"/>
      <w:bookmarkStart w:id="585" w:name="_Toc303539136"/>
      <w:bookmarkStart w:id="586" w:name="_Toc296891207"/>
      <w:bookmarkStart w:id="587" w:name="_Toc292559877"/>
      <w:bookmarkStart w:id="588" w:name="_Toc296346668"/>
      <w:bookmarkStart w:id="589" w:name="_Toc297120467"/>
      <w:bookmarkStart w:id="590" w:name="_Toc296347166"/>
      <w:bookmarkStart w:id="591" w:name="_Toc296503167"/>
      <w:bookmarkStart w:id="592" w:name="_Toc312678019"/>
      <w:bookmarkStart w:id="593" w:name="_Toc297048353"/>
      <w:bookmarkStart w:id="594" w:name="_Toc280868654"/>
      <w:bookmarkStart w:id="595" w:name="_Toc297123527"/>
      <w:bookmarkStart w:id="596" w:name="_Toc300934979"/>
      <w:bookmarkStart w:id="597" w:name="_Toc304295556"/>
      <w:bookmarkStart w:id="598" w:name="_Toc280868655"/>
      <w:bookmarkStart w:id="599" w:name="_Toc267251424"/>
      <w:bookmarkStart w:id="600" w:name="_Toc280868656"/>
      <w:r>
        <w:rPr>
          <w:rFonts w:hAnsi="宋体"/>
          <w:color w:val="auto"/>
          <w:sz w:val="24"/>
          <w:highlight w:val="none"/>
        </w:rPr>
        <w:t>.4材料与工程设备的保管与使用</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pacing w:line="440" w:lineRule="exact"/>
        <w:ind w:firstLine="480" w:firstLineChars="200"/>
        <w:rPr>
          <w:rFonts w:hint="eastAsia" w:hAnsi="宋体"/>
          <w:color w:val="auto"/>
          <w:sz w:val="24"/>
          <w:highlight w:val="none"/>
        </w:rPr>
      </w:pPr>
      <w:r>
        <w:rPr>
          <w:color w:val="auto"/>
          <w:sz w:val="24"/>
          <w:highlight w:val="none"/>
        </w:rPr>
        <w:t>8</w:t>
      </w:r>
      <w:bookmarkStart w:id="601" w:name="_Toc292559878"/>
      <w:bookmarkStart w:id="602" w:name="_Toc292559373"/>
      <w:bookmarkStart w:id="603" w:name="_Toc304295557"/>
      <w:bookmarkStart w:id="604" w:name="_Toc296503168"/>
      <w:bookmarkStart w:id="605" w:name="_Toc296347167"/>
      <w:bookmarkStart w:id="606" w:name="_Toc297123528"/>
      <w:bookmarkStart w:id="607" w:name="_Toc312678020"/>
      <w:bookmarkStart w:id="608" w:name="_Toc303539137"/>
      <w:bookmarkStart w:id="609" w:name="_Toc297216187"/>
      <w:bookmarkStart w:id="610" w:name="_Toc300934980"/>
      <w:bookmarkStart w:id="611" w:name="_Toc297120468"/>
      <w:bookmarkStart w:id="612" w:name="_Toc296944507"/>
      <w:bookmarkStart w:id="613" w:name="_Toc296890996"/>
      <w:bookmarkStart w:id="614" w:name="_Toc296891208"/>
      <w:bookmarkStart w:id="615" w:name="_Toc296346669"/>
      <w:bookmarkStart w:id="616" w:name="_Toc318581173"/>
      <w:bookmarkStart w:id="617" w:name="_Toc297048354"/>
      <w:bookmarkStart w:id="618" w:name="_Toc312677494"/>
      <w:r>
        <w:rPr>
          <w:color w:val="auto"/>
          <w:sz w:val="24"/>
          <w:highlight w:val="none"/>
        </w:rPr>
        <w:t>.4.1发包人供应的材料设备的保管费用的承担：</w:t>
      </w:r>
      <w:r>
        <w:rPr>
          <w:rFonts w:hint="eastAsia"/>
          <w:color w:val="auto"/>
          <w:sz w:val="24"/>
          <w:highlight w:val="none"/>
          <w:u w:val="single"/>
        </w:rPr>
        <w:t>发包人采购的材料设备，发包人负责运到工地。承包人报价中应含材料设备卸车费、保管费、材料设备仓库搬运至施工操作面费用，并考虑安装就位措施等费用。发包人采购的材料设备损耗按定额规定计取，超出定额规定损耗率的材料设备由发包人按实向承包人收取费用</w:t>
      </w:r>
      <w:r>
        <w:rPr>
          <w:rFonts w:hint="eastAsia"/>
          <w:color w:val="auto"/>
          <w:sz w:val="24"/>
          <w:highlight w:val="none"/>
        </w:rPr>
        <w:t xml:space="preserve">。  </w:t>
      </w:r>
      <w:bookmarkEnd w:id="601"/>
      <w:bookmarkEnd w:id="602"/>
    </w:p>
    <w:p>
      <w:pPr>
        <w:spacing w:line="440" w:lineRule="exact"/>
        <w:ind w:firstLine="480" w:firstLineChars="200"/>
        <w:rPr>
          <w:rFonts w:hAnsi="宋体"/>
          <w:color w:val="auto"/>
          <w:sz w:val="24"/>
          <w:highlight w:val="none"/>
        </w:rPr>
      </w:pPr>
      <w:r>
        <w:rPr>
          <w:rFonts w:hAnsi="宋体"/>
          <w:color w:val="auto"/>
          <w:sz w:val="24"/>
          <w:highlight w:val="none"/>
        </w:rPr>
        <w:t>8.6 样品</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8.6.1</w:t>
      </w:r>
      <w:r>
        <w:rPr>
          <w:rFonts w:hAnsi="宋体"/>
          <w:color w:val="auto"/>
          <w:kern w:val="0"/>
          <w:sz w:val="24"/>
          <w:highlight w:val="none"/>
        </w:rPr>
        <w:tab/>
      </w:r>
      <w:r>
        <w:rPr>
          <w:rFonts w:hAnsi="宋体"/>
          <w:color w:val="auto"/>
          <w:kern w:val="0"/>
          <w:sz w:val="24"/>
          <w:highlight w:val="none"/>
        </w:rPr>
        <w:t>样品的报送</w:t>
      </w:r>
      <w:r>
        <w:rPr>
          <w:rFonts w:hint="eastAsia" w:hAnsi="宋体"/>
          <w:color w:val="auto"/>
          <w:kern w:val="0"/>
          <w:sz w:val="24"/>
          <w:highlight w:val="none"/>
        </w:rPr>
        <w:t>与封存</w:t>
      </w:r>
    </w:p>
    <w:p>
      <w:pPr>
        <w:spacing w:line="440" w:lineRule="exact"/>
        <w:ind w:firstLine="480" w:firstLineChars="200"/>
        <w:rPr>
          <w:rFonts w:hint="eastAsia" w:hAnsi="宋体" w:cs="宋体"/>
          <w:color w:val="auto"/>
          <w:sz w:val="24"/>
          <w:highlight w:val="none"/>
          <w:u w:val="single"/>
        </w:rPr>
      </w:pPr>
      <w:r>
        <w:rPr>
          <w:rFonts w:hAnsi="宋体"/>
          <w:color w:val="auto"/>
          <w:kern w:val="0"/>
          <w:sz w:val="24"/>
          <w:highlight w:val="none"/>
        </w:rPr>
        <w:t>需要承包人报送样品的材料或工程设备，样品的种类、名称、规格、数量要求：</w:t>
      </w:r>
      <w:r>
        <w:rPr>
          <w:rFonts w:hint="eastAsia" w:hAnsi="宋体" w:cs="宋体"/>
          <w:color w:val="auto"/>
          <w:sz w:val="24"/>
          <w:highlight w:val="none"/>
          <w:u w:val="single"/>
        </w:rPr>
        <w:t xml:space="preserve">工程所需材料全部由中标方自行采购（甲供材料除外），材料质量必须符合国家现行有关规范标准和设计要求，并经监理和发包人签证同意后方可使用。材料质量、规格与要求不符的，监理工程师或发包人代表将拒绝使用，承包人应无条件负责更换或返工，并承担由此发生的一切费用和工期延误损失。    </w:t>
      </w:r>
    </w:p>
    <w:p>
      <w:pPr>
        <w:spacing w:line="500" w:lineRule="exact"/>
        <w:ind w:firstLine="480" w:firstLineChars="200"/>
        <w:rPr>
          <w:rFonts w:hint="eastAsia" w:hAnsi="宋体" w:cs="宋体"/>
          <w:color w:val="auto"/>
          <w:sz w:val="24"/>
          <w:highlight w:val="none"/>
          <w:u w:val="single"/>
        </w:rPr>
      </w:pPr>
      <w:r>
        <w:rPr>
          <w:rFonts w:hint="eastAsia" w:hAnsi="宋体" w:cs="宋体"/>
          <w:color w:val="auto"/>
          <w:sz w:val="24"/>
          <w:highlight w:val="none"/>
          <w:u w:val="single"/>
        </w:rPr>
        <w:t>由承包人采购供应的材料承包人必须按招标文件或工程量清单等资料中提供的品牌、质量进行采购，承包单位在采购主要材料前，需提供样品，经发包单位、设计单位、监理单位共同确认并签字认可后方可采购，采购完成后统一入库、统一拨付、统一管理 。</w:t>
      </w:r>
    </w:p>
    <w:p>
      <w:pPr>
        <w:spacing w:line="440" w:lineRule="exact"/>
        <w:ind w:firstLine="480" w:firstLineChars="200"/>
        <w:rPr>
          <w:rFonts w:hAnsi="宋体"/>
          <w:color w:val="auto"/>
          <w:sz w:val="24"/>
          <w:highlight w:val="none"/>
        </w:rPr>
      </w:pPr>
      <w:r>
        <w:rPr>
          <w:rFonts w:hAnsi="宋体"/>
          <w:color w:val="auto"/>
          <w:sz w:val="24"/>
          <w:highlight w:val="none"/>
        </w:rPr>
        <w:t>8.8 施工设备和临时设施</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8.8.1 承包人提供的施工设备和临时设施</w:t>
      </w:r>
    </w:p>
    <w:p>
      <w:pPr>
        <w:autoSpaceDE w:val="0"/>
        <w:autoSpaceDN w:val="0"/>
        <w:adjustRightInd w:val="0"/>
        <w:spacing w:line="440" w:lineRule="exact"/>
        <w:ind w:firstLine="480" w:firstLineChars="200"/>
        <w:rPr>
          <w:rFonts w:hAnsi="宋体"/>
          <w:color w:val="auto"/>
          <w:sz w:val="24"/>
          <w:highlight w:val="none"/>
        </w:rPr>
      </w:pPr>
      <w:r>
        <w:rPr>
          <w:rFonts w:hAnsi="宋体"/>
          <w:color w:val="auto"/>
          <w:sz w:val="24"/>
          <w:highlight w:val="none"/>
        </w:rPr>
        <w:t>关于修建临时设施费用承担的约定：</w:t>
      </w:r>
      <w:r>
        <w:rPr>
          <w:rFonts w:hint="eastAsia" w:hAnsi="宋体"/>
          <w:color w:val="auto"/>
          <w:sz w:val="24"/>
          <w:highlight w:val="none"/>
          <w:u w:val="single"/>
        </w:rPr>
        <w:t>承包人自行承担</w:t>
      </w:r>
      <w:r>
        <w:rPr>
          <w:rFonts w:hAnsi="宋体"/>
          <w:color w:val="auto"/>
          <w:sz w:val="24"/>
          <w:highlight w:val="none"/>
        </w:rPr>
        <w:t>。</w:t>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Pr>
        <w:spacing w:line="440" w:lineRule="exact"/>
        <w:ind w:firstLine="480" w:firstLineChars="200"/>
        <w:rPr>
          <w:color w:val="auto"/>
          <w:sz w:val="24"/>
          <w:highlight w:val="none"/>
        </w:rPr>
      </w:pPr>
      <w:bookmarkStart w:id="619" w:name="_Toc351203641"/>
      <w:r>
        <w:rPr>
          <w:color w:val="auto"/>
          <w:sz w:val="24"/>
          <w:highlight w:val="none"/>
        </w:rPr>
        <w:t>9</w:t>
      </w:r>
      <w:bookmarkEnd w:id="598"/>
      <w:bookmarkEnd w:id="599"/>
      <w:bookmarkEnd w:id="600"/>
      <w:bookmarkStart w:id="620" w:name="_Toc304295559"/>
      <w:bookmarkStart w:id="621" w:name="_Toc312677495"/>
      <w:bookmarkStart w:id="622" w:name="_Toc297123533"/>
      <w:bookmarkStart w:id="623" w:name="_Toc303539139"/>
      <w:bookmarkStart w:id="624" w:name="_Toc300934982"/>
      <w:bookmarkStart w:id="625" w:name="_Toc297216192"/>
      <w:bookmarkStart w:id="626" w:name="_Toc312678021"/>
      <w:bookmarkStart w:id="627" w:name="_Toc292559378"/>
      <w:bookmarkStart w:id="628" w:name="_Toc296503173"/>
      <w:bookmarkStart w:id="629" w:name="_Toc297120473"/>
      <w:bookmarkStart w:id="630" w:name="_Toc296891001"/>
      <w:bookmarkStart w:id="631" w:name="_Toc296346674"/>
      <w:bookmarkStart w:id="632" w:name="_Toc297048359"/>
      <w:bookmarkStart w:id="633" w:name="_Toc267251427"/>
      <w:bookmarkStart w:id="634" w:name="_Toc296944512"/>
      <w:bookmarkStart w:id="635" w:name="_Toc267251428"/>
      <w:bookmarkStart w:id="636" w:name="_Toc292559883"/>
      <w:bookmarkStart w:id="637" w:name="_Toc296891213"/>
      <w:bookmarkStart w:id="638" w:name="_Toc296347172"/>
      <w:r>
        <w:rPr>
          <w:color w:val="auto"/>
          <w:sz w:val="24"/>
          <w:highlight w:val="none"/>
        </w:rPr>
        <w:t>. 试验与检验</w:t>
      </w:r>
      <w:bookmarkEnd w:id="619"/>
    </w:p>
    <w:bookmarkEnd w:id="620"/>
    <w:bookmarkEnd w:id="621"/>
    <w:bookmarkEnd w:id="622"/>
    <w:bookmarkEnd w:id="623"/>
    <w:bookmarkEnd w:id="624"/>
    <w:bookmarkEnd w:id="625"/>
    <w:bookmarkEnd w:id="626"/>
    <w:p>
      <w:pPr>
        <w:spacing w:line="440" w:lineRule="exact"/>
        <w:ind w:firstLine="480" w:firstLineChars="200"/>
        <w:rPr>
          <w:rFonts w:hAnsi="宋体"/>
          <w:color w:val="auto"/>
          <w:sz w:val="24"/>
          <w:highlight w:val="none"/>
        </w:rPr>
      </w:pPr>
      <w:r>
        <w:rPr>
          <w:rFonts w:hAnsi="宋体"/>
          <w:color w:val="auto"/>
          <w:sz w:val="24"/>
          <w:highlight w:val="none"/>
        </w:rPr>
        <w:t>9</w:t>
      </w:r>
      <w:bookmarkStart w:id="639" w:name="_Toc303539140"/>
      <w:bookmarkStart w:id="640" w:name="_Toc304295560"/>
      <w:bookmarkStart w:id="641" w:name="_Toc300934983"/>
      <w:bookmarkStart w:id="642" w:name="_Toc312677496"/>
      <w:bookmarkStart w:id="643" w:name="_Toc297216193"/>
      <w:bookmarkStart w:id="644" w:name="_Toc297123534"/>
      <w:bookmarkStart w:id="645" w:name="_Toc312678022"/>
      <w:r>
        <w:rPr>
          <w:rFonts w:hAnsi="宋体"/>
          <w:color w:val="auto"/>
          <w:sz w:val="24"/>
          <w:highlight w:val="none"/>
        </w:rPr>
        <w:t>.1试验设备与试验人员</w:t>
      </w:r>
    </w:p>
    <w:bookmarkEnd w:id="639"/>
    <w:bookmarkEnd w:id="640"/>
    <w:bookmarkEnd w:id="641"/>
    <w:bookmarkEnd w:id="642"/>
    <w:bookmarkEnd w:id="643"/>
    <w:bookmarkEnd w:id="644"/>
    <w:bookmarkEnd w:id="645"/>
    <w:p>
      <w:pPr>
        <w:spacing w:line="440" w:lineRule="exact"/>
        <w:ind w:firstLine="480" w:firstLineChars="200"/>
        <w:rPr>
          <w:rFonts w:hAnsi="宋体"/>
          <w:color w:val="auto"/>
          <w:sz w:val="24"/>
          <w:highlight w:val="none"/>
        </w:rPr>
      </w:pPr>
      <w:r>
        <w:rPr>
          <w:rFonts w:hAnsi="宋体"/>
          <w:color w:val="auto"/>
          <w:sz w:val="24"/>
          <w:highlight w:val="none"/>
        </w:rPr>
        <w:t>9</w:t>
      </w:r>
      <w:bookmarkStart w:id="646" w:name="_Toc297123535"/>
      <w:bookmarkStart w:id="647" w:name="_Toc303539141"/>
      <w:bookmarkStart w:id="648" w:name="_Toc312677497"/>
      <w:bookmarkStart w:id="649" w:name="_Toc300934984"/>
      <w:bookmarkStart w:id="650" w:name="_Toc297216194"/>
      <w:bookmarkStart w:id="651" w:name="_Toc304295561"/>
      <w:bookmarkStart w:id="652" w:name="_Toc312678023"/>
      <w:bookmarkStart w:id="653" w:name="_Toc318581174"/>
      <w:r>
        <w:rPr>
          <w:rFonts w:hAnsi="宋体"/>
          <w:color w:val="auto"/>
          <w:sz w:val="24"/>
          <w:highlight w:val="none"/>
        </w:rPr>
        <w:t>.1.2 试验设备</w:t>
      </w:r>
    </w:p>
    <w:p>
      <w:pPr>
        <w:spacing w:line="440" w:lineRule="exact"/>
        <w:ind w:firstLine="480" w:firstLineChars="200"/>
        <w:rPr>
          <w:rFonts w:hAnsi="宋体"/>
          <w:color w:val="auto"/>
          <w:sz w:val="24"/>
          <w:highlight w:val="none"/>
        </w:rPr>
      </w:pPr>
      <w:r>
        <w:rPr>
          <w:rFonts w:hAnsi="宋体"/>
          <w:color w:val="auto"/>
          <w:sz w:val="24"/>
          <w:highlight w:val="none"/>
        </w:rPr>
        <w:t>施工现场需要配置的试验场所：</w:t>
      </w:r>
      <w:bookmarkEnd w:id="646"/>
      <w:bookmarkEnd w:id="647"/>
      <w:bookmarkEnd w:id="648"/>
      <w:bookmarkEnd w:id="649"/>
      <w:bookmarkEnd w:id="650"/>
      <w:bookmarkEnd w:id="651"/>
      <w:bookmarkEnd w:id="652"/>
      <w:bookmarkStart w:id="654" w:name="_Toc312678024"/>
      <w:bookmarkStart w:id="655" w:name="_Toc304295562"/>
      <w:bookmarkStart w:id="656" w:name="_Toc312677498"/>
      <w:bookmarkStart w:id="657" w:name="_Toc300934985"/>
      <w:bookmarkStart w:id="658" w:name="_Toc297216195"/>
      <w:bookmarkStart w:id="659" w:name="_Toc297123536"/>
      <w:bookmarkStart w:id="660" w:name="_Toc303539142"/>
      <w:r>
        <w:rPr>
          <w:rFonts w:hint="eastAsia" w:hAnsi="宋体"/>
          <w:color w:val="auto"/>
          <w:sz w:val="24"/>
          <w:highlight w:val="none"/>
          <w:u w:val="single"/>
        </w:rPr>
        <w:t>/</w:t>
      </w:r>
      <w:r>
        <w:rPr>
          <w:rFonts w:hAnsi="宋体"/>
          <w:color w:val="auto"/>
          <w:sz w:val="24"/>
          <w:highlight w:val="none"/>
        </w:rPr>
        <w:t>。</w:t>
      </w:r>
      <w:r>
        <w:rPr>
          <w:rFonts w:hint="eastAsia" w:hAnsi="宋体"/>
          <w:color w:val="auto"/>
          <w:sz w:val="24"/>
          <w:highlight w:val="non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施工现场需要配备的试验设备：</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施工现场需要具备的其他试验条件：</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9.4 现场工艺试验</w:t>
      </w:r>
      <w:r>
        <w:rPr>
          <w:rFonts w:hint="eastAsia" w:hAnsi="宋体"/>
          <w:color w:val="auto"/>
          <w:sz w:val="24"/>
          <w:highlight w:val="none"/>
        </w:rPr>
        <w:t xml:space="preserve"> </w:t>
      </w:r>
    </w:p>
    <w:p>
      <w:pPr>
        <w:spacing w:line="440" w:lineRule="exact"/>
        <w:ind w:firstLine="480" w:firstLineChars="200"/>
        <w:rPr>
          <w:rFonts w:hint="eastAsia" w:hAnsi="宋体"/>
          <w:color w:val="auto"/>
          <w:sz w:val="24"/>
          <w:highlight w:val="none"/>
        </w:rPr>
      </w:pPr>
      <w:r>
        <w:rPr>
          <w:rFonts w:hAnsi="宋体"/>
          <w:color w:val="auto"/>
          <w:sz w:val="24"/>
          <w:highlight w:val="none"/>
        </w:rPr>
        <w:t>现场工艺试验的有关约定：</w:t>
      </w:r>
      <w:r>
        <w:rPr>
          <w:rFonts w:hint="eastAsia" w:hAnsi="宋体"/>
          <w:color w:val="auto"/>
          <w:sz w:val="24"/>
          <w:highlight w:val="none"/>
          <w:u w:val="single"/>
        </w:rPr>
        <w:t>/</w:t>
      </w:r>
      <w:r>
        <w:rPr>
          <w:rFonts w:hAnsi="宋体"/>
          <w:color w:val="auto"/>
          <w:sz w:val="24"/>
          <w:highlight w:val="none"/>
        </w:rPr>
        <w:t>。</w:t>
      </w:r>
    </w:p>
    <w:bookmarkEnd w:id="627"/>
    <w:bookmarkEnd w:id="628"/>
    <w:bookmarkEnd w:id="629"/>
    <w:bookmarkEnd w:id="630"/>
    <w:bookmarkEnd w:id="631"/>
    <w:bookmarkEnd w:id="632"/>
    <w:bookmarkEnd w:id="633"/>
    <w:bookmarkEnd w:id="634"/>
    <w:bookmarkEnd w:id="635"/>
    <w:bookmarkEnd w:id="636"/>
    <w:bookmarkEnd w:id="637"/>
    <w:bookmarkEnd w:id="638"/>
    <w:bookmarkEnd w:id="653"/>
    <w:bookmarkEnd w:id="654"/>
    <w:bookmarkEnd w:id="655"/>
    <w:bookmarkEnd w:id="656"/>
    <w:bookmarkEnd w:id="657"/>
    <w:bookmarkEnd w:id="658"/>
    <w:bookmarkEnd w:id="659"/>
    <w:bookmarkEnd w:id="660"/>
    <w:p>
      <w:pPr>
        <w:spacing w:line="440" w:lineRule="exact"/>
        <w:ind w:firstLine="480" w:firstLineChars="200"/>
        <w:rPr>
          <w:rFonts w:hint="eastAsia" w:hAnsi="宋体" w:cs="宋体"/>
          <w:color w:val="auto"/>
          <w:sz w:val="24"/>
          <w:highlight w:val="none"/>
        </w:rPr>
      </w:pPr>
      <w:bookmarkStart w:id="661" w:name="_Toc296891234"/>
      <w:bookmarkStart w:id="662" w:name="_Toc312678026"/>
      <w:bookmarkStart w:id="663" w:name="_Toc297120494"/>
      <w:bookmarkStart w:id="664" w:name="_Toc292559399"/>
      <w:bookmarkStart w:id="665" w:name="_Toc312677500"/>
      <w:bookmarkStart w:id="666" w:name="_Toc296944533"/>
      <w:bookmarkStart w:id="667" w:name="_Toc297048380"/>
      <w:bookmarkStart w:id="668" w:name="_Toc292559904"/>
      <w:bookmarkStart w:id="669" w:name="_Toc297216200"/>
      <w:bookmarkStart w:id="670" w:name="_Toc296891022"/>
      <w:bookmarkStart w:id="671" w:name="_Toc303539147"/>
      <w:bookmarkStart w:id="672" w:name="_Toc296347193"/>
      <w:bookmarkStart w:id="673" w:name="_Toc297123541"/>
      <w:bookmarkStart w:id="674" w:name="_Toc296346695"/>
      <w:bookmarkStart w:id="675" w:name="_Toc296503194"/>
      <w:bookmarkStart w:id="676" w:name="_Toc304295567"/>
      <w:bookmarkStart w:id="677" w:name="_Toc300934990"/>
      <w:bookmarkStart w:id="678" w:name="_Toc267251433"/>
      <w:bookmarkStart w:id="679" w:name="_Toc267251441"/>
      <w:bookmarkStart w:id="680" w:name="_Toc267251439"/>
      <w:bookmarkStart w:id="681" w:name="_Toc267251437"/>
      <w:bookmarkStart w:id="682" w:name="_Toc267251435"/>
      <w:bookmarkStart w:id="683" w:name="_Toc267251440"/>
      <w:bookmarkStart w:id="684" w:name="_Toc267251442"/>
      <w:r>
        <w:rPr>
          <w:rFonts w:hint="eastAsia" w:hAnsi="宋体" w:cs="宋体"/>
          <w:color w:val="auto"/>
          <w:sz w:val="24"/>
          <w:highlight w:val="none"/>
        </w:rPr>
        <w:t>10. 变更</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10.1 变更的范围</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hAnsi="宋体" w:cs="宋体"/>
          <w:color w:val="auto"/>
          <w:sz w:val="24"/>
          <w:highlight w:val="none"/>
        </w:rPr>
      </w:pPr>
      <w:r>
        <w:rPr>
          <w:rFonts w:hint="eastAsia" w:hAnsi="宋体" w:cs="宋体"/>
          <w:color w:val="auto"/>
          <w:sz w:val="24"/>
          <w:highlight w:val="none"/>
        </w:rPr>
        <w:t>关于变更的范围的约定：</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color w:val="auto"/>
          <w:sz w:val="24"/>
          <w:highlight w:val="none"/>
          <w:u w:val="single"/>
        </w:rPr>
      </w:pPr>
      <w:r>
        <w:rPr>
          <w:rFonts w:hint="eastAsia" w:hAnsi="宋体" w:cs="宋体"/>
          <w:color w:val="auto"/>
          <w:sz w:val="24"/>
          <w:highlight w:val="none"/>
          <w:u w:val="single"/>
        </w:rPr>
        <w:t>（1）政府性投资项目按</w:t>
      </w:r>
      <w:r>
        <w:rPr>
          <w:rFonts w:hint="eastAsia" w:hAnsi="宋体" w:cs="宋体"/>
          <w:b/>
          <w:color w:val="auto"/>
          <w:sz w:val="24"/>
          <w:highlight w:val="none"/>
          <w:u w:val="single"/>
        </w:rPr>
        <w:t>《临安区政府性投资项目工程变更管理办法》（临政函[2018]11号）</w:t>
      </w:r>
      <w:r>
        <w:rPr>
          <w:rFonts w:hint="eastAsia" w:hAnsi="宋体" w:cs="宋体"/>
          <w:color w:val="auto"/>
          <w:sz w:val="24"/>
          <w:highlight w:val="none"/>
          <w:u w:val="single"/>
        </w:rPr>
        <w:t>相关变更管理办法规定，如追加额外工作，取消合同中部分工程量，改变质量标准，改变工程的基线、标高、位置和尺寸等。</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b/>
          <w:color w:val="auto"/>
          <w:sz w:val="24"/>
          <w:highlight w:val="none"/>
          <w:u w:val="single"/>
        </w:rPr>
      </w:pPr>
      <w:r>
        <w:rPr>
          <w:rFonts w:hint="eastAsia" w:hAnsi="宋体" w:cs="宋体"/>
          <w:b/>
          <w:color w:val="auto"/>
          <w:sz w:val="24"/>
          <w:highlight w:val="none"/>
          <w:u w:val="single"/>
        </w:rPr>
        <w:t>（2）发包人可根据工程需要进行工程变更，承包人必须及时按照招标人的相关要求进行工程变更。否则视承包人违约，发包人可根据情节严重程度对承包人进行处罚。如变更产生费用增加或工期延长，需发包人进行签证的，需按下列要求提交签证文件（工程联系单）：</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b/>
          <w:color w:val="auto"/>
          <w:sz w:val="24"/>
          <w:highlight w:val="none"/>
          <w:u w:val="single"/>
        </w:rPr>
      </w:pPr>
      <w:r>
        <w:rPr>
          <w:rFonts w:hint="eastAsia" w:hAnsi="宋体" w:cs="宋体"/>
          <w:b/>
          <w:color w:val="auto"/>
          <w:sz w:val="24"/>
          <w:highlight w:val="none"/>
          <w:u w:val="single"/>
        </w:rPr>
        <w:t>A、变更内容明确，工程量可准确计算的，承包人应在接收变更指令后14个工作日内提交相关的签证文件（工程联系单）；</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color w:val="auto"/>
          <w:sz w:val="24"/>
          <w:highlight w:val="none"/>
          <w:u w:val="single"/>
        </w:rPr>
      </w:pPr>
      <w:r>
        <w:rPr>
          <w:rFonts w:hint="eastAsia" w:hAnsi="宋体" w:cs="宋体"/>
          <w:b/>
          <w:color w:val="auto"/>
          <w:sz w:val="24"/>
          <w:highlight w:val="none"/>
          <w:u w:val="single"/>
        </w:rPr>
        <w:t>B、工程变更内容完成后才能准确计量的工程变更，承包人应在工程变更完成后14个工作日内提交相关的签证文件（工程联系单）；</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b/>
          <w:color w:val="auto"/>
          <w:sz w:val="24"/>
          <w:highlight w:val="none"/>
          <w:u w:val="single"/>
        </w:rPr>
      </w:pPr>
      <w:r>
        <w:rPr>
          <w:rFonts w:hAnsi="宋体" w:cs="宋体"/>
          <w:b/>
          <w:color w:val="auto"/>
          <w:sz w:val="24"/>
          <w:highlight w:val="none"/>
          <w:u w:val="single"/>
        </w:rPr>
        <w:t>C</w:t>
      </w:r>
      <w:r>
        <w:rPr>
          <w:rFonts w:hint="eastAsia" w:hAnsi="宋体" w:cs="宋体"/>
          <w:b/>
          <w:color w:val="auto"/>
          <w:sz w:val="24"/>
          <w:highlight w:val="none"/>
          <w:u w:val="single"/>
        </w:rPr>
        <w:t>、如承包人未按上述要求及时提交工程变更的签证文件（工程联系单），则视为相关变更不产生费用增加或工期延长；</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b/>
          <w:color w:val="auto"/>
          <w:sz w:val="24"/>
          <w:highlight w:val="none"/>
          <w:u w:val="single"/>
        </w:rPr>
      </w:pPr>
      <w:r>
        <w:rPr>
          <w:rFonts w:hint="eastAsia" w:hAnsi="宋体" w:cs="宋体"/>
          <w:b/>
          <w:color w:val="auto"/>
          <w:sz w:val="24"/>
          <w:highlight w:val="none"/>
          <w:u w:val="single"/>
        </w:rPr>
        <w:t>D、发包人对签证文件（工程联系单）进行审核并完成相关流程审批后予以签证回复；</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b/>
          <w:color w:val="auto"/>
          <w:sz w:val="24"/>
          <w:highlight w:val="none"/>
          <w:u w:val="single"/>
        </w:rPr>
      </w:pPr>
      <w:r>
        <w:rPr>
          <w:rFonts w:hAnsi="宋体" w:cs="宋体"/>
          <w:b/>
          <w:color w:val="auto"/>
          <w:sz w:val="24"/>
          <w:highlight w:val="none"/>
          <w:u w:val="single"/>
        </w:rPr>
        <w:t>E</w:t>
      </w:r>
      <w:r>
        <w:rPr>
          <w:rFonts w:hint="eastAsia" w:hAnsi="宋体" w:cs="宋体"/>
          <w:b/>
          <w:color w:val="auto"/>
          <w:sz w:val="24"/>
          <w:highlight w:val="none"/>
          <w:u w:val="single"/>
        </w:rPr>
        <w:t>、变更超过原设计标准或批准的建设规模时，发包人应报规划管理部门和其他相关部门重新审查批准，并由原设计单位提供变更的相应图纸和说明。</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b/>
          <w:bCs/>
          <w:color w:val="auto"/>
          <w:sz w:val="24"/>
          <w:highlight w:val="none"/>
          <w:u w:val="single"/>
        </w:rPr>
      </w:pPr>
      <w:r>
        <w:rPr>
          <w:rFonts w:hint="eastAsia" w:hAnsi="宋体" w:cs="宋体"/>
          <w:b/>
          <w:bCs/>
          <w:color w:val="auto"/>
          <w:sz w:val="24"/>
          <w:highlight w:val="none"/>
          <w:u w:val="single"/>
        </w:rPr>
        <w:t>（</w:t>
      </w:r>
      <w:r>
        <w:rPr>
          <w:rFonts w:hAnsi="宋体" w:cs="宋体"/>
          <w:b/>
          <w:bCs/>
          <w:color w:val="auto"/>
          <w:sz w:val="24"/>
          <w:highlight w:val="none"/>
          <w:u w:val="single"/>
        </w:rPr>
        <w:t>3</w:t>
      </w:r>
      <w:r>
        <w:rPr>
          <w:rFonts w:hint="eastAsia" w:hAnsi="宋体" w:cs="宋体"/>
          <w:b/>
          <w:bCs/>
          <w:color w:val="auto"/>
          <w:sz w:val="24"/>
          <w:highlight w:val="none"/>
          <w:u w:val="single"/>
        </w:rPr>
        <w:t>）施工中发包人需对原工程设计变更，应提前14天以书面形式向承包人发出变更通知。变更超过原设计标准或批准的建设规模时，发包人应报规划管理部门和其他相关部门重新审查批准，并由原设计单位提供变更的相应图纸和说明。承包人按照招标人发出的变更通知及有关要求进行变更。</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color w:val="auto"/>
          <w:sz w:val="24"/>
          <w:highlight w:val="none"/>
          <w:u w:val="single"/>
        </w:rPr>
      </w:pPr>
      <w:r>
        <w:rPr>
          <w:rFonts w:hint="eastAsia" w:hAnsi="宋体" w:cs="宋体"/>
          <w:color w:val="auto"/>
          <w:sz w:val="24"/>
          <w:highlight w:val="none"/>
          <w:u w:val="single"/>
        </w:rPr>
        <w:t>（4）施工中承包人不得对原工程设计进行变更。因承包人擅自变更设计发生的费用和由此导致发包人的直接损失，由承包人承担，延误的工期不予顺延。</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color w:val="auto"/>
          <w:sz w:val="24"/>
          <w:highlight w:val="none"/>
          <w:u w:val="single"/>
        </w:rPr>
      </w:pPr>
      <w:r>
        <w:rPr>
          <w:rFonts w:hint="eastAsia" w:hAnsi="宋体" w:cs="宋体"/>
          <w:color w:val="auto"/>
          <w:sz w:val="24"/>
          <w:highlight w:val="none"/>
          <w:u w:val="single"/>
        </w:rPr>
        <w:t>（5）承包人在施工中提出的合理化建议涉及到设计图纸或施工组织设计的更改及对材料、设备的换用，须经招标人同意。未经同意擅自更改或换用时，承包人承担由此发生的费用，并赔偿发包人的有关损失，延误的工期不予顺延。</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color w:val="auto"/>
          <w:sz w:val="24"/>
          <w:highlight w:val="none"/>
          <w:u w:val="single"/>
        </w:rPr>
      </w:pPr>
      <w:r>
        <w:rPr>
          <w:rFonts w:hint="eastAsia" w:hAnsi="宋体" w:cs="宋体"/>
          <w:color w:val="auto"/>
          <w:sz w:val="24"/>
          <w:highlight w:val="none"/>
          <w:u w:val="single"/>
        </w:rPr>
        <w:t>（6）发包人有可能根据工程需要修改施工图纸或发出指令增加或减少工程量，工程量不论增减多少，承包人均应服从，对因变更增加或减少的工程量，其结算口径按本合同条款执行。对变更单项材料累计金额达到规定标准时，招标人有权通过招标确定材料价格及供货单位。</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Ansi="宋体" w:cs="宋体"/>
          <w:color w:val="auto"/>
          <w:sz w:val="24"/>
          <w:highlight w:val="none"/>
          <w:u w:val="single"/>
        </w:rPr>
      </w:pPr>
      <w:r>
        <w:rPr>
          <w:rFonts w:hint="eastAsia" w:hAnsi="宋体" w:cs="宋体"/>
          <w:color w:val="auto"/>
          <w:sz w:val="24"/>
          <w:highlight w:val="none"/>
          <w:u w:val="single"/>
        </w:rPr>
        <w:t>（7）工程量调整方法如下：1.竣工结算时工程量计算规则按招标文件以及《建设工程工程量清单计价规范》（GB50500-2013）</w:t>
      </w:r>
      <w:r>
        <w:rPr>
          <w:rFonts w:hint="eastAsia" w:hAnsi="宋体" w:cs="宋体"/>
          <w:b/>
          <w:color w:val="auto"/>
          <w:sz w:val="24"/>
          <w:highlight w:val="none"/>
          <w:u w:val="single"/>
        </w:rPr>
        <w:t>和杭州市建设工程工程量清单实施细则（2018年修订）工程量清单对应计算规则执行</w:t>
      </w:r>
      <w:r>
        <w:rPr>
          <w:rFonts w:hint="eastAsia" w:hAnsi="宋体" w:cs="宋体"/>
          <w:color w:val="auto"/>
          <w:sz w:val="24"/>
          <w:highlight w:val="none"/>
          <w:u w:val="single"/>
        </w:rPr>
        <w:t xml:space="preserve">；2.经发包人确认的工程变更，调整方法见“10.4.1变更估价原则”。 </w:t>
      </w:r>
    </w:p>
    <w:p>
      <w:pPr>
        <w:keepNext w:val="0"/>
        <w:keepLines w:val="0"/>
        <w:pageBreakBefore w:val="0"/>
        <w:widowControl w:val="0"/>
        <w:kinsoku/>
        <w:wordWrap/>
        <w:overflowPunct/>
        <w:topLinePunct w:val="0"/>
        <w:autoSpaceDE/>
        <w:autoSpaceDN/>
        <w:bidi w:val="0"/>
        <w:adjustRightInd w:val="0"/>
        <w:snapToGrid/>
        <w:spacing w:line="400" w:lineRule="exact"/>
        <w:ind w:firstLine="480"/>
        <w:textAlignment w:val="auto"/>
        <w:rPr>
          <w:rFonts w:hint="eastAsia" w:hAnsi="宋体" w:cs="宋体"/>
          <w:color w:val="auto"/>
          <w:sz w:val="24"/>
          <w:highlight w:val="none"/>
          <w:u w:val="single"/>
        </w:rPr>
      </w:pPr>
      <w:r>
        <w:rPr>
          <w:rFonts w:hint="eastAsia" w:hAnsi="宋体" w:cs="宋体"/>
          <w:color w:val="auto"/>
          <w:sz w:val="24"/>
          <w:highlight w:val="none"/>
          <w:u w:val="single"/>
        </w:rPr>
        <w:t>（</w:t>
      </w:r>
      <w:r>
        <w:rPr>
          <w:rFonts w:hAnsi="宋体" w:cs="宋体"/>
          <w:color w:val="auto"/>
          <w:sz w:val="24"/>
          <w:highlight w:val="none"/>
          <w:u w:val="single"/>
        </w:rPr>
        <w:t>8</w:t>
      </w:r>
      <w:r>
        <w:rPr>
          <w:rFonts w:hint="eastAsia" w:hAnsi="宋体" w:cs="宋体"/>
          <w:color w:val="auto"/>
          <w:sz w:val="24"/>
          <w:highlight w:val="none"/>
          <w:u w:val="single"/>
        </w:rPr>
        <w:t>）工程量按经监理和发包人签证后的实测量联系单、施工图和设计变更单按实结算 。</w:t>
      </w:r>
    </w:p>
    <w:p>
      <w:pPr>
        <w:keepNext w:val="0"/>
        <w:keepLines w:val="0"/>
        <w:pageBreakBefore w:val="0"/>
        <w:widowControl w:val="0"/>
        <w:kinsoku/>
        <w:wordWrap/>
        <w:overflowPunct/>
        <w:topLinePunct w:val="0"/>
        <w:bidi w:val="0"/>
        <w:adjustRightInd w:val="0"/>
        <w:snapToGrid/>
        <w:spacing w:line="400" w:lineRule="exact"/>
        <w:ind w:firstLine="480"/>
        <w:textAlignment w:val="auto"/>
        <w:rPr>
          <w:rFonts w:hint="eastAsia"/>
          <w:b/>
          <w:color w:val="auto"/>
          <w:sz w:val="24"/>
          <w:highlight w:val="none"/>
        </w:rPr>
      </w:pPr>
      <w:r>
        <w:rPr>
          <w:rFonts w:hint="eastAsia"/>
          <w:b/>
          <w:color w:val="auto"/>
          <w:sz w:val="24"/>
          <w:highlight w:val="none"/>
        </w:rPr>
        <w:t>10.4 变更估价</w:t>
      </w:r>
    </w:p>
    <w:p>
      <w:pPr>
        <w:keepNext w:val="0"/>
        <w:keepLines w:val="0"/>
        <w:pageBreakBefore w:val="0"/>
        <w:widowControl w:val="0"/>
        <w:kinsoku/>
        <w:wordWrap/>
        <w:overflowPunct/>
        <w:topLinePunct w:val="0"/>
        <w:bidi w:val="0"/>
        <w:adjustRightInd w:val="0"/>
        <w:snapToGrid/>
        <w:spacing w:line="400" w:lineRule="exact"/>
        <w:ind w:firstLine="480"/>
        <w:jc w:val="left"/>
        <w:textAlignment w:val="auto"/>
        <w:rPr>
          <w:rFonts w:hint="eastAsia"/>
          <w:b/>
          <w:color w:val="auto"/>
          <w:sz w:val="24"/>
          <w:highlight w:val="none"/>
        </w:rPr>
      </w:pPr>
      <w:r>
        <w:rPr>
          <w:rFonts w:hint="eastAsia"/>
          <w:b/>
          <w:color w:val="auto"/>
          <w:sz w:val="24"/>
          <w:highlight w:val="none"/>
        </w:rPr>
        <w:t>10.4.1变更估价原则</w:t>
      </w:r>
    </w:p>
    <w:p>
      <w:pPr>
        <w:keepNext w:val="0"/>
        <w:keepLines w:val="0"/>
        <w:pageBreakBefore w:val="0"/>
        <w:widowControl w:val="0"/>
        <w:kinsoku/>
        <w:wordWrap/>
        <w:overflowPunct/>
        <w:topLinePunct w:val="0"/>
        <w:bidi w:val="0"/>
        <w:adjustRightInd w:val="0"/>
        <w:snapToGrid/>
        <w:spacing w:line="400" w:lineRule="exact"/>
        <w:ind w:firstLine="480"/>
        <w:textAlignment w:val="auto"/>
        <w:rPr>
          <w:rFonts w:hint="eastAsia"/>
          <w:b/>
          <w:color w:val="auto"/>
          <w:sz w:val="24"/>
          <w:highlight w:val="none"/>
        </w:rPr>
      </w:pPr>
      <w:r>
        <w:rPr>
          <w:rFonts w:hint="eastAsia" w:hAnsi="宋体" w:cs="宋体"/>
          <w:color w:val="auto"/>
          <w:sz w:val="24"/>
          <w:highlight w:val="none"/>
        </w:rPr>
        <w:t>关于变更估价的约定：</w:t>
      </w:r>
      <w:r>
        <w:rPr>
          <w:rFonts w:hint="eastAsia"/>
          <w:b/>
          <w:color w:val="auto"/>
          <w:sz w:val="24"/>
          <w:highlight w:val="none"/>
        </w:rPr>
        <w:t>承包人在工程变更确定后14天内，提出变更工程价款的报告，经工程师确认后的调整合同价款。变更合同价款按下列方法进行：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56"/>
        <w:jc w:val="left"/>
        <w:textAlignment w:val="auto"/>
        <w:rPr>
          <w:rFonts w:hint="eastAsia"/>
          <w:b/>
          <w:color w:val="auto"/>
          <w:sz w:val="24"/>
          <w:highlight w:val="none"/>
        </w:rPr>
      </w:pPr>
      <w:r>
        <w:rPr>
          <w:rFonts w:hint="eastAsia"/>
          <w:b/>
          <w:color w:val="auto"/>
          <w:sz w:val="24"/>
          <w:highlight w:val="none"/>
        </w:rPr>
        <w:t>（1）已标价工程量清单有相同项目综合单价的，按照相同项目综合单价确定。</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56"/>
        <w:jc w:val="left"/>
        <w:textAlignment w:val="auto"/>
        <w:rPr>
          <w:rFonts w:hint="eastAsia"/>
          <w:b/>
          <w:color w:val="auto"/>
          <w:sz w:val="24"/>
          <w:highlight w:val="none"/>
        </w:rPr>
      </w:pPr>
      <w:r>
        <w:rPr>
          <w:rFonts w:hint="eastAsia"/>
          <w:b/>
          <w:color w:val="auto"/>
          <w:sz w:val="24"/>
          <w:highlight w:val="none"/>
        </w:rPr>
        <w:t>（2）已标价工程量清单中无相同项目，但有类似项目综合单价的，参照类似项目的综合单价确定。</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jc w:val="left"/>
        <w:textAlignment w:val="auto"/>
        <w:rPr>
          <w:rFonts w:hint="eastAsia"/>
          <w:b/>
          <w:color w:val="auto"/>
          <w:sz w:val="24"/>
          <w:highlight w:val="none"/>
        </w:rPr>
      </w:pPr>
      <w:r>
        <w:rPr>
          <w:rFonts w:hint="eastAsia"/>
          <w:b/>
          <w:color w:val="auto"/>
          <w:sz w:val="24"/>
          <w:highlight w:val="none"/>
        </w:rPr>
        <w:t>（3）已标价工程量清单中无相同项目及类似项目综合单价的，其综合单价的确定，按以下约定：套用浙江省2018定额及现行相应专业定额，材料价格有投标价的执行投标价，无投标价、但信息价（正刊）有公布的材料，执行合同工期内各月的信息价（正刊）的算术平均值并结合最终总价相对于招标控制价的下浮率等因素，签证确定。无投标价且信息价（正刊）没有公布的材料，发包人应在充分市场询价的基础上，参照同期同类材料市场价格水平、最终总价相对于招标控制价的下浮率等因素，按规定程序签证确定。</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jc w:val="left"/>
        <w:textAlignment w:val="auto"/>
        <w:rPr>
          <w:rFonts w:hint="eastAsia"/>
          <w:b/>
          <w:color w:val="auto"/>
          <w:sz w:val="24"/>
          <w:highlight w:val="none"/>
        </w:rPr>
      </w:pPr>
      <w:r>
        <w:rPr>
          <w:rFonts w:hint="eastAsia"/>
          <w:b/>
          <w:color w:val="auto"/>
          <w:sz w:val="24"/>
          <w:highlight w:val="none"/>
        </w:rPr>
        <w:t>（4）工程量清单错误和（或）设计变更导致实际完成的工程量与已标价工程量清单中列明的该项目工程量不一致的，合价金额占合同总价2%及以上且工程量增减超过本项目工程数量的15%及以上的。或合价金额占合同金额不到2%但其工程量增减超过本项目工程数量的25%及以上的，其综合单价允许调整。竣工结算阶段如已标价的工程量清单综合单价异常，其综合单价允许调整，参照第（3）条原则执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56"/>
        <w:jc w:val="left"/>
        <w:textAlignment w:val="auto"/>
        <w:rPr>
          <w:rFonts w:hint="eastAsia"/>
          <w:b/>
          <w:color w:val="auto"/>
          <w:sz w:val="24"/>
          <w:highlight w:val="none"/>
        </w:rPr>
      </w:pPr>
      <w:r>
        <w:rPr>
          <w:rFonts w:hint="eastAsia"/>
          <w:b/>
          <w:color w:val="auto"/>
          <w:sz w:val="24"/>
          <w:highlight w:val="none"/>
        </w:rPr>
        <w:t>（5）当承包人最终总报价与招标控制价中同项目综合单价相比较偏差在±30%以上的，可认定报价异常。工程竣工结算阶段，如发现综合单价异常，则工程量增、减在本项工程量15%以内的，均按原综合单价执行；综合单价异常清单子目、工程量增加超过本项工程量15%以上部分工程量按第（3）条原则执行，也可按招标控制价中综合单价结合投标下浮率确定。</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56"/>
        <w:jc w:val="left"/>
        <w:textAlignment w:val="auto"/>
        <w:rPr>
          <w:rFonts w:hint="eastAsia"/>
          <w:b/>
          <w:color w:val="auto"/>
          <w:sz w:val="24"/>
          <w:highlight w:val="none"/>
          <w:u w:val="none"/>
        </w:rPr>
      </w:pPr>
      <w:r>
        <w:rPr>
          <w:rFonts w:hint="eastAsia"/>
          <w:b/>
          <w:color w:val="auto"/>
          <w:sz w:val="24"/>
          <w:highlight w:val="none"/>
        </w:rPr>
        <w:t>（6）其他：</w:t>
      </w:r>
      <w:r>
        <w:rPr>
          <w:rFonts w:hint="eastAsia"/>
          <w:b/>
          <w:color w:val="auto"/>
          <w:sz w:val="24"/>
          <w:highlight w:val="none"/>
          <w:u w:val="none"/>
        </w:rPr>
        <w:t>A.施工组织措施费用、</w:t>
      </w:r>
      <w:r>
        <w:rPr>
          <w:rFonts w:hint="eastAsia" w:hAnsi="宋体" w:cs="宋体"/>
          <w:b/>
          <w:color w:val="auto"/>
          <w:sz w:val="24"/>
          <w:szCs w:val="24"/>
          <w:highlight w:val="none"/>
          <w:u w:val="none"/>
        </w:rPr>
        <w:t>以“项”为计量单位的</w:t>
      </w:r>
      <w:r>
        <w:rPr>
          <w:rFonts w:hint="eastAsia" w:hAnsi="宋体" w:cs="宋体"/>
          <w:b/>
          <w:color w:val="auto"/>
          <w:sz w:val="24"/>
          <w:szCs w:val="24"/>
          <w:highlight w:val="none"/>
          <w:u w:val="none"/>
          <w:lang w:val="en-US" w:eastAsia="zh-CN"/>
        </w:rPr>
        <w:t>施工</w:t>
      </w:r>
      <w:r>
        <w:rPr>
          <w:rFonts w:hint="eastAsia"/>
          <w:b/>
          <w:color w:val="auto"/>
          <w:sz w:val="24"/>
          <w:highlight w:val="none"/>
          <w:u w:val="none"/>
        </w:rPr>
        <w:t>技术措施费用按中标价包干，不因工程变更而调整。如有甩项工程，发包人将对措施费用按上述方法予以扣除。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56"/>
        <w:jc w:val="left"/>
        <w:textAlignment w:val="auto"/>
        <w:rPr>
          <w:rFonts w:hint="eastAsia"/>
          <w:b/>
          <w:color w:val="auto"/>
          <w:sz w:val="24"/>
          <w:highlight w:val="none"/>
          <w:u w:val="none"/>
        </w:rPr>
      </w:pPr>
      <w:r>
        <w:rPr>
          <w:rFonts w:hint="eastAsia"/>
          <w:b/>
          <w:color w:val="auto"/>
          <w:sz w:val="24"/>
          <w:highlight w:val="none"/>
          <w:u w:val="none"/>
        </w:rPr>
        <w:t>B.若有邻近建筑物、构筑物、文物保护点、古树名木等的保护的，招标时已明确的，其相关费用计入报价，包干使用。实施过程中新发现的，其保护费用按（1） -（4）口径计算。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56"/>
        <w:jc w:val="left"/>
        <w:textAlignment w:val="auto"/>
        <w:rPr>
          <w:rFonts w:hint="eastAsia"/>
          <w:b/>
          <w:color w:val="auto"/>
          <w:sz w:val="24"/>
          <w:highlight w:val="none"/>
          <w:u w:val="none"/>
        </w:rPr>
      </w:pPr>
      <w:r>
        <w:rPr>
          <w:rFonts w:hint="eastAsia"/>
          <w:b/>
          <w:color w:val="auto"/>
          <w:sz w:val="24"/>
          <w:highlight w:val="none"/>
          <w:u w:val="none"/>
        </w:rPr>
        <w:t>注：上述价格的调整若在评标时已修正的按修正价结算。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56"/>
        <w:jc w:val="left"/>
        <w:textAlignment w:val="auto"/>
        <w:rPr>
          <w:rFonts w:hAnsi="宋体"/>
          <w:color w:val="auto"/>
          <w:sz w:val="24"/>
          <w:highlight w:val="none"/>
        </w:rPr>
      </w:pPr>
      <w:r>
        <w:rPr>
          <w:rFonts w:hAnsi="宋体"/>
          <w:color w:val="auto"/>
          <w:sz w:val="24"/>
          <w:highlight w:val="none"/>
        </w:rPr>
        <w:t>1</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Start w:id="685" w:name="_Toc296891237"/>
      <w:bookmarkStart w:id="686" w:name="_Toc292559907"/>
      <w:bookmarkStart w:id="687" w:name="_Toc297216203"/>
      <w:bookmarkStart w:id="688" w:name="_Toc297123544"/>
      <w:bookmarkStart w:id="689" w:name="_Toc297120497"/>
      <w:bookmarkStart w:id="690" w:name="_Toc292559402"/>
      <w:bookmarkStart w:id="691" w:name="_Toc296503197"/>
      <w:bookmarkStart w:id="692" w:name="_Toc296346698"/>
      <w:bookmarkStart w:id="693" w:name="_Toc296891025"/>
      <w:bookmarkStart w:id="694" w:name="_Toc303539150"/>
      <w:bookmarkStart w:id="695" w:name="_Toc296944536"/>
      <w:bookmarkStart w:id="696" w:name="_Toc296347196"/>
      <w:bookmarkStart w:id="697" w:name="_Toc300934993"/>
      <w:bookmarkStart w:id="698" w:name="_Toc297048383"/>
      <w:bookmarkStart w:id="699" w:name="_Toc304295570"/>
      <w:bookmarkStart w:id="700" w:name="_Toc312677503"/>
      <w:bookmarkStart w:id="701" w:name="_Toc312678029"/>
      <w:r>
        <w:rPr>
          <w:rFonts w:hAnsi="宋体"/>
          <w:color w:val="auto"/>
          <w:sz w:val="24"/>
          <w:highlight w:val="none"/>
        </w:rPr>
        <w:t>0.5承</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Start w:id="702" w:name="_Toc300934994"/>
      <w:bookmarkStart w:id="703" w:name="_Toc297120503"/>
      <w:bookmarkStart w:id="704" w:name="_Toc296944542"/>
      <w:bookmarkStart w:id="705" w:name="_Toc297123545"/>
      <w:bookmarkStart w:id="706" w:name="_Toc292559408"/>
      <w:bookmarkStart w:id="707" w:name="_Toc296346704"/>
      <w:bookmarkStart w:id="708" w:name="_Toc297048389"/>
      <w:bookmarkStart w:id="709" w:name="_Toc297216204"/>
      <w:bookmarkStart w:id="710" w:name="_Toc303539151"/>
      <w:bookmarkStart w:id="711" w:name="_Toc296891031"/>
      <w:bookmarkStart w:id="712" w:name="_Toc296891243"/>
      <w:bookmarkStart w:id="713" w:name="_Toc296503203"/>
      <w:bookmarkStart w:id="714" w:name="_Toc296347202"/>
      <w:bookmarkStart w:id="715" w:name="_Toc292559913"/>
      <w:r>
        <w:rPr>
          <w:rFonts w:hAnsi="宋体"/>
          <w:color w:val="auto"/>
          <w:sz w:val="24"/>
          <w:highlight w:val="none"/>
        </w:rPr>
        <w:t>包人的合理化建议</w:t>
      </w:r>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Ansi="宋体"/>
          <w:color w:val="auto"/>
          <w:sz w:val="24"/>
          <w:highlight w:val="none"/>
        </w:rPr>
      </w:pPr>
      <w:r>
        <w:rPr>
          <w:rFonts w:hAnsi="宋体"/>
          <w:color w:val="auto"/>
          <w:sz w:val="24"/>
          <w:highlight w:val="none"/>
        </w:rPr>
        <w:t>监理人审查承包人合理化建议的期限：</w:t>
      </w:r>
      <w:r>
        <w:rPr>
          <w:rFonts w:hint="eastAsia" w:hAnsi="宋体"/>
          <w:color w:val="auto"/>
          <w:sz w:val="24"/>
          <w:highlight w:val="none"/>
          <w:u w:val="single"/>
        </w:rPr>
        <w:t>提交之日起7天内</w:t>
      </w:r>
      <w:r>
        <w:rPr>
          <w:rFonts w:hAnsi="宋体"/>
          <w:color w:val="auto"/>
          <w:sz w:val="24"/>
          <w:highlight w:val="none"/>
        </w:rPr>
        <w:t>。</w:t>
      </w:r>
    </w:p>
    <w:p>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Ansi="宋体"/>
          <w:color w:val="auto"/>
          <w:sz w:val="24"/>
          <w:highlight w:val="none"/>
        </w:rPr>
      </w:pPr>
      <w:r>
        <w:rPr>
          <w:rFonts w:hAnsi="宋体"/>
          <w:color w:val="auto"/>
          <w:sz w:val="24"/>
          <w:highlight w:val="none"/>
        </w:rPr>
        <w:t>发包人审批承包人合理化建议的期限：</w:t>
      </w:r>
      <w:r>
        <w:rPr>
          <w:rFonts w:hint="eastAsia" w:hAnsi="宋体"/>
          <w:color w:val="auto"/>
          <w:sz w:val="24"/>
          <w:highlight w:val="none"/>
          <w:u w:val="single"/>
        </w:rPr>
        <w:t>提交之日起7天内</w:t>
      </w:r>
      <w:r>
        <w:rPr>
          <w:rFonts w:hAnsi="宋体"/>
          <w:color w:val="auto"/>
          <w:sz w:val="24"/>
          <w:highlight w:val="none"/>
        </w:rPr>
        <w:t>。</w:t>
      </w:r>
    </w:p>
    <w:p>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Ansi="宋体"/>
          <w:color w:val="auto"/>
          <w:sz w:val="24"/>
          <w:highlight w:val="none"/>
          <w:u w:val="single"/>
        </w:rPr>
      </w:pPr>
      <w:r>
        <w:rPr>
          <w:rFonts w:hAnsi="宋体"/>
          <w:color w:val="auto"/>
          <w:sz w:val="24"/>
          <w:highlight w:val="none"/>
        </w:rPr>
        <w:t>承</w:t>
      </w:r>
      <w:bookmarkStart w:id="716" w:name="_Toc292559914"/>
      <w:bookmarkStart w:id="717" w:name="_Toc297048390"/>
      <w:bookmarkStart w:id="718" w:name="_Toc292559409"/>
      <w:bookmarkStart w:id="719" w:name="_Toc297216205"/>
      <w:bookmarkStart w:id="720" w:name="_Toc304295571"/>
      <w:bookmarkStart w:id="721" w:name="_Toc300934995"/>
      <w:bookmarkStart w:id="722" w:name="_Toc296346705"/>
      <w:bookmarkStart w:id="723" w:name="_Toc296347203"/>
      <w:bookmarkStart w:id="724" w:name="_Toc297123546"/>
      <w:bookmarkStart w:id="725" w:name="_Toc296503204"/>
      <w:bookmarkStart w:id="726" w:name="_Toc312678030"/>
      <w:bookmarkStart w:id="727" w:name="_Toc303539152"/>
      <w:bookmarkStart w:id="728" w:name="_Toc296944543"/>
      <w:bookmarkStart w:id="729" w:name="_Toc312677504"/>
      <w:bookmarkStart w:id="730" w:name="_Toc297120504"/>
      <w:bookmarkStart w:id="731" w:name="_Toc318581175"/>
      <w:bookmarkStart w:id="732" w:name="_Toc296891244"/>
      <w:bookmarkStart w:id="733" w:name="_Toc296891032"/>
      <w:r>
        <w:rPr>
          <w:rFonts w:hAnsi="宋体"/>
          <w:color w:val="auto"/>
          <w:sz w:val="24"/>
          <w:highlight w:val="none"/>
        </w:rPr>
        <w:t>包人提出的合理化建议降低了合同价格或者提高了工程经济效益的奖励的方法和金额为：</w:t>
      </w:r>
      <w:r>
        <w:rPr>
          <w:rFonts w:hint="eastAsia" w:hAnsi="宋体"/>
          <w:color w:val="auto"/>
          <w:sz w:val="24"/>
          <w:highlight w:val="none"/>
          <w:u w:val="single"/>
        </w:rPr>
        <w:t>中标后双方协商</w:t>
      </w:r>
      <w:r>
        <w:rPr>
          <w:rFonts w:hAnsi="宋体"/>
          <w:color w:val="auto"/>
          <w:sz w:val="24"/>
          <w:highlight w:val="none"/>
        </w:rPr>
        <w:t>。</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Ansi="宋体"/>
          <w:color w:val="auto"/>
          <w:sz w:val="24"/>
          <w:highlight w:val="none"/>
        </w:rPr>
      </w:pPr>
      <w:r>
        <w:rPr>
          <w:rFonts w:hAnsi="宋体"/>
          <w:color w:val="auto"/>
          <w:sz w:val="24"/>
          <w:highlight w:val="none"/>
        </w:rPr>
        <w:t>1</w:t>
      </w:r>
      <w:bookmarkStart w:id="734" w:name="_Toc303539154"/>
      <w:bookmarkStart w:id="735" w:name="_Toc296503199"/>
      <w:bookmarkStart w:id="736" w:name="_Toc300934997"/>
      <w:bookmarkStart w:id="737" w:name="_Toc296891239"/>
      <w:bookmarkStart w:id="738" w:name="_Toc297123548"/>
      <w:bookmarkStart w:id="739" w:name="_Toc296891027"/>
      <w:bookmarkStart w:id="740" w:name="_Toc296347198"/>
      <w:bookmarkStart w:id="741" w:name="_Toc312678033"/>
      <w:bookmarkStart w:id="742" w:name="_Toc297048385"/>
      <w:bookmarkStart w:id="743" w:name="_Toc312677507"/>
      <w:bookmarkStart w:id="744" w:name="_Toc292559909"/>
      <w:bookmarkStart w:id="745" w:name="_Toc297216207"/>
      <w:bookmarkStart w:id="746" w:name="_Toc297120499"/>
      <w:bookmarkStart w:id="747" w:name="_Toc292559404"/>
      <w:bookmarkStart w:id="748" w:name="_Toc304295574"/>
      <w:bookmarkStart w:id="749" w:name="_Toc296346700"/>
      <w:bookmarkStart w:id="750" w:name="_Toc296944538"/>
      <w:r>
        <w:rPr>
          <w:rFonts w:hAnsi="宋体"/>
          <w:color w:val="auto"/>
          <w:sz w:val="24"/>
          <w:highlight w:val="none"/>
        </w:rPr>
        <w:t>0.7 暂估价</w:t>
      </w:r>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int="eastAsia" w:hAnsi="宋体"/>
          <w:color w:val="auto"/>
          <w:kern w:val="0"/>
          <w:sz w:val="24"/>
          <w:highlight w:val="none"/>
          <w:lang w:val="en-US" w:eastAsia="zh-CN"/>
        </w:rPr>
      </w:pPr>
      <w:r>
        <w:rPr>
          <w:rFonts w:hint="eastAsia" w:hAnsi="宋体"/>
          <w:color w:val="auto"/>
          <w:kern w:val="0"/>
          <w:sz w:val="24"/>
          <w:highlight w:val="none"/>
          <w:lang w:val="en-US" w:eastAsia="zh-CN"/>
        </w:rPr>
        <w:t>本项目无暂估价项目。</w:t>
      </w:r>
    </w:p>
    <w:p>
      <w:pPr>
        <w:keepNext w:val="0"/>
        <w:keepLines w:val="0"/>
        <w:pageBreakBefore w:val="0"/>
        <w:widowControl w:val="0"/>
        <w:kinsoku/>
        <w:wordWrap/>
        <w:overflowPunct/>
        <w:topLinePunct w:val="0"/>
        <w:bidi w:val="0"/>
        <w:adjustRightInd w:val="0"/>
        <w:snapToGrid/>
        <w:spacing w:line="400" w:lineRule="exact"/>
        <w:ind w:firstLine="480" w:firstLineChars="200"/>
        <w:textAlignment w:val="auto"/>
        <w:rPr>
          <w:rFonts w:hAnsi="宋体"/>
          <w:color w:val="auto"/>
          <w:sz w:val="24"/>
          <w:highlight w:val="none"/>
        </w:rPr>
      </w:pPr>
      <w:r>
        <w:rPr>
          <w:rFonts w:hAnsi="宋体"/>
          <w:color w:val="auto"/>
          <w:sz w:val="24"/>
          <w:highlight w:val="none"/>
        </w:rPr>
        <w:t>10.8 暂列金额</w:t>
      </w:r>
    </w:p>
    <w:p>
      <w:pPr>
        <w:autoSpaceDE w:val="0"/>
        <w:autoSpaceDN w:val="0"/>
        <w:adjustRightInd w:val="0"/>
        <w:spacing w:line="440" w:lineRule="exact"/>
        <w:ind w:firstLine="480" w:firstLineChars="200"/>
        <w:rPr>
          <w:rFonts w:hAnsi="宋体"/>
          <w:b/>
          <w:color w:val="auto"/>
          <w:sz w:val="24"/>
          <w:highlight w:val="none"/>
          <w:u w:val="single"/>
        </w:rPr>
      </w:pPr>
      <w:r>
        <w:rPr>
          <w:rFonts w:hint="eastAsia" w:hAnsi="宋体"/>
          <w:color w:val="auto"/>
          <w:kern w:val="0"/>
          <w:sz w:val="24"/>
          <w:highlight w:val="none"/>
        </w:rPr>
        <w:t>合同当事人关于暂列金额使用的约定：</w:t>
      </w:r>
      <w:bookmarkStart w:id="751" w:name="_Toc351203643"/>
      <w:r>
        <w:rPr>
          <w:rFonts w:hint="eastAsia" w:hAnsi="宋体"/>
          <w:b/>
          <w:bCs/>
          <w:color w:val="auto"/>
          <w:sz w:val="24"/>
          <w:highlight w:val="none"/>
          <w:u w:val="single"/>
          <w:lang w:val="en-US" w:eastAsia="zh-CN"/>
        </w:rPr>
        <w:t>/</w:t>
      </w:r>
      <w:r>
        <w:rPr>
          <w:rFonts w:hint="eastAsia" w:hAnsi="宋体"/>
          <w:b/>
          <w:color w:val="auto"/>
          <w:sz w:val="24"/>
          <w:highlight w:val="none"/>
          <w:u w:val="single"/>
        </w:rPr>
        <w:t>。</w:t>
      </w:r>
    </w:p>
    <w:p>
      <w:pPr>
        <w:spacing w:line="440" w:lineRule="exact"/>
        <w:ind w:firstLine="480" w:firstLineChars="200"/>
        <w:rPr>
          <w:color w:val="auto"/>
          <w:sz w:val="24"/>
          <w:highlight w:val="none"/>
        </w:rPr>
      </w:pPr>
      <w:r>
        <w:rPr>
          <w:color w:val="auto"/>
          <w:sz w:val="24"/>
          <w:highlight w:val="none"/>
        </w:rPr>
        <w:t>11. 价格调整</w:t>
      </w:r>
      <w:bookmarkEnd w:id="751"/>
    </w:p>
    <w:bookmarkEnd w:id="678"/>
    <w:bookmarkEnd w:id="679"/>
    <w:bookmarkEnd w:id="680"/>
    <w:bookmarkEnd w:id="681"/>
    <w:bookmarkEnd w:id="682"/>
    <w:bookmarkEnd w:id="683"/>
    <w:p>
      <w:pPr>
        <w:spacing w:line="440" w:lineRule="exact"/>
        <w:ind w:firstLine="480" w:firstLineChars="200"/>
        <w:rPr>
          <w:rFonts w:hAnsi="宋体"/>
          <w:color w:val="auto"/>
          <w:sz w:val="24"/>
          <w:highlight w:val="none"/>
        </w:rPr>
      </w:pPr>
      <w:bookmarkStart w:id="752" w:name="_Toc300935000"/>
      <w:bookmarkStart w:id="753" w:name="_Toc297120501"/>
      <w:bookmarkStart w:id="754" w:name="_Toc296891029"/>
      <w:bookmarkStart w:id="755" w:name="_Toc297216209"/>
      <w:bookmarkStart w:id="756" w:name="_Toc297123550"/>
      <w:bookmarkStart w:id="757" w:name="_Toc296346702"/>
      <w:bookmarkStart w:id="758" w:name="_Toc296944540"/>
      <w:bookmarkStart w:id="759" w:name="_Toc292559406"/>
      <w:bookmarkStart w:id="760" w:name="_Toc296503201"/>
      <w:bookmarkStart w:id="761" w:name="_Toc292559911"/>
      <w:bookmarkStart w:id="762" w:name="_Toc304295577"/>
      <w:bookmarkStart w:id="763" w:name="_Toc296347200"/>
      <w:bookmarkStart w:id="764" w:name="_Toc297048387"/>
      <w:bookmarkStart w:id="765" w:name="_Toc312678039"/>
      <w:bookmarkStart w:id="766" w:name="_Toc303539157"/>
      <w:bookmarkStart w:id="767" w:name="_Toc296891241"/>
      <w:bookmarkStart w:id="768" w:name="_Toc296944544"/>
      <w:bookmarkStart w:id="769" w:name="_Toc296503205"/>
      <w:bookmarkStart w:id="770" w:name="_Toc292559410"/>
      <w:bookmarkStart w:id="771" w:name="_Toc292559915"/>
      <w:bookmarkStart w:id="772" w:name="_Toc296891033"/>
      <w:bookmarkStart w:id="773" w:name="_Toc296346706"/>
      <w:bookmarkStart w:id="774" w:name="_Toc297120505"/>
      <w:bookmarkStart w:id="775" w:name="_Toc296347204"/>
      <w:bookmarkStart w:id="776" w:name="_Toc296891245"/>
      <w:bookmarkStart w:id="777" w:name="_Toc297048391"/>
      <w:bookmarkStart w:id="778" w:name="_Toc351203644"/>
      <w:bookmarkStart w:id="779" w:name="_Toc303539159"/>
      <w:bookmarkStart w:id="780" w:name="_Toc300935002"/>
      <w:bookmarkStart w:id="781" w:name="_Toc312678040"/>
      <w:bookmarkStart w:id="782" w:name="_Toc297123552"/>
      <w:bookmarkStart w:id="783" w:name="_Toc297216211"/>
      <w:bookmarkStart w:id="784" w:name="_Toc304295579"/>
      <w:r>
        <w:rPr>
          <w:rFonts w:hAnsi="宋体"/>
          <w:color w:val="auto"/>
          <w:sz w:val="24"/>
          <w:highlight w:val="none"/>
        </w:rPr>
        <w:t>11.1 市场价格波动引起的调整</w:t>
      </w:r>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Pr>
        <w:spacing w:line="440" w:lineRule="exact"/>
        <w:ind w:firstLine="480" w:firstLineChars="200"/>
        <w:rPr>
          <w:rFonts w:hAnsi="宋体"/>
          <w:color w:val="auto"/>
          <w:sz w:val="24"/>
          <w:highlight w:val="none"/>
          <w:u w:val="single"/>
        </w:rPr>
      </w:pPr>
      <w:r>
        <w:rPr>
          <w:rFonts w:hAnsi="宋体"/>
          <w:color w:val="auto"/>
          <w:kern w:val="0"/>
          <w:sz w:val="24"/>
          <w:highlight w:val="none"/>
        </w:rPr>
        <w:t>市场价格波动是否调整合同价格的约定：</w:t>
      </w:r>
      <w:r>
        <w:rPr>
          <w:rFonts w:hint="eastAsia" w:hAnsi="宋体"/>
          <w:color w:val="auto"/>
          <w:kern w:val="0"/>
          <w:sz w:val="24"/>
          <w:highlight w:val="none"/>
          <w:u w:val="single"/>
        </w:rPr>
        <w:t>调整</w:t>
      </w:r>
      <w:r>
        <w:rPr>
          <w:rFonts w:hAnsi="宋体"/>
          <w:color w:val="auto"/>
          <w:sz w:val="24"/>
          <w:highlight w:val="none"/>
          <w:u w:val="single"/>
        </w:rPr>
        <w:t>。</w:t>
      </w:r>
    </w:p>
    <w:p>
      <w:pPr>
        <w:pStyle w:val="2"/>
        <w:rPr>
          <w:rFonts w:hint="eastAsia"/>
        </w:rPr>
      </w:pPr>
      <w:r>
        <w:rPr>
          <w:rFonts w:hint="eastAsia"/>
        </w:rPr>
        <w:t>采用政策性文件进行价格调整。</w:t>
      </w:r>
    </w:p>
    <w:p>
      <w:pPr>
        <w:pStyle w:val="2"/>
        <w:rPr>
          <w:rFonts w:hint="eastAsia"/>
        </w:rPr>
      </w:pPr>
      <w:r>
        <w:rPr>
          <w:rFonts w:hint="eastAsia"/>
        </w:rPr>
        <w:t>政府投资工程因市场价格波动引起的调整按以下第（1）种方式约定执行：</w:t>
      </w:r>
    </w:p>
    <w:p>
      <w:pPr>
        <w:pStyle w:val="2"/>
        <w:rPr>
          <w:rFonts w:hint="eastAsia"/>
        </w:rPr>
      </w:pPr>
      <w:r>
        <w:rPr>
          <w:rFonts w:hint="eastAsia"/>
        </w:rPr>
        <w:t>（1）按《关于进一步加强杭州市建设工程市场要素价格动态管理的指导意见》（杭建市发〔2018〕579号）执行；</w:t>
      </w:r>
    </w:p>
    <w:p>
      <w:pPr>
        <w:pStyle w:val="2"/>
        <w:rPr>
          <w:rFonts w:hint="eastAsia"/>
        </w:rPr>
      </w:pPr>
      <w:r>
        <w:rPr>
          <w:rFonts w:hint="eastAsia"/>
        </w:rPr>
        <w:t>（2）其他：</w:t>
      </w:r>
      <w:r>
        <w:rPr>
          <w:rFonts w:hint="eastAsia"/>
          <w:u w:val="single"/>
        </w:rPr>
        <w:t xml:space="preserve">                                        。</w:t>
      </w:r>
    </w:p>
    <w:p>
      <w:pPr>
        <w:pStyle w:val="2"/>
        <w:rPr>
          <w:rFonts w:hint="eastAsia"/>
        </w:rPr>
      </w:pPr>
      <w:r>
        <w:rPr>
          <w:rFonts w:hint="eastAsia"/>
        </w:rPr>
        <w:t>其中：</w:t>
      </w:r>
    </w:p>
    <w:p>
      <w:pPr>
        <w:pStyle w:val="2"/>
        <w:rPr>
          <w:rFonts w:hint="eastAsia"/>
        </w:rPr>
      </w:pPr>
      <w:r>
        <w:rPr>
          <w:rFonts w:hint="eastAsia"/>
        </w:rPr>
        <w:t>1、风险范围及幅度的约定：</w:t>
      </w:r>
    </w:p>
    <w:p>
      <w:pPr>
        <w:pStyle w:val="2"/>
        <w:rPr>
          <w:rFonts w:hint="eastAsia"/>
        </w:rPr>
      </w:pPr>
      <w:r>
        <w:rPr>
          <w:rFonts w:hint="eastAsia"/>
        </w:rPr>
        <w:t>（1）人工费的风险幅度</w:t>
      </w:r>
      <w:r>
        <w:rPr>
          <w:rFonts w:hint="eastAsia"/>
          <w:u w:val="single"/>
        </w:rPr>
        <w:t>（   5  %）</w:t>
      </w:r>
    </w:p>
    <w:p>
      <w:pPr>
        <w:pStyle w:val="2"/>
        <w:rPr>
          <w:rFonts w:hint="eastAsia"/>
        </w:rPr>
      </w:pPr>
      <w:r>
        <w:rPr>
          <w:rFonts w:hint="eastAsia"/>
        </w:rPr>
        <w:t>（2）材料价格的风险幅度</w:t>
      </w:r>
      <w:r>
        <w:rPr>
          <w:rFonts w:hint="eastAsia"/>
          <w:u w:val="single"/>
        </w:rPr>
        <w:t>（  5   %）</w:t>
      </w:r>
    </w:p>
    <w:p>
      <w:pPr>
        <w:pStyle w:val="2"/>
        <w:rPr>
          <w:rFonts w:hint="eastAsia"/>
        </w:rPr>
      </w:pPr>
      <w:r>
        <w:rPr>
          <w:rFonts w:hint="eastAsia"/>
        </w:rPr>
        <w:t>2、材料价款动态调整结算方式采用以下第（3）种方式约定：</w:t>
      </w:r>
    </w:p>
    <w:p>
      <w:pPr>
        <w:pStyle w:val="2"/>
        <w:rPr>
          <w:rFonts w:hint="eastAsia"/>
        </w:rPr>
      </w:pPr>
      <w:r>
        <w:rPr>
          <w:rFonts w:hint="eastAsia"/>
        </w:rPr>
        <w:t>（1）按时间进度分段结算：</w:t>
      </w:r>
      <w:r>
        <w:rPr>
          <w:rFonts w:hint="eastAsia"/>
          <w:u w:val="single"/>
          <w:lang w:val="en-US" w:eastAsia="zh-CN"/>
        </w:rPr>
        <w:t xml:space="preserve">      </w:t>
      </w:r>
      <w:r>
        <w:rPr>
          <w:rFonts w:hint="eastAsia"/>
          <w:u w:val="single"/>
        </w:rPr>
        <w:t>。</w:t>
      </w:r>
    </w:p>
    <w:p>
      <w:pPr>
        <w:pStyle w:val="2"/>
        <w:rPr>
          <w:rFonts w:hint="eastAsia"/>
        </w:rPr>
      </w:pPr>
      <w:r>
        <w:rPr>
          <w:rFonts w:hint="eastAsia"/>
        </w:rPr>
        <w:t>（2）按工程形象部位(目标)分段结算：</w:t>
      </w:r>
      <w:r>
        <w:rPr>
          <w:rFonts w:hint="eastAsia"/>
          <w:u w:val="single"/>
        </w:rPr>
        <w:t xml:space="preserve">                 。</w:t>
      </w:r>
    </w:p>
    <w:p>
      <w:pPr>
        <w:pStyle w:val="2"/>
      </w:pPr>
      <w:r>
        <w:rPr>
          <w:rFonts w:hint="eastAsia"/>
        </w:rPr>
        <w:t>（3）竣工后一次性结算：</w:t>
      </w:r>
      <w:r>
        <w:rPr>
          <w:rFonts w:hint="eastAsia"/>
          <w:u w:val="single"/>
          <w:lang w:val="en-US" w:eastAsia="zh-CN"/>
        </w:rPr>
        <w:t xml:space="preserve">       </w:t>
      </w:r>
      <w:r>
        <w:rPr>
          <w:rFonts w:hint="eastAsia"/>
          <w:u w:val="single"/>
        </w:rPr>
        <w:t>。</w:t>
      </w:r>
    </w:p>
    <w:p>
      <w:pPr>
        <w:spacing w:line="440" w:lineRule="exact"/>
        <w:ind w:firstLine="480" w:firstLineChars="200"/>
        <w:rPr>
          <w:color w:val="auto"/>
          <w:sz w:val="24"/>
          <w:highlight w:val="none"/>
        </w:rPr>
      </w:pPr>
      <w:r>
        <w:rPr>
          <w:color w:val="auto"/>
          <w:sz w:val="24"/>
          <w:highlight w:val="none"/>
        </w:rPr>
        <w:t xml:space="preserve">12. </w:t>
      </w:r>
      <w:bookmarkEnd w:id="768"/>
      <w:bookmarkEnd w:id="769"/>
      <w:bookmarkEnd w:id="770"/>
      <w:bookmarkEnd w:id="771"/>
      <w:bookmarkEnd w:id="772"/>
      <w:bookmarkEnd w:id="773"/>
      <w:bookmarkEnd w:id="774"/>
      <w:bookmarkEnd w:id="775"/>
      <w:bookmarkEnd w:id="776"/>
      <w:bookmarkEnd w:id="777"/>
      <w:r>
        <w:rPr>
          <w:color w:val="auto"/>
          <w:sz w:val="24"/>
          <w:highlight w:val="none"/>
        </w:rPr>
        <w:t>合同价格、计量与支付</w:t>
      </w:r>
      <w:bookmarkEnd w:id="778"/>
    </w:p>
    <w:bookmarkEnd w:id="779"/>
    <w:bookmarkEnd w:id="780"/>
    <w:bookmarkEnd w:id="781"/>
    <w:bookmarkEnd w:id="782"/>
    <w:bookmarkEnd w:id="783"/>
    <w:bookmarkEnd w:id="784"/>
    <w:p>
      <w:pPr>
        <w:spacing w:line="440" w:lineRule="exact"/>
        <w:ind w:firstLine="480" w:firstLineChars="200"/>
        <w:rPr>
          <w:rFonts w:hAnsi="宋体"/>
          <w:color w:val="auto"/>
          <w:sz w:val="24"/>
          <w:highlight w:val="none"/>
        </w:rPr>
      </w:pPr>
      <w:bookmarkStart w:id="785" w:name="_Toc292559916"/>
      <w:bookmarkStart w:id="786" w:name="_Toc267251461"/>
      <w:bookmarkStart w:id="787" w:name="_Toc292559411"/>
      <w:bookmarkStart w:id="788" w:name="_Toc296891246"/>
      <w:bookmarkStart w:id="789" w:name="_Toc296347205"/>
      <w:bookmarkStart w:id="790" w:name="_Toc296503206"/>
      <w:bookmarkStart w:id="791" w:name="_Toc296891034"/>
      <w:bookmarkStart w:id="792" w:name="_Toc296944545"/>
      <w:bookmarkStart w:id="793" w:name="_Toc297120506"/>
      <w:bookmarkStart w:id="794" w:name="_Toc297048392"/>
      <w:bookmarkStart w:id="795" w:name="_Toc296346707"/>
      <w:bookmarkStart w:id="796" w:name="_Toc297123553"/>
      <w:bookmarkStart w:id="797" w:name="_Toc297216212"/>
      <w:bookmarkStart w:id="798" w:name="_Toc303539160"/>
      <w:bookmarkStart w:id="799" w:name="_Toc312678041"/>
      <w:bookmarkStart w:id="800" w:name="_Toc304295580"/>
      <w:bookmarkStart w:id="801" w:name="_Toc300935003"/>
      <w:r>
        <w:rPr>
          <w:rFonts w:hAnsi="宋体"/>
          <w:color w:val="auto"/>
          <w:sz w:val="24"/>
          <w:highlight w:val="none"/>
        </w:rPr>
        <w:t>12.1 合</w:t>
      </w:r>
      <w:bookmarkEnd w:id="785"/>
      <w:bookmarkEnd w:id="786"/>
      <w:bookmarkEnd w:id="787"/>
      <w:r>
        <w:rPr>
          <w:rFonts w:hAnsi="宋体"/>
          <w:color w:val="auto"/>
          <w:sz w:val="24"/>
          <w:highlight w:val="none"/>
        </w:rPr>
        <w:t>同价</w:t>
      </w:r>
      <w:bookmarkEnd w:id="788"/>
      <w:bookmarkEnd w:id="789"/>
      <w:bookmarkEnd w:id="790"/>
      <w:bookmarkEnd w:id="791"/>
      <w:bookmarkEnd w:id="792"/>
      <w:bookmarkEnd w:id="793"/>
      <w:bookmarkEnd w:id="794"/>
      <w:bookmarkEnd w:id="795"/>
      <w:r>
        <w:rPr>
          <w:rFonts w:hAnsi="宋体"/>
          <w:color w:val="auto"/>
          <w:sz w:val="24"/>
          <w:highlight w:val="none"/>
        </w:rPr>
        <w:t>格形式</w:t>
      </w:r>
    </w:p>
    <w:bookmarkEnd w:id="796"/>
    <w:bookmarkEnd w:id="797"/>
    <w:bookmarkEnd w:id="798"/>
    <w:bookmarkEnd w:id="799"/>
    <w:bookmarkEnd w:id="800"/>
    <w:bookmarkEnd w:id="801"/>
    <w:p>
      <w:pPr>
        <w:spacing w:line="440" w:lineRule="exact"/>
        <w:ind w:firstLine="480" w:firstLineChars="200"/>
        <w:rPr>
          <w:rFonts w:hint="eastAsia" w:hAnsi="宋体"/>
          <w:color w:val="auto"/>
          <w:sz w:val="24"/>
          <w:highlight w:val="none"/>
          <w:u w:val="single"/>
        </w:rPr>
      </w:pPr>
      <w:r>
        <w:rPr>
          <w:rFonts w:hAnsi="宋体"/>
          <w:color w:val="auto"/>
          <w:sz w:val="24"/>
          <w:highlight w:val="none"/>
        </w:rPr>
        <w:t>1、</w:t>
      </w:r>
      <w:r>
        <w:rPr>
          <w:rFonts w:hint="eastAsia" w:hAnsi="宋体"/>
          <w:color w:val="auto"/>
          <w:sz w:val="24"/>
          <w:highlight w:val="none"/>
        </w:rPr>
        <w:t>单价合同</w:t>
      </w:r>
      <w:r>
        <w:rPr>
          <w:rFonts w:hint="eastAsia"/>
          <w:color w:val="auto"/>
          <w:sz w:val="24"/>
          <w:highlight w:val="none"/>
          <w:u w:val="single"/>
        </w:rPr>
        <w:t>（合同约定可调的除外）</w:t>
      </w:r>
      <w:r>
        <w:rPr>
          <w:rFonts w:hint="eastAsia" w:hAnsi="宋体"/>
          <w:color w:val="auto"/>
          <w:sz w:val="24"/>
          <w:highlight w:val="none"/>
        </w:rPr>
        <w:t>。</w:t>
      </w:r>
      <w:r>
        <w:rPr>
          <w:rFonts w:hint="eastAsia" w:hAnsi="宋体"/>
          <w:color w:val="auto"/>
          <w:sz w:val="24"/>
          <w:highlight w:val="none"/>
          <w:u w:val="single"/>
        </w:rPr>
        <w:t>工程竣工后，工程量按经监理和招标人签证后的实测实量联系单、施工图和设计变更单按实结算。</w:t>
      </w:r>
    </w:p>
    <w:p>
      <w:pPr>
        <w:spacing w:line="440" w:lineRule="exact"/>
        <w:ind w:firstLine="480" w:firstLineChars="200"/>
        <w:rPr>
          <w:rFonts w:hint="eastAsia" w:hAnsi="宋体" w:cs="宋体"/>
          <w:b/>
          <w:color w:val="auto"/>
          <w:sz w:val="24"/>
          <w:highlight w:val="none"/>
          <w:u w:val="single"/>
        </w:rPr>
      </w:pPr>
      <w:r>
        <w:rPr>
          <w:rFonts w:hAnsi="宋体"/>
          <w:color w:val="auto"/>
          <w:sz w:val="24"/>
          <w:highlight w:val="none"/>
        </w:rPr>
        <w:t>综合单价包含的风险范围：</w:t>
      </w:r>
      <w:r>
        <w:rPr>
          <w:rFonts w:hint="eastAsia" w:hAnsi="宋体"/>
          <w:b/>
          <w:color w:val="auto"/>
          <w:sz w:val="24"/>
          <w:highlight w:val="none"/>
          <w:u w:val="single"/>
        </w:rPr>
        <w:t>①投标时漏项、少计的工程内容（不包括招标人提供的工程量本身的漏项、少计内容）； ②合同执行期内材料价格、人工工资上涨的风险因素，施工临时停电、停水造成的连续8小时以内的停工； ③合同执行期内，因客观原因造成停工、窝工； ④合同执行期内可能发生的其他费用 ，包括市政、市容、卫生、环保、治安等； ⑤组织措施费、</w:t>
      </w:r>
      <w:r>
        <w:rPr>
          <w:rFonts w:hint="eastAsia" w:hAnsi="宋体"/>
          <w:b/>
          <w:bCs/>
          <w:color w:val="auto"/>
          <w:sz w:val="24"/>
          <w:szCs w:val="24"/>
          <w:highlight w:val="none"/>
          <w:u w:val="single"/>
        </w:rPr>
        <w:t>以“项”为计量单位的施工</w:t>
      </w:r>
      <w:r>
        <w:rPr>
          <w:rFonts w:hint="eastAsia" w:hAnsi="宋体"/>
          <w:b/>
          <w:color w:val="auto"/>
          <w:sz w:val="24"/>
          <w:highlight w:val="none"/>
          <w:u w:val="single"/>
        </w:rPr>
        <w:t>技术措施费实行投标价一次性包干；⑥工程实施中属于招标文件和本合同约定需要投标报价和合同包干风险范围内应考虑的费用，虽经发包人现场签证认可，在工程结算时可认定该签证无效；⑦工程量计算规则未描述到的但又是完成分项工程必须有的工作内容，均应包括在内；</w:t>
      </w:r>
      <w:r>
        <w:rPr>
          <w:rFonts w:hint="eastAsia" w:hAnsi="宋体" w:cs="宋体"/>
          <w:b/>
          <w:color w:val="auto"/>
          <w:sz w:val="24"/>
          <w:highlight w:val="none"/>
          <w:u w:val="single"/>
        </w:rPr>
        <w:t>⑧施工场地的围护、运输保洁费，由于停电、停水造成的增加费用，附近居民因施工不便应增加的设施或便道等增加的各类费用。</w:t>
      </w:r>
    </w:p>
    <w:p>
      <w:pPr>
        <w:spacing w:line="440" w:lineRule="exact"/>
        <w:ind w:firstLine="480" w:firstLineChars="200"/>
        <w:rPr>
          <w:rFonts w:hAnsi="宋体"/>
          <w:color w:val="auto"/>
          <w:sz w:val="24"/>
          <w:highlight w:val="none"/>
        </w:rPr>
      </w:pPr>
      <w:r>
        <w:rPr>
          <w:rFonts w:hAnsi="宋体"/>
          <w:color w:val="auto"/>
          <w:sz w:val="24"/>
          <w:highlight w:val="none"/>
        </w:rPr>
        <w:t>风险费用的计算方法：</w:t>
      </w:r>
      <w:r>
        <w:rPr>
          <w:rFonts w:hint="eastAsia" w:hAnsi="宋体"/>
          <w:color w:val="auto"/>
          <w:sz w:val="24"/>
          <w:highlight w:val="none"/>
          <w:u w:val="single"/>
        </w:rPr>
        <w:t>已考虑在投标报价范围内</w:t>
      </w:r>
      <w:r>
        <w:rPr>
          <w:rFonts w:hint="eastAsia"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风险范围以外合同价格的调整方法：</w:t>
      </w:r>
      <w:bookmarkStart w:id="802" w:name="_Toc303539161"/>
      <w:bookmarkStart w:id="803" w:name="_Toc312678042"/>
      <w:bookmarkStart w:id="804" w:name="_Toc300935004"/>
      <w:bookmarkStart w:id="805" w:name="_Toc304295581"/>
      <w:bookmarkStart w:id="806" w:name="_Toc297216213"/>
      <w:bookmarkStart w:id="807" w:name="_Toc297123554"/>
      <w:bookmarkStart w:id="808" w:name="_Toc296944546"/>
      <w:bookmarkStart w:id="809" w:name="_Toc296503207"/>
      <w:bookmarkStart w:id="810" w:name="_Toc292559917"/>
      <w:bookmarkStart w:id="811" w:name="_Toc296347206"/>
      <w:bookmarkStart w:id="812" w:name="_Toc296346708"/>
      <w:bookmarkStart w:id="813" w:name="_Toc292559412"/>
      <w:bookmarkStart w:id="814" w:name="_Toc297120507"/>
      <w:bookmarkStart w:id="815" w:name="_Toc296891247"/>
      <w:bookmarkStart w:id="816" w:name="_Toc296891035"/>
      <w:bookmarkStart w:id="817" w:name="_Toc297048393"/>
      <w:r>
        <w:rPr>
          <w:rFonts w:hint="eastAsia" w:hAnsi="宋体"/>
          <w:color w:val="auto"/>
          <w:sz w:val="24"/>
          <w:highlight w:val="none"/>
          <w:u w:val="single"/>
        </w:rPr>
        <w:t>（1）结算时的工程量（分部分项工程量及技术措施项目工程量）按双方在合同中约定应予计量且实际完成的工程量进行最终确定，计算规则按招标文件以及现行的《建设工程工程量清单计价规范（GB50500-2013）》、《浙江省建设工程计价规则（2018版）》、《浙江省建筑与装饰工程预算定额（2018版）》、《浙江省通用安装工程预算定额（2018版）》、《浙江省市政工程预算定额（2018版）》、浙江省建设施工机械台班费用参考定额（2018版）》及相应的补充内容和文件执行，承包人投标时承诺的综合单价</w:t>
      </w:r>
      <w:r>
        <w:rPr>
          <w:rFonts w:hint="eastAsia" w:hAnsi="宋体"/>
          <w:b/>
          <w:color w:val="auto"/>
          <w:sz w:val="24"/>
          <w:highlight w:val="none"/>
          <w:u w:val="single"/>
        </w:rPr>
        <w:t>（该综合单价为</w:t>
      </w:r>
      <w:r>
        <w:rPr>
          <w:rFonts w:hint="eastAsia"/>
          <w:b/>
          <w:color w:val="auto"/>
          <w:sz w:val="24"/>
          <w:highlight w:val="none"/>
          <w:u w:val="single"/>
        </w:rPr>
        <w:t>最终总价与初次投标总价下浮比例同比例下浮后的综合单价为准</w:t>
      </w:r>
      <w:r>
        <w:rPr>
          <w:rFonts w:hint="eastAsia" w:hAnsi="宋体"/>
          <w:b/>
          <w:color w:val="auto"/>
          <w:sz w:val="24"/>
          <w:highlight w:val="none"/>
          <w:u w:val="single"/>
        </w:rPr>
        <w:t>）</w:t>
      </w:r>
      <w:r>
        <w:rPr>
          <w:rFonts w:hint="eastAsia" w:hAnsi="宋体"/>
          <w:color w:val="auto"/>
          <w:sz w:val="24"/>
          <w:highlight w:val="none"/>
          <w:u w:val="single"/>
        </w:rPr>
        <w:t>一次性包干（合同约定可调的除外）；</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2）经发包人确认的设计变更、发包人的修改要求而引起的工程量清单的项目调整或数量调整，其工程量按招标文件以及《浙江省建筑工程量清单指引》规定的工程量计算规则进行计算，工程项目综合单价按下列方法确定：</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A、工程量按联系单在规定范围内按实结算。对承包人超出施工设计图纸（含施工图纸的设计变更）范围和因承包人原因造成返工的工程量，发包人不予计算。</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B、单价或费用的计算口径：①投标书中有相同项目的，参照相同项目价格结算；②投标书中有类似项目的，参照类似项目价格结算；③投标书中没有相同或类似项目的，参照以下方式结算：（a）有相应定额套用的按照浙江省 2018 版相应专业预算定额及工程实施当月杭州市造价信息（正刊）、浙江造价信息（正刊）及 2018 版浙江省施工取费定额中值组价后，按最终总价与审核预算总价下浮比例同比例下浮结算；（b）无相应定额套用的按照市场价格并参照最终中标总价与审核预算总价下浮比例同比例下浮结算，由承包人根据市场行情组价后上报发包人。招标时为暂定的材料（设备）价格和由于发包人提出对已定品牌、型号及规格的材料（设备）进行变更的，新增加的材料（设备）的价格如投标函中有的，按投标函中价格计入；投标函中没有的，按招标控制价编制月份造价信息（正刊）中的价格并按最终中标总价与审核预算总价下浮比例同比例下浮后计入；投标函中没有，造价信息（正刊）中也没有的价格，按发包人按发包人签证价计入；实行签证价的项目已含下浮部分；④如投标单价明显高于市场价格水平的单价，应结合市场报价水平由双方另行确定，其相应单价按投标口径的组价原则及总价优惠幅度确定；⑤由于清单项目中项目特征或工程内容发生部分变更的，应以原综合单价为基础，仅计算变更部分相应定额子目，调整综合单价；若项目特征描述中材料发生变化的（包括砼标号变化），价格调差参照本合同有关条款执行。</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（3）甲定乙供材料：按发包人提供的甲定乙供材料清单表中的品牌、规格、型号、质次等由承包人自行报价，结算时不作调整。</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4）承包人应是根据发包人提供的工程量清单和施工图进行报价的，并对工程量清单（包括项目、项目特征描述、数量）和施工图不一致处进行了答疑，若在今后（施工中）出现类似问题将按有利于发包人利益原则处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5）为保障项目顺利实施，确保工程质量，承包人的报价不得出现不平衡报价。若在评标时未予发现，而在中标后或施工中发现的，在总价不变的前提下，发包人有权要求承包人进行调整，并按有利于发包人利益原则处理。</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（6）承包人应在投标时自行考虑施工中可能发生的施工场地、围护、管理、相互协作费用和责任。</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（7）不可抗力事件引起的合同价款变更按通用条款执行。</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（8）承包人报审的结算应按临安区政府投资建设管理办法有关规定执行，如发生高估冒算的审计费由承包人承担。</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（9）法律、行政法规和国家有关政策变化及工程造价管理部门发布的文件影响合同价款时，如临安转发，按相关政策、文件精神协商执行。</w:t>
      </w:r>
    </w:p>
    <w:p>
      <w:pPr>
        <w:spacing w:line="440" w:lineRule="exact"/>
        <w:ind w:firstLine="480" w:firstLineChars="200"/>
        <w:rPr>
          <w:rFonts w:hAnsi="宋体"/>
          <w:color w:val="auto"/>
          <w:sz w:val="24"/>
          <w:highlight w:val="none"/>
        </w:rPr>
      </w:pPr>
      <w:r>
        <w:rPr>
          <w:rFonts w:hAnsi="宋体"/>
          <w:color w:val="auto"/>
          <w:sz w:val="24"/>
          <w:highlight w:val="none"/>
        </w:rPr>
        <w:t>12.2 预付款</w:t>
      </w:r>
    </w:p>
    <w:bookmarkEnd w:id="802"/>
    <w:bookmarkEnd w:id="803"/>
    <w:bookmarkEnd w:id="804"/>
    <w:bookmarkEnd w:id="805"/>
    <w:bookmarkEnd w:id="806"/>
    <w:bookmarkEnd w:id="807"/>
    <w:p>
      <w:pPr>
        <w:spacing w:line="440" w:lineRule="exact"/>
        <w:ind w:firstLine="480" w:firstLineChars="200"/>
        <w:rPr>
          <w:rFonts w:hAnsi="宋体"/>
          <w:color w:val="auto"/>
          <w:sz w:val="24"/>
          <w:highlight w:val="none"/>
        </w:rPr>
      </w:pPr>
      <w:r>
        <w:rPr>
          <w:rFonts w:hAnsi="宋体"/>
          <w:color w:val="auto"/>
          <w:sz w:val="24"/>
          <w:highlight w:val="none"/>
        </w:rPr>
        <w:t>12.2.1 预付款的支付</w:t>
      </w:r>
    </w:p>
    <w:p>
      <w:pPr>
        <w:spacing w:line="420" w:lineRule="exact"/>
        <w:ind w:firstLine="480" w:firstLineChars="200"/>
        <w:rPr>
          <w:rFonts w:hint="eastAsia" w:hAnsi="宋体" w:cs="宋体"/>
          <w:color w:val="auto"/>
          <w:sz w:val="24"/>
          <w:szCs w:val="22"/>
          <w:highlight w:val="none"/>
          <w:u w:val="single"/>
        </w:rPr>
      </w:pPr>
      <w:r>
        <w:rPr>
          <w:rFonts w:hint="eastAsia" w:hAnsi="宋体" w:cs="宋体"/>
          <w:color w:val="auto"/>
          <w:sz w:val="24"/>
          <w:highlight w:val="none"/>
        </w:rPr>
        <w:t>预付款支付比例或金额：</w:t>
      </w:r>
      <w:r>
        <w:rPr>
          <w:rFonts w:hint="eastAsia" w:hAnsi="宋体" w:cs="宋体"/>
          <w:color w:val="auto"/>
          <w:sz w:val="24"/>
          <w:szCs w:val="22"/>
          <w:highlight w:val="none"/>
          <w:u w:val="single"/>
          <w:lang w:val="en-US" w:eastAsia="zh-CN"/>
        </w:rPr>
        <w:t>不支付预付款</w:t>
      </w:r>
      <w:r>
        <w:rPr>
          <w:rFonts w:hint="eastAsia" w:hAnsi="宋体" w:cs="宋体"/>
          <w:color w:val="auto"/>
          <w:sz w:val="24"/>
          <w:szCs w:val="22"/>
          <w:highlight w:val="none"/>
          <w:u w:val="single"/>
        </w:rPr>
        <w:t>。</w:t>
      </w:r>
    </w:p>
    <w:p>
      <w:pPr>
        <w:spacing w:line="420" w:lineRule="exact"/>
        <w:ind w:firstLine="480" w:firstLineChars="200"/>
        <w:rPr>
          <w:rFonts w:hAnsi="宋体" w:cs="宋体"/>
          <w:color w:val="auto"/>
          <w:sz w:val="24"/>
          <w:highlight w:val="none"/>
        </w:rPr>
      </w:pPr>
      <w:r>
        <w:rPr>
          <w:rFonts w:hint="eastAsia" w:ascii="宋体" w:hAnsi="宋体" w:eastAsia="宋体" w:cs="宋体"/>
          <w:color w:val="auto"/>
          <w:sz w:val="24"/>
          <w:szCs w:val="24"/>
          <w:highlight w:val="none"/>
        </w:rPr>
        <w:t>工资预付款支付比例或金额：</w:t>
      </w:r>
      <w:r>
        <w:rPr>
          <w:rFonts w:hint="eastAsia" w:hAnsi="宋体" w:eastAsia="宋体" w:cs="宋体"/>
          <w:b/>
          <w:bCs/>
          <w:color w:val="auto"/>
          <w:sz w:val="24"/>
          <w:szCs w:val="22"/>
          <w:highlight w:val="none"/>
          <w:u w:val="single"/>
          <w:lang w:val="en-US" w:eastAsia="zh-CN"/>
        </w:rPr>
        <w:t>/</w:t>
      </w:r>
      <w:r>
        <w:rPr>
          <w:rFonts w:hint="eastAsia" w:hAnsi="宋体" w:cs="宋体"/>
          <w:color w:val="auto"/>
          <w:sz w:val="24"/>
          <w:highlight w:val="none"/>
        </w:rPr>
        <w:t>。</w:t>
      </w:r>
    </w:p>
    <w:p>
      <w:pPr>
        <w:spacing w:line="420" w:lineRule="exact"/>
        <w:ind w:firstLine="480" w:firstLineChars="200"/>
        <w:rPr>
          <w:rFonts w:hAnsi="宋体" w:cs="宋体"/>
          <w:color w:val="auto"/>
          <w:sz w:val="24"/>
          <w:highlight w:val="none"/>
        </w:rPr>
      </w:pPr>
      <w:r>
        <w:rPr>
          <w:rFonts w:hAnsi="宋体"/>
          <w:color w:val="auto"/>
          <w:sz w:val="24"/>
          <w:highlight w:val="none"/>
        </w:rPr>
        <w:t>预付款支付期限：</w:t>
      </w:r>
      <w:r>
        <w:rPr>
          <w:rFonts w:hint="eastAsia" w:hAnsi="宋体" w:cs="宋体"/>
          <w:color w:val="auto"/>
          <w:sz w:val="24"/>
          <w:highlight w:val="none"/>
          <w:u w:val="single"/>
          <w:lang w:val="en-US" w:eastAsia="zh-CN"/>
        </w:rPr>
        <w:t>/</w:t>
      </w:r>
      <w:r>
        <w:rPr>
          <w:rFonts w:hint="eastAsia" w:hAnsi="宋体" w:cs="宋体"/>
          <w:color w:val="auto"/>
          <w:sz w:val="24"/>
          <w:highlight w:val="none"/>
        </w:rPr>
        <w:t>。</w:t>
      </w:r>
    </w:p>
    <w:p>
      <w:pPr>
        <w:spacing w:line="420" w:lineRule="exact"/>
        <w:ind w:firstLine="480" w:firstLineChars="200"/>
        <w:rPr>
          <w:rFonts w:hAnsi="宋体" w:cs="宋体"/>
          <w:color w:val="auto"/>
          <w:sz w:val="24"/>
          <w:highlight w:val="none"/>
          <w:u w:val="single"/>
        </w:rPr>
      </w:pPr>
      <w:r>
        <w:rPr>
          <w:rFonts w:hAnsi="宋体"/>
          <w:color w:val="auto"/>
          <w:sz w:val="24"/>
          <w:highlight w:val="none"/>
        </w:rPr>
        <w:t>预付款扣回的方式：</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w:t>
      </w:r>
    </w:p>
    <w:p>
      <w:pPr>
        <w:spacing w:line="440" w:lineRule="exact"/>
        <w:ind w:firstLine="480" w:firstLineChars="200"/>
        <w:rPr>
          <w:rFonts w:hAnsi="宋体"/>
          <w:color w:val="auto"/>
          <w:sz w:val="24"/>
          <w:highlight w:val="none"/>
        </w:rPr>
      </w:pPr>
      <w:r>
        <w:rPr>
          <w:rFonts w:hAnsi="宋体"/>
          <w:color w:val="auto"/>
          <w:sz w:val="24"/>
          <w:highlight w:val="none"/>
        </w:rPr>
        <w:t>12.2.2 预付款担保</w:t>
      </w:r>
    </w:p>
    <w:bookmarkEnd w:id="808"/>
    <w:bookmarkEnd w:id="809"/>
    <w:bookmarkEnd w:id="810"/>
    <w:bookmarkEnd w:id="811"/>
    <w:bookmarkEnd w:id="812"/>
    <w:bookmarkEnd w:id="813"/>
    <w:bookmarkEnd w:id="814"/>
    <w:bookmarkEnd w:id="815"/>
    <w:bookmarkEnd w:id="816"/>
    <w:bookmarkEnd w:id="817"/>
    <w:p>
      <w:pPr>
        <w:spacing w:line="440" w:lineRule="exact"/>
        <w:ind w:firstLine="480" w:firstLineChars="200"/>
        <w:rPr>
          <w:rFonts w:hAnsi="宋体"/>
          <w:color w:val="auto"/>
          <w:sz w:val="24"/>
          <w:highlight w:val="none"/>
        </w:rPr>
      </w:pPr>
      <w:r>
        <w:rPr>
          <w:rFonts w:hAnsi="宋体"/>
          <w:color w:val="auto"/>
          <w:sz w:val="24"/>
          <w:highlight w:val="none"/>
        </w:rPr>
        <w:t>承包人提交预付款担保的期限：</w:t>
      </w:r>
      <w:r>
        <w:rPr>
          <w:rFonts w:hint="eastAsia" w:hAnsi="宋体" w:cs="宋体"/>
          <w:color w:val="auto"/>
          <w:sz w:val="24"/>
          <w:highlight w:val="none"/>
          <w:u w:val="single"/>
          <w:lang w:val="en-US" w:eastAsia="zh-CN"/>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预付款担保的形式为：</w:t>
      </w:r>
      <w:r>
        <w:rPr>
          <w:rFonts w:hint="eastAsia" w:hAnsi="宋体" w:cs="宋体"/>
          <w:color w:val="auto"/>
          <w:sz w:val="24"/>
          <w:highlight w:val="none"/>
          <w:u w:val="single"/>
          <w:lang w:val="en-US" w:eastAsia="zh-CN"/>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 计量</w:t>
      </w:r>
    </w:p>
    <w:p>
      <w:pPr>
        <w:spacing w:line="440" w:lineRule="exact"/>
        <w:ind w:firstLine="480" w:firstLineChars="200"/>
        <w:rPr>
          <w:rFonts w:hAnsi="宋体"/>
          <w:color w:val="auto"/>
          <w:sz w:val="24"/>
          <w:highlight w:val="none"/>
        </w:rPr>
      </w:pPr>
      <w:r>
        <w:rPr>
          <w:rFonts w:hAnsi="宋体"/>
          <w:color w:val="auto"/>
          <w:sz w:val="24"/>
          <w:highlight w:val="none"/>
        </w:rPr>
        <w:t>12.3.1 计量原则</w:t>
      </w:r>
    </w:p>
    <w:p>
      <w:pPr>
        <w:spacing w:line="440" w:lineRule="exact"/>
        <w:ind w:firstLine="480" w:firstLineChars="200"/>
        <w:rPr>
          <w:rFonts w:hAnsi="宋体" w:cs="宋体"/>
          <w:b/>
          <w:color w:val="auto"/>
          <w:sz w:val="24"/>
          <w:highlight w:val="none"/>
          <w:u w:val="single"/>
        </w:rPr>
      </w:pPr>
      <w:r>
        <w:rPr>
          <w:rFonts w:hAnsi="宋体"/>
          <w:color w:val="auto"/>
          <w:sz w:val="24"/>
          <w:highlight w:val="none"/>
        </w:rPr>
        <w:t>工程量计算规则：</w:t>
      </w:r>
      <w:r>
        <w:rPr>
          <w:rFonts w:hint="eastAsia" w:hAnsi="宋体" w:cs="宋体"/>
          <w:color w:val="auto"/>
          <w:sz w:val="24"/>
          <w:highlight w:val="none"/>
          <w:u w:val="single"/>
        </w:rPr>
        <w:t>本工程的工程量（分部分项工程量及技术措施项目工程量）按双方在合同中约定应予计量且实际完成的工程量进行最终确定，工程量依据现行的《建设工程工程量清单计价规范（GB50500-2013）》、《浙江省建设工程计价规则（2018版）》、</w:t>
      </w:r>
      <w:r>
        <w:rPr>
          <w:rFonts w:hint="eastAsia" w:hAnsi="宋体" w:cs="宋体"/>
          <w:b/>
          <w:color w:val="auto"/>
          <w:sz w:val="24"/>
          <w:highlight w:val="none"/>
          <w:u w:val="single"/>
        </w:rPr>
        <w:t>杭州市建设工程工程量清单实施细则（2018年修订）</w:t>
      </w:r>
      <w:r>
        <w:rPr>
          <w:rFonts w:hint="eastAsia" w:hAnsi="宋体" w:cs="宋体"/>
          <w:color w:val="auto"/>
          <w:sz w:val="24"/>
          <w:highlight w:val="none"/>
          <w:u w:val="single"/>
        </w:rPr>
        <w:t>计算规则计算。</w:t>
      </w:r>
    </w:p>
    <w:p>
      <w:pPr>
        <w:spacing w:line="440" w:lineRule="exact"/>
        <w:ind w:firstLine="480" w:firstLineChars="200"/>
        <w:rPr>
          <w:rFonts w:hAnsi="宋体"/>
          <w:color w:val="auto"/>
          <w:sz w:val="24"/>
          <w:highlight w:val="none"/>
        </w:rPr>
      </w:pPr>
      <w:r>
        <w:rPr>
          <w:rFonts w:hAnsi="宋体"/>
          <w:color w:val="auto"/>
          <w:sz w:val="24"/>
          <w:highlight w:val="none"/>
        </w:rPr>
        <w:t>12.3.2 计量周期</w:t>
      </w:r>
    </w:p>
    <w:p>
      <w:pPr>
        <w:spacing w:line="440" w:lineRule="exact"/>
        <w:ind w:firstLine="480" w:firstLineChars="200"/>
        <w:rPr>
          <w:rFonts w:hAnsi="宋体"/>
          <w:color w:val="auto"/>
          <w:sz w:val="24"/>
          <w:highlight w:val="none"/>
        </w:rPr>
      </w:pPr>
      <w:r>
        <w:rPr>
          <w:rFonts w:hAnsi="宋体"/>
          <w:color w:val="auto"/>
          <w:sz w:val="24"/>
          <w:highlight w:val="none"/>
        </w:rPr>
        <w:t>关于计量周期的约定：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hAnsi="宋体"/>
          <w:color w:val="auto"/>
          <w:kern w:val="0"/>
          <w:sz w:val="24"/>
          <w:highlight w:val="none"/>
          <w:u w:val="single"/>
        </w:rPr>
        <w:t>按通用条款规定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12.3.3 单价合同的计量</w:t>
      </w:r>
    </w:p>
    <w:p>
      <w:pPr>
        <w:tabs>
          <w:tab w:val="left" w:pos="360"/>
          <w:tab w:val="left" w:pos="540"/>
        </w:tabs>
        <w:spacing w:line="440" w:lineRule="exact"/>
        <w:ind w:firstLine="480" w:firstLineChars="200"/>
        <w:rPr>
          <w:rFonts w:hAnsi="宋体"/>
          <w:color w:val="auto"/>
          <w:kern w:val="0"/>
          <w:sz w:val="24"/>
          <w:highlight w:val="none"/>
          <w:u w:val="single"/>
        </w:rPr>
      </w:pPr>
      <w:r>
        <w:rPr>
          <w:rFonts w:hAnsi="宋体"/>
          <w:color w:val="auto"/>
          <w:sz w:val="24"/>
          <w:highlight w:val="none"/>
        </w:rPr>
        <w:t>关于单价合同计量的约定：</w:t>
      </w:r>
      <w:r>
        <w:rPr>
          <w:rFonts w:hint="eastAsia" w:hAnsi="宋体"/>
          <w:color w:val="auto"/>
          <w:kern w:val="0"/>
          <w:sz w:val="24"/>
          <w:highlight w:val="none"/>
          <w:u w:val="single"/>
        </w:rPr>
        <w:t>。</w:t>
      </w:r>
    </w:p>
    <w:p>
      <w:pPr>
        <w:spacing w:line="440" w:lineRule="exact"/>
        <w:ind w:firstLine="480" w:firstLineChars="200"/>
        <w:rPr>
          <w:rFonts w:hAnsi="宋体"/>
          <w:color w:val="auto"/>
          <w:sz w:val="24"/>
          <w:highlight w:val="none"/>
        </w:rPr>
      </w:pPr>
      <w:r>
        <w:rPr>
          <w:rFonts w:hAnsi="宋体"/>
          <w:color w:val="auto"/>
          <w:sz w:val="24"/>
          <w:highlight w:val="none"/>
        </w:rPr>
        <w:t>12.3.4 总价合同的计量</w:t>
      </w:r>
    </w:p>
    <w:p>
      <w:pPr>
        <w:spacing w:line="440" w:lineRule="exact"/>
        <w:ind w:firstLine="480" w:firstLineChars="200"/>
        <w:rPr>
          <w:rFonts w:hint="eastAsia" w:hAnsi="宋体"/>
          <w:color w:val="auto"/>
          <w:sz w:val="24"/>
          <w:highlight w:val="none"/>
        </w:rPr>
      </w:pPr>
      <w:r>
        <w:rPr>
          <w:rFonts w:hAnsi="宋体"/>
          <w:color w:val="auto"/>
          <w:sz w:val="24"/>
          <w:highlight w:val="none"/>
        </w:rPr>
        <w:t>关于总价合同计量的约定：</w:t>
      </w:r>
      <w:r>
        <w:rPr>
          <w:rFonts w:hAnsi="宋体"/>
          <w:color w:val="auto"/>
          <w:sz w:val="24"/>
          <w:highlight w:val="none"/>
          <w:u w:val="single"/>
        </w:rPr>
        <w:t xml:space="preserve">      </w:t>
      </w:r>
      <w:r>
        <w:rPr>
          <w:rFonts w:hint="eastAsia" w:hAnsi="宋体"/>
          <w:color w:val="auto"/>
          <w:sz w:val="24"/>
          <w:highlight w:val="none"/>
          <w:u w:val="single"/>
        </w:rPr>
        <w:t>/</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12.3.5总价合同采用支付分解表计量支付的，是否适用第</w:t>
      </w:r>
      <w:r>
        <w:rPr>
          <w:rFonts w:hAnsi="宋体"/>
          <w:color w:val="auto"/>
          <w:kern w:val="0"/>
          <w:sz w:val="24"/>
          <w:highlight w:val="none"/>
        </w:rPr>
        <w:t xml:space="preserve">12.3.4 </w:t>
      </w:r>
      <w:r>
        <w:rPr>
          <w:rFonts w:hAnsi="宋体"/>
          <w:color w:val="auto"/>
          <w:sz w:val="24"/>
          <w:highlight w:val="none"/>
        </w:rPr>
        <w:t>项</w:t>
      </w:r>
      <w:r>
        <w:rPr>
          <w:rFonts w:hint="eastAsia" w:hAnsi="宋体"/>
          <w:color w:val="auto"/>
          <w:kern w:val="0"/>
          <w:sz w:val="24"/>
          <w:highlight w:val="none"/>
        </w:rPr>
        <w:t>〔</w:t>
      </w:r>
      <w:r>
        <w:rPr>
          <w:rFonts w:hAnsi="宋体"/>
          <w:color w:val="auto"/>
          <w:kern w:val="0"/>
          <w:sz w:val="24"/>
          <w:highlight w:val="none"/>
        </w:rPr>
        <w:t>总价合同的计量</w:t>
      </w:r>
      <w:r>
        <w:rPr>
          <w:rFonts w:hint="eastAsia" w:hAnsi="宋体"/>
          <w:color w:val="auto"/>
          <w:kern w:val="0"/>
          <w:sz w:val="24"/>
          <w:highlight w:val="none"/>
        </w:rPr>
        <w:t>〕</w:t>
      </w:r>
      <w:r>
        <w:rPr>
          <w:rFonts w:hAnsi="宋体"/>
          <w:color w:val="auto"/>
          <w:sz w:val="24"/>
          <w:highlight w:val="none"/>
        </w:rPr>
        <w:t>约定</w:t>
      </w:r>
      <w:r>
        <w:rPr>
          <w:rFonts w:hint="eastAsia" w:hAnsi="宋体"/>
          <w:color w:val="auto"/>
          <w:sz w:val="24"/>
          <w:highlight w:val="none"/>
        </w:rPr>
        <w:t>进行计量：</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12.3.6 其他价格形式合同的计量</w:t>
      </w:r>
    </w:p>
    <w:p>
      <w:pPr>
        <w:spacing w:line="440" w:lineRule="exact"/>
        <w:ind w:firstLine="480" w:firstLineChars="200"/>
        <w:rPr>
          <w:rFonts w:hAnsi="宋体"/>
          <w:color w:val="auto"/>
          <w:sz w:val="24"/>
          <w:highlight w:val="none"/>
        </w:rPr>
      </w:pPr>
      <w:r>
        <w:rPr>
          <w:rFonts w:hAnsi="宋体"/>
          <w:color w:val="auto"/>
          <w:sz w:val="24"/>
          <w:highlight w:val="none"/>
        </w:rPr>
        <w:t>其他价格形式的计量方式和程序：</w:t>
      </w:r>
      <w:r>
        <w:rPr>
          <w:rFonts w:hAnsi="宋体"/>
          <w:color w:val="auto"/>
          <w:sz w:val="24"/>
          <w:highlight w:val="none"/>
          <w:u w:val="single"/>
        </w:rPr>
        <w:t xml:space="preserve">   </w:t>
      </w:r>
      <w:r>
        <w:rPr>
          <w:rFonts w:hint="eastAsia" w:hAnsi="宋体"/>
          <w:color w:val="auto"/>
          <w:sz w:val="24"/>
          <w:highlight w:val="none"/>
          <w:u w:val="single"/>
        </w:rPr>
        <w:t xml:space="preserve"> /</w:t>
      </w:r>
    </w:p>
    <w:p>
      <w:pPr>
        <w:spacing w:line="440" w:lineRule="exact"/>
        <w:ind w:firstLine="480" w:firstLineChars="200"/>
        <w:rPr>
          <w:rFonts w:hAnsi="宋体"/>
          <w:color w:val="auto"/>
          <w:sz w:val="24"/>
          <w:highlight w:val="none"/>
        </w:rPr>
      </w:pPr>
      <w:bookmarkStart w:id="818" w:name="_Toc292559921"/>
      <w:bookmarkStart w:id="819" w:name="_Toc296346712"/>
      <w:bookmarkStart w:id="820" w:name="_Toc297048397"/>
      <w:bookmarkStart w:id="821" w:name="_Toc303539163"/>
      <w:bookmarkStart w:id="822" w:name="_Toc296347210"/>
      <w:bookmarkStart w:id="823" w:name="_Toc296891039"/>
      <w:bookmarkStart w:id="824" w:name="_Toc296891251"/>
      <w:bookmarkStart w:id="825" w:name="_Toc297123556"/>
      <w:bookmarkStart w:id="826" w:name="_Toc296503211"/>
      <w:bookmarkStart w:id="827" w:name="_Toc296944550"/>
      <w:bookmarkStart w:id="828" w:name="_Toc292559416"/>
      <w:bookmarkStart w:id="829" w:name="_Toc297120511"/>
      <w:bookmarkStart w:id="830" w:name="_Toc297216215"/>
      <w:bookmarkStart w:id="831" w:name="_Toc300935006"/>
      <w:r>
        <w:rPr>
          <w:rFonts w:hAnsi="宋体"/>
          <w:color w:val="auto"/>
          <w:sz w:val="24"/>
          <w:highlight w:val="none"/>
        </w:rPr>
        <w:t>12.4 工程进度款支付</w:t>
      </w:r>
    </w:p>
    <w:p>
      <w:pPr>
        <w:spacing w:line="440" w:lineRule="exact"/>
        <w:ind w:firstLine="480" w:firstLineChars="200"/>
        <w:rPr>
          <w:rFonts w:hAnsi="宋体"/>
          <w:color w:val="auto"/>
          <w:sz w:val="24"/>
          <w:highlight w:val="none"/>
        </w:rPr>
      </w:pPr>
      <w:r>
        <w:rPr>
          <w:rFonts w:hAnsi="宋体"/>
          <w:color w:val="auto"/>
          <w:sz w:val="24"/>
          <w:highlight w:val="none"/>
        </w:rPr>
        <w:t>12.4.1 付款周期</w:t>
      </w:r>
    </w:p>
    <w:p>
      <w:pPr>
        <w:pStyle w:val="2"/>
        <w:snapToGrid w:val="0"/>
        <w:spacing w:line="440" w:lineRule="exact"/>
        <w:outlineLvl w:val="0"/>
        <w:rPr>
          <w:rFonts w:hint="eastAsia"/>
          <w:color w:val="auto"/>
          <w:sz w:val="24"/>
          <w:highlight w:val="none"/>
          <w:u w:val="single"/>
        </w:rPr>
      </w:pPr>
      <w:r>
        <w:rPr>
          <w:color w:val="auto"/>
          <w:sz w:val="24"/>
          <w:szCs w:val="24"/>
          <w:highlight w:val="none"/>
        </w:rPr>
        <w:t>关于付款周期的约定：</w:t>
      </w:r>
      <w:r>
        <w:rPr>
          <w:rFonts w:hint="eastAsia"/>
          <w:color w:val="auto"/>
          <w:sz w:val="24"/>
          <w:szCs w:val="24"/>
          <w:highlight w:val="none"/>
          <w:u w:val="single"/>
          <w:lang w:eastAsia="zh-CN"/>
        </w:rPr>
        <w:t>合同签订后</w:t>
      </w:r>
      <w:r>
        <w:rPr>
          <w:rFonts w:hint="eastAsia"/>
          <w:color w:val="auto"/>
          <w:sz w:val="24"/>
          <w:szCs w:val="24"/>
          <w:highlight w:val="none"/>
          <w:u w:val="single"/>
          <w:lang w:val="en-US" w:eastAsia="zh-CN"/>
        </w:rPr>
        <w:t>30天内，支付合同总价的20%，</w:t>
      </w:r>
      <w:r>
        <w:rPr>
          <w:rFonts w:hint="eastAsia"/>
          <w:color w:val="auto"/>
          <w:sz w:val="24"/>
          <w:highlight w:val="none"/>
          <w:u w:val="single"/>
        </w:rPr>
        <w:t>当工程竣工验收合格，且承包人按要求提交全套技术资料（含决算资料）后付至合同总价的80%</w:t>
      </w:r>
      <w:r>
        <w:rPr>
          <w:rFonts w:hint="eastAsia"/>
          <w:b/>
          <w:bCs/>
          <w:color w:val="auto"/>
          <w:sz w:val="24"/>
          <w:highlight w:val="none"/>
          <w:u w:val="single"/>
        </w:rPr>
        <w:t>并同时扣回预付款</w:t>
      </w:r>
      <w:r>
        <w:rPr>
          <w:rFonts w:hint="eastAsia"/>
          <w:color w:val="auto"/>
          <w:sz w:val="24"/>
          <w:highlight w:val="none"/>
          <w:u w:val="single"/>
        </w:rPr>
        <w:t>；经审计结束后30日内付至结算价的9</w:t>
      </w:r>
      <w:r>
        <w:rPr>
          <w:rFonts w:hint="eastAsia"/>
          <w:color w:val="auto"/>
          <w:sz w:val="24"/>
          <w:highlight w:val="none"/>
          <w:u w:val="single"/>
          <w:lang w:val="en-US" w:eastAsia="zh-CN"/>
        </w:rPr>
        <w:t>8</w:t>
      </w:r>
      <w:r>
        <w:rPr>
          <w:rFonts w:hint="eastAsia"/>
          <w:color w:val="auto"/>
          <w:sz w:val="24"/>
          <w:highlight w:val="none"/>
          <w:u w:val="single"/>
        </w:rPr>
        <w:t>.5%；其余</w:t>
      </w:r>
      <w:r>
        <w:rPr>
          <w:rFonts w:hint="eastAsia"/>
          <w:color w:val="auto"/>
          <w:sz w:val="24"/>
          <w:highlight w:val="none"/>
          <w:u w:val="single"/>
          <w:lang w:val="en-US" w:eastAsia="zh-CN"/>
        </w:rPr>
        <w:t>1</w:t>
      </w:r>
      <w:r>
        <w:rPr>
          <w:rFonts w:hint="eastAsia"/>
          <w:color w:val="auto"/>
          <w:sz w:val="24"/>
          <w:highlight w:val="none"/>
          <w:u w:val="single"/>
        </w:rPr>
        <w:t>.5%留作质量保修金。保修服务期内须按投标承诺进行保修服务，并须达到发包人要求，否则发包人有权暂扣质量保修金。</w:t>
      </w:r>
    </w:p>
    <w:p>
      <w:pPr>
        <w:spacing w:line="420" w:lineRule="exact"/>
        <w:ind w:firstLine="482" w:firstLineChars="200"/>
        <w:rPr>
          <w:rFonts w:hAnsi="宋体" w:cs="宋体"/>
          <w:b/>
          <w:color w:val="auto"/>
          <w:sz w:val="24"/>
          <w:highlight w:val="none"/>
          <w:u w:val="single"/>
        </w:rPr>
      </w:pPr>
      <w:r>
        <w:rPr>
          <w:rFonts w:hint="eastAsia" w:hAnsi="宋体" w:cs="宋体"/>
          <w:b/>
          <w:color w:val="auto"/>
          <w:sz w:val="24"/>
          <w:highlight w:val="none"/>
          <w:u w:val="single"/>
        </w:rPr>
        <w:t>▲</w:t>
      </w:r>
      <w:r>
        <w:rPr>
          <w:rFonts w:hint="eastAsia" w:hAnsi="宋体" w:cs="宋体"/>
          <w:b/>
          <w:color w:val="auto"/>
          <w:sz w:val="24"/>
          <w:highlight w:val="none"/>
          <w:u w:val="single"/>
          <w:lang w:val="en-US" w:eastAsia="zh-CN"/>
        </w:rPr>
        <w:t>乙方须</w:t>
      </w:r>
      <w:r>
        <w:rPr>
          <w:rFonts w:hint="eastAsia" w:hAnsi="宋体" w:cs="宋体"/>
          <w:b/>
          <w:color w:val="auto"/>
          <w:sz w:val="24"/>
          <w:highlight w:val="none"/>
          <w:u w:val="single"/>
        </w:rPr>
        <w:t>严格落实民工工资支付和“无欠薪”专项治理工作各项要求，实行“实名制登记、民工工资账户分设、银行代发工资、民工工资保证金缴纳、按月足额支付、民工维权告示牌”等，确保劳动者足额领取工资，确保不发生因欠薪引发重大群体性事件。</w:t>
      </w:r>
    </w:p>
    <w:p>
      <w:pPr>
        <w:pStyle w:val="2"/>
        <w:snapToGrid w:val="0"/>
        <w:spacing w:line="440" w:lineRule="exact"/>
        <w:ind w:firstLine="480"/>
        <w:outlineLvl w:val="0"/>
        <w:rPr>
          <w:rFonts w:hint="eastAsia"/>
          <w:color w:val="auto"/>
          <w:sz w:val="24"/>
          <w:highlight w:val="none"/>
          <w:u w:val="single"/>
        </w:rPr>
      </w:pPr>
      <w:r>
        <w:rPr>
          <w:rFonts w:hint="eastAsia"/>
          <w:color w:val="auto"/>
          <w:sz w:val="24"/>
          <w:highlight w:val="none"/>
          <w:u w:val="single"/>
          <w:lang w:val="en-US" w:eastAsia="zh-CN"/>
        </w:rPr>
        <w:t>3</w:t>
      </w:r>
      <w:r>
        <w:rPr>
          <w:rFonts w:hint="eastAsia"/>
          <w:color w:val="auto"/>
          <w:sz w:val="24"/>
          <w:highlight w:val="none"/>
          <w:u w:val="single"/>
        </w:rPr>
        <w:t>）根据工程实际完成进度，承包人于每次付款前一周提交三份已完工工程量报告，经监理公司审核，发包人审定，承包人签字确认后支付工程款（进度款）。如不按期提交，视为承包方将本期完成工程量计入下期工程款，由此发生的责任全部由承包方承担。</w:t>
      </w:r>
    </w:p>
    <w:p>
      <w:pPr>
        <w:pStyle w:val="2"/>
        <w:snapToGrid w:val="0"/>
        <w:spacing w:line="440" w:lineRule="exact"/>
        <w:ind w:firstLine="480"/>
        <w:outlineLvl w:val="0"/>
        <w:rPr>
          <w:rFonts w:hint="eastAsia"/>
          <w:color w:val="auto"/>
          <w:sz w:val="24"/>
          <w:highlight w:val="none"/>
          <w:u w:val="single"/>
        </w:rPr>
      </w:pPr>
      <w:r>
        <w:rPr>
          <w:rFonts w:hint="eastAsia"/>
          <w:color w:val="auto"/>
          <w:sz w:val="24"/>
          <w:highlight w:val="none"/>
          <w:u w:val="single"/>
          <w:lang w:val="en-US" w:eastAsia="zh-CN"/>
        </w:rPr>
        <w:t>4</w:t>
      </w:r>
      <w:r>
        <w:rPr>
          <w:rFonts w:hint="eastAsia"/>
          <w:color w:val="auto"/>
          <w:sz w:val="24"/>
          <w:highlight w:val="none"/>
          <w:u w:val="single"/>
        </w:rPr>
        <w:t xml:space="preserve">）工程变更部分价款于结算审计后统一支付，但发包人与承包人另行签订补充协议的除外。     </w:t>
      </w:r>
    </w:p>
    <w:p>
      <w:pPr>
        <w:pStyle w:val="2"/>
        <w:snapToGrid w:val="0"/>
        <w:spacing w:line="440" w:lineRule="exact"/>
        <w:ind w:firstLine="480"/>
        <w:outlineLvl w:val="0"/>
        <w:rPr>
          <w:rFonts w:hint="eastAsia"/>
          <w:color w:val="auto"/>
          <w:sz w:val="24"/>
          <w:highlight w:val="none"/>
          <w:u w:val="single"/>
        </w:rPr>
      </w:pPr>
      <w:r>
        <w:rPr>
          <w:rFonts w:hint="eastAsia"/>
          <w:color w:val="auto"/>
          <w:sz w:val="24"/>
          <w:highlight w:val="none"/>
          <w:u w:val="single"/>
          <w:lang w:val="en-US" w:eastAsia="zh-CN"/>
        </w:rPr>
        <w:t>5</w:t>
      </w:r>
      <w:r>
        <w:rPr>
          <w:rFonts w:hint="eastAsia"/>
          <w:color w:val="auto"/>
          <w:sz w:val="24"/>
          <w:highlight w:val="none"/>
          <w:u w:val="single"/>
        </w:rPr>
        <w:t>）根据国家对建设工程税收的有关规定，临安市税务部门要求在支付工程款（进度款）时，必须由当地财税部门开具发票。发包人付至工程结算价9</w:t>
      </w:r>
      <w:r>
        <w:rPr>
          <w:rFonts w:hint="eastAsia"/>
          <w:color w:val="auto"/>
          <w:sz w:val="24"/>
          <w:highlight w:val="none"/>
          <w:u w:val="single"/>
          <w:lang w:val="en-US" w:eastAsia="zh-CN"/>
        </w:rPr>
        <w:t>8</w:t>
      </w:r>
      <w:r>
        <w:rPr>
          <w:rFonts w:hint="eastAsia"/>
          <w:color w:val="auto"/>
          <w:sz w:val="24"/>
          <w:highlight w:val="none"/>
          <w:u w:val="single"/>
        </w:rPr>
        <w:t xml:space="preserve">.5%工程款以前，承包人应向发包人提供工程结算价100%的发票。 </w:t>
      </w:r>
    </w:p>
    <w:p>
      <w:pPr>
        <w:pStyle w:val="2"/>
        <w:snapToGrid w:val="0"/>
        <w:spacing w:line="440" w:lineRule="exact"/>
        <w:ind w:firstLine="480"/>
        <w:outlineLvl w:val="0"/>
        <w:rPr>
          <w:color w:val="auto"/>
          <w:sz w:val="24"/>
          <w:szCs w:val="24"/>
          <w:highlight w:val="none"/>
        </w:rPr>
      </w:pPr>
      <w:r>
        <w:rPr>
          <w:color w:val="auto"/>
          <w:sz w:val="24"/>
          <w:szCs w:val="24"/>
          <w:highlight w:val="none"/>
        </w:rPr>
        <w:t>12.4.2 进度付款申请单的编制</w:t>
      </w:r>
    </w:p>
    <w:p>
      <w:pPr>
        <w:spacing w:line="440" w:lineRule="exact"/>
        <w:ind w:firstLine="480" w:firstLineChars="200"/>
        <w:rPr>
          <w:rFonts w:hAnsi="宋体"/>
          <w:color w:val="auto"/>
          <w:sz w:val="24"/>
          <w:highlight w:val="none"/>
        </w:rPr>
      </w:pPr>
      <w:r>
        <w:rPr>
          <w:rFonts w:hAnsi="宋体"/>
          <w:color w:val="auto"/>
          <w:sz w:val="24"/>
          <w:highlight w:val="none"/>
        </w:rPr>
        <w:t>关于进度付款申请单编制的约定：</w:t>
      </w:r>
      <w:r>
        <w:rPr>
          <w:rFonts w:hAnsi="宋体"/>
          <w:color w:val="auto"/>
          <w:sz w:val="24"/>
          <w:highlight w:val="none"/>
          <w:u w:val="single"/>
        </w:rPr>
        <w:t xml:space="preserve">   </w:t>
      </w:r>
      <w:r>
        <w:rPr>
          <w:rFonts w:hint="eastAsia" w:hAnsi="宋体"/>
          <w:color w:val="auto"/>
          <w:sz w:val="24"/>
          <w:highlight w:val="none"/>
          <w:u w:val="single"/>
        </w:rPr>
        <w:t>按通用条款规定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Pr>
          <w:rFonts w:hAnsi="宋体"/>
          <w:color w:val="auto"/>
          <w:sz w:val="24"/>
          <w:highlight w:val="none"/>
        </w:rPr>
        <w:t>2.4.3 进度付款申请单的提交</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（1）单价合同进度付款申请单提交的约定</w:t>
      </w:r>
      <w:r>
        <w:rPr>
          <w:rFonts w:hint="eastAsia" w:hAnsi="宋体"/>
          <w:color w:val="auto"/>
          <w:sz w:val="24"/>
          <w:highlight w:val="none"/>
        </w:rPr>
        <w:t>：</w:t>
      </w:r>
      <w:r>
        <w:rPr>
          <w:rFonts w:hint="eastAsia" w:hAnsi="宋体"/>
          <w:color w:val="auto"/>
          <w:sz w:val="24"/>
          <w:highlight w:val="none"/>
          <w:u w:val="single"/>
        </w:rPr>
        <w:t>按通用条款规定</w:t>
      </w:r>
    </w:p>
    <w:p>
      <w:pPr>
        <w:spacing w:line="440" w:lineRule="exact"/>
        <w:ind w:firstLine="480" w:firstLineChars="200"/>
        <w:rPr>
          <w:rFonts w:hAnsi="宋体"/>
          <w:color w:val="auto"/>
          <w:sz w:val="24"/>
          <w:highlight w:val="none"/>
        </w:rPr>
      </w:pPr>
      <w:r>
        <w:rPr>
          <w:rFonts w:hAnsi="宋体"/>
          <w:color w:val="auto"/>
          <w:sz w:val="24"/>
          <w:highlight w:val="none"/>
        </w:rPr>
        <w:t>（2）总价合同进度付款申请单提交的约定</w:t>
      </w:r>
      <w:r>
        <w:rPr>
          <w:rFonts w:hint="eastAsia" w:hAnsi="宋体"/>
          <w:color w:val="auto"/>
          <w:sz w:val="24"/>
          <w:highlight w:val="none"/>
        </w:rPr>
        <w:t>：</w:t>
      </w:r>
      <w:r>
        <w:rPr>
          <w:rFonts w:hint="eastAsia" w:hAnsi="宋体" w:cs="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（3）其他价格形式合同进度付款申请单提交的约定：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12.4.4 进度款审核和支付</w:t>
      </w:r>
    </w:p>
    <w:p>
      <w:pPr>
        <w:spacing w:line="440" w:lineRule="exact"/>
        <w:ind w:firstLine="480" w:firstLineChars="200"/>
        <w:rPr>
          <w:rFonts w:hAnsi="宋体"/>
          <w:color w:val="auto"/>
          <w:sz w:val="24"/>
          <w:highlight w:val="none"/>
          <w:u w:val="single"/>
        </w:rPr>
      </w:pPr>
      <w:r>
        <w:rPr>
          <w:rFonts w:hAnsi="宋体"/>
          <w:color w:val="auto"/>
          <w:sz w:val="24"/>
          <w:highlight w:val="none"/>
        </w:rPr>
        <w:t>（1）监理人审查并报送发包人的期限：</w:t>
      </w:r>
      <w:r>
        <w:rPr>
          <w:rFonts w:hint="eastAsia" w:hAnsi="宋体"/>
          <w:color w:val="auto"/>
          <w:sz w:val="24"/>
          <w:highlight w:val="none"/>
          <w:u w:val="single"/>
        </w:rPr>
        <w:t>收到进度付款申请单以及相关资料后7天内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发包人完成审批并签发进度款支付证书的期限：</w:t>
      </w:r>
      <w:r>
        <w:rPr>
          <w:rFonts w:hint="eastAsia" w:hAnsi="宋体"/>
          <w:color w:val="auto"/>
          <w:sz w:val="24"/>
          <w:highlight w:val="none"/>
          <w:u w:val="single"/>
        </w:rPr>
        <w:t>收到进度款申请单及相关资料后7天内</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（2）发包人支付进度款的期限：</w:t>
      </w:r>
      <w:r>
        <w:rPr>
          <w:rFonts w:hint="eastAsia"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发包人逾期支付进度款的违约金的计算方式：</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12.4.6 支付分解表的编制</w:t>
      </w:r>
    </w:p>
    <w:p>
      <w:pPr>
        <w:spacing w:line="440" w:lineRule="exact"/>
        <w:ind w:firstLine="480" w:firstLineChars="200"/>
        <w:rPr>
          <w:rFonts w:hAnsi="宋体"/>
          <w:color w:val="auto"/>
          <w:sz w:val="24"/>
          <w:highlight w:val="none"/>
        </w:rPr>
      </w:pPr>
      <w:r>
        <w:rPr>
          <w:rFonts w:hAnsi="宋体"/>
          <w:color w:val="auto"/>
          <w:sz w:val="24"/>
          <w:highlight w:val="none"/>
        </w:rPr>
        <w:t>2、总价合同支付分解表的编制与审批：</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3、单价合同的总价项目支付分解表的编制与审批：</w:t>
      </w:r>
      <w:r>
        <w:rPr>
          <w:rFonts w:hint="eastAsia" w:hAnsi="宋体"/>
          <w:color w:val="auto"/>
          <w:sz w:val="24"/>
          <w:highlight w:val="none"/>
          <w:u w:val="single"/>
        </w:rPr>
        <w:t>/</w:t>
      </w:r>
      <w:r>
        <w:rPr>
          <w:rFonts w:hAnsi="宋体"/>
          <w:color w:val="auto"/>
          <w:sz w:val="24"/>
          <w:highlight w:val="none"/>
        </w:rPr>
        <w:t>。</w:t>
      </w:r>
    </w:p>
    <w:bookmarkEnd w:id="684"/>
    <w:p>
      <w:pPr>
        <w:spacing w:line="440" w:lineRule="exact"/>
        <w:ind w:firstLine="480" w:firstLineChars="200"/>
        <w:rPr>
          <w:color w:val="auto"/>
          <w:sz w:val="24"/>
          <w:highlight w:val="none"/>
        </w:rPr>
      </w:pPr>
      <w:bookmarkStart w:id="832" w:name="_Toc351203645"/>
      <w:bookmarkStart w:id="833" w:name="_Toc296891047"/>
      <w:bookmarkStart w:id="834" w:name="_Toc297120519"/>
      <w:bookmarkStart w:id="835" w:name="_Toc297216223"/>
      <w:bookmarkStart w:id="836" w:name="_Toc300935015"/>
      <w:bookmarkStart w:id="837" w:name="_Toc303539172"/>
      <w:bookmarkStart w:id="838" w:name="_Toc296347218"/>
      <w:bookmarkStart w:id="839" w:name="_Toc296346720"/>
      <w:bookmarkStart w:id="840" w:name="_Toc296944558"/>
      <w:bookmarkStart w:id="841" w:name="_Toc297048405"/>
      <w:bookmarkStart w:id="842" w:name="_Toc292559929"/>
      <w:bookmarkStart w:id="843" w:name="_Toc304295593"/>
      <w:bookmarkStart w:id="844" w:name="_Toc312678053"/>
      <w:bookmarkStart w:id="845" w:name="_Toc296503219"/>
      <w:bookmarkStart w:id="846" w:name="_Toc297123564"/>
      <w:bookmarkStart w:id="847" w:name="_Toc296891259"/>
      <w:bookmarkStart w:id="848" w:name="_Toc292559424"/>
      <w:r>
        <w:rPr>
          <w:color w:val="auto"/>
          <w:sz w:val="24"/>
          <w:highlight w:val="none"/>
        </w:rPr>
        <w:t>13.</w:t>
      </w:r>
      <w:r>
        <w:rPr>
          <w:rFonts w:hint="eastAsia"/>
          <w:color w:val="auto"/>
          <w:sz w:val="24"/>
          <w:highlight w:val="none"/>
        </w:rPr>
        <w:t xml:space="preserve"> </w:t>
      </w:r>
      <w:r>
        <w:rPr>
          <w:color w:val="auto"/>
          <w:sz w:val="24"/>
          <w:highlight w:val="none"/>
        </w:rPr>
        <w:t>验收和工程试车</w:t>
      </w:r>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Pr>
        <w:spacing w:line="440" w:lineRule="exact"/>
        <w:ind w:firstLine="480" w:firstLineChars="200"/>
        <w:rPr>
          <w:rFonts w:hAnsi="宋体"/>
          <w:color w:val="auto"/>
          <w:sz w:val="24"/>
          <w:highlight w:val="none"/>
        </w:rPr>
      </w:pPr>
      <w:r>
        <w:rPr>
          <w:rFonts w:hAnsi="宋体"/>
          <w:color w:val="auto"/>
          <w:sz w:val="24"/>
          <w:highlight w:val="none"/>
        </w:rPr>
        <w:t>13.1 分部分项工程验收</w:t>
      </w:r>
    </w:p>
    <w:p>
      <w:pPr>
        <w:spacing w:line="440" w:lineRule="exact"/>
        <w:ind w:firstLine="480" w:firstLineChars="200"/>
        <w:rPr>
          <w:rFonts w:hAnsi="宋体"/>
          <w:color w:val="auto"/>
          <w:sz w:val="24"/>
          <w:highlight w:val="none"/>
        </w:rPr>
      </w:pPr>
      <w:r>
        <w:rPr>
          <w:rFonts w:hAnsi="宋体"/>
          <w:color w:val="auto"/>
          <w:sz w:val="24"/>
          <w:highlight w:val="none"/>
        </w:rPr>
        <w:t>13.1.2监理人不能按时进行验收时，应提前</w:t>
      </w:r>
      <w:r>
        <w:rPr>
          <w:rFonts w:hAnsi="宋体"/>
          <w:color w:val="auto"/>
          <w:sz w:val="24"/>
          <w:highlight w:val="none"/>
          <w:u w:val="single"/>
        </w:rPr>
        <w:t xml:space="preserve"> </w:t>
      </w:r>
      <w:r>
        <w:rPr>
          <w:rFonts w:hint="eastAsia" w:hAnsi="宋体"/>
          <w:color w:val="auto"/>
          <w:sz w:val="24"/>
          <w:highlight w:val="none"/>
          <w:u w:val="single"/>
        </w:rPr>
        <w:t>24</w:t>
      </w:r>
      <w:r>
        <w:rPr>
          <w:rFonts w:hAnsi="宋体"/>
          <w:color w:val="auto"/>
          <w:sz w:val="24"/>
          <w:highlight w:val="none"/>
          <w:u w:val="single"/>
        </w:rPr>
        <w:t xml:space="preserve">  </w:t>
      </w:r>
      <w:r>
        <w:rPr>
          <w:rFonts w:hAnsi="宋体"/>
          <w:color w:val="auto"/>
          <w:sz w:val="24"/>
          <w:highlight w:val="none"/>
        </w:rPr>
        <w:t>小时提交书面延期要求。</w:t>
      </w:r>
    </w:p>
    <w:p>
      <w:pPr>
        <w:spacing w:line="440" w:lineRule="exact"/>
        <w:ind w:firstLine="480" w:firstLineChars="200"/>
        <w:rPr>
          <w:rFonts w:hAnsi="宋体"/>
          <w:b/>
          <w:color w:val="auto"/>
          <w:sz w:val="24"/>
          <w:highlight w:val="none"/>
        </w:rPr>
      </w:pPr>
      <w:r>
        <w:rPr>
          <w:rFonts w:hAnsi="宋体"/>
          <w:color w:val="auto"/>
          <w:sz w:val="24"/>
          <w:highlight w:val="none"/>
        </w:rPr>
        <w:t>关于延期最长不得超过：</w:t>
      </w:r>
      <w:r>
        <w:rPr>
          <w:rFonts w:hAnsi="宋体"/>
          <w:color w:val="auto"/>
          <w:sz w:val="24"/>
          <w:highlight w:val="none"/>
          <w:u w:val="single"/>
        </w:rPr>
        <w:t xml:space="preserve"> </w:t>
      </w:r>
      <w:r>
        <w:rPr>
          <w:rFonts w:hint="eastAsia" w:hAnsi="宋体"/>
          <w:color w:val="auto"/>
          <w:sz w:val="24"/>
          <w:highlight w:val="none"/>
          <w:u w:val="single"/>
        </w:rPr>
        <w:t>48</w:t>
      </w:r>
      <w:r>
        <w:rPr>
          <w:rFonts w:hAnsi="宋体"/>
          <w:color w:val="auto"/>
          <w:sz w:val="24"/>
          <w:highlight w:val="none"/>
          <w:u w:val="single"/>
        </w:rPr>
        <w:t xml:space="preserve">   </w:t>
      </w:r>
      <w:r>
        <w:rPr>
          <w:rFonts w:hAnsi="宋体"/>
          <w:color w:val="auto"/>
          <w:sz w:val="24"/>
          <w:highlight w:val="none"/>
        </w:rPr>
        <w:t>小时。</w:t>
      </w:r>
    </w:p>
    <w:p>
      <w:pPr>
        <w:spacing w:line="440" w:lineRule="exact"/>
        <w:ind w:firstLine="480" w:firstLineChars="200"/>
        <w:rPr>
          <w:rFonts w:hAnsi="宋体"/>
          <w:color w:val="auto"/>
          <w:sz w:val="24"/>
          <w:highlight w:val="none"/>
        </w:rPr>
      </w:pPr>
      <w:bookmarkStart w:id="849" w:name="_Toc292559428"/>
      <w:bookmarkStart w:id="850" w:name="_Toc303539173"/>
      <w:bookmarkStart w:id="851" w:name="_Toc297120523"/>
      <w:bookmarkStart w:id="852" w:name="_Toc296944562"/>
      <w:bookmarkStart w:id="853" w:name="_Toc312678056"/>
      <w:bookmarkStart w:id="854" w:name="_Toc297216224"/>
      <w:bookmarkStart w:id="855" w:name="_Toc297048409"/>
      <w:bookmarkStart w:id="856" w:name="_Toc296891051"/>
      <w:bookmarkStart w:id="857" w:name="_Toc297123565"/>
      <w:bookmarkStart w:id="858" w:name="_Toc300935016"/>
      <w:bookmarkStart w:id="859" w:name="_Toc304295596"/>
      <w:bookmarkStart w:id="860" w:name="_Toc292559933"/>
      <w:bookmarkStart w:id="861" w:name="_Toc296503223"/>
      <w:bookmarkStart w:id="862" w:name="_Toc296347222"/>
      <w:bookmarkStart w:id="863" w:name="_Toc296346724"/>
      <w:bookmarkStart w:id="864" w:name="_Toc296891263"/>
      <w:bookmarkStart w:id="865" w:name="_Toc267251470"/>
      <w:bookmarkStart w:id="866" w:name="_Toc267251476"/>
      <w:bookmarkStart w:id="867" w:name="_Toc267251471"/>
      <w:bookmarkStart w:id="868" w:name="_Toc267251473"/>
      <w:bookmarkStart w:id="869" w:name="_Toc267251474"/>
      <w:bookmarkStart w:id="870" w:name="_Toc267251475"/>
      <w:bookmarkStart w:id="871" w:name="_Toc267251472"/>
      <w:r>
        <w:rPr>
          <w:rFonts w:hAnsi="宋体"/>
          <w:color w:val="auto"/>
          <w:sz w:val="24"/>
          <w:highlight w:val="none"/>
        </w:rPr>
        <w:t>13.2 竣工验收</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Pr>
        <w:spacing w:line="440" w:lineRule="exact"/>
        <w:ind w:firstLine="480" w:firstLineChars="200"/>
        <w:rPr>
          <w:rFonts w:hAnsi="宋体"/>
          <w:color w:val="auto"/>
          <w:sz w:val="24"/>
          <w:highlight w:val="none"/>
        </w:rPr>
      </w:pPr>
      <w:bookmarkStart w:id="872" w:name="_Toc280868704"/>
      <w:bookmarkStart w:id="873" w:name="_Toc280868707"/>
      <w:bookmarkStart w:id="874" w:name="_Toc280868705"/>
      <w:bookmarkStart w:id="875" w:name="_Toc280868706"/>
      <w:bookmarkStart w:id="876" w:name="_Toc280868708"/>
      <w:bookmarkStart w:id="877" w:name="_Toc280868709"/>
      <w:r>
        <w:rPr>
          <w:rFonts w:hAnsi="宋体"/>
          <w:color w:val="auto"/>
          <w:sz w:val="24"/>
          <w:highlight w:val="none"/>
        </w:rPr>
        <w:t>13.2.2竣工验收程序</w:t>
      </w:r>
    </w:p>
    <w:bookmarkEnd w:id="872"/>
    <w:p>
      <w:pPr>
        <w:spacing w:line="440" w:lineRule="exact"/>
        <w:ind w:firstLine="480" w:firstLineChars="200"/>
        <w:rPr>
          <w:rFonts w:hAnsi="宋体"/>
          <w:color w:val="auto"/>
          <w:sz w:val="24"/>
          <w:highlight w:val="none"/>
        </w:rPr>
      </w:pPr>
      <w:r>
        <w:rPr>
          <w:rFonts w:hAnsi="宋体"/>
          <w:color w:val="auto"/>
          <w:kern w:val="0"/>
          <w:sz w:val="24"/>
          <w:highlight w:val="none"/>
        </w:rPr>
        <w:t>关于竣工验收程序的约定：</w:t>
      </w:r>
      <w:r>
        <w:rPr>
          <w:rFonts w:hint="eastAsia" w:hAnsi="宋体"/>
          <w:color w:val="auto"/>
          <w:sz w:val="24"/>
          <w:highlight w:val="none"/>
          <w:u w:val="single"/>
        </w:rPr>
        <w:t>按通用条款有关规定执行</w:t>
      </w:r>
      <w:r>
        <w:rPr>
          <w:rFonts w:hAnsi="宋体"/>
          <w:color w:val="auto"/>
          <w:sz w:val="24"/>
          <w:highlight w:val="none"/>
        </w:rPr>
        <w:t>。</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发包人不按照本项约定组织竣工验收、颁发工程接收证书的违约金的计算方法：</w:t>
      </w:r>
      <w:r>
        <w:rPr>
          <w:rFonts w:hint="eastAsia" w:hAnsi="宋体"/>
          <w:color w:val="auto"/>
          <w:sz w:val="24"/>
          <w:highlight w:val="none"/>
          <w:u w:val="single"/>
        </w:rPr>
        <w:t xml:space="preserve">/ </w:t>
      </w:r>
      <w:r>
        <w:rPr>
          <w:rFonts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bookmarkEnd w:id="873"/>
    <w:bookmarkEnd w:id="874"/>
    <w:bookmarkEnd w:id="875"/>
    <w:p>
      <w:pPr>
        <w:spacing w:line="440" w:lineRule="exact"/>
        <w:ind w:firstLine="480" w:firstLineChars="200"/>
        <w:rPr>
          <w:rFonts w:hAnsi="宋体"/>
          <w:color w:val="auto"/>
          <w:sz w:val="24"/>
          <w:highlight w:val="none"/>
        </w:rPr>
      </w:pPr>
      <w:r>
        <w:rPr>
          <w:rFonts w:hAnsi="宋体"/>
          <w:color w:val="auto"/>
          <w:sz w:val="24"/>
          <w:highlight w:val="none"/>
        </w:rPr>
        <w:t>13.2.5移交、接收全部与部分工程</w:t>
      </w:r>
    </w:p>
    <w:p>
      <w:pPr>
        <w:spacing w:line="440" w:lineRule="exact"/>
        <w:ind w:firstLine="480" w:firstLineChars="200"/>
        <w:rPr>
          <w:rFonts w:hint="eastAsia" w:hAnsi="宋体" w:cs="宋体"/>
          <w:color w:val="auto"/>
          <w:sz w:val="24"/>
          <w:highlight w:val="none"/>
        </w:rPr>
      </w:pPr>
      <w:r>
        <w:rPr>
          <w:rFonts w:hint="eastAsia" w:hAnsi="宋体"/>
          <w:color w:val="auto"/>
          <w:kern w:val="0"/>
          <w:sz w:val="24"/>
          <w:highlight w:val="none"/>
        </w:rPr>
        <w:t>承包人向发包人移交工程的期限：</w:t>
      </w:r>
      <w:r>
        <w:rPr>
          <w:rFonts w:hint="eastAsia" w:hAnsi="宋体" w:cs="宋体"/>
          <w:color w:val="auto"/>
          <w:sz w:val="24"/>
          <w:highlight w:val="none"/>
          <w:u w:val="single"/>
        </w:rPr>
        <w:t>承包人应当在颁发工程接收证书后 7 天内完成工程的移交</w:t>
      </w:r>
      <w:r>
        <w:rPr>
          <w:rFonts w:hint="eastAsia" w:hAnsi="宋体" w:cs="宋体"/>
          <w:color w:val="auto"/>
          <w:sz w:val="24"/>
          <w:highlight w:val="none"/>
        </w:rPr>
        <w:t>。</w:t>
      </w:r>
    </w:p>
    <w:p>
      <w:pPr>
        <w:spacing w:line="440" w:lineRule="exact"/>
        <w:ind w:firstLine="480" w:firstLineChars="200"/>
        <w:rPr>
          <w:rFonts w:hAnsi="宋体" w:cs="宋体"/>
          <w:color w:val="auto"/>
          <w:sz w:val="24"/>
          <w:highlight w:val="none"/>
        </w:rPr>
      </w:pPr>
      <w:r>
        <w:rPr>
          <w:rFonts w:hAnsi="宋体"/>
          <w:color w:val="auto"/>
          <w:kern w:val="0"/>
          <w:sz w:val="24"/>
          <w:highlight w:val="none"/>
        </w:rPr>
        <w:t>发包人未按本合同约定接收全部或部分工程的，违约金的计算方法为：</w:t>
      </w:r>
      <w:r>
        <w:rPr>
          <w:rFonts w:hint="eastAsia" w:hAnsi="宋体"/>
          <w:color w:val="auto"/>
          <w:sz w:val="24"/>
          <w:highlight w:val="none"/>
          <w:u w:val="single"/>
        </w:rPr>
        <w:t>/。</w:t>
      </w:r>
    </w:p>
    <w:p>
      <w:pPr>
        <w:spacing w:line="440" w:lineRule="exact"/>
        <w:ind w:firstLine="480" w:firstLineChars="200"/>
        <w:rPr>
          <w:rFonts w:hint="eastAsia" w:hAnsi="宋体"/>
          <w:color w:val="auto"/>
          <w:sz w:val="24"/>
          <w:highlight w:val="none"/>
        </w:rPr>
      </w:pPr>
      <w:r>
        <w:rPr>
          <w:rFonts w:hAnsi="宋体"/>
          <w:color w:val="auto"/>
          <w:sz w:val="24"/>
          <w:highlight w:val="none"/>
        </w:rPr>
        <w:t>承包人未按时移交工程的，违约金的计算方法为：</w:t>
      </w:r>
      <w:r>
        <w:rPr>
          <w:rFonts w:hint="eastAsia" w:hAnsi="宋体"/>
          <w:color w:val="auto"/>
          <w:sz w:val="24"/>
          <w:highlight w:val="none"/>
          <w:u w:val="single"/>
        </w:rPr>
        <w:t>除扣除工程资料履约保证金外，每延迟交付一天扣罚2000元/天，并承担由此给发包人带来的一切损失</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13.3 工程试车</w:t>
      </w:r>
    </w:p>
    <w:bookmarkEnd w:id="876"/>
    <w:p>
      <w:pPr>
        <w:spacing w:line="440" w:lineRule="exact"/>
        <w:ind w:firstLine="480" w:firstLineChars="200"/>
        <w:rPr>
          <w:rFonts w:hAnsi="宋体"/>
          <w:color w:val="auto"/>
          <w:kern w:val="0"/>
          <w:sz w:val="24"/>
          <w:highlight w:val="none"/>
        </w:rPr>
      </w:pPr>
      <w:r>
        <w:rPr>
          <w:rFonts w:hAnsi="宋体"/>
          <w:color w:val="auto"/>
          <w:kern w:val="0"/>
          <w:sz w:val="24"/>
          <w:highlight w:val="none"/>
        </w:rPr>
        <w:t>13.3.1 试车程序</w:t>
      </w:r>
    </w:p>
    <w:p>
      <w:pPr>
        <w:spacing w:line="440" w:lineRule="exact"/>
        <w:ind w:firstLine="480" w:firstLineChars="200"/>
        <w:rPr>
          <w:rFonts w:hAnsi="宋体"/>
          <w:color w:val="auto"/>
          <w:kern w:val="0"/>
          <w:sz w:val="24"/>
          <w:highlight w:val="none"/>
        </w:rPr>
      </w:pPr>
      <w:r>
        <w:rPr>
          <w:rFonts w:hAnsi="宋体"/>
          <w:color w:val="auto"/>
          <w:kern w:val="0"/>
          <w:sz w:val="24"/>
          <w:highlight w:val="none"/>
        </w:rPr>
        <w:t>工程试车内容：</w:t>
      </w:r>
      <w:r>
        <w:rPr>
          <w:rFonts w:hint="eastAsia" w:hAnsi="宋体"/>
          <w:color w:val="auto"/>
          <w:sz w:val="24"/>
          <w:highlight w:val="none"/>
          <w:u w:val="single"/>
        </w:rPr>
        <w:t>按通用条款有关规定执行</w:t>
      </w:r>
      <w:r>
        <w:rPr>
          <w:rFonts w:hAnsi="宋体"/>
          <w:color w:val="auto"/>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（1）单机无负荷试车费用由</w:t>
      </w:r>
      <w:r>
        <w:rPr>
          <w:rFonts w:hAnsi="宋体"/>
          <w:color w:val="auto"/>
          <w:sz w:val="24"/>
          <w:highlight w:val="none"/>
          <w:u w:val="single"/>
        </w:rPr>
        <w:t xml:space="preserve">    </w:t>
      </w:r>
      <w:r>
        <w:rPr>
          <w:rFonts w:hint="eastAsia" w:hAnsi="宋体"/>
          <w:color w:val="auto"/>
          <w:sz w:val="24"/>
          <w:highlight w:val="none"/>
          <w:u w:val="single"/>
        </w:rPr>
        <w:t>承包人</w:t>
      </w:r>
      <w:r>
        <w:rPr>
          <w:rFonts w:hAnsi="宋体"/>
          <w:color w:val="auto"/>
          <w:sz w:val="24"/>
          <w:highlight w:val="none"/>
          <w:u w:val="single"/>
        </w:rPr>
        <w:t xml:space="preserve">        </w:t>
      </w:r>
      <w:r>
        <w:rPr>
          <w:rFonts w:hAnsi="宋体"/>
          <w:color w:val="auto"/>
          <w:kern w:val="0"/>
          <w:sz w:val="24"/>
          <w:highlight w:val="none"/>
        </w:rPr>
        <w:t>承担；</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（2）无负荷联动试车费用由</w:t>
      </w:r>
      <w:r>
        <w:rPr>
          <w:rFonts w:hAnsi="宋体"/>
          <w:color w:val="auto"/>
          <w:sz w:val="24"/>
          <w:highlight w:val="none"/>
          <w:u w:val="single"/>
        </w:rPr>
        <w:t xml:space="preserve">    </w:t>
      </w:r>
      <w:r>
        <w:rPr>
          <w:rFonts w:hint="eastAsia" w:hAnsi="宋体"/>
          <w:color w:val="auto"/>
          <w:sz w:val="24"/>
          <w:highlight w:val="none"/>
          <w:u w:val="single"/>
        </w:rPr>
        <w:t>承包人</w:t>
      </w:r>
      <w:r>
        <w:rPr>
          <w:rFonts w:hAnsi="宋体"/>
          <w:color w:val="auto"/>
          <w:sz w:val="24"/>
          <w:highlight w:val="none"/>
          <w:u w:val="single"/>
        </w:rPr>
        <w:t xml:space="preserve">           </w:t>
      </w:r>
      <w:r>
        <w:rPr>
          <w:rFonts w:hAnsi="宋体"/>
          <w:color w:val="auto"/>
          <w:kern w:val="0"/>
          <w:sz w:val="24"/>
          <w:highlight w:val="none"/>
        </w:rPr>
        <w:t>承担。</w:t>
      </w:r>
    </w:p>
    <w:p>
      <w:pPr>
        <w:spacing w:line="440" w:lineRule="exact"/>
        <w:ind w:firstLine="480" w:firstLineChars="200"/>
        <w:rPr>
          <w:rFonts w:hAnsi="宋体"/>
          <w:color w:val="auto"/>
          <w:kern w:val="0"/>
          <w:sz w:val="24"/>
          <w:highlight w:val="none"/>
        </w:rPr>
      </w:pPr>
      <w:r>
        <w:rPr>
          <w:rFonts w:hAnsi="宋体"/>
          <w:color w:val="auto"/>
          <w:kern w:val="0"/>
          <w:sz w:val="24"/>
          <w:highlight w:val="none"/>
        </w:rPr>
        <w:t>13.3.3 投料试车</w:t>
      </w:r>
    </w:p>
    <w:p>
      <w:pPr>
        <w:spacing w:line="440" w:lineRule="exact"/>
        <w:ind w:firstLine="480" w:firstLineChars="200"/>
        <w:rPr>
          <w:rFonts w:hAnsi="宋体"/>
          <w:color w:val="auto"/>
          <w:kern w:val="0"/>
          <w:sz w:val="24"/>
          <w:highlight w:val="none"/>
        </w:rPr>
      </w:pPr>
      <w:r>
        <w:rPr>
          <w:rFonts w:hint="eastAsia" w:hAnsi="宋体"/>
          <w:color w:val="auto"/>
          <w:kern w:val="0"/>
          <w:sz w:val="24"/>
          <w:highlight w:val="none"/>
        </w:rPr>
        <w:t>关于投料试车相关事项的约定：</w:t>
      </w:r>
      <w:r>
        <w:rPr>
          <w:rFonts w:hint="eastAsia" w:hAnsi="宋体"/>
          <w:color w:val="auto"/>
          <w:sz w:val="24"/>
          <w:highlight w:val="none"/>
          <w:u w:val="single"/>
        </w:rPr>
        <w:t>/</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13.6 竣工退场</w:t>
      </w:r>
    </w:p>
    <w:p>
      <w:pPr>
        <w:spacing w:line="440" w:lineRule="exact"/>
        <w:ind w:firstLine="480" w:firstLineChars="200"/>
        <w:rPr>
          <w:rFonts w:hAnsi="宋体"/>
          <w:color w:val="auto"/>
          <w:kern w:val="0"/>
          <w:sz w:val="24"/>
          <w:highlight w:val="none"/>
        </w:rPr>
      </w:pPr>
      <w:r>
        <w:rPr>
          <w:rFonts w:hAnsi="宋体"/>
          <w:color w:val="auto"/>
          <w:kern w:val="0"/>
          <w:sz w:val="24"/>
          <w:highlight w:val="none"/>
        </w:rPr>
        <w:t>13.6.1 竣工退场</w:t>
      </w:r>
    </w:p>
    <w:p>
      <w:pPr>
        <w:spacing w:line="440" w:lineRule="exact"/>
        <w:ind w:firstLine="480" w:firstLineChars="200"/>
        <w:rPr>
          <w:rFonts w:hint="eastAsia" w:hAnsi="宋体"/>
          <w:color w:val="auto"/>
          <w:sz w:val="24"/>
          <w:highlight w:val="none"/>
          <w:u w:val="single"/>
        </w:rPr>
      </w:pPr>
      <w:r>
        <w:rPr>
          <w:rFonts w:hAnsi="宋体"/>
          <w:color w:val="auto"/>
          <w:kern w:val="0"/>
          <w:sz w:val="24"/>
          <w:highlight w:val="none"/>
        </w:rPr>
        <w:t>承包人完成竣工退场的期限：</w:t>
      </w:r>
      <w:r>
        <w:rPr>
          <w:rFonts w:hint="eastAsia" w:hAnsi="宋体"/>
          <w:color w:val="auto"/>
          <w:sz w:val="24"/>
          <w:highlight w:val="none"/>
          <w:u w:val="single"/>
        </w:rPr>
        <w:t xml:space="preserve">接到发包人和监理单位要求其清场并撤离的通知后7天内。 </w:t>
      </w:r>
    </w:p>
    <w:bookmarkEnd w:id="865"/>
    <w:bookmarkEnd w:id="866"/>
    <w:bookmarkEnd w:id="867"/>
    <w:bookmarkEnd w:id="868"/>
    <w:bookmarkEnd w:id="869"/>
    <w:bookmarkEnd w:id="870"/>
    <w:bookmarkEnd w:id="871"/>
    <w:bookmarkEnd w:id="877"/>
    <w:p>
      <w:pPr>
        <w:spacing w:line="440" w:lineRule="exact"/>
        <w:ind w:firstLine="480" w:firstLineChars="200"/>
        <w:rPr>
          <w:rFonts w:hint="eastAsia" w:hAnsi="宋体"/>
          <w:color w:val="auto"/>
          <w:sz w:val="24"/>
          <w:highlight w:val="none"/>
        </w:rPr>
      </w:pPr>
      <w:bookmarkStart w:id="878" w:name="_Toc351203646"/>
      <w:bookmarkStart w:id="879" w:name="_Toc351203647"/>
      <w:bookmarkStart w:id="880" w:name="_Toc267251483"/>
      <w:bookmarkStart w:id="881" w:name="_Toc267251482"/>
      <w:bookmarkStart w:id="882" w:name="_Toc267251484"/>
      <w:bookmarkStart w:id="883" w:name="_Toc267251485"/>
      <w:bookmarkStart w:id="884" w:name="_Toc267251490"/>
      <w:bookmarkStart w:id="885" w:name="_Toc267251488"/>
      <w:bookmarkStart w:id="886" w:name="_Toc267251486"/>
      <w:bookmarkStart w:id="887" w:name="_Toc267251489"/>
      <w:bookmarkStart w:id="888" w:name="_Toc267251492"/>
      <w:bookmarkStart w:id="889" w:name="_Toc267251503"/>
      <w:bookmarkStart w:id="890" w:name="_Toc267251491"/>
      <w:bookmarkStart w:id="891" w:name="_Toc267251494"/>
      <w:bookmarkStart w:id="892" w:name="_Toc267251495"/>
      <w:bookmarkStart w:id="893" w:name="_Toc267251502"/>
      <w:bookmarkStart w:id="894" w:name="_Toc267251501"/>
      <w:bookmarkStart w:id="895" w:name="_Toc267251493"/>
      <w:bookmarkStart w:id="896" w:name="_Toc267251499"/>
      <w:bookmarkStart w:id="897" w:name="_Toc267251497"/>
      <w:bookmarkStart w:id="898" w:name="_Toc267251496"/>
      <w:bookmarkStart w:id="899" w:name="_Toc267251498"/>
      <w:bookmarkStart w:id="900" w:name="_Toc267251504"/>
      <w:bookmarkStart w:id="901" w:name="_Toc267251506"/>
      <w:bookmarkStart w:id="902" w:name="_Toc267251507"/>
      <w:bookmarkStart w:id="903" w:name="_Toc267251508"/>
      <w:bookmarkStart w:id="904" w:name="_Toc267251515"/>
      <w:bookmarkStart w:id="905" w:name="_Toc267251509"/>
      <w:bookmarkStart w:id="906" w:name="_Toc267251511"/>
      <w:bookmarkStart w:id="907" w:name="_Toc267251510"/>
      <w:bookmarkStart w:id="908" w:name="_Toc267251513"/>
      <w:bookmarkStart w:id="909" w:name="_Toc267251514"/>
      <w:r>
        <w:rPr>
          <w:rFonts w:hint="eastAsia" w:hAnsi="宋体"/>
          <w:color w:val="auto"/>
          <w:sz w:val="24"/>
          <w:highlight w:val="none"/>
        </w:rPr>
        <w:t>14. 竣工结算</w:t>
      </w:r>
      <w:bookmarkEnd w:id="878"/>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承包人提交竣工结算申请单的期限：根据《杭州市建设工程工程量清单计价实施细则》（2018版）有关规定以及审定的工程结算（报告），做好相关结算工作。根据《杭州市建设工程工程量清单计价实施细则》（2018版）有关规定以及审计部门审定的工程结算，做好相关结算工作。未按规定进行竣工结算的不得进行竣工验收备案、交付使用，有关部门不予办理产权登记。</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承包人应在工程竣工验收合格后28天内向发包人和监理人提交竣工结算申请单，并提交完整的结算资料。</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工程造价在500万元以下的项目，从收到完整的竣工结算书之日起20日内，发包人应提出竣工结算核对意见。（500-2000万的项目，提出核对意见时限30日；2000-5000万的项目，提出核对意见时限45日；5000万以上的项目，提出核对意见时限60日）。</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承包人在收到发包人的核对意见后28天内按要求补充、修改竣工结算文件，并再次提交发包人复核。</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发、承包人均对复核结果无异议的，应于7天内在竣工结算文件上签字确认，竣工结算办理完毕（工程结算核对、答复、办结期限最长不超过6个月）。发包人或承包人对复核结果认为有异议的，对有异议部分应由发承包双方协商解决；协商不成的，应按照合同约定的争议解决方式处理。</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工程结算审查费用由基本收费和核减追加费两部分组成。根据相关规定，结合协审机构政府采购、投标报价情况，工程结算审查基本收费按</w:t>
      </w:r>
      <w:r>
        <w:rPr>
          <w:rFonts w:hint="eastAsia" w:hAnsi="宋体" w:cs="宋体"/>
          <w:color w:val="auto"/>
          <w:sz w:val="24"/>
          <w:highlight w:val="none"/>
          <w:lang w:eastAsia="zh-CN"/>
        </w:rPr>
        <w:t>招标人要求</w:t>
      </w:r>
      <w:r>
        <w:rPr>
          <w:rFonts w:hint="eastAsia" w:hAnsi="宋体" w:cs="宋体"/>
          <w:color w:val="auto"/>
          <w:sz w:val="24"/>
          <w:highlight w:val="none"/>
        </w:rPr>
        <w:t>计取。核减追加费按不高于净核减额的5%计取。</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为有效控制工程造价，防范高估冒算现象的发生，若工程结算审核净核减超过5%，承包人应承担净核减超过送审造价5%部分的核减追加费，即核减追加费以净核减额超过送审造价5%部分为基数。按5%计。</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对监理单位、施工单位、造价咨询单位在工程结算过程中存在的弄虚作假、高估冒算等违纪违法行为，一经查实，相关部门将依法追究责任单位和责任人员的责任。</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建设单位应当在工程价款结算书经财政、审计等相关部门批准或认定之日起30日内报</w:t>
      </w:r>
      <w:r>
        <w:rPr>
          <w:rFonts w:hint="eastAsia" w:hAnsi="宋体" w:cs="宋体"/>
          <w:color w:val="auto"/>
          <w:sz w:val="24"/>
          <w:highlight w:val="none"/>
          <w:lang w:val="en-US" w:eastAsia="zh-CN"/>
        </w:rPr>
        <w:t>有关主管部门</w:t>
      </w:r>
      <w:r>
        <w:rPr>
          <w:rFonts w:hint="eastAsia" w:hAnsi="宋体" w:cs="宋体"/>
          <w:color w:val="auto"/>
          <w:sz w:val="24"/>
          <w:highlight w:val="none"/>
        </w:rPr>
        <w:t>备案。</w:t>
      </w:r>
    </w:p>
    <w:p>
      <w:pPr>
        <w:spacing w:line="420" w:lineRule="exact"/>
        <w:ind w:firstLine="480" w:firstLineChars="200"/>
        <w:rPr>
          <w:rFonts w:hint="eastAsia" w:hAnsi="宋体" w:cs="宋体"/>
          <w:color w:val="auto"/>
          <w:sz w:val="24"/>
          <w:highlight w:val="none"/>
        </w:rPr>
      </w:pPr>
      <w:r>
        <w:rPr>
          <w:rFonts w:hint="eastAsia" w:hAnsi="宋体" w:cs="宋体"/>
          <w:color w:val="auto"/>
          <w:sz w:val="24"/>
          <w:highlight w:val="none"/>
        </w:rPr>
        <w:t>竣工结算申请单应包括的内容：结算审计需要的竣工结算的相关资料要求齐全。包括结算书、竣工图纸、通知单、设计变更单、数量认可单、现场签证单、工程质量评定书、验收报告及其它相关资料。竣工结算价应包含原投标报价、工程量清单修正部分的价款、人工及材料调差价、设计变更价、签证价等内容。</w:t>
      </w:r>
    </w:p>
    <w:p>
      <w:pPr>
        <w:spacing w:line="440" w:lineRule="exact"/>
        <w:ind w:firstLine="480" w:firstLineChars="200"/>
        <w:rPr>
          <w:color w:val="auto"/>
          <w:sz w:val="24"/>
          <w:highlight w:val="none"/>
        </w:rPr>
      </w:pPr>
      <w:r>
        <w:rPr>
          <w:color w:val="auto"/>
          <w:sz w:val="24"/>
          <w:highlight w:val="none"/>
        </w:rPr>
        <w:t>15. 缺陷责任期与保修</w:t>
      </w:r>
      <w:bookmarkEnd w:id="879"/>
    </w:p>
    <w:p>
      <w:pPr>
        <w:spacing w:line="440" w:lineRule="exact"/>
        <w:ind w:firstLine="480" w:firstLineChars="200"/>
        <w:rPr>
          <w:rFonts w:hAnsi="宋体"/>
          <w:color w:val="auto"/>
          <w:sz w:val="24"/>
          <w:highlight w:val="none"/>
        </w:rPr>
      </w:pPr>
      <w:r>
        <w:rPr>
          <w:rFonts w:hAnsi="宋体"/>
          <w:color w:val="auto"/>
          <w:sz w:val="24"/>
          <w:highlight w:val="none"/>
        </w:rPr>
        <w:t>15.2缺陷责任期</w:t>
      </w:r>
      <w:bookmarkEnd w:id="880"/>
    </w:p>
    <w:p>
      <w:pPr>
        <w:spacing w:line="440" w:lineRule="exact"/>
        <w:ind w:firstLine="480" w:firstLineChars="200"/>
        <w:rPr>
          <w:rFonts w:hAnsi="宋体"/>
          <w:color w:val="auto"/>
          <w:sz w:val="24"/>
          <w:highlight w:val="none"/>
        </w:rPr>
      </w:pPr>
      <w:r>
        <w:rPr>
          <w:rFonts w:hAnsi="宋体"/>
          <w:color w:val="auto"/>
          <w:sz w:val="24"/>
          <w:highlight w:val="none"/>
        </w:rPr>
        <w:t>缺陷责任期的具体期限：</w:t>
      </w:r>
      <w:r>
        <w:rPr>
          <w:rFonts w:hint="eastAsia" w:hAnsi="宋体" w:cs="宋体"/>
          <w:color w:val="auto"/>
          <w:sz w:val="24"/>
          <w:highlight w:val="none"/>
          <w:u w:val="single"/>
          <w:lang w:val="en-US" w:eastAsia="zh-CN"/>
        </w:rPr>
        <w:t>竣工日起</w:t>
      </w:r>
      <w:r>
        <w:rPr>
          <w:rFonts w:hint="eastAsia" w:hAnsi="宋体" w:cs="宋体"/>
          <w:color w:val="auto"/>
          <w:sz w:val="24"/>
          <w:highlight w:val="none"/>
          <w:u w:val="single"/>
        </w:rPr>
        <w:t>24个月</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15.3 质量保证金</w:t>
      </w:r>
    </w:p>
    <w:p>
      <w:pPr>
        <w:spacing w:line="440" w:lineRule="exact"/>
        <w:ind w:firstLine="480" w:firstLineChars="200"/>
        <w:rPr>
          <w:rFonts w:hAnsi="宋体"/>
          <w:color w:val="auto"/>
          <w:sz w:val="24"/>
          <w:highlight w:val="none"/>
        </w:rPr>
      </w:pPr>
      <w:r>
        <w:rPr>
          <w:rFonts w:hint="eastAsia" w:hAnsi="宋体"/>
          <w:color w:val="auto"/>
          <w:sz w:val="24"/>
          <w:highlight w:val="none"/>
        </w:rPr>
        <w:t>关于是否扣留质量保证金的约定：</w:t>
      </w:r>
      <w:r>
        <w:rPr>
          <w:rFonts w:hint="eastAsia" w:hAnsi="宋体" w:cs="宋体"/>
          <w:color w:val="auto"/>
          <w:sz w:val="24"/>
          <w:highlight w:val="none"/>
          <w:u w:val="single"/>
        </w:rPr>
        <w:t>扣留结算价的</w:t>
      </w:r>
      <w:r>
        <w:rPr>
          <w:rFonts w:hint="eastAsia" w:hAnsi="宋体" w:cs="宋体"/>
          <w:color w:val="auto"/>
          <w:sz w:val="24"/>
          <w:highlight w:val="none"/>
          <w:u w:val="single"/>
          <w:lang w:val="en-US" w:eastAsia="zh-CN"/>
        </w:rPr>
        <w:t>1</w:t>
      </w:r>
      <w:r>
        <w:rPr>
          <w:rFonts w:hint="eastAsia" w:hAnsi="宋体" w:cs="宋体"/>
          <w:color w:val="auto"/>
          <w:sz w:val="24"/>
          <w:highlight w:val="none"/>
          <w:u w:val="single"/>
        </w:rPr>
        <w:t>.5%</w:t>
      </w:r>
      <w:r>
        <w:rPr>
          <w:rFonts w:hAnsi="宋体"/>
          <w:color w:val="auto"/>
          <w:sz w:val="24"/>
          <w:highlight w:val="none"/>
        </w:rPr>
        <w:t>。</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在工程项目竣工前，承包人按专用合同条款第3.7条提供履约担保的，发包人不得同时预留工程质量保证金。</w:t>
      </w:r>
    </w:p>
    <w:p>
      <w:pPr>
        <w:spacing w:line="440" w:lineRule="exact"/>
        <w:ind w:firstLine="480" w:firstLineChars="200"/>
        <w:rPr>
          <w:rFonts w:hAnsi="宋体"/>
          <w:color w:val="auto"/>
          <w:sz w:val="24"/>
          <w:highlight w:val="none"/>
        </w:rPr>
      </w:pPr>
      <w:r>
        <w:rPr>
          <w:rFonts w:hAnsi="宋体"/>
          <w:color w:val="auto"/>
          <w:sz w:val="24"/>
          <w:highlight w:val="none"/>
        </w:rPr>
        <w:t xml:space="preserve">15.3.1 </w:t>
      </w:r>
      <w:r>
        <w:rPr>
          <w:rFonts w:hint="eastAsia" w:hAnsi="宋体"/>
          <w:color w:val="auto"/>
          <w:sz w:val="24"/>
          <w:highlight w:val="none"/>
        </w:rPr>
        <w:t>承包人提供</w:t>
      </w:r>
      <w:r>
        <w:rPr>
          <w:rFonts w:hAnsi="宋体"/>
          <w:color w:val="auto"/>
          <w:sz w:val="24"/>
          <w:highlight w:val="none"/>
        </w:rPr>
        <w:t>质量保证金的</w:t>
      </w:r>
      <w:r>
        <w:rPr>
          <w:rFonts w:hint="eastAsia" w:hAnsi="宋体"/>
          <w:color w:val="auto"/>
          <w:sz w:val="24"/>
          <w:highlight w:val="none"/>
        </w:rPr>
        <w:t>方</w:t>
      </w:r>
      <w:r>
        <w:rPr>
          <w:rFonts w:hAnsi="宋体"/>
          <w:color w:val="auto"/>
          <w:sz w:val="24"/>
          <w:highlight w:val="none"/>
        </w:rPr>
        <w:t>式</w:t>
      </w:r>
    </w:p>
    <w:p>
      <w:pPr>
        <w:spacing w:line="44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rPr>
        <w:t>质量保证金采用以下第</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4</w:t>
      </w:r>
      <w:r>
        <w:rPr>
          <w:rFonts w:hint="eastAsia" w:hAnsi="宋体"/>
          <w:color w:val="auto"/>
          <w:sz w:val="24"/>
          <w:szCs w:val="24"/>
          <w:highlight w:val="none"/>
          <w:u w:val="single"/>
        </w:rPr>
        <w:t xml:space="preserve">） </w:t>
      </w:r>
      <w:r>
        <w:rPr>
          <w:rFonts w:hint="eastAsia" w:hAnsi="宋体"/>
          <w:color w:val="auto"/>
          <w:sz w:val="24"/>
          <w:szCs w:val="24"/>
          <w:highlight w:val="none"/>
        </w:rPr>
        <w:t>种方式：</w:t>
      </w:r>
    </w:p>
    <w:p>
      <w:pPr>
        <w:autoSpaceDE w:val="0"/>
        <w:autoSpaceDN w:val="0"/>
        <w:adjustRightInd w:val="0"/>
        <w:spacing w:line="440" w:lineRule="exact"/>
        <w:ind w:firstLine="482" w:firstLineChars="200"/>
        <w:jc w:val="left"/>
        <w:rPr>
          <w:rFonts w:hint="eastAsia" w:hAnsi="宋体"/>
          <w:b/>
          <w:bCs/>
          <w:color w:val="auto"/>
          <w:kern w:val="0"/>
          <w:sz w:val="24"/>
          <w:szCs w:val="24"/>
          <w:highlight w:val="none"/>
        </w:rPr>
      </w:pPr>
      <w:r>
        <w:rPr>
          <w:rFonts w:hint="eastAsia" w:hAnsi="宋体"/>
          <w:b/>
          <w:bCs/>
          <w:color w:val="auto"/>
          <w:kern w:val="0"/>
          <w:sz w:val="24"/>
          <w:szCs w:val="24"/>
          <w:highlight w:val="none"/>
        </w:rPr>
        <w:t>（1）质量保证金保函，保证金额为：</w:t>
      </w:r>
      <w:r>
        <w:rPr>
          <w:rFonts w:hint="eastAsia" w:hAnsi="宋体"/>
          <w:b/>
          <w:bCs/>
          <w:color w:val="auto"/>
          <w:kern w:val="0"/>
          <w:sz w:val="24"/>
          <w:szCs w:val="24"/>
          <w:highlight w:val="none"/>
          <w:u w:val="single"/>
        </w:rPr>
        <w:t xml:space="preserve">                   </w:t>
      </w:r>
      <w:r>
        <w:rPr>
          <w:rFonts w:hint="eastAsia" w:hAnsi="宋体"/>
          <w:b/>
          <w:bCs/>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（2）保证保险，保证金额为：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%的工程款；</w:t>
      </w:r>
    </w:p>
    <w:p>
      <w:pPr>
        <w:autoSpaceDE w:val="0"/>
        <w:autoSpaceDN w:val="0"/>
        <w:adjustRightInd w:val="0"/>
        <w:spacing w:line="440" w:lineRule="exact"/>
        <w:ind w:firstLine="482" w:firstLineChars="200"/>
        <w:jc w:val="left"/>
        <w:rPr>
          <w:rFonts w:hint="eastAsia" w:hAnsi="宋体"/>
          <w:b/>
          <w:bCs/>
          <w:color w:val="auto"/>
          <w:kern w:val="0"/>
          <w:sz w:val="24"/>
          <w:szCs w:val="24"/>
          <w:highlight w:val="none"/>
        </w:rPr>
      </w:pPr>
      <w:r>
        <w:rPr>
          <w:rFonts w:hint="eastAsia" w:hAnsi="宋体"/>
          <w:b/>
          <w:bCs/>
          <w:color w:val="auto"/>
          <w:kern w:val="0"/>
          <w:sz w:val="24"/>
          <w:szCs w:val="24"/>
          <w:highlight w:val="none"/>
        </w:rPr>
        <w:t>（</w:t>
      </w:r>
      <w:r>
        <w:rPr>
          <w:rFonts w:hint="eastAsia" w:hAnsi="宋体"/>
          <w:b/>
          <w:bCs/>
          <w:color w:val="auto"/>
          <w:kern w:val="0"/>
          <w:sz w:val="24"/>
          <w:szCs w:val="24"/>
          <w:highlight w:val="none"/>
          <w:lang w:val="en-US" w:eastAsia="zh-CN"/>
        </w:rPr>
        <w:t>4</w:t>
      </w:r>
      <w:r>
        <w:rPr>
          <w:rFonts w:hint="eastAsia" w:hAnsi="宋体"/>
          <w:b/>
          <w:bCs/>
          <w:color w:val="auto"/>
          <w:kern w:val="0"/>
          <w:sz w:val="24"/>
          <w:szCs w:val="24"/>
          <w:highlight w:val="none"/>
        </w:rPr>
        <w:t>）其他方式:</w:t>
      </w:r>
      <w:r>
        <w:rPr>
          <w:rFonts w:hint="eastAsia" w:hAnsi="宋体"/>
          <w:b/>
          <w:bCs/>
          <w:color w:val="auto"/>
          <w:kern w:val="0"/>
          <w:sz w:val="24"/>
          <w:szCs w:val="24"/>
          <w:highlight w:val="none"/>
          <w:u w:val="single"/>
        </w:rPr>
        <w:t xml:space="preserve">  </w:t>
      </w:r>
      <w:r>
        <w:rPr>
          <w:rFonts w:hint="eastAsia" w:hAnsi="宋体"/>
          <w:b/>
          <w:bCs/>
          <w:color w:val="auto"/>
          <w:sz w:val="24"/>
          <w:szCs w:val="24"/>
          <w:highlight w:val="none"/>
          <w:u w:val="single"/>
        </w:rPr>
        <w:t>合同结算价的</w:t>
      </w:r>
      <w:r>
        <w:rPr>
          <w:rFonts w:hint="eastAsia" w:hAnsi="宋体"/>
          <w:b/>
          <w:bCs/>
          <w:color w:val="auto"/>
          <w:sz w:val="24"/>
          <w:szCs w:val="24"/>
          <w:highlight w:val="none"/>
          <w:u w:val="single"/>
          <w:lang w:val="en-US" w:eastAsia="zh-CN"/>
        </w:rPr>
        <w:t>1</w:t>
      </w:r>
      <w:r>
        <w:rPr>
          <w:rFonts w:hint="eastAsia" w:hAnsi="宋体"/>
          <w:b/>
          <w:bCs/>
          <w:color w:val="auto"/>
          <w:sz w:val="24"/>
          <w:szCs w:val="24"/>
          <w:highlight w:val="none"/>
          <w:u w:val="single"/>
        </w:rPr>
        <w:t>.5%</w:t>
      </w:r>
      <w:r>
        <w:rPr>
          <w:rFonts w:hint="eastAsia" w:hAnsi="宋体"/>
          <w:b/>
          <w:bCs/>
          <w:color w:val="auto"/>
          <w:kern w:val="0"/>
          <w:sz w:val="24"/>
          <w:szCs w:val="24"/>
          <w:highlight w:val="none"/>
          <w:u w:val="single"/>
        </w:rPr>
        <w:t xml:space="preserve">    </w:t>
      </w:r>
      <w:r>
        <w:rPr>
          <w:rFonts w:hint="eastAsia" w:hAnsi="宋体"/>
          <w:b/>
          <w:bCs/>
          <w:color w:val="auto"/>
          <w:kern w:val="0"/>
          <w:sz w:val="24"/>
          <w:szCs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 xml:space="preserve">15.3.2 质量保证金的扣留 </w:t>
      </w:r>
    </w:p>
    <w:p>
      <w:pPr>
        <w:spacing w:line="440" w:lineRule="exact"/>
        <w:ind w:firstLine="480" w:firstLineChars="200"/>
        <w:rPr>
          <w:rFonts w:hAnsi="宋体"/>
          <w:color w:val="auto"/>
          <w:sz w:val="24"/>
          <w:highlight w:val="none"/>
        </w:rPr>
      </w:pPr>
      <w:r>
        <w:rPr>
          <w:rFonts w:hAnsi="宋体"/>
          <w:color w:val="auto"/>
          <w:sz w:val="24"/>
          <w:highlight w:val="none"/>
        </w:rPr>
        <w:t>质量保证金的扣留采取以下第</w:t>
      </w:r>
      <w:r>
        <w:rPr>
          <w:rFonts w:hAnsi="宋体"/>
          <w:color w:val="auto"/>
          <w:sz w:val="24"/>
          <w:highlight w:val="none"/>
          <w:u w:val="single"/>
        </w:rPr>
        <w:t xml:space="preserve"> </w:t>
      </w:r>
      <w:r>
        <w:rPr>
          <w:rFonts w:hint="eastAsia" w:hAnsi="宋体"/>
          <w:color w:val="auto"/>
          <w:sz w:val="24"/>
          <w:highlight w:val="none"/>
          <w:u w:val="single"/>
        </w:rPr>
        <w:t>（2）</w:t>
      </w:r>
      <w:r>
        <w:rPr>
          <w:rFonts w:hAnsi="宋体"/>
          <w:color w:val="auto"/>
          <w:sz w:val="24"/>
          <w:highlight w:val="none"/>
          <w:u w:val="single"/>
        </w:rPr>
        <w:t xml:space="preserve"> </w:t>
      </w:r>
      <w:r>
        <w:rPr>
          <w:rFonts w:hAnsi="宋体"/>
          <w:color w:val="auto"/>
          <w:sz w:val="24"/>
          <w:highlight w:val="none"/>
        </w:rPr>
        <w:t>种方式：</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（1）在支付工程进度款时逐次扣留，在此情形下，质量保证金的计算基数不包括预付款的支付、扣回以及价格调整的金额；</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（2）工程竣工结算时一次性扣留质量保证金；</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（3）其他扣留方式:</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关于质量保证金的补充约定：</w:t>
      </w:r>
      <w:r>
        <w:rPr>
          <w:rFonts w:hint="eastAsia" w:hAnsi="宋体"/>
          <w:color w:val="auto"/>
          <w:kern w:val="0"/>
          <w:sz w:val="24"/>
          <w:highlight w:val="none"/>
          <w:u w:val="single"/>
        </w:rPr>
        <w:t>中标后双方协商</w:t>
      </w:r>
      <w:r>
        <w:rPr>
          <w:rFonts w:hAnsi="宋体"/>
          <w:color w:val="auto"/>
          <w:kern w:val="0"/>
          <w:sz w:val="24"/>
          <w:highlight w:val="none"/>
        </w:rPr>
        <w:t>。</w:t>
      </w:r>
    </w:p>
    <w:bookmarkEnd w:id="881"/>
    <w:bookmarkEnd w:id="882"/>
    <w:p>
      <w:pPr>
        <w:spacing w:line="440" w:lineRule="exact"/>
        <w:ind w:firstLine="480" w:firstLineChars="200"/>
        <w:rPr>
          <w:rFonts w:hAnsi="宋体"/>
          <w:color w:val="auto"/>
          <w:sz w:val="24"/>
          <w:highlight w:val="none"/>
        </w:rPr>
      </w:pPr>
      <w:r>
        <w:rPr>
          <w:rFonts w:hAnsi="宋体"/>
          <w:color w:val="auto"/>
          <w:sz w:val="24"/>
          <w:highlight w:val="none"/>
        </w:rPr>
        <w:t>15.4保修</w:t>
      </w:r>
    </w:p>
    <w:bookmarkEnd w:id="883"/>
    <w:p>
      <w:pPr>
        <w:spacing w:line="440" w:lineRule="exact"/>
        <w:ind w:firstLine="480" w:firstLineChars="200"/>
        <w:rPr>
          <w:rFonts w:hAnsi="宋体"/>
          <w:color w:val="auto"/>
          <w:sz w:val="24"/>
          <w:highlight w:val="none"/>
        </w:rPr>
      </w:pPr>
      <w:r>
        <w:rPr>
          <w:rFonts w:hAnsi="宋体"/>
          <w:color w:val="auto"/>
          <w:sz w:val="24"/>
          <w:highlight w:val="none"/>
        </w:rPr>
        <w:t>15.4.1 保修责任</w:t>
      </w:r>
    </w:p>
    <w:p>
      <w:pPr>
        <w:spacing w:line="440" w:lineRule="exact"/>
        <w:ind w:firstLine="480" w:firstLineChars="200"/>
        <w:rPr>
          <w:rFonts w:hAnsi="宋体"/>
          <w:color w:val="auto"/>
          <w:kern w:val="0"/>
          <w:sz w:val="24"/>
          <w:highlight w:val="none"/>
          <w:u w:val="single"/>
        </w:rPr>
      </w:pPr>
      <w:r>
        <w:rPr>
          <w:rFonts w:hAnsi="宋体"/>
          <w:color w:val="auto"/>
          <w:sz w:val="24"/>
          <w:highlight w:val="none"/>
        </w:rPr>
        <w:t>工程保修期为：</w:t>
      </w:r>
      <w:r>
        <w:rPr>
          <w:rFonts w:hint="eastAsia" w:hAnsi="宋体"/>
          <w:color w:val="auto"/>
          <w:kern w:val="0"/>
          <w:sz w:val="24"/>
          <w:highlight w:val="none"/>
          <w:u w:val="single"/>
        </w:rPr>
        <w:t>保修期遵照质量保修书约定。</w:t>
      </w:r>
    </w:p>
    <w:p>
      <w:pPr>
        <w:spacing w:line="440" w:lineRule="exact"/>
        <w:ind w:firstLine="480" w:firstLineChars="200"/>
        <w:rPr>
          <w:rFonts w:hAnsi="宋体"/>
          <w:color w:val="auto"/>
          <w:sz w:val="24"/>
          <w:highlight w:val="none"/>
        </w:rPr>
      </w:pPr>
      <w:r>
        <w:rPr>
          <w:rFonts w:hAnsi="宋体"/>
          <w:color w:val="auto"/>
          <w:sz w:val="24"/>
          <w:highlight w:val="none"/>
        </w:rPr>
        <w:t>15.4.3 修复通知</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承包人收到保修通知并到达工程现场的合理时间：</w:t>
      </w:r>
      <w:r>
        <w:rPr>
          <w:rFonts w:hint="eastAsia" w:hAnsi="宋体"/>
          <w:color w:val="auto"/>
          <w:kern w:val="0"/>
          <w:sz w:val="24"/>
          <w:highlight w:val="none"/>
          <w:u w:val="single"/>
        </w:rPr>
        <w:t>12小时内</w:t>
      </w:r>
      <w:r>
        <w:rPr>
          <w:rFonts w:hAnsi="宋体"/>
          <w:color w:val="auto"/>
          <w:kern w:val="0"/>
          <w:sz w:val="24"/>
          <w:highlight w:val="none"/>
        </w:rPr>
        <w:t>。</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u w:val="single"/>
        </w:rPr>
        <w:t>在法定的保修期内工程发生质量问题，无论发包人以何种方式通知承包人，承包人必须按照规定的时间到场进行维修，并一次性维修合格；不能按时到场进行维修的或一次性维修不合格的，发包人可另行委托他人进行维修，所发生的维修费用由承包人支付。</w:t>
      </w:r>
    </w:p>
    <w:bookmarkEnd w:id="884"/>
    <w:bookmarkEnd w:id="885"/>
    <w:bookmarkEnd w:id="886"/>
    <w:bookmarkEnd w:id="887"/>
    <w:p>
      <w:pPr>
        <w:spacing w:line="440" w:lineRule="exact"/>
        <w:ind w:firstLine="480" w:firstLineChars="200"/>
        <w:rPr>
          <w:color w:val="auto"/>
          <w:sz w:val="24"/>
          <w:highlight w:val="none"/>
        </w:rPr>
      </w:pPr>
      <w:bookmarkStart w:id="910" w:name="_Toc351203648"/>
      <w:bookmarkStart w:id="911" w:name="_Toc280868717"/>
      <w:bookmarkStart w:id="912" w:name="_Toc280868718"/>
      <w:r>
        <w:rPr>
          <w:color w:val="auto"/>
          <w:sz w:val="24"/>
          <w:highlight w:val="none"/>
        </w:rPr>
        <w:t>16. 违约</w:t>
      </w:r>
      <w:bookmarkEnd w:id="910"/>
    </w:p>
    <w:p>
      <w:pPr>
        <w:spacing w:line="440" w:lineRule="exact"/>
        <w:ind w:firstLine="480" w:firstLineChars="200"/>
        <w:rPr>
          <w:rFonts w:hAnsi="宋体"/>
          <w:color w:val="auto"/>
          <w:sz w:val="24"/>
          <w:highlight w:val="none"/>
        </w:rPr>
      </w:pPr>
      <w:r>
        <w:rPr>
          <w:rFonts w:hAnsi="宋体"/>
          <w:color w:val="auto"/>
          <w:sz w:val="24"/>
          <w:highlight w:val="none"/>
        </w:rPr>
        <w:t>16.1 发包人违约</w:t>
      </w:r>
    </w:p>
    <w:p>
      <w:pPr>
        <w:spacing w:line="440" w:lineRule="exact"/>
        <w:ind w:firstLine="480" w:firstLineChars="200"/>
        <w:rPr>
          <w:rFonts w:hAnsi="宋体"/>
          <w:color w:val="auto"/>
          <w:sz w:val="24"/>
          <w:highlight w:val="none"/>
        </w:rPr>
      </w:pPr>
      <w:r>
        <w:rPr>
          <w:rFonts w:hAnsi="宋体"/>
          <w:color w:val="auto"/>
          <w:sz w:val="24"/>
          <w:highlight w:val="none"/>
        </w:rPr>
        <w:t>16.1.1发包人违约的情形</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发包人违约的其他情形：</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 xml:space="preserve">    16.1.2 发包人违约的责任</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发包人违约责任的承担方式和计算方法：</w:t>
      </w:r>
    </w:p>
    <w:p>
      <w:pPr>
        <w:spacing w:line="440" w:lineRule="exact"/>
        <w:ind w:firstLine="480" w:firstLineChars="200"/>
        <w:rPr>
          <w:rFonts w:hAnsi="宋体"/>
          <w:color w:val="auto"/>
          <w:kern w:val="0"/>
          <w:sz w:val="24"/>
          <w:highlight w:val="none"/>
          <w:u w:val="single"/>
        </w:rPr>
      </w:pPr>
      <w:r>
        <w:rPr>
          <w:rFonts w:hAnsi="宋体"/>
          <w:color w:val="auto"/>
          <w:kern w:val="0"/>
          <w:sz w:val="24"/>
          <w:highlight w:val="none"/>
        </w:rPr>
        <w:t>（1）因发包人原因未能在计划开工日期前7天内下达开工通知的违约责任：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（2）因发包人原因未能按合同约定支付合同价款的违约责任：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（3）发包人违反第10.1款</w:t>
      </w:r>
      <w:r>
        <w:rPr>
          <w:rFonts w:hint="eastAsia" w:hAnsi="宋体"/>
          <w:color w:val="auto"/>
          <w:kern w:val="0"/>
          <w:sz w:val="24"/>
          <w:highlight w:val="none"/>
        </w:rPr>
        <w:t>〔</w:t>
      </w:r>
      <w:r>
        <w:rPr>
          <w:rFonts w:hAnsi="宋体"/>
          <w:color w:val="auto"/>
          <w:kern w:val="0"/>
          <w:sz w:val="24"/>
          <w:highlight w:val="none"/>
        </w:rPr>
        <w:t>变更的范围</w:t>
      </w:r>
      <w:r>
        <w:rPr>
          <w:rFonts w:hint="eastAsia" w:hAnsi="宋体"/>
          <w:color w:val="auto"/>
          <w:kern w:val="0"/>
          <w:sz w:val="24"/>
          <w:highlight w:val="none"/>
        </w:rPr>
        <w:t>〕</w:t>
      </w:r>
      <w:r>
        <w:rPr>
          <w:rFonts w:hAnsi="宋体"/>
          <w:color w:val="auto"/>
          <w:kern w:val="0"/>
          <w:sz w:val="24"/>
          <w:highlight w:val="none"/>
        </w:rPr>
        <w:t>第（2）项约定，自行实施被取消的工作或转由他人实施的违约责任：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（5）因发包人违反合同约定造成暂停施工的违约责任：</w:t>
      </w:r>
      <w:r>
        <w:rPr>
          <w:rFonts w:hint="eastAsia" w:hAnsi="宋体"/>
          <w:color w:val="auto"/>
          <w:kern w:val="0"/>
          <w:sz w:val="24"/>
          <w:highlight w:val="none"/>
          <w:u w:val="single"/>
        </w:rPr>
        <w:t>/</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（6）发包人无正当理由没有在约定期限内发出复工指示，导致承包人无法复工的违约责任：</w:t>
      </w:r>
      <w:r>
        <w:rPr>
          <w:rFonts w:hAnsi="宋体"/>
          <w:color w:val="auto"/>
          <w:kern w:val="0"/>
          <w:sz w:val="24"/>
          <w:highlight w:val="none"/>
          <w:u w:val="single"/>
        </w:rPr>
        <w:t xml:space="preserve">         </w:t>
      </w:r>
      <w:r>
        <w:rPr>
          <w:rFonts w:hint="eastAsia" w:hAnsi="宋体"/>
          <w:color w:val="auto"/>
          <w:kern w:val="0"/>
          <w:sz w:val="24"/>
          <w:highlight w:val="none"/>
          <w:u w:val="single"/>
        </w:rPr>
        <w:t>/</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（7）</w:t>
      </w:r>
      <w:r>
        <w:rPr>
          <w:rFonts w:hint="eastAsia" w:hAnsi="宋体"/>
          <w:color w:val="auto"/>
          <w:kern w:val="0"/>
          <w:sz w:val="24"/>
          <w:highlight w:val="none"/>
        </w:rPr>
        <w:t>其他：</w:t>
      </w:r>
      <w:r>
        <w:rPr>
          <w:rFonts w:hAnsi="宋体"/>
          <w:color w:val="auto"/>
          <w:kern w:val="0"/>
          <w:sz w:val="24"/>
          <w:highlight w:val="none"/>
          <w:u w:val="single"/>
        </w:rPr>
        <w:t xml:space="preserve">      </w:t>
      </w:r>
      <w:r>
        <w:rPr>
          <w:rFonts w:hint="eastAsia" w:hAnsi="宋体"/>
          <w:color w:val="auto"/>
          <w:kern w:val="0"/>
          <w:sz w:val="24"/>
          <w:highlight w:val="none"/>
          <w:u w:val="single"/>
        </w:rPr>
        <w:t>/</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16.1.3 因发包人违约解除合同</w:t>
      </w:r>
    </w:p>
    <w:p>
      <w:pPr>
        <w:autoSpaceDE w:val="0"/>
        <w:autoSpaceDN w:val="0"/>
        <w:adjustRightInd w:val="0"/>
        <w:spacing w:line="440" w:lineRule="exact"/>
        <w:ind w:firstLine="480" w:firstLineChars="200"/>
        <w:rPr>
          <w:rFonts w:hint="eastAsia" w:hAnsi="宋体"/>
          <w:color w:val="auto"/>
          <w:kern w:val="0"/>
          <w:sz w:val="24"/>
          <w:highlight w:val="none"/>
        </w:rPr>
      </w:pPr>
      <w:r>
        <w:rPr>
          <w:rFonts w:hAnsi="宋体"/>
          <w:color w:val="auto"/>
          <w:kern w:val="0"/>
          <w:sz w:val="24"/>
          <w:highlight w:val="none"/>
        </w:rPr>
        <w:t>承包人按16.1.1项</w:t>
      </w:r>
      <w:r>
        <w:rPr>
          <w:rFonts w:hint="eastAsia" w:hAnsi="宋体"/>
          <w:color w:val="auto"/>
          <w:kern w:val="0"/>
          <w:sz w:val="24"/>
          <w:highlight w:val="none"/>
        </w:rPr>
        <w:t>〔</w:t>
      </w:r>
      <w:r>
        <w:rPr>
          <w:rFonts w:hAnsi="宋体"/>
          <w:color w:val="auto"/>
          <w:kern w:val="0"/>
          <w:sz w:val="24"/>
          <w:highlight w:val="none"/>
        </w:rPr>
        <w:t>发包人违约的情形</w:t>
      </w:r>
      <w:r>
        <w:rPr>
          <w:rFonts w:hint="eastAsia" w:hAnsi="宋体"/>
          <w:color w:val="auto"/>
          <w:kern w:val="0"/>
          <w:sz w:val="24"/>
          <w:highlight w:val="none"/>
        </w:rPr>
        <w:t>〕</w:t>
      </w:r>
      <w:r>
        <w:rPr>
          <w:rFonts w:hAnsi="宋体"/>
          <w:color w:val="auto"/>
          <w:kern w:val="0"/>
          <w:sz w:val="24"/>
          <w:highlight w:val="none"/>
        </w:rPr>
        <w:t>约定暂停施工满</w:t>
      </w:r>
      <w:r>
        <w:rPr>
          <w:rFonts w:hAnsi="宋体"/>
          <w:color w:val="auto"/>
          <w:kern w:val="0"/>
          <w:sz w:val="24"/>
          <w:highlight w:val="none"/>
          <w:u w:val="single"/>
        </w:rPr>
        <w:t xml:space="preserve">  </w:t>
      </w:r>
      <w:r>
        <w:rPr>
          <w:rFonts w:hint="eastAsia" w:hAnsi="宋体"/>
          <w:color w:val="auto"/>
          <w:kern w:val="0"/>
          <w:sz w:val="24"/>
          <w:highlight w:val="none"/>
          <w:u w:val="single"/>
        </w:rPr>
        <w:t>/</w:t>
      </w:r>
      <w:r>
        <w:rPr>
          <w:rFonts w:hAnsi="宋体"/>
          <w:color w:val="auto"/>
          <w:kern w:val="0"/>
          <w:sz w:val="24"/>
          <w:highlight w:val="none"/>
          <w:u w:val="single"/>
        </w:rPr>
        <w:t xml:space="preserve">  </w:t>
      </w:r>
      <w:r>
        <w:rPr>
          <w:rFonts w:hAnsi="宋体"/>
          <w:color w:val="auto"/>
          <w:kern w:val="0"/>
          <w:sz w:val="24"/>
          <w:highlight w:val="none"/>
        </w:rPr>
        <w:t>天后发包人仍不纠正其违约行为并致使合同目的不能实现的，承包人有权解除合同。</w:t>
      </w:r>
    </w:p>
    <w:p>
      <w:pPr>
        <w:spacing w:line="440" w:lineRule="exact"/>
        <w:ind w:firstLine="480" w:firstLineChars="200"/>
        <w:rPr>
          <w:rFonts w:hAnsi="宋体"/>
          <w:color w:val="auto"/>
          <w:sz w:val="24"/>
          <w:highlight w:val="none"/>
        </w:rPr>
      </w:pPr>
      <w:r>
        <w:rPr>
          <w:rFonts w:hAnsi="宋体"/>
          <w:color w:val="auto"/>
          <w:sz w:val="24"/>
          <w:highlight w:val="none"/>
        </w:rPr>
        <w:t>16.2 承包人违约</w:t>
      </w:r>
    </w:p>
    <w:p>
      <w:pPr>
        <w:spacing w:line="440" w:lineRule="exact"/>
        <w:ind w:firstLine="480" w:firstLineChars="200"/>
        <w:rPr>
          <w:rFonts w:hAnsi="宋体"/>
          <w:color w:val="auto"/>
          <w:kern w:val="0"/>
          <w:sz w:val="24"/>
          <w:highlight w:val="none"/>
        </w:rPr>
      </w:pPr>
      <w:r>
        <w:rPr>
          <w:rFonts w:hAnsi="宋体"/>
          <w:color w:val="auto"/>
          <w:kern w:val="0"/>
          <w:sz w:val="24"/>
          <w:highlight w:val="none"/>
        </w:rPr>
        <w:t>16.2.1 承包人违约的情形</w:t>
      </w:r>
    </w:p>
    <w:p>
      <w:pPr>
        <w:spacing w:line="440" w:lineRule="exact"/>
        <w:ind w:firstLine="480" w:firstLineChars="200"/>
        <w:rPr>
          <w:rFonts w:hint="eastAsia" w:hAnsi="宋体"/>
          <w:b/>
          <w:color w:val="auto"/>
          <w:sz w:val="24"/>
          <w:highlight w:val="none"/>
          <w:u w:val="single"/>
        </w:rPr>
      </w:pPr>
      <w:r>
        <w:rPr>
          <w:rFonts w:hAnsi="宋体"/>
          <w:color w:val="auto"/>
          <w:kern w:val="0"/>
          <w:sz w:val="24"/>
          <w:highlight w:val="none"/>
        </w:rPr>
        <w:t>承包人违约的其他情形：</w:t>
      </w:r>
      <w:r>
        <w:rPr>
          <w:rFonts w:hint="eastAsia" w:hAnsi="宋体"/>
          <w:b/>
          <w:color w:val="auto"/>
          <w:sz w:val="24"/>
          <w:highlight w:val="none"/>
          <w:u w:val="single"/>
        </w:rPr>
        <w:t xml:space="preserve">中标工期即为合同工期，工期实行履约措施。承包人如不能按时完成竣工工期的工作，按本合同有关条款处以违约金，并承担监理延期费用。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pPr>
        <w:spacing w:line="440" w:lineRule="exact"/>
        <w:ind w:firstLine="480" w:firstLineChars="200"/>
        <w:rPr>
          <w:rFonts w:hint="eastAsia" w:hAnsi="宋体"/>
          <w:color w:val="auto"/>
          <w:sz w:val="24"/>
          <w:highlight w:val="none"/>
          <w:u w:val="single"/>
        </w:rPr>
      </w:pPr>
      <w:r>
        <w:rPr>
          <w:rFonts w:hint="eastAsia" w:hAnsi="宋体"/>
          <w:color w:val="auto"/>
          <w:sz w:val="24"/>
          <w:highlight w:val="none"/>
          <w:u w:val="single"/>
        </w:rPr>
        <w:t>符合国家施工质量验收规定合格标准。中标人投标质量承诺等级即为合同质量等级。质量等级以招标人评定的等级为准。承包人必须严格按照施工图及工程施工验收规范等精心组织施工，严格把好每道工序的质量关，确保工程质量达到质量目标。经验收，如有不合格工程，在监理发出整改通知书后承包人无条件返工、整改、采取相应的补救、修复措施，如再次验收还是不合格，根据《建设工程施工现场管理规定》、《杭州市建筑工地文明施工管理规定》等相关规定，承包工程人无条件返工、整改、采取相应的补救、修复措施直至验收合格，由此追加的费用和延误的工期均由承包人负责。工程质量如一次性验收达不到合格质量目标，除扣除其全额质量履约保证金外，并处以工程结算造价的5%的违约金。</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其它情形：</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①</w:t>
      </w:r>
      <w:r>
        <w:rPr>
          <w:rFonts w:hint="eastAsia" w:hAnsi="宋体"/>
          <w:color w:val="auto"/>
          <w:sz w:val="24"/>
          <w:highlight w:val="none"/>
          <w:u w:val="single"/>
        </w:rPr>
        <w:t>不定期进行安全文明施工检查，施工单位应及时整改，被一次警告后不作处罚，限期整改，被二次警告后扣除相应比例的文明施工费，另若由于施工不文明、不安全而被新闻单位曝光或交通或有关管理部门检查后通报或发生安全事故的，根据《建设工程施工现场管理规定》、《杭州市建筑工地文明施工管理规定》等相关规定进行处罚。</w:t>
      </w:r>
    </w:p>
    <w:p>
      <w:pPr>
        <w:spacing w:line="440" w:lineRule="exact"/>
        <w:ind w:firstLine="480" w:firstLineChars="200"/>
        <w:rPr>
          <w:rFonts w:hint="eastAsia" w:hAnsi="宋体"/>
          <w:color w:val="auto"/>
          <w:sz w:val="24"/>
          <w:highlight w:val="none"/>
          <w:u w:val="single"/>
        </w:rPr>
      </w:pPr>
      <w:r>
        <w:rPr>
          <w:rFonts w:hAnsi="宋体"/>
          <w:color w:val="auto"/>
          <w:sz w:val="24"/>
          <w:highlight w:val="none"/>
        </w:rPr>
        <w:t>②</w:t>
      </w:r>
      <w:r>
        <w:rPr>
          <w:rFonts w:hint="eastAsia" w:hAnsi="宋体"/>
          <w:b/>
          <w:color w:val="auto"/>
          <w:sz w:val="24"/>
          <w:highlight w:val="none"/>
        </w:rPr>
        <w:t>项目班子保证金的具体规定</w:t>
      </w:r>
      <w:r>
        <w:rPr>
          <w:rFonts w:hint="eastAsia" w:hAnsi="宋体"/>
          <w:color w:val="auto"/>
          <w:sz w:val="24"/>
          <w:highlight w:val="none"/>
        </w:rPr>
        <w:t>：</w:t>
      </w:r>
      <w:r>
        <w:rPr>
          <w:rFonts w:hint="eastAsia" w:hAnsi="宋体"/>
          <w:color w:val="auto"/>
          <w:sz w:val="24"/>
          <w:highlight w:val="none"/>
          <w:u w:val="single"/>
        </w:rPr>
        <w:t xml:space="preserve">中标后，承包人的项目负责人(建造师)在项目实施阶段不可调换。如有特殊情况，经招标人批准可以调换，但须追加10万元项目班子保证金。工程项目负责人(建造师)到岗必须每月不少于26天，否则按承包方违约论处，招标人按本合同有关条款对承包人处以违约金；其它项目班子主要成员主要包括技术负责、施工员、安全员、质检员等工程技术与管理人员，到岗率必须达到100%，达不到的，招标人按本合同有关条款对承包人处以违约金；到岗率按月计算，并由建设单位本工程管理人员或委托监理人考核。  </w:t>
      </w:r>
    </w:p>
    <w:p>
      <w:pPr>
        <w:spacing w:line="440" w:lineRule="exact"/>
        <w:ind w:firstLine="480" w:firstLineChars="200"/>
        <w:rPr>
          <w:rFonts w:hint="eastAsia" w:hAnsi="宋体"/>
          <w:color w:val="auto"/>
          <w:sz w:val="24"/>
          <w:highlight w:val="none"/>
          <w:u w:val="single"/>
        </w:rPr>
      </w:pPr>
      <w:r>
        <w:rPr>
          <w:rFonts w:hAnsi="宋体"/>
          <w:color w:val="auto"/>
          <w:sz w:val="24"/>
          <w:highlight w:val="none"/>
          <w:u w:val="single"/>
        </w:rPr>
        <w:t>③</w:t>
      </w:r>
      <w:r>
        <w:rPr>
          <w:rFonts w:hint="eastAsia" w:hAnsi="宋体"/>
          <w:color w:val="auto"/>
          <w:sz w:val="24"/>
          <w:highlight w:val="none"/>
          <w:u w:val="single"/>
        </w:rPr>
        <w:t>未经发包人同意，承包人擅自变更施工方案、拆改结构或设备管线的，每发现一次将扣除质量担保的履约保证金1%，由此发生的损失或事故（包括罚款），由承包人负责并承担损失。</w:t>
      </w:r>
    </w:p>
    <w:p>
      <w:pPr>
        <w:spacing w:line="440" w:lineRule="exact"/>
        <w:ind w:firstLine="480" w:firstLineChars="200"/>
        <w:rPr>
          <w:rFonts w:hint="eastAsia" w:hAnsi="宋体"/>
          <w:color w:val="auto"/>
          <w:sz w:val="24"/>
          <w:highlight w:val="none"/>
          <w:u w:val="single"/>
        </w:rPr>
      </w:pPr>
      <w:r>
        <w:rPr>
          <w:rFonts w:hAnsi="宋体"/>
          <w:color w:val="auto"/>
          <w:sz w:val="24"/>
          <w:highlight w:val="none"/>
          <w:u w:val="single"/>
        </w:rPr>
        <w:t>④</w:t>
      </w:r>
      <w:r>
        <w:rPr>
          <w:rFonts w:hint="eastAsia" w:hAnsi="宋体"/>
          <w:color w:val="auto"/>
          <w:sz w:val="24"/>
          <w:highlight w:val="none"/>
          <w:u w:val="single"/>
        </w:rPr>
        <w:t>本工程不得转包，否则，一经发现，即被视为违约，发包人有权终止合同，并有权扣罚合同造价10%的违约金。</w:t>
      </w:r>
    </w:p>
    <w:p>
      <w:pPr>
        <w:spacing w:line="440" w:lineRule="exact"/>
        <w:ind w:firstLine="480" w:firstLineChars="200"/>
        <w:rPr>
          <w:rFonts w:hAnsi="宋体"/>
          <w:color w:val="auto"/>
          <w:kern w:val="0"/>
          <w:sz w:val="24"/>
          <w:highlight w:val="none"/>
        </w:rPr>
      </w:pPr>
      <w:r>
        <w:rPr>
          <w:rFonts w:hAnsi="宋体"/>
          <w:color w:val="auto"/>
          <w:kern w:val="0"/>
          <w:sz w:val="24"/>
          <w:highlight w:val="none"/>
        </w:rPr>
        <w:t>16.2.2承包人违约的责任</w:t>
      </w:r>
    </w:p>
    <w:p>
      <w:pPr>
        <w:spacing w:line="440" w:lineRule="exact"/>
        <w:ind w:firstLine="480" w:firstLineChars="200"/>
        <w:rPr>
          <w:rFonts w:hAnsi="宋体"/>
          <w:color w:val="auto"/>
          <w:kern w:val="0"/>
          <w:sz w:val="24"/>
          <w:highlight w:val="none"/>
          <w:u w:val="single"/>
        </w:rPr>
      </w:pPr>
      <w:r>
        <w:rPr>
          <w:rFonts w:hAnsi="宋体"/>
          <w:color w:val="auto"/>
          <w:kern w:val="0"/>
          <w:sz w:val="24"/>
          <w:highlight w:val="none"/>
        </w:rPr>
        <w:t>承包人违约责任的承担方式和计算方法：</w:t>
      </w:r>
      <w:r>
        <w:rPr>
          <w:rFonts w:hAnsi="宋体"/>
          <w:color w:val="auto"/>
          <w:kern w:val="0"/>
          <w:sz w:val="24"/>
          <w:highlight w:val="none"/>
          <w:u w:val="single"/>
        </w:rPr>
        <w:t xml:space="preserve">                 </w:t>
      </w:r>
      <w:r>
        <w:rPr>
          <w:rFonts w:hAnsi="宋体"/>
          <w:color w:val="auto"/>
          <w:kern w:val="0"/>
          <w:sz w:val="24"/>
          <w:highlight w:val="none"/>
        </w:rPr>
        <w:t>。</w:t>
      </w:r>
      <w:r>
        <w:rPr>
          <w:rFonts w:hAnsi="宋体"/>
          <w:color w:val="auto"/>
          <w:sz w:val="24"/>
          <w:highlight w:val="non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16.2.3 因承包人违约解除合同</w:t>
      </w:r>
    </w:p>
    <w:p>
      <w:pPr>
        <w:spacing w:line="440" w:lineRule="exact"/>
        <w:ind w:firstLine="480" w:firstLineChars="200"/>
        <w:rPr>
          <w:rFonts w:hint="eastAsia" w:hAnsi="宋体"/>
          <w:color w:val="auto"/>
          <w:kern w:val="0"/>
          <w:sz w:val="24"/>
          <w:highlight w:val="none"/>
        </w:rPr>
      </w:pPr>
      <w:r>
        <w:rPr>
          <w:rFonts w:hAnsi="宋体"/>
          <w:color w:val="auto"/>
          <w:kern w:val="0"/>
          <w:sz w:val="24"/>
          <w:highlight w:val="none"/>
        </w:rPr>
        <w:t>关于承包人违约解除合同的特别约定：</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int="eastAsia" w:hAnsi="宋体"/>
          <w:color w:val="auto"/>
          <w:kern w:val="0"/>
          <w:sz w:val="24"/>
          <w:highlight w:val="none"/>
          <w:u w:val="single"/>
        </w:rPr>
        <w:t xml:space="preserve">  </w:t>
      </w:r>
      <w:r>
        <w:rPr>
          <w:rFonts w:hAnsi="宋体"/>
          <w:color w:val="auto"/>
          <w:kern w:val="0"/>
          <w:sz w:val="24"/>
          <w:highlight w:val="none"/>
          <w:u w:val="single"/>
        </w:rPr>
        <w:t xml:space="preserve">        </w:t>
      </w:r>
      <w:r>
        <w:rPr>
          <w:rFonts w:hAnsi="宋体"/>
          <w:color w:val="auto"/>
          <w:kern w:val="0"/>
          <w:sz w:val="24"/>
          <w:highlight w:val="none"/>
        </w:rPr>
        <w:t>。</w:t>
      </w:r>
    </w:p>
    <w:p>
      <w:pPr>
        <w:spacing w:line="440" w:lineRule="exact"/>
        <w:ind w:firstLine="480" w:firstLineChars="200"/>
        <w:rPr>
          <w:rFonts w:hAnsi="宋体"/>
          <w:color w:val="auto"/>
          <w:kern w:val="0"/>
          <w:sz w:val="24"/>
          <w:highlight w:val="none"/>
        </w:rPr>
      </w:pPr>
      <w:r>
        <w:rPr>
          <w:rFonts w:hAnsi="宋体"/>
          <w:color w:val="auto"/>
          <w:kern w:val="0"/>
          <w:sz w:val="24"/>
          <w:highlight w:val="none"/>
        </w:rPr>
        <w:t>发包人</w:t>
      </w:r>
      <w:r>
        <w:rPr>
          <w:rFonts w:hint="eastAsia" w:hAnsi="宋体"/>
          <w:color w:val="auto"/>
          <w:kern w:val="0"/>
          <w:sz w:val="24"/>
          <w:highlight w:val="none"/>
        </w:rPr>
        <w:t>继续</w:t>
      </w:r>
      <w:r>
        <w:rPr>
          <w:rFonts w:hAnsi="宋体"/>
          <w:color w:val="auto"/>
          <w:kern w:val="0"/>
          <w:sz w:val="24"/>
          <w:highlight w:val="none"/>
        </w:rPr>
        <w:t>使用承包人在施工现场的材料、设备、临时工程、承包人文件和由承包人或以其名义编制的其他文件</w:t>
      </w:r>
      <w:r>
        <w:rPr>
          <w:rFonts w:hint="eastAsia" w:hAnsi="宋体"/>
          <w:color w:val="auto"/>
          <w:kern w:val="0"/>
          <w:sz w:val="24"/>
          <w:highlight w:val="none"/>
        </w:rPr>
        <w:t>的费用承担方式</w:t>
      </w:r>
      <w:r>
        <w:rPr>
          <w:rFonts w:hAnsi="宋体"/>
          <w:color w:val="auto"/>
          <w:kern w:val="0"/>
          <w:sz w:val="24"/>
          <w:highlight w:val="none"/>
        </w:rPr>
        <w:t>：</w:t>
      </w:r>
      <w:r>
        <w:rPr>
          <w:rFonts w:hint="eastAsia" w:hAnsi="宋体"/>
          <w:color w:val="auto"/>
          <w:kern w:val="0"/>
          <w:sz w:val="24"/>
          <w:highlight w:val="none"/>
          <w:u w:val="single"/>
        </w:rPr>
        <w:t>由承包人承担</w:t>
      </w:r>
      <w:r>
        <w:rPr>
          <w:rFonts w:hint="eastAsia" w:hAnsi="宋体"/>
          <w:color w:val="auto"/>
          <w:kern w:val="0"/>
          <w:sz w:val="24"/>
          <w:highlight w:val="none"/>
        </w:rPr>
        <w:t>。</w:t>
      </w:r>
    </w:p>
    <w:p>
      <w:pPr>
        <w:spacing w:line="440" w:lineRule="exact"/>
        <w:ind w:firstLine="480" w:firstLineChars="200"/>
        <w:rPr>
          <w:color w:val="auto"/>
          <w:sz w:val="24"/>
          <w:highlight w:val="none"/>
        </w:rPr>
      </w:pPr>
      <w:bookmarkStart w:id="913" w:name="_Toc351203649"/>
      <w:r>
        <w:rPr>
          <w:color w:val="auto"/>
          <w:sz w:val="24"/>
          <w:highlight w:val="none"/>
        </w:rPr>
        <w:t>17. 不可抗力</w:t>
      </w:r>
      <w:bookmarkEnd w:id="913"/>
      <w:r>
        <w:rPr>
          <w:color w:val="auto"/>
          <w:sz w:val="24"/>
          <w:highlight w:val="none"/>
        </w:rPr>
        <w:t xml:space="preserve"> </w:t>
      </w:r>
      <w:bookmarkEnd w:id="911"/>
    </w:p>
    <w:p>
      <w:pPr>
        <w:spacing w:line="440" w:lineRule="exact"/>
        <w:ind w:firstLine="480" w:firstLineChars="200"/>
        <w:rPr>
          <w:rFonts w:hAnsi="宋体"/>
          <w:color w:val="auto"/>
          <w:sz w:val="24"/>
          <w:highlight w:val="none"/>
        </w:rPr>
      </w:pPr>
      <w:r>
        <w:rPr>
          <w:rFonts w:hAnsi="宋体"/>
          <w:color w:val="auto"/>
          <w:sz w:val="24"/>
          <w:highlight w:val="none"/>
        </w:rPr>
        <w:t>17.1 不可抗力的确认</w:t>
      </w:r>
    </w:p>
    <w:p>
      <w:pPr>
        <w:tabs>
          <w:tab w:val="left" w:pos="1276"/>
        </w:tabs>
        <w:spacing w:line="440" w:lineRule="exact"/>
        <w:ind w:firstLine="480" w:firstLineChars="200"/>
        <w:rPr>
          <w:rFonts w:hint="eastAsia"/>
          <w:color w:val="auto"/>
          <w:sz w:val="24"/>
          <w:highlight w:val="none"/>
        </w:rPr>
      </w:pPr>
      <w:r>
        <w:rPr>
          <w:rFonts w:hAnsi="宋体"/>
          <w:color w:val="auto"/>
          <w:sz w:val="24"/>
          <w:highlight w:val="none"/>
        </w:rPr>
        <w:t>除通用合同条款约定的不可抗力事件之外，视为不可抗力的其他情形：</w:t>
      </w:r>
      <w:r>
        <w:rPr>
          <w:rFonts w:hint="eastAsia" w:hAnsi="宋体"/>
          <w:color w:val="auto"/>
          <w:sz w:val="24"/>
          <w:highlight w:val="none"/>
          <w:u w:val="single"/>
        </w:rPr>
        <w:t>六级以上地震、山洪暴发、战争、十级以上台风及其他属于承包人不能预见、不能避免并不能克服的客观情况。</w:t>
      </w:r>
    </w:p>
    <w:p>
      <w:pPr>
        <w:spacing w:line="440" w:lineRule="exact"/>
        <w:ind w:firstLine="480" w:firstLineChars="200"/>
        <w:rPr>
          <w:rFonts w:hAnsi="宋体"/>
          <w:color w:val="auto"/>
          <w:sz w:val="24"/>
          <w:highlight w:val="none"/>
        </w:rPr>
      </w:pPr>
      <w:r>
        <w:rPr>
          <w:rFonts w:hAnsi="宋体"/>
          <w:color w:val="auto"/>
          <w:sz w:val="24"/>
          <w:highlight w:val="none"/>
        </w:rPr>
        <w:t>17.4 因不可抗力解除合同</w:t>
      </w:r>
    </w:p>
    <w:p>
      <w:pPr>
        <w:spacing w:line="440" w:lineRule="exact"/>
        <w:ind w:firstLine="480" w:firstLineChars="200"/>
        <w:rPr>
          <w:rFonts w:hint="eastAsia" w:hAnsi="宋体"/>
          <w:color w:val="auto"/>
          <w:sz w:val="24"/>
          <w:highlight w:val="none"/>
        </w:rPr>
      </w:pPr>
      <w:r>
        <w:rPr>
          <w:rFonts w:hAnsi="宋体"/>
          <w:color w:val="auto"/>
          <w:sz w:val="24"/>
          <w:highlight w:val="none"/>
        </w:rPr>
        <w:t>合同解除后，发包人应在商定或确定发包人应支付款项后</w:t>
      </w:r>
      <w:r>
        <w:rPr>
          <w:rFonts w:hAnsi="宋体"/>
          <w:color w:val="auto"/>
          <w:sz w:val="24"/>
          <w:highlight w:val="none"/>
          <w:u w:val="single"/>
        </w:rPr>
        <w:t xml:space="preserve">  </w:t>
      </w:r>
      <w:r>
        <w:rPr>
          <w:rFonts w:hAnsi="宋体"/>
          <w:color w:val="auto"/>
          <w:sz w:val="24"/>
          <w:highlight w:val="none"/>
        </w:rPr>
        <w:t>天内完成款项的支付。</w:t>
      </w:r>
    </w:p>
    <w:p>
      <w:pPr>
        <w:spacing w:line="440" w:lineRule="exact"/>
        <w:ind w:firstLine="480" w:firstLineChars="200"/>
        <w:rPr>
          <w:color w:val="auto"/>
          <w:sz w:val="24"/>
          <w:highlight w:val="none"/>
        </w:rPr>
      </w:pPr>
      <w:bookmarkStart w:id="914" w:name="_Toc351203650"/>
      <w:r>
        <w:rPr>
          <w:color w:val="auto"/>
          <w:sz w:val="24"/>
          <w:highlight w:val="none"/>
        </w:rPr>
        <w:t>18. 保险</w:t>
      </w:r>
      <w:bookmarkEnd w:id="914"/>
    </w:p>
    <w:bookmarkEnd w:id="912"/>
    <w:p>
      <w:pPr>
        <w:spacing w:line="440" w:lineRule="exact"/>
        <w:ind w:firstLine="480" w:firstLineChars="200"/>
        <w:rPr>
          <w:rFonts w:hAnsi="宋体"/>
          <w:color w:val="auto"/>
          <w:sz w:val="24"/>
          <w:highlight w:val="none"/>
        </w:rPr>
      </w:pPr>
      <w:r>
        <w:rPr>
          <w:rFonts w:hAnsi="宋体"/>
          <w:color w:val="auto"/>
          <w:sz w:val="24"/>
          <w:highlight w:val="none"/>
        </w:rPr>
        <w:t>18.1 工程保险</w:t>
      </w:r>
    </w:p>
    <w:p>
      <w:pPr>
        <w:spacing w:line="440" w:lineRule="exact"/>
        <w:ind w:firstLine="480" w:firstLineChars="200"/>
        <w:rPr>
          <w:rFonts w:hint="eastAsia" w:hAnsi="宋体" w:cs="宋体"/>
          <w:color w:val="auto"/>
          <w:sz w:val="24"/>
          <w:highlight w:val="none"/>
        </w:rPr>
      </w:pPr>
      <w:r>
        <w:rPr>
          <w:rFonts w:hAnsi="宋体"/>
          <w:color w:val="auto"/>
          <w:sz w:val="24"/>
          <w:highlight w:val="none"/>
        </w:rPr>
        <w:t>关于工程保险的特别约定：</w:t>
      </w:r>
      <w:r>
        <w:rPr>
          <w:rFonts w:hint="eastAsia" w:hAnsi="宋体" w:cs="宋体"/>
          <w:color w:val="auto"/>
          <w:sz w:val="24"/>
          <w:highlight w:val="none"/>
          <w:u w:val="single"/>
        </w:rPr>
        <w:t>承包人应为建设工程和施工场地内的自有人员和设备及第三方生命财产办理相关所有保险并支付保险费用，费用已包含在总价内。施工时若发生事故，引发的相关经济、法律等责任均由承包方承担</w:t>
      </w:r>
      <w:r>
        <w:rPr>
          <w:rFonts w:hint="eastAsia" w:hAnsi="宋体" w:cs="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18.3 其他保险</w:t>
      </w:r>
    </w:p>
    <w:p>
      <w:pPr>
        <w:spacing w:line="440" w:lineRule="exact"/>
        <w:ind w:firstLine="480" w:firstLineChars="200"/>
        <w:rPr>
          <w:rFonts w:hAnsi="宋体"/>
          <w:color w:val="auto"/>
          <w:kern w:val="0"/>
          <w:sz w:val="24"/>
          <w:highlight w:val="none"/>
        </w:rPr>
      </w:pPr>
      <w:r>
        <w:rPr>
          <w:rFonts w:hAnsi="宋体"/>
          <w:color w:val="auto"/>
          <w:sz w:val="24"/>
          <w:highlight w:val="none"/>
        </w:rPr>
        <w:t>关于其他保险的约定：</w:t>
      </w:r>
      <w:r>
        <w:rPr>
          <w:rFonts w:hint="eastAsia" w:hAnsi="宋体"/>
          <w:color w:val="auto"/>
          <w:sz w:val="24"/>
          <w:highlight w:val="none"/>
        </w:rPr>
        <w:t>由</w:t>
      </w:r>
      <w:r>
        <w:rPr>
          <w:rFonts w:hint="eastAsia"/>
          <w:color w:val="auto"/>
          <w:sz w:val="24"/>
          <w:highlight w:val="none"/>
          <w:u w:val="single"/>
        </w:rPr>
        <w:t>承包方应缴纳相关所有保险。</w:t>
      </w:r>
      <w:r>
        <w:rPr>
          <w:rFonts w:hAnsi="宋体"/>
          <w:color w:val="auto"/>
          <w:kern w:val="0"/>
          <w:sz w:val="24"/>
          <w:highlight w:val="none"/>
        </w:rPr>
        <w:t>。</w:t>
      </w:r>
    </w:p>
    <w:p>
      <w:pPr>
        <w:spacing w:line="440" w:lineRule="exact"/>
        <w:ind w:firstLine="480" w:firstLineChars="200"/>
        <w:rPr>
          <w:rFonts w:hAnsi="宋体"/>
          <w:color w:val="auto"/>
          <w:spacing w:val="-10"/>
          <w:kern w:val="0"/>
          <w:sz w:val="24"/>
          <w:highlight w:val="none"/>
        </w:rPr>
      </w:pPr>
      <w:r>
        <w:rPr>
          <w:rFonts w:hAnsi="宋体"/>
          <w:color w:val="auto"/>
          <w:sz w:val="24"/>
          <w:highlight w:val="none"/>
        </w:rPr>
        <w:t>承包人是否应为其施工设备等办理财产保险：</w:t>
      </w:r>
      <w:r>
        <w:rPr>
          <w:rFonts w:hint="eastAsia" w:hAnsi="宋体"/>
          <w:color w:val="auto"/>
          <w:spacing w:val="-10"/>
          <w:sz w:val="24"/>
          <w:highlight w:val="none"/>
          <w:u w:val="single"/>
        </w:rPr>
        <w:t>承包人应为其施工设备等办理财产保险</w:t>
      </w:r>
      <w:r>
        <w:rPr>
          <w:rFonts w:hAnsi="宋体"/>
          <w:color w:val="auto"/>
          <w:spacing w:val="-10"/>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18.7 通知义务</w:t>
      </w:r>
    </w:p>
    <w:p>
      <w:pPr>
        <w:spacing w:line="440" w:lineRule="exact"/>
        <w:ind w:firstLine="480" w:firstLineChars="200"/>
        <w:rPr>
          <w:rFonts w:hAnsi="宋体"/>
          <w:color w:val="auto"/>
          <w:sz w:val="24"/>
          <w:highlight w:val="none"/>
        </w:rPr>
      </w:pPr>
      <w:r>
        <w:rPr>
          <w:rFonts w:hAnsi="宋体"/>
          <w:color w:val="auto"/>
          <w:kern w:val="0"/>
          <w:sz w:val="24"/>
          <w:highlight w:val="none"/>
        </w:rPr>
        <w:t>关于变更保险合同时的通知义务的约定：</w:t>
      </w:r>
      <w:r>
        <w:rPr>
          <w:rFonts w:hint="eastAsia" w:hAnsi="宋体"/>
          <w:color w:val="auto"/>
          <w:sz w:val="24"/>
          <w:highlight w:val="none"/>
          <w:u w:val="single"/>
        </w:rPr>
        <w:t>/</w:t>
      </w:r>
      <w:r>
        <w:rPr>
          <w:rFonts w:hAnsi="宋体"/>
          <w:color w:val="auto"/>
          <w:sz w:val="24"/>
          <w:highlight w:val="none"/>
        </w:rPr>
        <w:t>。</w:t>
      </w:r>
    </w:p>
    <w:bookmarkEnd w:id="888"/>
    <w:bookmarkEnd w:id="889"/>
    <w:bookmarkEnd w:id="890"/>
    <w:bookmarkEnd w:id="891"/>
    <w:bookmarkEnd w:id="892"/>
    <w:bookmarkEnd w:id="893"/>
    <w:bookmarkEnd w:id="894"/>
    <w:bookmarkEnd w:id="895"/>
    <w:bookmarkEnd w:id="896"/>
    <w:bookmarkEnd w:id="897"/>
    <w:bookmarkEnd w:id="898"/>
    <w:bookmarkEnd w:id="899"/>
    <w:p>
      <w:pPr>
        <w:spacing w:line="440" w:lineRule="exact"/>
        <w:ind w:firstLine="480" w:firstLineChars="200"/>
        <w:rPr>
          <w:color w:val="auto"/>
          <w:sz w:val="24"/>
          <w:highlight w:val="none"/>
        </w:rPr>
      </w:pPr>
      <w:bookmarkStart w:id="915" w:name="_Toc351203651"/>
      <w:r>
        <w:rPr>
          <w:color w:val="auto"/>
          <w:sz w:val="24"/>
          <w:highlight w:val="none"/>
        </w:rPr>
        <w:t>20. 争议解决</w:t>
      </w:r>
      <w:bookmarkEnd w:id="915"/>
    </w:p>
    <w:bookmarkEnd w:id="900"/>
    <w:bookmarkEnd w:id="901"/>
    <w:p>
      <w:pPr>
        <w:spacing w:line="440" w:lineRule="exact"/>
        <w:ind w:firstLine="480" w:firstLineChars="200"/>
        <w:rPr>
          <w:rFonts w:hAnsi="宋体"/>
          <w:color w:val="auto"/>
          <w:sz w:val="24"/>
          <w:highlight w:val="none"/>
        </w:rPr>
      </w:pPr>
      <w:r>
        <w:rPr>
          <w:rFonts w:hAnsi="宋体"/>
          <w:color w:val="auto"/>
          <w:sz w:val="24"/>
          <w:highlight w:val="none"/>
        </w:rPr>
        <w:t>20.3 争</w:t>
      </w:r>
      <w:bookmarkEnd w:id="902"/>
      <w:r>
        <w:rPr>
          <w:rFonts w:hAnsi="宋体"/>
          <w:color w:val="auto"/>
          <w:sz w:val="24"/>
          <w:highlight w:val="none"/>
        </w:rPr>
        <w:t>议评审</w:t>
      </w:r>
    </w:p>
    <w:p>
      <w:pPr>
        <w:spacing w:line="440" w:lineRule="exact"/>
        <w:ind w:firstLine="480" w:firstLineChars="200"/>
        <w:rPr>
          <w:rFonts w:hAnsi="宋体"/>
          <w:color w:val="auto"/>
          <w:sz w:val="24"/>
          <w:highlight w:val="none"/>
        </w:rPr>
      </w:pPr>
      <w:r>
        <w:rPr>
          <w:rFonts w:hAnsi="宋体"/>
          <w:color w:val="auto"/>
          <w:sz w:val="24"/>
          <w:highlight w:val="none"/>
        </w:rPr>
        <w:t>合同当事人是否同意将工程争议提交争议评审小组决</w:t>
      </w:r>
      <w:r>
        <w:rPr>
          <w:rFonts w:hint="eastAsia" w:hAnsi="宋体"/>
          <w:color w:val="auto"/>
          <w:sz w:val="24"/>
          <w:highlight w:val="none"/>
        </w:rPr>
        <w:t>定：</w:t>
      </w:r>
      <w:r>
        <w:rPr>
          <w:rFonts w:hint="eastAsia" w:hAnsi="宋体"/>
          <w:color w:val="auto"/>
          <w:sz w:val="24"/>
          <w:highlight w:val="none"/>
          <w:u w:val="single"/>
        </w:rPr>
        <w:t>中标后双方协商</w:t>
      </w:r>
      <w:r>
        <w:rPr>
          <w:rFonts w:hint="eastAsia" w:hAnsi="宋体"/>
          <w:color w:val="auto"/>
          <w:sz w:val="24"/>
          <w:highlight w:val="none"/>
        </w:rPr>
        <w:t xml:space="preserve">。  </w:t>
      </w:r>
    </w:p>
    <w:p>
      <w:pPr>
        <w:spacing w:line="440" w:lineRule="exact"/>
        <w:ind w:firstLine="480" w:firstLineChars="200"/>
        <w:rPr>
          <w:rFonts w:hAnsi="宋体"/>
          <w:color w:val="auto"/>
          <w:sz w:val="24"/>
          <w:highlight w:val="none"/>
        </w:rPr>
      </w:pPr>
      <w:r>
        <w:rPr>
          <w:rFonts w:hAnsi="宋体"/>
          <w:color w:val="auto"/>
          <w:sz w:val="24"/>
          <w:highlight w:val="none"/>
        </w:rPr>
        <w:t>20.3.1 争议评审小组的确定</w:t>
      </w:r>
    </w:p>
    <w:p>
      <w:pPr>
        <w:spacing w:line="440" w:lineRule="exact"/>
        <w:ind w:firstLine="480" w:firstLineChars="200"/>
        <w:rPr>
          <w:rFonts w:hAnsi="宋体"/>
          <w:color w:val="auto"/>
          <w:sz w:val="24"/>
          <w:highlight w:val="none"/>
          <w:u w:val="single"/>
        </w:rPr>
      </w:pPr>
      <w:r>
        <w:rPr>
          <w:rFonts w:hAnsi="宋体"/>
          <w:color w:val="auto"/>
          <w:sz w:val="24"/>
          <w:highlight w:val="none"/>
        </w:rPr>
        <w:t>争议评审小组成员的确定：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选定争议评审员的期限：</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争议评审小组成员的报酬承担方式：</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Ansi="宋体"/>
          <w:color w:val="auto"/>
          <w:sz w:val="24"/>
          <w:highlight w:val="none"/>
        </w:rPr>
      </w:pPr>
      <w:r>
        <w:rPr>
          <w:rFonts w:hAnsi="宋体"/>
          <w:color w:val="auto"/>
          <w:sz w:val="24"/>
          <w:highlight w:val="none"/>
        </w:rPr>
        <w:t>其他事项的约定：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autoSpaceDE w:val="0"/>
        <w:autoSpaceDN w:val="0"/>
        <w:adjustRightInd w:val="0"/>
        <w:spacing w:line="440" w:lineRule="exact"/>
        <w:ind w:firstLine="480" w:firstLineChars="200"/>
        <w:rPr>
          <w:rFonts w:hAnsi="宋体"/>
          <w:color w:val="auto"/>
          <w:kern w:val="0"/>
          <w:sz w:val="24"/>
          <w:highlight w:val="none"/>
        </w:rPr>
      </w:pPr>
      <w:r>
        <w:rPr>
          <w:rFonts w:hAnsi="宋体"/>
          <w:color w:val="auto"/>
          <w:kern w:val="0"/>
          <w:sz w:val="24"/>
          <w:highlight w:val="none"/>
        </w:rPr>
        <w:t>20.3.2 争议评审小组的决定</w:t>
      </w:r>
    </w:p>
    <w:p>
      <w:pPr>
        <w:spacing w:line="440" w:lineRule="exact"/>
        <w:ind w:firstLine="480" w:firstLineChars="200"/>
        <w:rPr>
          <w:rFonts w:hAnsi="宋体"/>
          <w:color w:val="auto"/>
          <w:sz w:val="24"/>
          <w:highlight w:val="none"/>
        </w:rPr>
      </w:pPr>
      <w:r>
        <w:rPr>
          <w:rFonts w:hAnsi="宋体"/>
          <w:color w:val="auto"/>
          <w:sz w:val="24"/>
          <w:highlight w:val="none"/>
        </w:rPr>
        <w:t>合同当事人关于本项的约定：</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20.4仲裁或诉讼</w:t>
      </w:r>
      <w:bookmarkEnd w:id="903"/>
    </w:p>
    <w:p>
      <w:pPr>
        <w:spacing w:line="440" w:lineRule="exact"/>
        <w:ind w:firstLine="480" w:firstLineChars="200"/>
        <w:rPr>
          <w:rFonts w:hint="eastAsia" w:hAnsi="宋体"/>
          <w:color w:val="auto"/>
          <w:sz w:val="24"/>
          <w:highlight w:val="none"/>
        </w:rPr>
      </w:pPr>
      <w:r>
        <w:rPr>
          <w:rFonts w:hint="eastAsia" w:hAnsi="宋体"/>
          <w:color w:val="auto"/>
          <w:sz w:val="24"/>
          <w:highlight w:val="none"/>
        </w:rPr>
        <w:t>因合同及合同有关事项发生的争议，双方当事人一致同意提交</w:t>
      </w:r>
      <w:r>
        <w:rPr>
          <w:rFonts w:hint="eastAsia" w:hAnsi="宋体"/>
          <w:b/>
          <w:color w:val="auto"/>
          <w:sz w:val="24"/>
          <w:highlight w:val="none"/>
        </w:rPr>
        <w:t>杭州仲裁委员会申请仲裁</w:t>
      </w:r>
      <w:r>
        <w:rPr>
          <w:rFonts w:hint="eastAsia" w:hAnsi="宋体"/>
          <w:color w:val="auto"/>
          <w:sz w:val="24"/>
          <w:highlight w:val="none"/>
        </w:rPr>
        <w:t>；但双方当事人特别约定下列解决方式中第</w:t>
      </w:r>
      <w:r>
        <w:rPr>
          <w:rFonts w:hint="eastAsia" w:hAnsi="宋体"/>
          <w:color w:val="auto"/>
          <w:sz w:val="24"/>
          <w:highlight w:val="none"/>
          <w:u w:val="single"/>
        </w:rPr>
        <w:t xml:space="preserve"> 2 </w:t>
      </w:r>
      <w:r>
        <w:rPr>
          <w:rFonts w:hint="eastAsia" w:hAnsi="宋体"/>
          <w:color w:val="auto"/>
          <w:sz w:val="24"/>
          <w:highlight w:val="none"/>
        </w:rPr>
        <w:t>种方式解决争议的除外：</w:t>
      </w:r>
    </w:p>
    <w:p>
      <w:pPr>
        <w:spacing w:line="440" w:lineRule="exact"/>
        <w:ind w:firstLine="480" w:firstLineChars="200"/>
        <w:rPr>
          <w:rFonts w:hAnsi="宋体"/>
          <w:color w:val="auto"/>
          <w:sz w:val="24"/>
          <w:highlight w:val="none"/>
        </w:rPr>
      </w:pPr>
      <w:r>
        <w:rPr>
          <w:rFonts w:hAnsi="宋体"/>
          <w:color w:val="auto"/>
          <w:sz w:val="24"/>
          <w:highlight w:val="none"/>
        </w:rPr>
        <w:t>（1）向</w:t>
      </w:r>
      <w:r>
        <w:rPr>
          <w:rFonts w:hAnsi="宋体"/>
          <w:color w:val="auto"/>
          <w:sz w:val="24"/>
          <w:highlight w:val="none"/>
          <w:u w:val="single"/>
        </w:rPr>
        <w:t xml:space="preserve">                     </w:t>
      </w:r>
      <w:r>
        <w:rPr>
          <w:rFonts w:hAnsi="宋体"/>
          <w:color w:val="auto"/>
          <w:sz w:val="24"/>
          <w:highlight w:val="none"/>
        </w:rPr>
        <w:t>仲裁委员会申请仲裁；</w:t>
      </w:r>
    </w:p>
    <w:p>
      <w:pPr>
        <w:spacing w:line="440" w:lineRule="exact"/>
        <w:ind w:firstLine="480" w:firstLineChars="200"/>
        <w:rPr>
          <w:rFonts w:hAnsi="宋体"/>
          <w:color w:val="auto"/>
          <w:sz w:val="24"/>
          <w:highlight w:val="none"/>
        </w:rPr>
      </w:pPr>
      <w:r>
        <w:rPr>
          <w:rFonts w:hAnsi="宋体"/>
          <w:color w:val="auto"/>
          <w:sz w:val="24"/>
          <w:highlight w:val="none"/>
        </w:rPr>
        <w:t>（2）向</w:t>
      </w:r>
      <w:r>
        <w:rPr>
          <w:rFonts w:hAnsi="宋体"/>
          <w:color w:val="auto"/>
          <w:sz w:val="24"/>
          <w:highlight w:val="none"/>
          <w:u w:val="single"/>
        </w:rPr>
        <w:t xml:space="preserve">  </w:t>
      </w:r>
      <w:r>
        <w:rPr>
          <w:rFonts w:hint="eastAsia" w:hAnsi="宋体"/>
          <w:color w:val="auto"/>
          <w:sz w:val="24"/>
          <w:highlight w:val="none"/>
          <w:u w:val="single"/>
        </w:rPr>
        <w:t>工程所在地</w:t>
      </w:r>
      <w:r>
        <w:rPr>
          <w:rFonts w:hAnsi="宋体"/>
          <w:color w:val="auto"/>
          <w:sz w:val="24"/>
          <w:highlight w:val="none"/>
          <w:u w:val="single"/>
        </w:rPr>
        <w:t xml:space="preserve"> </w:t>
      </w:r>
      <w:r>
        <w:rPr>
          <w:rFonts w:hAnsi="宋体"/>
          <w:color w:val="auto"/>
          <w:sz w:val="24"/>
          <w:highlight w:val="none"/>
        </w:rPr>
        <w:t>人民法院起诉。</w:t>
      </w:r>
      <w:bookmarkEnd w:id="904"/>
      <w:bookmarkEnd w:id="905"/>
      <w:bookmarkEnd w:id="906"/>
      <w:bookmarkEnd w:id="907"/>
      <w:bookmarkEnd w:id="908"/>
      <w:bookmarkEnd w:id="909"/>
    </w:p>
    <w:p>
      <w:pPr>
        <w:spacing w:line="440" w:lineRule="exact"/>
        <w:ind w:firstLine="480" w:firstLineChars="200"/>
        <w:rPr>
          <w:rFonts w:hint="eastAsia" w:hAnsi="宋体"/>
          <w:b/>
          <w:color w:val="auto"/>
          <w:sz w:val="24"/>
          <w:highlight w:val="none"/>
          <w:u w:val="single"/>
        </w:rPr>
      </w:pPr>
      <w:r>
        <w:rPr>
          <w:rFonts w:hint="eastAsia" w:hAnsi="宋体"/>
          <w:color w:val="auto"/>
          <w:sz w:val="24"/>
          <w:highlight w:val="none"/>
        </w:rPr>
        <w:t>20.5</w:t>
      </w:r>
      <w:r>
        <w:rPr>
          <w:rFonts w:hint="eastAsia" w:hAnsi="宋体"/>
          <w:b/>
          <w:color w:val="auto"/>
          <w:sz w:val="24"/>
          <w:highlight w:val="none"/>
          <w:u w:val="single"/>
        </w:rPr>
        <w:t>其它</w:t>
      </w:r>
    </w:p>
    <w:p>
      <w:pPr>
        <w:spacing w:line="440" w:lineRule="exact"/>
        <w:ind w:firstLine="482" w:firstLineChars="200"/>
        <w:rPr>
          <w:rFonts w:hint="eastAsia" w:hAnsi="宋体"/>
          <w:b/>
          <w:color w:val="auto"/>
          <w:sz w:val="24"/>
          <w:highlight w:val="none"/>
        </w:rPr>
      </w:pPr>
      <w:r>
        <w:rPr>
          <w:rFonts w:hint="eastAsia" w:hAnsi="宋体"/>
          <w:b/>
          <w:color w:val="auto"/>
          <w:sz w:val="24"/>
          <w:highlight w:val="none"/>
          <w:u w:val="single"/>
        </w:rPr>
        <w:t xml:space="preserve">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发包人保留在签约后调整部分承包范围的权力直至某些项目的取消，承包人投标的投标单价不作调整。</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工程建设项目承发包双方在签订业务合同的同时，必须签订廉政责任书,明确作为廉政承诺。</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竣工验收后的工程结算最终以审计审核为准。</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20.6联系单管理及造价核定管理约定：</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（1）承包人提出的尤其涉及费用的联系单必须依据充分，用详尽的资料、图纸附加图片、照片予以说明，以便于发包人及造价监审单位审核，否则发包人可予以退回或拒签。</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（2）竣工验收合格后，承包人在28天内向发包人提交竣工结算报告及完整的结算资料。</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（3）施工过程中的变更联系单价款结算最终以结算审计审核为准。</w:t>
      </w:r>
    </w:p>
    <w:p>
      <w:pPr>
        <w:spacing w:line="440" w:lineRule="exact"/>
        <w:ind w:firstLine="482" w:firstLineChars="200"/>
        <w:rPr>
          <w:rFonts w:hint="eastAsia" w:hAnsi="宋体"/>
          <w:b/>
          <w:color w:val="auto"/>
          <w:sz w:val="24"/>
          <w:highlight w:val="none"/>
          <w:u w:val="single"/>
        </w:rPr>
      </w:pPr>
      <w:r>
        <w:rPr>
          <w:rFonts w:hint="eastAsia" w:hAnsi="宋体"/>
          <w:b/>
          <w:color w:val="auto"/>
          <w:sz w:val="24"/>
          <w:highlight w:val="none"/>
          <w:u w:val="single"/>
        </w:rPr>
        <w:t>（4）若承包单位报送的工程结算经审核后核减率大于5%的，核减大于5%部分按核减额5%计算审核费用由承包单位承担。</w:t>
      </w:r>
    </w:p>
    <w:p>
      <w:pPr>
        <w:spacing w:line="440" w:lineRule="exact"/>
        <w:ind w:firstLine="482" w:firstLineChars="200"/>
        <w:rPr>
          <w:rFonts w:hint="eastAsia" w:hAnsi="宋体"/>
          <w:b/>
          <w:color w:val="auto"/>
          <w:sz w:val="24"/>
          <w:highlight w:val="none"/>
        </w:rPr>
      </w:pPr>
    </w:p>
    <w:p>
      <w:pPr>
        <w:spacing w:line="440" w:lineRule="exact"/>
        <w:ind w:firstLine="482" w:firstLineChars="200"/>
        <w:rPr>
          <w:rFonts w:hint="eastAsia" w:hAnsi="宋体"/>
          <w:b/>
          <w:color w:val="auto"/>
          <w:sz w:val="24"/>
          <w:highlight w:val="none"/>
        </w:rPr>
      </w:pPr>
      <w:r>
        <w:rPr>
          <w:rFonts w:hint="eastAsia" w:hAnsi="宋体"/>
          <w:b/>
          <w:color w:val="auto"/>
          <w:sz w:val="24"/>
          <w:highlight w:val="none"/>
        </w:rPr>
        <w:t>发包人保留在正式签订合同前修改、完善合同条款的权利。</w:t>
      </w:r>
    </w:p>
    <w:p>
      <w:pPr>
        <w:spacing w:line="400" w:lineRule="exact"/>
        <w:ind w:firstLine="480" w:firstLineChars="200"/>
        <w:rPr>
          <w:rFonts w:hint="eastAsia" w:hAnsi="宋体"/>
          <w:color w:val="auto"/>
          <w:sz w:val="24"/>
          <w:highlight w:val="none"/>
        </w:rPr>
      </w:pPr>
      <w:r>
        <w:rPr>
          <w:rFonts w:hint="eastAsia" w:hAnsi="宋体"/>
          <w:color w:val="auto"/>
          <w:sz w:val="24"/>
          <w:highlight w:val="none"/>
        </w:rPr>
        <w:t>附件：</w:t>
      </w:r>
    </w:p>
    <w:p>
      <w:pPr>
        <w:spacing w:line="400" w:lineRule="exact"/>
        <w:ind w:firstLine="480" w:firstLineChars="200"/>
        <w:rPr>
          <w:rFonts w:hint="eastAsia" w:hAnsi="宋体"/>
          <w:color w:val="auto"/>
          <w:sz w:val="24"/>
          <w:highlight w:val="none"/>
        </w:rPr>
      </w:pPr>
      <w:r>
        <w:rPr>
          <w:rFonts w:hAnsi="宋体"/>
          <w:color w:val="auto"/>
          <w:sz w:val="24"/>
          <w:highlight w:val="none"/>
        </w:rPr>
        <w:t>附件1：承包人承揽工程项目一览表</w:t>
      </w:r>
    </w:p>
    <w:p>
      <w:pPr>
        <w:spacing w:line="42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专用合同条款附件：</w:t>
      </w:r>
    </w:p>
    <w:p>
      <w:pPr>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附件</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：承包人用于本工程施工的机械设备表</w:t>
      </w:r>
    </w:p>
    <w:p>
      <w:pPr>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附件</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：工程质量保修书</w:t>
      </w:r>
    </w:p>
    <w:p>
      <w:pPr>
        <w:spacing w:line="42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附件4：承包人主要施工管理人员表</w:t>
      </w:r>
    </w:p>
    <w:p>
      <w:pPr>
        <w:spacing w:line="400" w:lineRule="exact"/>
        <w:jc w:val="left"/>
        <w:rPr>
          <w:rFonts w:hint="eastAsia" w:hAnsi="宋体"/>
          <w:color w:val="auto"/>
          <w:sz w:val="24"/>
          <w:highlight w:val="none"/>
        </w:rPr>
      </w:pPr>
    </w:p>
    <w:p>
      <w:pPr>
        <w:pStyle w:val="797"/>
        <w:rPr>
          <w:rFonts w:hint="eastAsia" w:hAnsi="宋体"/>
          <w:color w:val="auto"/>
          <w:sz w:val="24"/>
          <w:highlight w:val="none"/>
        </w:rPr>
      </w:pPr>
    </w:p>
    <w:p>
      <w:pPr>
        <w:pStyle w:val="797"/>
        <w:ind w:left="0" w:leftChars="0" w:firstLine="0" w:firstLineChars="0"/>
        <w:rPr>
          <w:rFonts w:hint="eastAsia" w:hAnsi="宋体"/>
          <w:color w:val="auto"/>
          <w:sz w:val="24"/>
          <w:highlight w:val="none"/>
        </w:rPr>
      </w:pPr>
      <w:r>
        <w:rPr>
          <w:rFonts w:hint="eastAsia" w:hAnsi="宋体"/>
          <w:color w:val="auto"/>
          <w:sz w:val="24"/>
          <w:highlight w:val="none"/>
        </w:rPr>
        <w:br w:type="page"/>
      </w:r>
    </w:p>
    <w:p>
      <w:pPr>
        <w:spacing w:line="400" w:lineRule="exact"/>
        <w:jc w:val="left"/>
        <w:rPr>
          <w:rFonts w:hint="eastAsia" w:hAnsi="宋体"/>
          <w:color w:val="auto"/>
          <w:sz w:val="24"/>
          <w:highlight w:val="none"/>
        </w:rPr>
      </w:pPr>
      <w:r>
        <w:rPr>
          <w:rFonts w:hint="eastAsia" w:hAnsi="宋体"/>
          <w:color w:val="auto"/>
          <w:sz w:val="24"/>
          <w:highlight w:val="none"/>
        </w:rPr>
        <w:t>附件1：</w:t>
      </w:r>
    </w:p>
    <w:p>
      <w:pPr>
        <w:spacing w:line="400" w:lineRule="exact"/>
        <w:jc w:val="center"/>
        <w:rPr>
          <w:rFonts w:hint="eastAsia" w:hAnsi="宋体"/>
          <w:color w:val="auto"/>
          <w:sz w:val="24"/>
          <w:highlight w:val="none"/>
        </w:rPr>
      </w:pPr>
      <w:r>
        <w:rPr>
          <w:rFonts w:hAnsi="宋体"/>
          <w:color w:val="auto"/>
          <w:sz w:val="24"/>
          <w:highlight w:val="none"/>
        </w:rPr>
        <w:t>承包人承揽工程项目一览表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2"/>
        <w:gridCol w:w="891"/>
        <w:gridCol w:w="1591"/>
        <w:gridCol w:w="878"/>
        <w:gridCol w:w="900"/>
        <w:gridCol w:w="864"/>
        <w:gridCol w:w="1308"/>
        <w:gridCol w:w="1144"/>
        <w:gridCol w:w="851"/>
        <w:gridCol w:w="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2"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单位工程名称</w:t>
            </w:r>
          </w:p>
        </w:tc>
        <w:tc>
          <w:tcPr>
            <w:tcW w:w="891"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建设规模</w:t>
            </w:r>
          </w:p>
        </w:tc>
        <w:tc>
          <w:tcPr>
            <w:tcW w:w="1591"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建筑面积(平方米)</w:t>
            </w:r>
          </w:p>
        </w:tc>
        <w:tc>
          <w:tcPr>
            <w:tcW w:w="878" w:type="dxa"/>
            <w:tcBorders>
              <w:top w:val="single" w:color="auto" w:sz="12" w:space="0"/>
              <w:bottom w:val="double" w:color="auto" w:sz="6" w:space="0"/>
            </w:tcBorders>
            <w:noWrap w:val="0"/>
            <w:vAlign w:val="center"/>
          </w:tcPr>
          <w:p>
            <w:pPr>
              <w:pStyle w:val="26"/>
              <w:keepNext/>
              <w:spacing w:after="0" w:line="400" w:lineRule="exact"/>
              <w:ind w:left="84" w:right="84"/>
              <w:rPr>
                <w:rFonts w:hint="eastAsia" w:hAnsi="宋体"/>
                <w:color w:val="auto"/>
                <w:sz w:val="24"/>
                <w:highlight w:val="none"/>
                <w:lang w:val="en-US" w:eastAsia="zh-CN"/>
              </w:rPr>
            </w:pPr>
            <w:r>
              <w:rPr>
                <w:rFonts w:hAnsi="宋体"/>
                <w:color w:val="auto"/>
                <w:sz w:val="24"/>
                <w:highlight w:val="none"/>
                <w:lang w:val="en-US" w:eastAsia="zh-CN"/>
              </w:rPr>
              <w:t>结构</w:t>
            </w:r>
          </w:p>
          <w:p>
            <w:pPr>
              <w:pStyle w:val="26"/>
              <w:keepNext/>
              <w:spacing w:after="0" w:line="400" w:lineRule="exact"/>
              <w:ind w:left="84" w:right="84"/>
              <w:rPr>
                <w:rFonts w:hAnsi="宋体"/>
                <w:color w:val="auto"/>
                <w:sz w:val="24"/>
                <w:highlight w:val="none"/>
                <w:lang w:val="en-US" w:eastAsia="zh-CN"/>
              </w:rPr>
            </w:pPr>
            <w:r>
              <w:rPr>
                <w:rFonts w:hint="eastAsia" w:hAnsi="宋体"/>
                <w:color w:val="auto"/>
                <w:sz w:val="24"/>
                <w:highlight w:val="none"/>
                <w:lang w:val="en-US" w:eastAsia="zh-CN"/>
              </w:rPr>
              <w:t>形式</w:t>
            </w:r>
          </w:p>
        </w:tc>
        <w:tc>
          <w:tcPr>
            <w:tcW w:w="900"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层数</w:t>
            </w:r>
          </w:p>
        </w:tc>
        <w:tc>
          <w:tcPr>
            <w:tcW w:w="864"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生产能力</w:t>
            </w:r>
          </w:p>
        </w:tc>
        <w:tc>
          <w:tcPr>
            <w:tcW w:w="1308"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设备安装内容</w:t>
            </w:r>
          </w:p>
        </w:tc>
        <w:tc>
          <w:tcPr>
            <w:tcW w:w="1144"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合同价格（元）</w:t>
            </w:r>
          </w:p>
        </w:tc>
        <w:tc>
          <w:tcPr>
            <w:tcW w:w="851"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开工日期</w:t>
            </w:r>
          </w:p>
        </w:tc>
        <w:tc>
          <w:tcPr>
            <w:tcW w:w="734" w:type="dxa"/>
            <w:tcBorders>
              <w:top w:val="single" w:color="auto" w:sz="12" w:space="0"/>
              <w:bottom w:val="doub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r>
              <w:rPr>
                <w:rFonts w:hAnsi="宋体"/>
                <w:color w:val="auto"/>
                <w:sz w:val="24"/>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tcBorders>
              <w:top w:val="double" w:color="auto" w:sz="6" w:space="0"/>
              <w:bottom w:val="single" w:color="auto" w:sz="6" w:space="0"/>
            </w:tcBorders>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tcBorders>
              <w:top w:val="nil"/>
            </w:tcBorders>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noWrap w:val="0"/>
            <w:vAlign w:val="center"/>
          </w:tcPr>
          <w:p>
            <w:pPr>
              <w:pStyle w:val="26"/>
              <w:keepNext/>
              <w:spacing w:after="0" w:line="400" w:lineRule="exact"/>
              <w:ind w:left="84" w:right="84"/>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2"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59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7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900"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6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308"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1144"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851" w:type="dxa"/>
            <w:noWrap w:val="0"/>
            <w:vAlign w:val="center"/>
          </w:tcPr>
          <w:p>
            <w:pPr>
              <w:pStyle w:val="26"/>
              <w:keepNext/>
              <w:spacing w:after="0" w:line="400" w:lineRule="exact"/>
              <w:ind w:left="84" w:right="84"/>
              <w:rPr>
                <w:rFonts w:hAnsi="宋体"/>
                <w:color w:val="auto"/>
                <w:sz w:val="24"/>
                <w:highlight w:val="none"/>
                <w:lang w:val="en-US" w:eastAsia="zh-CN"/>
              </w:rPr>
            </w:pPr>
          </w:p>
        </w:tc>
        <w:tc>
          <w:tcPr>
            <w:tcW w:w="734" w:type="dxa"/>
            <w:noWrap w:val="0"/>
            <w:vAlign w:val="center"/>
          </w:tcPr>
          <w:p>
            <w:pPr>
              <w:pStyle w:val="26"/>
              <w:keepNext/>
              <w:spacing w:after="0" w:line="400" w:lineRule="exact"/>
              <w:ind w:left="84" w:right="84"/>
              <w:rPr>
                <w:rFonts w:hAnsi="宋体"/>
                <w:color w:val="auto"/>
                <w:sz w:val="24"/>
                <w:highlight w:val="none"/>
                <w:lang w:val="en-US" w:eastAsia="zh-CN"/>
              </w:rPr>
            </w:pPr>
          </w:p>
        </w:tc>
      </w:tr>
    </w:tbl>
    <w:p>
      <w:pPr>
        <w:spacing w:line="440" w:lineRule="exact"/>
        <w:rPr>
          <w:rFonts w:hint="eastAsia" w:hAnsi="宋体"/>
          <w:color w:val="auto"/>
          <w:sz w:val="24"/>
          <w:highlight w:val="none"/>
        </w:rPr>
      </w:pPr>
    </w:p>
    <w:p>
      <w:pPr>
        <w:spacing w:line="440" w:lineRule="exact"/>
        <w:rPr>
          <w:rFonts w:hAnsi="宋体"/>
          <w:color w:val="auto"/>
          <w:sz w:val="24"/>
          <w:highlight w:val="none"/>
        </w:rPr>
      </w:pPr>
      <w:r>
        <w:rPr>
          <w:rFonts w:hAnsi="宋体"/>
          <w:color w:val="auto"/>
          <w:sz w:val="24"/>
          <w:highlight w:val="none"/>
        </w:rPr>
        <w:t>附件</w:t>
      </w:r>
      <w:r>
        <w:rPr>
          <w:rFonts w:hint="eastAsia" w:hAnsi="宋体"/>
          <w:color w:val="auto"/>
          <w:sz w:val="24"/>
          <w:highlight w:val="none"/>
          <w:lang w:val="en-US" w:eastAsia="zh-CN"/>
        </w:rPr>
        <w:t>2</w:t>
      </w:r>
      <w:r>
        <w:rPr>
          <w:rFonts w:hAnsi="宋体"/>
          <w:color w:val="auto"/>
          <w:sz w:val="24"/>
          <w:highlight w:val="none"/>
        </w:rPr>
        <w:t>：</w:t>
      </w:r>
    </w:p>
    <w:p>
      <w:pPr>
        <w:spacing w:before="156" w:beforeLines="50" w:after="156" w:afterLines="50" w:line="440" w:lineRule="exact"/>
        <w:jc w:val="center"/>
        <w:rPr>
          <w:rFonts w:hAnsi="宋体"/>
          <w:color w:val="auto"/>
          <w:sz w:val="24"/>
          <w:highlight w:val="none"/>
        </w:rPr>
      </w:pPr>
      <w:r>
        <w:rPr>
          <w:rFonts w:hAnsi="宋体"/>
          <w:color w:val="auto"/>
          <w:sz w:val="24"/>
          <w:highlight w:val="none"/>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序号</w:t>
            </w:r>
          </w:p>
        </w:tc>
        <w:tc>
          <w:tcPr>
            <w:tcW w:w="1418"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机械或设备名称</w:t>
            </w:r>
          </w:p>
        </w:tc>
        <w:tc>
          <w:tcPr>
            <w:tcW w:w="85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规格型号</w:t>
            </w:r>
          </w:p>
        </w:tc>
        <w:tc>
          <w:tcPr>
            <w:tcW w:w="1058"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数量</w:t>
            </w:r>
          </w:p>
        </w:tc>
        <w:tc>
          <w:tcPr>
            <w:tcW w:w="88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产地</w:t>
            </w:r>
          </w:p>
        </w:tc>
        <w:tc>
          <w:tcPr>
            <w:tcW w:w="102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int="eastAsia" w:hAnsi="宋体"/>
                <w:color w:val="auto"/>
                <w:sz w:val="24"/>
                <w:highlight w:val="none"/>
                <w:lang w:val="en-US" w:eastAsia="zh-CN"/>
              </w:rPr>
            </w:pPr>
            <w:r>
              <w:rPr>
                <w:rFonts w:hAnsi="宋体"/>
                <w:color w:val="auto"/>
                <w:sz w:val="24"/>
                <w:highlight w:val="none"/>
                <w:lang w:val="en-US" w:eastAsia="zh-CN"/>
              </w:rPr>
              <w:t>制造</w:t>
            </w:r>
          </w:p>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年份</w:t>
            </w:r>
          </w:p>
        </w:tc>
        <w:tc>
          <w:tcPr>
            <w:tcW w:w="148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额定功率(kW)</w:t>
            </w:r>
          </w:p>
        </w:tc>
        <w:tc>
          <w:tcPr>
            <w:tcW w:w="1020"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int="eastAsia" w:hAnsi="宋体"/>
                <w:color w:val="auto"/>
                <w:sz w:val="24"/>
                <w:highlight w:val="none"/>
                <w:lang w:val="en-US" w:eastAsia="zh-CN"/>
              </w:rPr>
            </w:pPr>
            <w:r>
              <w:rPr>
                <w:rFonts w:hAnsi="宋体"/>
                <w:color w:val="auto"/>
                <w:sz w:val="24"/>
                <w:highlight w:val="none"/>
                <w:lang w:val="en-US" w:eastAsia="zh-CN"/>
              </w:rPr>
              <w:t>生产</w:t>
            </w:r>
          </w:p>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能力</w:t>
            </w:r>
          </w:p>
        </w:tc>
        <w:tc>
          <w:tcPr>
            <w:tcW w:w="921" w:type="dxa"/>
            <w:tcBorders>
              <w:top w:val="single" w:color="auto" w:sz="12" w:space="0"/>
              <w:bottom w:val="doub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r>
              <w:rPr>
                <w:rFonts w:hAnsi="宋体"/>
                <w:color w:val="auto"/>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18"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5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58"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8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8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921" w:type="dxa"/>
            <w:tcBorders>
              <w:top w:val="double" w:color="auto" w:sz="6" w:space="0"/>
              <w:bottom w:val="single" w:color="auto" w:sz="6" w:space="0"/>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18"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5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58"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88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48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1020"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c>
          <w:tcPr>
            <w:tcW w:w="921" w:type="dxa"/>
            <w:tcBorders>
              <w:top w:val="nil"/>
            </w:tcBorders>
            <w:noWrap w:val="0"/>
            <w:vAlign w:val="center"/>
          </w:tcPr>
          <w:p>
            <w:pPr>
              <w:pStyle w:val="26"/>
              <w:keepNext/>
              <w:spacing w:after="0" w:line="440" w:lineRule="exact"/>
              <w:ind w:left="84" w:right="84"/>
              <w:jc w:val="center"/>
              <w:rPr>
                <w:rFonts w:hAnsi="宋体"/>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Ansi="宋体"/>
                <w:color w:val="auto"/>
                <w:sz w:val="24"/>
                <w:highlight w:val="none"/>
              </w:rPr>
            </w:pPr>
          </w:p>
        </w:tc>
        <w:tc>
          <w:tcPr>
            <w:tcW w:w="1418" w:type="dxa"/>
            <w:noWrap w:val="0"/>
            <w:vAlign w:val="center"/>
          </w:tcPr>
          <w:p>
            <w:pPr>
              <w:jc w:val="center"/>
              <w:rPr>
                <w:rFonts w:hAnsi="宋体"/>
                <w:color w:val="auto"/>
                <w:sz w:val="24"/>
                <w:highlight w:val="none"/>
              </w:rPr>
            </w:pPr>
          </w:p>
        </w:tc>
        <w:tc>
          <w:tcPr>
            <w:tcW w:w="850" w:type="dxa"/>
            <w:noWrap w:val="0"/>
            <w:vAlign w:val="center"/>
          </w:tcPr>
          <w:p>
            <w:pPr>
              <w:jc w:val="center"/>
              <w:rPr>
                <w:rFonts w:hAnsi="宋体"/>
                <w:color w:val="auto"/>
                <w:sz w:val="24"/>
                <w:highlight w:val="none"/>
              </w:rPr>
            </w:pPr>
          </w:p>
        </w:tc>
        <w:tc>
          <w:tcPr>
            <w:tcW w:w="1058" w:type="dxa"/>
            <w:noWrap w:val="0"/>
            <w:vAlign w:val="center"/>
          </w:tcPr>
          <w:p>
            <w:pPr>
              <w:jc w:val="center"/>
              <w:rPr>
                <w:rFonts w:hAnsi="宋体"/>
                <w:color w:val="auto"/>
                <w:sz w:val="24"/>
                <w:highlight w:val="none"/>
              </w:rPr>
            </w:pPr>
          </w:p>
        </w:tc>
        <w:tc>
          <w:tcPr>
            <w:tcW w:w="8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14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921"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Ansi="宋体"/>
                <w:color w:val="auto"/>
                <w:sz w:val="24"/>
                <w:highlight w:val="none"/>
              </w:rPr>
            </w:pPr>
          </w:p>
        </w:tc>
        <w:tc>
          <w:tcPr>
            <w:tcW w:w="1418" w:type="dxa"/>
            <w:noWrap w:val="0"/>
            <w:vAlign w:val="center"/>
          </w:tcPr>
          <w:p>
            <w:pPr>
              <w:jc w:val="center"/>
              <w:rPr>
                <w:rFonts w:hAnsi="宋体"/>
                <w:color w:val="auto"/>
                <w:sz w:val="24"/>
                <w:highlight w:val="none"/>
              </w:rPr>
            </w:pPr>
          </w:p>
        </w:tc>
        <w:tc>
          <w:tcPr>
            <w:tcW w:w="850" w:type="dxa"/>
            <w:noWrap w:val="0"/>
            <w:vAlign w:val="center"/>
          </w:tcPr>
          <w:p>
            <w:pPr>
              <w:jc w:val="center"/>
              <w:rPr>
                <w:rFonts w:hAnsi="宋体"/>
                <w:color w:val="auto"/>
                <w:sz w:val="24"/>
                <w:highlight w:val="none"/>
              </w:rPr>
            </w:pPr>
          </w:p>
        </w:tc>
        <w:tc>
          <w:tcPr>
            <w:tcW w:w="1058" w:type="dxa"/>
            <w:noWrap w:val="0"/>
            <w:vAlign w:val="center"/>
          </w:tcPr>
          <w:p>
            <w:pPr>
              <w:jc w:val="center"/>
              <w:rPr>
                <w:rFonts w:hAnsi="宋体"/>
                <w:color w:val="auto"/>
                <w:sz w:val="24"/>
                <w:highlight w:val="none"/>
              </w:rPr>
            </w:pPr>
          </w:p>
        </w:tc>
        <w:tc>
          <w:tcPr>
            <w:tcW w:w="8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14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921" w:type="dxa"/>
            <w:noWrap w:val="0"/>
            <w:vAlign w:val="center"/>
          </w:tcPr>
          <w:p>
            <w:pPr>
              <w:jc w:val="center"/>
              <w:rPr>
                <w:rFonts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jc w:val="center"/>
              <w:rPr>
                <w:rFonts w:hAnsi="宋体"/>
                <w:color w:val="auto"/>
                <w:sz w:val="24"/>
                <w:highlight w:val="none"/>
              </w:rPr>
            </w:pPr>
          </w:p>
        </w:tc>
        <w:tc>
          <w:tcPr>
            <w:tcW w:w="1418" w:type="dxa"/>
            <w:noWrap w:val="0"/>
            <w:vAlign w:val="center"/>
          </w:tcPr>
          <w:p>
            <w:pPr>
              <w:jc w:val="center"/>
              <w:rPr>
                <w:rFonts w:hAnsi="宋体"/>
                <w:color w:val="auto"/>
                <w:sz w:val="24"/>
                <w:highlight w:val="none"/>
              </w:rPr>
            </w:pPr>
          </w:p>
        </w:tc>
        <w:tc>
          <w:tcPr>
            <w:tcW w:w="850" w:type="dxa"/>
            <w:noWrap w:val="0"/>
            <w:vAlign w:val="center"/>
          </w:tcPr>
          <w:p>
            <w:pPr>
              <w:jc w:val="center"/>
              <w:rPr>
                <w:rFonts w:hAnsi="宋体"/>
                <w:color w:val="auto"/>
                <w:sz w:val="24"/>
                <w:highlight w:val="none"/>
              </w:rPr>
            </w:pPr>
          </w:p>
        </w:tc>
        <w:tc>
          <w:tcPr>
            <w:tcW w:w="1058" w:type="dxa"/>
            <w:noWrap w:val="0"/>
            <w:vAlign w:val="center"/>
          </w:tcPr>
          <w:p>
            <w:pPr>
              <w:jc w:val="center"/>
              <w:rPr>
                <w:rFonts w:hAnsi="宋体"/>
                <w:color w:val="auto"/>
                <w:sz w:val="24"/>
                <w:highlight w:val="none"/>
              </w:rPr>
            </w:pPr>
          </w:p>
        </w:tc>
        <w:tc>
          <w:tcPr>
            <w:tcW w:w="8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1480" w:type="dxa"/>
            <w:noWrap w:val="0"/>
            <w:vAlign w:val="center"/>
          </w:tcPr>
          <w:p>
            <w:pPr>
              <w:jc w:val="center"/>
              <w:rPr>
                <w:rFonts w:hAnsi="宋体"/>
                <w:color w:val="auto"/>
                <w:sz w:val="24"/>
                <w:highlight w:val="none"/>
              </w:rPr>
            </w:pPr>
          </w:p>
        </w:tc>
        <w:tc>
          <w:tcPr>
            <w:tcW w:w="1020" w:type="dxa"/>
            <w:noWrap w:val="0"/>
            <w:vAlign w:val="center"/>
          </w:tcPr>
          <w:p>
            <w:pPr>
              <w:jc w:val="center"/>
              <w:rPr>
                <w:rFonts w:hAnsi="宋体"/>
                <w:color w:val="auto"/>
                <w:sz w:val="24"/>
                <w:highlight w:val="none"/>
              </w:rPr>
            </w:pPr>
          </w:p>
        </w:tc>
        <w:tc>
          <w:tcPr>
            <w:tcW w:w="921" w:type="dxa"/>
            <w:noWrap w:val="0"/>
            <w:vAlign w:val="center"/>
          </w:tcPr>
          <w:p>
            <w:pPr>
              <w:jc w:val="center"/>
              <w:rPr>
                <w:rFonts w:hAnsi="宋体"/>
                <w:color w:val="auto"/>
                <w:sz w:val="24"/>
                <w:highlight w:val="none"/>
              </w:rPr>
            </w:pPr>
          </w:p>
        </w:tc>
      </w:tr>
    </w:tbl>
    <w:p>
      <w:pPr>
        <w:spacing w:line="440" w:lineRule="exact"/>
        <w:rPr>
          <w:rFonts w:hint="eastAsia" w:hAnsi="宋体"/>
          <w:color w:val="auto"/>
          <w:sz w:val="24"/>
          <w:highlight w:val="none"/>
        </w:rPr>
      </w:pPr>
    </w:p>
    <w:p>
      <w:pPr>
        <w:spacing w:line="440" w:lineRule="exact"/>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hAnsi="宋体"/>
          <w:color w:val="auto"/>
          <w:sz w:val="24"/>
          <w:highlight w:val="none"/>
        </w:rPr>
      </w:pPr>
    </w:p>
    <w:p>
      <w:pPr>
        <w:pStyle w:val="797"/>
        <w:rPr>
          <w:rFonts w:hint="eastAsia"/>
          <w:color w:val="auto"/>
          <w:highlight w:val="none"/>
        </w:rPr>
      </w:pPr>
      <w:r>
        <w:rPr>
          <w:rFonts w:hint="eastAsia" w:hAnsi="宋体"/>
          <w:color w:val="auto"/>
          <w:sz w:val="24"/>
          <w:highlight w:val="none"/>
        </w:rPr>
        <w:br w:type="page"/>
      </w:r>
    </w:p>
    <w:p>
      <w:pPr>
        <w:spacing w:line="460" w:lineRule="exact"/>
        <w:rPr>
          <w:rFonts w:hAnsi="宋体"/>
          <w:color w:val="auto"/>
          <w:sz w:val="24"/>
          <w:highlight w:val="none"/>
        </w:rPr>
      </w:pPr>
      <w:r>
        <w:rPr>
          <w:rFonts w:hAnsi="宋体"/>
          <w:color w:val="auto"/>
          <w:sz w:val="24"/>
          <w:highlight w:val="none"/>
        </w:rPr>
        <w:t>附件</w:t>
      </w:r>
      <w:r>
        <w:rPr>
          <w:rFonts w:hint="eastAsia" w:hAnsi="宋体"/>
          <w:color w:val="auto"/>
          <w:sz w:val="24"/>
          <w:highlight w:val="none"/>
          <w:lang w:val="en-US" w:eastAsia="zh-CN"/>
        </w:rPr>
        <w:t>3</w:t>
      </w:r>
      <w:r>
        <w:rPr>
          <w:rFonts w:hAnsi="宋体"/>
          <w:color w:val="auto"/>
          <w:sz w:val="24"/>
          <w:highlight w:val="none"/>
        </w:rPr>
        <w:t xml:space="preserve">：    </w:t>
      </w:r>
    </w:p>
    <w:p>
      <w:pPr>
        <w:spacing w:line="460" w:lineRule="exact"/>
        <w:jc w:val="center"/>
        <w:rPr>
          <w:rFonts w:hAnsi="宋体"/>
          <w:b/>
          <w:color w:val="auto"/>
          <w:sz w:val="24"/>
          <w:highlight w:val="none"/>
        </w:rPr>
      </w:pPr>
      <w:r>
        <w:rPr>
          <w:rFonts w:hAnsi="宋体"/>
          <w:b/>
          <w:color w:val="auto"/>
          <w:sz w:val="24"/>
          <w:highlight w:val="none"/>
        </w:rPr>
        <w:t>工程质量保修书</w:t>
      </w:r>
    </w:p>
    <w:p>
      <w:pPr>
        <w:spacing w:line="460" w:lineRule="exact"/>
        <w:jc w:val="center"/>
        <w:rPr>
          <w:rFonts w:hint="eastAsia" w:hAnsi="宋体"/>
          <w:b/>
          <w:color w:val="auto"/>
          <w:sz w:val="24"/>
          <w:highlight w:val="none"/>
        </w:rPr>
      </w:pPr>
      <w:r>
        <w:rPr>
          <w:rFonts w:hint="eastAsia" w:hAnsi="宋体"/>
          <w:b/>
          <w:color w:val="auto"/>
          <w:sz w:val="24"/>
          <w:highlight w:val="none"/>
        </w:rPr>
        <w:t xml:space="preserve">  </w:t>
      </w:r>
    </w:p>
    <w:p>
      <w:pPr>
        <w:spacing w:line="460" w:lineRule="exact"/>
        <w:ind w:firstLine="420" w:firstLineChars="200"/>
        <w:rPr>
          <w:rFonts w:hint="default" w:hAnsi="宋体"/>
          <w:color w:val="auto"/>
          <w:highlight w:val="none"/>
          <w:lang w:val="en-US" w:eastAsia="zh-CN"/>
        </w:rPr>
      </w:pPr>
      <w:r>
        <w:rPr>
          <w:rFonts w:hAnsi="宋体"/>
          <w:color w:val="auto"/>
          <w:highlight w:val="none"/>
        </w:rPr>
        <w:t>发包人（全称）：</w:t>
      </w:r>
      <w:r>
        <w:rPr>
          <w:rFonts w:hint="eastAsia" w:hAnsi="宋体"/>
          <w:color w:val="auto"/>
          <w:highlight w:val="none"/>
          <w:lang w:val="en-US" w:eastAsia="zh-CN"/>
        </w:rPr>
        <w:t xml:space="preserve"> </w:t>
      </w:r>
      <w:r>
        <w:rPr>
          <w:rFonts w:hint="eastAsia" w:hAnsi="宋体"/>
          <w:color w:val="auto"/>
          <w:highlight w:val="none"/>
          <w:u w:val="single"/>
          <w:lang w:val="en-US" w:eastAsia="zh-CN"/>
        </w:rPr>
        <w:t xml:space="preserve">                                       </w:t>
      </w:r>
    </w:p>
    <w:p>
      <w:pPr>
        <w:spacing w:line="460" w:lineRule="exact"/>
        <w:ind w:firstLine="480" w:firstLineChars="200"/>
        <w:rPr>
          <w:color w:val="auto"/>
          <w:sz w:val="24"/>
          <w:highlight w:val="none"/>
          <w:u w:val="single"/>
        </w:rPr>
      </w:pPr>
      <w:r>
        <w:rPr>
          <w:rFonts w:hAnsi="宋体"/>
          <w:color w:val="auto"/>
          <w:sz w:val="24"/>
          <w:highlight w:val="none"/>
        </w:rPr>
        <w:t>承包人（全称）：</w:t>
      </w:r>
      <w:r>
        <w:rPr>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发包人和承包人根据《中华人民共和国建筑法》和《建设工程质量管理条例》，经协商一致就</w:t>
      </w:r>
      <w:r>
        <w:rPr>
          <w:rFonts w:hint="eastAsia" w:hAnsi="宋体"/>
          <w:color w:val="auto"/>
          <w:sz w:val="24"/>
          <w:highlight w:val="none"/>
          <w:u w:val="single"/>
          <w:lang w:eastAsia="zh-CN"/>
        </w:rPr>
        <w:t>龙岗污水处理厂提标改造工程——设备工程</w:t>
      </w:r>
      <w:r>
        <w:rPr>
          <w:rFonts w:hAnsi="宋体"/>
          <w:color w:val="auto"/>
          <w:sz w:val="24"/>
          <w:highlight w:val="none"/>
        </w:rPr>
        <w:t>（</w:t>
      </w:r>
      <w:r>
        <w:rPr>
          <w:rFonts w:hint="eastAsia" w:hAnsi="宋体"/>
          <w:color w:val="auto"/>
          <w:sz w:val="24"/>
          <w:highlight w:val="none"/>
          <w:lang w:val="en-US" w:eastAsia="zh-CN"/>
        </w:rPr>
        <w:t>项目</w:t>
      </w:r>
      <w:r>
        <w:rPr>
          <w:rFonts w:hAnsi="宋体"/>
          <w:color w:val="auto"/>
          <w:sz w:val="24"/>
          <w:highlight w:val="none"/>
        </w:rPr>
        <w:t>全称）签订工程质量保修书。</w:t>
      </w:r>
    </w:p>
    <w:p>
      <w:pPr>
        <w:spacing w:line="460" w:lineRule="exact"/>
        <w:ind w:firstLine="480" w:firstLineChars="200"/>
        <w:rPr>
          <w:rFonts w:hAnsi="宋体"/>
          <w:color w:val="auto"/>
          <w:sz w:val="24"/>
          <w:highlight w:val="none"/>
        </w:rPr>
      </w:pPr>
      <w:r>
        <w:rPr>
          <w:rFonts w:hAnsi="宋体"/>
          <w:color w:val="auto"/>
          <w:sz w:val="24"/>
          <w:highlight w:val="none"/>
        </w:rPr>
        <w:t>一、工程质量保修范围和内容</w:t>
      </w:r>
    </w:p>
    <w:p>
      <w:pPr>
        <w:spacing w:line="460" w:lineRule="exact"/>
        <w:ind w:firstLine="480" w:firstLineChars="200"/>
        <w:rPr>
          <w:rFonts w:hAnsi="宋体"/>
          <w:color w:val="auto"/>
          <w:sz w:val="24"/>
          <w:highlight w:val="none"/>
        </w:rPr>
      </w:pPr>
      <w:r>
        <w:rPr>
          <w:rFonts w:hAnsi="宋体"/>
          <w:color w:val="auto"/>
          <w:sz w:val="24"/>
          <w:highlight w:val="none"/>
        </w:rPr>
        <w:t>承包人在质量保修期内，按照有关法律规定和合同约定，承担工程质量保修责任。</w:t>
      </w:r>
    </w:p>
    <w:p>
      <w:pPr>
        <w:pStyle w:val="26"/>
        <w:spacing w:after="0" w:line="460" w:lineRule="exact"/>
        <w:ind w:firstLine="480" w:firstLineChars="200"/>
        <w:rPr>
          <w:rFonts w:hint="eastAsia" w:hAnsi="宋体"/>
          <w:color w:val="auto"/>
          <w:sz w:val="24"/>
          <w:highlight w:val="none"/>
        </w:rPr>
      </w:pPr>
      <w:r>
        <w:rPr>
          <w:rFonts w:hAnsi="宋体"/>
          <w:color w:val="auto"/>
          <w:sz w:val="24"/>
          <w:highlight w:val="none"/>
        </w:rPr>
        <w:t>质量保修范围包括</w:t>
      </w:r>
      <w:r>
        <w:rPr>
          <w:rFonts w:hint="eastAsia" w:hAnsi="宋体"/>
          <w:color w:val="auto"/>
          <w:sz w:val="24"/>
          <w:highlight w:val="none"/>
        </w:rPr>
        <w:t>施工图纸、工程量清单、招标文件规定范围内的工程</w:t>
      </w:r>
      <w:r>
        <w:rPr>
          <w:rFonts w:hAnsi="宋体"/>
          <w:color w:val="auto"/>
          <w:sz w:val="24"/>
          <w:highlight w:val="none"/>
        </w:rPr>
        <w:t>以及双方约定的其他项目。具体保修的内容，双方约定如下：</w:t>
      </w:r>
      <w:r>
        <w:rPr>
          <w:rFonts w:hint="eastAsia" w:hAnsi="宋体"/>
          <w:color w:val="auto"/>
          <w:sz w:val="24"/>
          <w:highlight w:val="none"/>
        </w:rPr>
        <w:t>施工招标范围内的所有工程。</w:t>
      </w:r>
    </w:p>
    <w:p>
      <w:pPr>
        <w:spacing w:line="460" w:lineRule="exact"/>
        <w:ind w:firstLine="480" w:firstLineChars="200"/>
        <w:rPr>
          <w:rFonts w:hAnsi="宋体"/>
          <w:color w:val="auto"/>
          <w:sz w:val="24"/>
          <w:highlight w:val="none"/>
        </w:rPr>
      </w:pPr>
      <w:r>
        <w:rPr>
          <w:rFonts w:hAnsi="宋体"/>
          <w:color w:val="auto"/>
          <w:sz w:val="24"/>
          <w:highlight w:val="none"/>
        </w:rPr>
        <w:t>二、质量保修期</w:t>
      </w:r>
    </w:p>
    <w:p>
      <w:pPr>
        <w:spacing w:line="460" w:lineRule="exact"/>
        <w:ind w:firstLine="480" w:firstLineChars="200"/>
        <w:rPr>
          <w:rFonts w:hAnsi="宋体"/>
          <w:color w:val="auto"/>
          <w:sz w:val="24"/>
          <w:highlight w:val="none"/>
        </w:rPr>
      </w:pPr>
      <w:r>
        <w:rPr>
          <w:rFonts w:hAnsi="宋体"/>
          <w:color w:val="auto"/>
          <w:sz w:val="24"/>
          <w:highlight w:val="none"/>
        </w:rPr>
        <w:t>根据《建设工程质量管理条例》及有关规定，工程的质量保修期如下：</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1.地基基础工程和主体结构工程为设计文件规定的该工程合理使用年限；</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2.屋面防水工程、地下室防水工程、有防水要求的卫生间、房间和外墙面的防渗漏为8年（消费者权益保护法规定）；</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3.土建工程、安装工程</w:t>
      </w:r>
      <w:r>
        <w:rPr>
          <w:rFonts w:hint="eastAsia" w:hAnsi="宋体"/>
          <w:color w:val="auto"/>
          <w:sz w:val="24"/>
          <w:highlight w:val="none"/>
          <w:lang w:eastAsia="zh-CN"/>
        </w:rPr>
        <w:t>、</w:t>
      </w:r>
      <w:r>
        <w:rPr>
          <w:rFonts w:hint="eastAsia" w:hAnsi="宋体"/>
          <w:color w:val="auto"/>
          <w:sz w:val="24"/>
          <w:highlight w:val="none"/>
          <w:lang w:val="en-US" w:eastAsia="zh-CN"/>
        </w:rPr>
        <w:t>装修工程</w:t>
      </w:r>
      <w:r>
        <w:rPr>
          <w:rFonts w:hint="eastAsia" w:hAnsi="宋体"/>
          <w:color w:val="auto"/>
          <w:sz w:val="24"/>
          <w:highlight w:val="none"/>
        </w:rPr>
        <w:t>为</w:t>
      </w:r>
      <w:r>
        <w:rPr>
          <w:rFonts w:hint="eastAsia" w:hAnsi="宋体"/>
          <w:color w:val="auto"/>
          <w:sz w:val="24"/>
          <w:highlight w:val="none"/>
          <w:u w:val="single"/>
          <w:lang w:val="en-US" w:eastAsia="zh-CN"/>
        </w:rPr>
        <w:t>2</w:t>
      </w:r>
      <w:r>
        <w:rPr>
          <w:rFonts w:hint="eastAsia" w:hAnsi="宋体"/>
          <w:color w:val="auto"/>
          <w:sz w:val="24"/>
          <w:highlight w:val="none"/>
        </w:rPr>
        <w:t>年；</w:t>
      </w:r>
    </w:p>
    <w:p>
      <w:pPr>
        <w:spacing w:line="460" w:lineRule="exact"/>
        <w:ind w:firstLine="480" w:firstLineChars="200"/>
        <w:rPr>
          <w:rFonts w:hint="eastAsia" w:hAnsi="宋体"/>
          <w:color w:val="auto"/>
          <w:sz w:val="24"/>
          <w:highlight w:val="none"/>
        </w:rPr>
      </w:pPr>
      <w:r>
        <w:rPr>
          <w:rFonts w:hint="eastAsia" w:hAnsi="宋体"/>
          <w:color w:val="auto"/>
          <w:sz w:val="24"/>
          <w:highlight w:val="none"/>
        </w:rPr>
        <w:t>4.门窗工程为</w:t>
      </w:r>
      <w:r>
        <w:rPr>
          <w:rFonts w:hint="eastAsia" w:hAnsi="宋体"/>
          <w:color w:val="auto"/>
          <w:sz w:val="24"/>
          <w:highlight w:val="none"/>
          <w:u w:val="single"/>
        </w:rPr>
        <w:t xml:space="preserve">  5  </w:t>
      </w:r>
      <w:r>
        <w:rPr>
          <w:rFonts w:hint="eastAsia" w:hAnsi="宋体"/>
          <w:color w:val="auto"/>
          <w:sz w:val="24"/>
          <w:highlight w:val="none"/>
        </w:rPr>
        <w:t>年。</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rPr>
        <w:t>5.</w:t>
      </w:r>
      <w:r>
        <w:rPr>
          <w:rFonts w:hint="eastAsia" w:hAnsi="宋体"/>
          <w:color w:val="auto"/>
          <w:sz w:val="24"/>
          <w:highlight w:val="none"/>
          <w:lang w:eastAsia="zh-CN"/>
        </w:rPr>
        <w:t>绿化</w:t>
      </w:r>
      <w:r>
        <w:rPr>
          <w:rFonts w:hint="eastAsia" w:hAnsi="宋体"/>
          <w:color w:val="auto"/>
          <w:sz w:val="24"/>
          <w:highlight w:val="none"/>
        </w:rPr>
        <w:t>工程为</w:t>
      </w:r>
      <w:r>
        <w:rPr>
          <w:rFonts w:hint="eastAsia" w:hAnsi="宋体"/>
          <w:color w:val="auto"/>
          <w:sz w:val="24"/>
          <w:highlight w:val="none"/>
          <w:u w:val="single"/>
          <w:lang w:val="en-US" w:eastAsia="zh-CN"/>
        </w:rPr>
        <w:t xml:space="preserve"> 3 </w:t>
      </w:r>
      <w:r>
        <w:rPr>
          <w:rFonts w:hint="eastAsia" w:hAnsi="宋体"/>
          <w:color w:val="auto"/>
          <w:sz w:val="24"/>
          <w:highlight w:val="none"/>
        </w:rPr>
        <w:t>年；</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lang w:val="en-US" w:eastAsia="zh-CN"/>
        </w:rPr>
        <w:t>6</w:t>
      </w:r>
      <w:r>
        <w:rPr>
          <w:rFonts w:hint="eastAsia" w:hAnsi="宋体"/>
          <w:color w:val="auto"/>
          <w:sz w:val="24"/>
          <w:highlight w:val="none"/>
        </w:rPr>
        <w:t>.供热与供冷系统为</w:t>
      </w:r>
      <w:r>
        <w:rPr>
          <w:rFonts w:hint="eastAsia" w:hAnsi="宋体"/>
          <w:color w:val="auto"/>
          <w:sz w:val="24"/>
          <w:highlight w:val="none"/>
          <w:u w:val="single"/>
          <w:lang w:val="en-US" w:eastAsia="zh-CN"/>
        </w:rPr>
        <w:t>2</w:t>
      </w:r>
      <w:r>
        <w:rPr>
          <w:rFonts w:hint="eastAsia" w:hAnsi="宋体"/>
          <w:color w:val="auto"/>
          <w:sz w:val="24"/>
          <w:highlight w:val="none"/>
        </w:rPr>
        <w:t>个采暖期、供冷期；</w:t>
      </w:r>
    </w:p>
    <w:p>
      <w:pPr>
        <w:pStyle w:val="26"/>
        <w:spacing w:after="0" w:line="460" w:lineRule="exact"/>
        <w:ind w:firstLine="480" w:firstLineChars="200"/>
        <w:rPr>
          <w:rFonts w:hint="eastAsia" w:hAnsi="宋体"/>
          <w:color w:val="auto"/>
          <w:sz w:val="24"/>
          <w:highlight w:val="none"/>
        </w:rPr>
      </w:pPr>
      <w:r>
        <w:rPr>
          <w:rFonts w:hint="eastAsia" w:hAnsi="宋体"/>
          <w:color w:val="auto"/>
          <w:sz w:val="24"/>
          <w:highlight w:val="none"/>
          <w:lang w:val="en-US" w:eastAsia="zh-CN"/>
        </w:rPr>
        <w:t>7</w:t>
      </w:r>
      <w:r>
        <w:rPr>
          <w:rFonts w:hint="eastAsia" w:hAnsi="宋体"/>
          <w:color w:val="auto"/>
          <w:sz w:val="24"/>
          <w:highlight w:val="none"/>
        </w:rPr>
        <w:t>.给排水设施、道路等配套工程为</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2</w:t>
      </w:r>
      <w:r>
        <w:rPr>
          <w:rFonts w:hint="eastAsia" w:hAnsi="宋体"/>
          <w:color w:val="auto"/>
          <w:sz w:val="24"/>
          <w:highlight w:val="none"/>
          <w:u w:val="single"/>
        </w:rPr>
        <w:t xml:space="preserve"> </w:t>
      </w:r>
      <w:r>
        <w:rPr>
          <w:rFonts w:hint="eastAsia" w:hAnsi="宋体"/>
          <w:color w:val="auto"/>
          <w:sz w:val="24"/>
          <w:highlight w:val="none"/>
        </w:rPr>
        <w:t>年；</w:t>
      </w:r>
    </w:p>
    <w:p>
      <w:pPr>
        <w:snapToGrid w:val="0"/>
        <w:spacing w:line="460" w:lineRule="exact"/>
        <w:ind w:firstLine="480" w:firstLineChars="200"/>
        <w:rPr>
          <w:rFonts w:hint="eastAsia" w:hAnsi="宋体"/>
          <w:color w:val="auto"/>
          <w:sz w:val="24"/>
          <w:highlight w:val="none"/>
        </w:rPr>
      </w:pPr>
      <w:r>
        <w:rPr>
          <w:rFonts w:hint="eastAsia" w:hAnsi="宋体"/>
          <w:color w:val="auto"/>
          <w:sz w:val="24"/>
          <w:highlight w:val="none"/>
          <w:lang w:val="en-US" w:eastAsia="zh-CN"/>
        </w:rPr>
        <w:t>8</w:t>
      </w:r>
      <w:r>
        <w:rPr>
          <w:rFonts w:hint="eastAsia" w:hAnsi="宋体"/>
          <w:color w:val="auto"/>
          <w:sz w:val="24"/>
          <w:highlight w:val="none"/>
        </w:rPr>
        <w:t>.其他工程保修期限约定如下：</w:t>
      </w:r>
      <w:r>
        <w:rPr>
          <w:rFonts w:hint="eastAsia" w:hAnsi="宋体"/>
          <w:color w:val="auto"/>
          <w:sz w:val="24"/>
          <w:highlight w:val="none"/>
          <w:u w:val="single"/>
        </w:rPr>
        <w:t>以上未注明的工程质量保修年限，按</w:t>
      </w:r>
      <w:r>
        <w:rPr>
          <w:rFonts w:hAnsi="宋体"/>
          <w:color w:val="auto"/>
          <w:sz w:val="24"/>
          <w:highlight w:val="none"/>
          <w:u w:val="single"/>
        </w:rPr>
        <w:t>2000年1月10日国务院第25次常务会议通过</w:t>
      </w:r>
      <w:r>
        <w:rPr>
          <w:rFonts w:hint="eastAsia" w:hAnsi="宋体"/>
          <w:color w:val="auto"/>
          <w:sz w:val="24"/>
          <w:highlight w:val="none"/>
          <w:u w:val="single"/>
        </w:rPr>
        <w:t>的《建设工程质量管理条例》执行。质量保修期从工程实际竣工验收合格之日算起。分单项竣工验收的工程，按单项工程分别计算质量保修期。</w:t>
      </w:r>
    </w:p>
    <w:p>
      <w:pPr>
        <w:spacing w:line="400" w:lineRule="exact"/>
        <w:ind w:firstLine="480" w:firstLineChars="200"/>
        <w:rPr>
          <w:rFonts w:hAnsi="宋体"/>
          <w:color w:val="auto"/>
          <w:sz w:val="24"/>
          <w:szCs w:val="24"/>
          <w:highlight w:val="none"/>
        </w:rPr>
      </w:pPr>
      <w:r>
        <w:rPr>
          <w:rFonts w:hAnsi="宋体"/>
          <w:color w:val="auto"/>
          <w:sz w:val="24"/>
          <w:highlight w:val="none"/>
        </w:rPr>
        <w:t>质量保修期自工程竣工验收合格之日起计算。</w:t>
      </w:r>
      <w:r>
        <w:rPr>
          <w:rFonts w:hint="eastAsia" w:hAnsi="宋体"/>
          <w:color w:val="auto"/>
          <w:sz w:val="24"/>
          <w:szCs w:val="24"/>
          <w:highlight w:val="none"/>
        </w:rPr>
        <w:t>分单项竣工验收的工程，按单项工程分别计算质量保修期。</w:t>
      </w:r>
    </w:p>
    <w:p>
      <w:pPr>
        <w:spacing w:line="460" w:lineRule="exact"/>
        <w:ind w:firstLine="480" w:firstLineChars="200"/>
        <w:rPr>
          <w:rFonts w:hAnsi="宋体"/>
          <w:color w:val="auto"/>
          <w:sz w:val="24"/>
          <w:highlight w:val="none"/>
        </w:rPr>
      </w:pPr>
      <w:r>
        <w:rPr>
          <w:rFonts w:hAnsi="宋体"/>
          <w:color w:val="auto"/>
          <w:sz w:val="24"/>
          <w:highlight w:val="none"/>
        </w:rPr>
        <w:t>三、缺陷责任期</w:t>
      </w:r>
    </w:p>
    <w:p>
      <w:pPr>
        <w:spacing w:line="460" w:lineRule="exact"/>
        <w:ind w:firstLine="480" w:firstLineChars="200"/>
        <w:rPr>
          <w:rFonts w:hAnsi="宋体"/>
          <w:color w:val="auto"/>
          <w:sz w:val="24"/>
          <w:highlight w:val="none"/>
        </w:rPr>
      </w:pPr>
      <w:r>
        <w:rPr>
          <w:rFonts w:hAnsi="宋体"/>
          <w:color w:val="auto"/>
          <w:sz w:val="24"/>
          <w:highlight w:val="none"/>
        </w:rPr>
        <w:t>工程缺陷责任期为</w:t>
      </w:r>
      <w:r>
        <w:rPr>
          <w:rFonts w:hAnsi="宋体"/>
          <w:color w:val="auto"/>
          <w:sz w:val="24"/>
          <w:highlight w:val="none"/>
          <w:u w:val="single"/>
        </w:rPr>
        <w:t xml:space="preserve">  </w:t>
      </w:r>
      <w:r>
        <w:rPr>
          <w:rFonts w:hint="eastAsia" w:hAnsi="宋体"/>
          <w:color w:val="auto"/>
          <w:sz w:val="24"/>
          <w:highlight w:val="none"/>
          <w:u w:val="single"/>
        </w:rPr>
        <w:t>24</w:t>
      </w:r>
      <w:r>
        <w:rPr>
          <w:rFonts w:hAnsi="宋体"/>
          <w:color w:val="auto"/>
          <w:sz w:val="24"/>
          <w:highlight w:val="none"/>
          <w:u w:val="single"/>
        </w:rPr>
        <w:t xml:space="preserve">  </w:t>
      </w:r>
      <w:r>
        <w:rPr>
          <w:rFonts w:hAnsi="宋体"/>
          <w:color w:val="auto"/>
          <w:sz w:val="24"/>
          <w:highlight w:val="none"/>
        </w:rPr>
        <w:t>个月</w:t>
      </w:r>
      <w:r>
        <w:rPr>
          <w:rFonts w:hint="eastAsia" w:hAnsi="宋体" w:cs="宋体"/>
          <w:color w:val="auto"/>
          <w:sz w:val="24"/>
          <w:szCs w:val="24"/>
          <w:highlight w:val="none"/>
        </w:rPr>
        <w:t>，</w:t>
      </w:r>
      <w:r>
        <w:rPr>
          <w:rFonts w:hint="eastAsia" w:ascii="宋体" w:hAnsi="宋体" w:eastAsia="宋体" w:cs="宋体"/>
          <w:b/>
          <w:bCs/>
          <w:color w:val="auto"/>
          <w:sz w:val="24"/>
          <w:szCs w:val="24"/>
          <w:highlight w:val="none"/>
        </w:rPr>
        <w:t>缺陷责任期自工程通过竣工验收之日起计算。</w:t>
      </w:r>
      <w:r>
        <w:rPr>
          <w:rFonts w:hAnsi="宋体"/>
          <w:color w:val="auto"/>
          <w:sz w:val="24"/>
          <w:highlight w:val="none"/>
        </w:rPr>
        <w:t>单位工程先于全部工程进行验收，单位工程缺陷责任期自单位工程验收合格之日起算。</w:t>
      </w:r>
    </w:p>
    <w:p>
      <w:pPr>
        <w:spacing w:line="460" w:lineRule="exact"/>
        <w:ind w:firstLine="480" w:firstLineChars="200"/>
        <w:rPr>
          <w:rFonts w:hAnsi="宋体"/>
          <w:color w:val="auto"/>
          <w:sz w:val="24"/>
          <w:highlight w:val="none"/>
        </w:rPr>
      </w:pPr>
      <w:r>
        <w:rPr>
          <w:rFonts w:hAnsi="宋体"/>
          <w:color w:val="auto"/>
          <w:sz w:val="24"/>
          <w:highlight w:val="none"/>
        </w:rPr>
        <w:t>缺陷责任期终止后，发包人应退还剩余的质量保证金。</w:t>
      </w:r>
    </w:p>
    <w:p>
      <w:pPr>
        <w:spacing w:line="460" w:lineRule="exact"/>
        <w:ind w:firstLine="480" w:firstLineChars="200"/>
        <w:rPr>
          <w:rFonts w:hAnsi="宋体"/>
          <w:color w:val="auto"/>
          <w:sz w:val="24"/>
          <w:highlight w:val="none"/>
        </w:rPr>
      </w:pPr>
      <w:r>
        <w:rPr>
          <w:rFonts w:hAnsi="宋体"/>
          <w:color w:val="auto"/>
          <w:sz w:val="24"/>
          <w:highlight w:val="none"/>
        </w:rPr>
        <w:t>四、质量保修责任</w:t>
      </w:r>
    </w:p>
    <w:p>
      <w:pPr>
        <w:spacing w:line="460" w:lineRule="exact"/>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属于保修范围、内容的项目，承包人应当在接到保修通知之日起</w:t>
      </w:r>
      <w:r>
        <w:rPr>
          <w:rFonts w:hint="eastAsia" w:hAnsi="宋体"/>
          <w:color w:val="auto"/>
          <w:sz w:val="24"/>
          <w:highlight w:val="none"/>
        </w:rPr>
        <w:t>12小时</w:t>
      </w:r>
      <w:r>
        <w:rPr>
          <w:rFonts w:hAnsi="宋体"/>
          <w:color w:val="auto"/>
          <w:sz w:val="24"/>
          <w:highlight w:val="none"/>
        </w:rPr>
        <w:t>内派人保修。承包人不在约定期限内派人保修的，发包人可以委托他人修理</w:t>
      </w:r>
      <w:r>
        <w:rPr>
          <w:rFonts w:hint="eastAsia" w:hAnsi="宋体"/>
          <w:color w:val="auto"/>
          <w:sz w:val="24"/>
          <w:highlight w:val="none"/>
        </w:rPr>
        <w:t>，保修费用从质量保修金内扣除。</w:t>
      </w:r>
    </w:p>
    <w:p>
      <w:pPr>
        <w:snapToGrid w:val="0"/>
        <w:spacing w:line="460" w:lineRule="exact"/>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发生紧急事故需抢修的，承包人在接到事故通知后，应当立即到达事故现场抢修。</w:t>
      </w:r>
      <w:r>
        <w:rPr>
          <w:rFonts w:hint="eastAsia" w:hAnsi="宋体"/>
          <w:color w:val="auto"/>
          <w:sz w:val="24"/>
          <w:highlight w:val="none"/>
        </w:rPr>
        <w:t>非承包人施工质量引起的事故，抢修费用由发包人承担。</w:t>
      </w:r>
    </w:p>
    <w:p>
      <w:pPr>
        <w:spacing w:line="460" w:lineRule="exact"/>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firstLine="480" w:firstLineChars="200"/>
        <w:rPr>
          <w:rFonts w:hAnsi="宋体"/>
          <w:color w:val="auto"/>
          <w:sz w:val="24"/>
          <w:highlight w:val="none"/>
        </w:rPr>
      </w:pPr>
      <w:r>
        <w:rPr>
          <w:rFonts w:hint="eastAsia" w:hAnsi="宋体"/>
          <w:color w:val="auto"/>
          <w:sz w:val="24"/>
          <w:highlight w:val="none"/>
        </w:rPr>
        <w:t>4．</w:t>
      </w:r>
      <w:r>
        <w:rPr>
          <w:rFonts w:hAnsi="宋体"/>
          <w:color w:val="auto"/>
          <w:sz w:val="24"/>
          <w:highlight w:val="none"/>
        </w:rPr>
        <w:t>质量保修完成后，由发包人组织验收。</w:t>
      </w:r>
    </w:p>
    <w:p>
      <w:pPr>
        <w:spacing w:line="460" w:lineRule="exact"/>
        <w:ind w:firstLine="480" w:firstLineChars="200"/>
        <w:rPr>
          <w:rFonts w:hAnsi="宋体"/>
          <w:color w:val="auto"/>
          <w:sz w:val="24"/>
          <w:highlight w:val="none"/>
        </w:rPr>
      </w:pPr>
      <w:r>
        <w:rPr>
          <w:rFonts w:hAnsi="宋体"/>
          <w:color w:val="auto"/>
          <w:sz w:val="24"/>
          <w:highlight w:val="none"/>
        </w:rPr>
        <w:t>五、保修费用</w:t>
      </w:r>
    </w:p>
    <w:p>
      <w:pPr>
        <w:snapToGrid w:val="0"/>
        <w:spacing w:line="460" w:lineRule="exact"/>
        <w:ind w:firstLine="480" w:firstLineChars="200"/>
        <w:rPr>
          <w:rFonts w:hAnsi="宋体"/>
          <w:color w:val="auto"/>
          <w:sz w:val="24"/>
          <w:highlight w:val="none"/>
        </w:rPr>
      </w:pPr>
      <w:r>
        <w:rPr>
          <w:rFonts w:hAnsi="宋体"/>
          <w:color w:val="auto"/>
          <w:sz w:val="24"/>
          <w:highlight w:val="none"/>
        </w:rPr>
        <w:t>保修费用由造成质量缺陷的责任方承担。</w:t>
      </w:r>
      <w:r>
        <w:rPr>
          <w:rFonts w:hint="eastAsia" w:hAnsi="宋体"/>
          <w:color w:val="auto"/>
          <w:sz w:val="24"/>
          <w:highlight w:val="none"/>
        </w:rPr>
        <w:t xml:space="preserve">本工程约定的工程质量保修金为工程结算审定价款的 </w:t>
      </w:r>
      <w:r>
        <w:rPr>
          <w:rFonts w:hint="eastAsia" w:hAnsi="宋体"/>
          <w:color w:val="auto"/>
          <w:sz w:val="24"/>
          <w:highlight w:val="none"/>
          <w:u w:val="single"/>
        </w:rPr>
        <w:t xml:space="preserve"> </w:t>
      </w:r>
      <w:r>
        <w:rPr>
          <w:rFonts w:hint="eastAsia" w:hAnsi="宋体"/>
          <w:color w:val="auto"/>
          <w:sz w:val="24"/>
          <w:highlight w:val="none"/>
          <w:u w:val="single"/>
          <w:lang w:val="en-US" w:eastAsia="zh-CN"/>
        </w:rPr>
        <w:t>1</w:t>
      </w:r>
      <w:r>
        <w:rPr>
          <w:rFonts w:hint="eastAsia" w:hAnsi="宋体"/>
          <w:color w:val="auto"/>
          <w:sz w:val="24"/>
          <w:highlight w:val="none"/>
          <w:u w:val="single"/>
        </w:rPr>
        <w:t xml:space="preserve">.5 </w:t>
      </w:r>
      <w:r>
        <w:rPr>
          <w:rFonts w:hint="eastAsia" w:hAnsi="宋体"/>
          <w:color w:val="auto"/>
          <w:sz w:val="24"/>
          <w:highlight w:val="none"/>
        </w:rPr>
        <w:t>%，本工程双方约定承包人向发包人支付工程量保修金金额为（大写）：</w:t>
      </w:r>
      <w:r>
        <w:rPr>
          <w:rFonts w:hint="eastAsia" w:hAnsi="宋体"/>
          <w:color w:val="auto"/>
          <w:sz w:val="24"/>
          <w:highlight w:val="none"/>
          <w:u w:val="single"/>
        </w:rPr>
        <w:t xml:space="preserve">       </w:t>
      </w:r>
      <w:r>
        <w:rPr>
          <w:rFonts w:hint="eastAsia" w:hAnsi="宋体"/>
          <w:color w:val="auto"/>
          <w:sz w:val="24"/>
          <w:highlight w:val="none"/>
        </w:rPr>
        <w:t>。质量保修金银行利率为</w:t>
      </w:r>
      <w:r>
        <w:rPr>
          <w:rFonts w:hint="eastAsia" w:hAnsi="宋体"/>
          <w:color w:val="auto"/>
          <w:sz w:val="24"/>
          <w:highlight w:val="none"/>
          <w:u w:val="single"/>
        </w:rPr>
        <w:t xml:space="preserve">  0   </w:t>
      </w:r>
      <w:r>
        <w:rPr>
          <w:rFonts w:hint="eastAsia" w:hAnsi="宋体"/>
          <w:color w:val="auto"/>
          <w:sz w:val="24"/>
          <w:highlight w:val="none"/>
        </w:rPr>
        <w:t>。</w:t>
      </w:r>
    </w:p>
    <w:p>
      <w:pPr>
        <w:spacing w:line="460" w:lineRule="exact"/>
        <w:ind w:firstLine="480" w:firstLineChars="200"/>
        <w:jc w:val="left"/>
        <w:rPr>
          <w:rFonts w:hAnsi="宋体"/>
          <w:color w:val="auto"/>
          <w:sz w:val="24"/>
          <w:highlight w:val="none"/>
        </w:rPr>
      </w:pPr>
      <w:r>
        <w:rPr>
          <w:rFonts w:hAnsi="宋体"/>
          <w:color w:val="auto"/>
          <w:sz w:val="24"/>
          <w:highlight w:val="none"/>
        </w:rPr>
        <w:t>六、双方约定的其他工程质量保修事项：</w:t>
      </w:r>
      <w:r>
        <w:rPr>
          <w:rFonts w:hint="eastAsia" w:hAnsi="宋体"/>
          <w:color w:val="auto"/>
          <w:sz w:val="24"/>
          <w:highlight w:val="none"/>
          <w:u w:val="single"/>
        </w:rPr>
        <w:t xml:space="preserve">        /                  </w:t>
      </w:r>
      <w:r>
        <w:rPr>
          <w:rFonts w:hAnsi="宋体"/>
          <w:color w:val="auto"/>
          <w:sz w:val="24"/>
          <w:highlight w:val="none"/>
        </w:rPr>
        <w:t>。</w:t>
      </w:r>
    </w:p>
    <w:p>
      <w:pPr>
        <w:spacing w:line="460" w:lineRule="exact"/>
        <w:ind w:firstLine="480" w:firstLineChars="200"/>
        <w:rPr>
          <w:rFonts w:hAnsi="宋体"/>
          <w:color w:val="auto"/>
          <w:sz w:val="24"/>
          <w:highlight w:val="none"/>
        </w:rPr>
      </w:pPr>
      <w:r>
        <w:rPr>
          <w:rFonts w:hAnsi="宋体"/>
          <w:color w:val="auto"/>
          <w:sz w:val="24"/>
          <w:highlight w:val="none"/>
        </w:rPr>
        <w:t>工程质量保修书由发包人、承包人在工程竣工验收前共同签署，作为施工合同附件，其有效期限至保修期满。</w:t>
      </w:r>
    </w:p>
    <w:p>
      <w:pPr>
        <w:spacing w:line="460" w:lineRule="exact"/>
        <w:ind w:firstLine="480" w:firstLineChars="200"/>
        <w:rPr>
          <w:rFonts w:hAnsi="宋体"/>
          <w:color w:val="auto"/>
          <w:sz w:val="24"/>
          <w:highlight w:val="none"/>
        </w:rPr>
      </w:pPr>
    </w:p>
    <w:p>
      <w:pPr>
        <w:spacing w:line="460" w:lineRule="exact"/>
        <w:ind w:firstLine="480" w:firstLineChars="200"/>
        <w:rPr>
          <w:rFonts w:hAnsi="宋体"/>
          <w:color w:val="auto"/>
          <w:sz w:val="24"/>
          <w:highlight w:val="none"/>
        </w:rPr>
      </w:pPr>
    </w:p>
    <w:p>
      <w:pPr>
        <w:spacing w:line="460" w:lineRule="exact"/>
        <w:ind w:firstLine="480" w:firstLineChars="200"/>
        <w:rPr>
          <w:rFonts w:hAnsi="宋体"/>
          <w:color w:val="auto"/>
          <w:sz w:val="24"/>
          <w:highlight w:val="none"/>
        </w:rPr>
      </w:pPr>
      <w:r>
        <w:rPr>
          <w:rFonts w:hAnsi="宋体"/>
          <w:color w:val="auto"/>
          <w:sz w:val="24"/>
          <w:highlight w:val="none"/>
        </w:rPr>
        <w:t>发包人(公章)：</w:t>
      </w:r>
      <w:r>
        <w:rPr>
          <w:rFonts w:hAnsi="宋体"/>
          <w:color w:val="auto"/>
          <w:sz w:val="24"/>
          <w:highlight w:val="none"/>
          <w:u w:val="single"/>
        </w:rPr>
        <w:t xml:space="preserve"> </w:t>
      </w:r>
      <w:r>
        <w:rPr>
          <w:rFonts w:hint="eastAsia" w:hAnsi="宋体" w:cs="宋体"/>
          <w:color w:val="auto"/>
          <w:sz w:val="24"/>
          <w:highlight w:val="none"/>
          <w:u w:val="single"/>
        </w:rPr>
        <w:t xml:space="preserve">       </w:t>
      </w:r>
      <w:r>
        <w:rPr>
          <w:rFonts w:hAnsi="宋体"/>
          <w:color w:val="auto"/>
          <w:sz w:val="24"/>
          <w:highlight w:val="none"/>
        </w:rPr>
        <w:t xml:space="preserve"> 承包人(公章)：</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地  址：</w:t>
      </w:r>
      <w:r>
        <w:rPr>
          <w:rFonts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rPr>
        <w:t xml:space="preserve"> </w:t>
      </w:r>
      <w:r>
        <w:rPr>
          <w:rFonts w:hAnsi="宋体"/>
          <w:color w:val="auto"/>
          <w:sz w:val="24"/>
          <w:highlight w:val="none"/>
        </w:rPr>
        <w:t>地  址：</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法定代表人(签字)：</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法定代表人(签字)：</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委托代理人(签字)：</w:t>
      </w:r>
      <w:r>
        <w:rPr>
          <w:rFonts w:hint="eastAsia" w:hAnsi="宋体" w:cs="宋体"/>
          <w:color w:val="auto"/>
          <w:sz w:val="24"/>
          <w:highlight w:val="none"/>
          <w:u w:val="single"/>
        </w:rPr>
        <w:t xml:space="preserve">      </w:t>
      </w:r>
      <w:r>
        <w:rPr>
          <w:rFonts w:hAnsi="宋体"/>
          <w:color w:val="auto"/>
          <w:sz w:val="24"/>
          <w:highlight w:val="none"/>
        </w:rPr>
        <w:t xml:space="preserve"> 委托代理人(签字)：</w:t>
      </w:r>
      <w:r>
        <w:rPr>
          <w:rFonts w:hint="eastAsia" w:hAnsi="宋体" w:cs="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电  话：</w:t>
      </w:r>
      <w:r>
        <w:rPr>
          <w:rFonts w:hint="eastAsia" w:hAnsi="宋体" w:cs="宋体"/>
          <w:color w:val="auto"/>
          <w:sz w:val="24"/>
          <w:highlight w:val="none"/>
          <w:u w:val="single"/>
        </w:rPr>
        <w:t xml:space="preserve">   </w:t>
      </w:r>
      <w:r>
        <w:rPr>
          <w:rFonts w:hAnsi="宋体"/>
          <w:color w:val="auto"/>
          <w:sz w:val="24"/>
          <w:highlight w:val="none"/>
        </w:rPr>
        <w:t xml:space="preserve"> 电  话：</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传  真：</w:t>
      </w:r>
      <w:r>
        <w:rPr>
          <w:rFonts w:hint="eastAsia" w:hAnsi="宋体" w:cs="宋体"/>
          <w:color w:val="auto"/>
          <w:sz w:val="24"/>
          <w:highlight w:val="none"/>
          <w:u w:val="single"/>
        </w:rPr>
        <w:t xml:space="preserve">   </w:t>
      </w:r>
      <w:r>
        <w:rPr>
          <w:rFonts w:hAnsi="宋体"/>
          <w:color w:val="auto"/>
          <w:sz w:val="24"/>
          <w:highlight w:val="none"/>
        </w:rPr>
        <w:t xml:space="preserve"> 传  真：</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int="eastAsia" w:hAnsi="宋体" w:cs="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开户银行：</w:t>
      </w:r>
      <w:r>
        <w:rPr>
          <w:rFonts w:hint="eastAsia" w:hAnsi="宋体" w:cs="宋体"/>
          <w:color w:val="auto"/>
          <w:sz w:val="24"/>
          <w:highlight w:val="none"/>
          <w:u w:val="single"/>
        </w:rPr>
        <w:t xml:space="preserve">   </w:t>
      </w:r>
      <w:r>
        <w:rPr>
          <w:rFonts w:hAnsi="宋体"/>
          <w:color w:val="auto"/>
          <w:sz w:val="24"/>
          <w:highlight w:val="none"/>
        </w:rPr>
        <w:t xml:space="preserve"> 开户银行：</w:t>
      </w:r>
      <w:r>
        <w:rPr>
          <w:rFonts w:hint="eastAsia" w:hAnsi="宋体" w:cs="宋体"/>
          <w:color w:val="auto"/>
          <w:sz w:val="24"/>
          <w:highlight w:val="none"/>
          <w:u w:val="single"/>
        </w:rPr>
        <w:t xml:space="preserve">   </w:t>
      </w:r>
    </w:p>
    <w:p>
      <w:pPr>
        <w:spacing w:line="460" w:lineRule="exact"/>
        <w:ind w:firstLine="480" w:firstLineChars="200"/>
        <w:rPr>
          <w:rFonts w:hAnsi="宋体"/>
          <w:color w:val="auto"/>
          <w:sz w:val="24"/>
          <w:highlight w:val="none"/>
        </w:rPr>
      </w:pPr>
      <w:r>
        <w:rPr>
          <w:rFonts w:hAnsi="宋体"/>
          <w:color w:val="auto"/>
          <w:sz w:val="24"/>
          <w:highlight w:val="none"/>
        </w:rPr>
        <w:t>账  号：</w:t>
      </w:r>
      <w:r>
        <w:rPr>
          <w:rFonts w:hint="eastAsia" w:hAnsi="宋体" w:cs="宋体"/>
          <w:color w:val="auto"/>
          <w:sz w:val="24"/>
          <w:highlight w:val="none"/>
          <w:u w:val="single"/>
        </w:rPr>
        <w:t xml:space="preserve">       </w:t>
      </w:r>
      <w:r>
        <w:rPr>
          <w:rFonts w:hint="eastAsia" w:hAnsi="宋体"/>
          <w:color w:val="auto"/>
          <w:sz w:val="24"/>
          <w:highlight w:val="none"/>
        </w:rPr>
        <w:t xml:space="preserve">  </w:t>
      </w:r>
      <w:r>
        <w:rPr>
          <w:rFonts w:hAnsi="宋体"/>
          <w:color w:val="auto"/>
          <w:sz w:val="24"/>
          <w:highlight w:val="none"/>
        </w:rPr>
        <w:t>账</w:t>
      </w:r>
      <w:r>
        <w:rPr>
          <w:rFonts w:hint="eastAsia" w:hAnsi="宋体"/>
          <w:color w:val="auto"/>
          <w:sz w:val="24"/>
          <w:highlight w:val="none"/>
        </w:rPr>
        <w:t xml:space="preserve"> </w:t>
      </w:r>
      <w:r>
        <w:rPr>
          <w:rFonts w:hAnsi="宋体"/>
          <w:color w:val="auto"/>
          <w:sz w:val="24"/>
          <w:highlight w:val="none"/>
        </w:rPr>
        <w:t xml:space="preserve"> 号：</w:t>
      </w:r>
      <w:r>
        <w:rPr>
          <w:rFonts w:hint="eastAsia" w:hAnsi="宋体" w:cs="宋体"/>
          <w:color w:val="auto"/>
          <w:sz w:val="24"/>
          <w:highlight w:val="none"/>
          <w:u w:val="singl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pPr>
        <w:spacing w:line="460" w:lineRule="exact"/>
        <w:ind w:firstLine="480" w:firstLineChars="200"/>
        <w:rPr>
          <w:rFonts w:hint="eastAsia" w:hAnsi="宋体" w:cs="宋体"/>
          <w:color w:val="auto"/>
          <w:sz w:val="24"/>
          <w:highlight w:val="none"/>
          <w:u w:val="single"/>
        </w:rPr>
      </w:pPr>
      <w:r>
        <w:rPr>
          <w:rFonts w:hAnsi="宋体"/>
          <w:color w:val="auto"/>
          <w:sz w:val="24"/>
          <w:highlight w:val="none"/>
        </w:rPr>
        <w:t>邮政编码：</w:t>
      </w:r>
      <w:r>
        <w:rPr>
          <w:rFonts w:hAnsi="宋体"/>
          <w:color w:val="auto"/>
          <w:sz w:val="24"/>
          <w:highlight w:val="none"/>
          <w:u w:val="single"/>
        </w:rPr>
        <w:t xml:space="preserve"> </w:t>
      </w:r>
      <w:r>
        <w:rPr>
          <w:rFonts w:hint="eastAsia" w:hAnsi="宋体" w:cs="宋体"/>
          <w:color w:val="auto"/>
          <w:sz w:val="24"/>
          <w:highlight w:val="none"/>
          <w:u w:val="single"/>
        </w:rPr>
        <w:t xml:space="preserve">    </w:t>
      </w:r>
      <w:r>
        <w:rPr>
          <w:rFonts w:hAnsi="宋体"/>
          <w:color w:val="auto"/>
          <w:sz w:val="24"/>
          <w:highlight w:val="none"/>
        </w:rPr>
        <w:t xml:space="preserve"> 邮政编码：</w:t>
      </w:r>
      <w:r>
        <w:rPr>
          <w:rFonts w:hint="eastAsia" w:hAnsi="宋体" w:cs="宋体"/>
          <w:color w:val="auto"/>
          <w:sz w:val="24"/>
          <w:highlight w:val="none"/>
          <w:u w:val="single"/>
        </w:rPr>
        <w:t xml:space="preserve">   </w:t>
      </w:r>
    </w:p>
    <w:p>
      <w:pPr>
        <w:spacing w:line="440" w:lineRule="exact"/>
        <w:rPr>
          <w:rFonts w:hint="eastAsia" w:hAnsi="宋体"/>
          <w:color w:val="auto"/>
          <w:sz w:val="24"/>
          <w:highlight w:val="none"/>
        </w:rPr>
      </w:pPr>
    </w:p>
    <w:p>
      <w:pPr>
        <w:pStyle w:val="2"/>
        <w:rPr>
          <w:rFonts w:hint="eastAsia"/>
        </w:rPr>
        <w:sectPr>
          <w:pgSz w:w="11906" w:h="16838"/>
          <w:pgMar w:top="1077" w:right="1020" w:bottom="1077" w:left="1020" w:header="851" w:footer="992" w:gutter="0"/>
          <w:cols w:space="720" w:num="1"/>
          <w:titlePg/>
          <w:docGrid w:linePitch="312" w:charSpace="0"/>
        </w:sectPr>
      </w:pPr>
    </w:p>
    <w:bookmarkEnd w:id="394"/>
    <w:p>
      <w:pPr>
        <w:spacing w:line="360" w:lineRule="auto"/>
        <w:ind w:left="-420" w:leftChars="-200" w:right="-420" w:rightChars="-200"/>
        <w:rPr>
          <w:rFonts w:hint="eastAsia" w:ascii="宋体" w:hAnsi="宋体" w:eastAsia="宋体" w:cs="宋体"/>
          <w:sz w:val="24"/>
        </w:rPr>
      </w:pPr>
    </w:p>
    <w:p>
      <w:pPr>
        <w:spacing w:line="360" w:lineRule="auto"/>
        <w:ind w:left="-420" w:leftChars="-200" w:right="-420" w:rightChars="-200" w:firstLine="480" w:firstLineChars="200"/>
        <w:jc w:val="both"/>
        <w:outlineLvl w:val="0"/>
        <w:rPr>
          <w:rFonts w:hint="eastAsia" w:ascii="宋体" w:hAnsi="宋体" w:eastAsia="宋体" w:cs="宋体"/>
          <w:sz w:val="24"/>
        </w:rPr>
      </w:pPr>
    </w:p>
    <w:p>
      <w:pPr>
        <w:spacing w:line="360" w:lineRule="auto"/>
        <w:ind w:left="-420" w:leftChars="-200" w:right="-420" w:rightChars="-200" w:firstLine="480" w:firstLineChars="200"/>
        <w:jc w:val="center"/>
        <w:outlineLvl w:val="0"/>
        <w:rPr>
          <w:rFonts w:hint="eastAsia" w:ascii="宋体" w:hAnsi="宋体" w:eastAsia="宋体" w:cs="宋体"/>
          <w:sz w:val="24"/>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2"/>
      <w:r>
        <w:rPr>
          <w:rFonts w:hint="eastAsia" w:ascii="宋体" w:hAnsi="宋体" w:eastAsia="宋体" w:cs="宋体"/>
          <w:b/>
          <w:sz w:val="36"/>
          <w:szCs w:val="20"/>
        </w:rPr>
        <w:t xml:space="preserve"> </w:t>
      </w:r>
      <w:bookmarkEnd w:id="393"/>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w:t>
      </w:r>
    </w:p>
    <w:p>
      <w:pPr>
        <w:numPr>
          <w:ilvl w:val="0"/>
          <w:numId w:val="3"/>
        </w:num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符合参加政府采购活动应当具备的一般条件的承诺函</w:t>
      </w:r>
    </w:p>
    <w:p>
      <w:pPr>
        <w:pStyle w:val="2"/>
        <w:numPr>
          <w:ilvl w:val="0"/>
          <w:numId w:val="0"/>
        </w:numPr>
        <w:rPr>
          <w:rFonts w:hint="eastAsia"/>
        </w:rPr>
      </w:pP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pStyle w:val="3"/>
        <w:rPr>
          <w:rFonts w:hint="eastAsia"/>
        </w:rPr>
      </w:pPr>
    </w:p>
    <w:p>
      <w:pPr>
        <w:numPr>
          <w:ilvl w:val="0"/>
          <w:numId w:val="3"/>
        </w:numPr>
        <w:snapToGrid w:val="0"/>
        <w:spacing w:line="360" w:lineRule="auto"/>
        <w:ind w:left="0" w:leftChars="0" w:right="480" w:firstLine="0" w:firstLineChars="0"/>
        <w:jc w:val="center"/>
        <w:rPr>
          <w:rFonts w:hint="eastAsia" w:ascii="宋体" w:hAnsi="宋体" w:eastAsia="宋体" w:cs="宋体"/>
          <w:b/>
          <w:kern w:val="0"/>
          <w:sz w:val="32"/>
          <w:szCs w:val="32"/>
        </w:rPr>
      </w:pPr>
      <w:r>
        <w:rPr>
          <w:rFonts w:hint="eastAsia" w:ascii="宋体" w:hAnsi="宋体" w:eastAsia="宋体" w:cs="宋体"/>
          <w:b/>
          <w:kern w:val="0"/>
          <w:sz w:val="32"/>
          <w:szCs w:val="32"/>
        </w:rPr>
        <w:t>落实政府采购政策需满足的资格要求</w:t>
      </w:r>
    </w:p>
    <w:p>
      <w:pPr>
        <w:pStyle w:val="2"/>
        <w:numPr>
          <w:ilvl w:val="0"/>
          <w:numId w:val="0"/>
        </w:numPr>
        <w:ind w:leftChars="0"/>
        <w:rPr>
          <w:rFonts w:hint="eastAsia"/>
        </w:rPr>
      </w:pP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hint="eastAsia" w:ascii="宋体" w:hAnsi="宋体" w:eastAsia="宋体" w:cs="宋体"/>
          <w:b/>
          <w:kern w:val="0"/>
          <w:sz w:val="32"/>
          <w:szCs w:val="32"/>
        </w:rPr>
      </w:pPr>
    </w:p>
    <w:p>
      <w:pPr>
        <w:pStyle w:val="2"/>
        <w:rPr>
          <w:rFonts w:hint="eastAsia" w:ascii="宋体" w:hAnsi="宋体" w:eastAsia="宋体" w:cs="宋体"/>
          <w:b/>
          <w:kern w:val="0"/>
          <w:sz w:val="32"/>
          <w:szCs w:val="32"/>
        </w:rPr>
      </w:pPr>
    </w:p>
    <w:p>
      <w:pPr>
        <w:pStyle w:val="3"/>
        <w:rPr>
          <w:rFonts w:hint="eastAsia" w:ascii="宋体" w:hAnsi="宋体" w:eastAsia="宋体" w:cs="宋体"/>
          <w:b/>
          <w:kern w:val="0"/>
          <w:sz w:val="32"/>
          <w:szCs w:val="32"/>
        </w:rPr>
      </w:pPr>
    </w:p>
    <w:p>
      <w:pPr>
        <w:pStyle w:val="4"/>
        <w:rPr>
          <w:rFonts w:hint="eastAsia"/>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pacing w:line="360" w:lineRule="auto"/>
        <w:jc w:val="both"/>
        <w:outlineLvl w:val="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numPr>
          <w:ilvl w:val="0"/>
          <w:numId w:val="4"/>
        </w:numPr>
        <w:snapToGrid w:val="0"/>
        <w:spacing w:line="360" w:lineRule="auto"/>
        <w:ind w:left="479" w:leftChars="228"/>
        <w:rPr>
          <w:rFonts w:hint="eastAsia" w:ascii="宋体" w:hAnsi="宋体" w:eastAsia="宋体" w:cs="宋体"/>
        </w:rPr>
      </w:pPr>
      <w:r>
        <w:rPr>
          <w:rFonts w:hint="eastAsia" w:ascii="宋体" w:hAnsi="宋体" w:eastAsia="宋体" w:cs="宋体"/>
          <w:sz w:val="24"/>
        </w:rPr>
        <w:t>投标函</w:t>
      </w:r>
      <w:r>
        <w:rPr>
          <w:rFonts w:hint="eastAsia" w:ascii="宋体" w:hAnsi="宋体" w:eastAsia="宋体" w:cs="宋体"/>
        </w:rPr>
        <w:t>…………………………………………………………………………………（页码）</w:t>
      </w:r>
    </w:p>
    <w:p>
      <w:pPr>
        <w:numPr>
          <w:ilvl w:val="0"/>
          <w:numId w:val="0"/>
        </w:num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6</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pStyle w:val="2"/>
        <w:rPr>
          <w:rFonts w:hint="eastAsia"/>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2.1.1承诺函；</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3</w:t>
      </w:r>
      <w:r>
        <w:rPr>
          <w:rFonts w:hint="eastAsia" w:ascii="宋体" w:hAnsi="宋体" w:eastAsia="宋体" w:cs="宋体"/>
          <w:sz w:val="24"/>
        </w:rPr>
        <w:t>符合性审查资料；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5</w:t>
      </w:r>
      <w:r>
        <w:rPr>
          <w:rFonts w:hint="eastAsia" w:ascii="宋体" w:hAnsi="宋体" w:eastAsia="宋体" w:cs="宋体"/>
          <w:sz w:val="24"/>
        </w:rPr>
        <w:t>商务技术偏离表；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6</w:t>
      </w:r>
      <w:r>
        <w:rPr>
          <w:rFonts w:hint="eastAsia" w:ascii="宋体" w:hAnsi="宋体" w:eastAsia="宋体" w:cs="宋体"/>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2.3.1开标一览表（报价表）；</w:t>
      </w:r>
    </w:p>
    <w:p>
      <w:pPr>
        <w:pStyle w:val="2"/>
        <w:ind w:left="0" w:leftChars="0" w:firstLine="960" w:firstLineChars="400"/>
        <w:rPr>
          <w:rFonts w:hint="eastAsia"/>
        </w:rPr>
      </w:pPr>
      <w:r>
        <w:rPr>
          <w:rFonts w:hint="eastAsia"/>
          <w:lang w:val="en-US" w:eastAsia="zh-CN"/>
        </w:rPr>
        <w:t>2.3.2</w:t>
      </w:r>
      <w:r>
        <w:rPr>
          <w:rFonts w:hint="eastAsia"/>
        </w:rPr>
        <w:t>报价明细表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2.3.</w:t>
      </w:r>
      <w:r>
        <w:rPr>
          <w:rFonts w:hint="eastAsia" w:ascii="宋体" w:hAnsi="宋体" w:cs="宋体"/>
          <w:sz w:val="24"/>
          <w:lang w:val="en-US" w:eastAsia="zh-CN"/>
        </w:rPr>
        <w:t>3</w:t>
      </w:r>
      <w:r>
        <w:rPr>
          <w:rFonts w:hint="eastAsia" w:ascii="宋体" w:hAnsi="宋体" w:eastAsia="宋体" w:cs="宋体"/>
          <w:sz w:val="24"/>
        </w:rPr>
        <w:t>中小企业声明函（如果有）。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jc w:val="both"/>
        <w:rPr>
          <w:rFonts w:hint="eastAsia" w:ascii="宋体" w:hAnsi="宋体" w:eastAsia="宋体" w:cs="宋体"/>
          <w:b/>
          <w:kern w:val="0"/>
          <w:sz w:val="32"/>
          <w:szCs w:val="32"/>
          <w:lang w:val="zh-CN"/>
        </w:rPr>
      </w:pPr>
    </w:p>
    <w:p>
      <w:pPr>
        <w:jc w:val="both"/>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6"/>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9207" w:type="dxa"/>
          </w:tcPr>
          <w:p>
            <w:pPr>
              <w:pStyle w:val="146"/>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6"/>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jc w:val="cente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center"/>
          </w:tcPr>
          <w:p>
            <w:pPr>
              <w:jc w:val="center"/>
              <w:rPr>
                <w:rFonts w:hint="eastAsia" w:ascii="宋体" w:hAnsi="宋体" w:eastAsia="宋体" w:cs="宋体"/>
                <w:sz w:val="24"/>
              </w:rPr>
            </w:pPr>
            <w:r>
              <w:rPr>
                <w:rFonts w:hint="eastAsia" w:ascii="宋体" w:hAnsi="宋体" w:eastAsia="宋体" w:cs="宋体"/>
                <w:sz w:val="24"/>
              </w:rPr>
              <w:t>见投标文件</w:t>
            </w:r>
          </w:p>
          <w:p>
            <w:pPr>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vAlign w:val="center"/>
          </w:tcPr>
          <w:p>
            <w:pPr>
              <w:jc w:val="center"/>
              <w:rPr>
                <w:rFonts w:hint="eastAsia" w:ascii="宋体" w:hAnsi="宋体" w:eastAsia="宋体" w:cs="宋体"/>
                <w:sz w:val="24"/>
              </w:rPr>
            </w:pPr>
            <w:r>
              <w:rPr>
                <w:rFonts w:hint="eastAsia" w:ascii="宋体" w:hAnsi="宋体" w:eastAsia="宋体" w:cs="宋体"/>
                <w:sz w:val="24"/>
              </w:rPr>
              <w:t>投标文件</w:t>
            </w:r>
          </w:p>
          <w:p>
            <w:pPr>
              <w:pStyle w:val="7"/>
              <w:jc w:val="center"/>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vAlign w:val="bottom"/>
          </w:tcPr>
          <w:p>
            <w:pPr>
              <w:spacing w:line="360" w:lineRule="auto"/>
              <w:jc w:val="center"/>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jc w:val="center"/>
              <w:rPr>
                <w:rFonts w:hint="eastAsia" w:ascii="宋体" w:hAnsi="宋体" w:eastAsia="宋体" w:cs="宋体"/>
                <w:sz w:val="24"/>
              </w:rPr>
            </w:pPr>
            <w:r>
              <w:rPr>
                <w:rFonts w:hint="eastAsia" w:ascii="宋体" w:hAnsi="宋体" w:eastAsia="宋体" w:cs="宋体"/>
                <w:sz w:val="24"/>
              </w:rPr>
              <w:t>投标函</w:t>
            </w:r>
          </w:p>
        </w:tc>
        <w:tc>
          <w:tcPr>
            <w:tcW w:w="1418" w:type="dxa"/>
            <w:vAlign w:val="center"/>
          </w:tcPr>
          <w:p>
            <w:pPr>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jc w:val="cente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pStyle w:val="2"/>
        <w:rPr>
          <w:rFonts w:hint="eastAsia"/>
        </w:rPr>
      </w:pPr>
    </w:p>
    <w:p>
      <w:pPr>
        <w:numPr>
          <w:ilvl w:val="0"/>
          <w:numId w:val="0"/>
        </w:numPr>
        <w:jc w:val="center"/>
        <w:rPr>
          <w:rFonts w:hint="eastAsia" w:ascii="宋体" w:hAnsi="宋体" w:eastAsia="宋体" w:cs="宋体"/>
          <w:b/>
          <w:kern w:val="0"/>
          <w:sz w:val="32"/>
          <w:szCs w:val="32"/>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评标标准相应的商务技术资料</w:t>
      </w:r>
    </w:p>
    <w:p>
      <w:pPr>
        <w:pStyle w:val="2"/>
        <w:numPr>
          <w:ilvl w:val="0"/>
          <w:numId w:val="0"/>
        </w:numPr>
        <w:rPr>
          <w:rFonts w:hint="eastAsia"/>
        </w:rPr>
      </w:pP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numPr>
          <w:ilvl w:val="0"/>
          <w:numId w:val="0"/>
        </w:numPr>
        <w:ind w:leftChars="0"/>
        <w:jc w:val="center"/>
        <w:rPr>
          <w:rFonts w:hint="eastAsia" w:ascii="宋体" w:hAnsi="宋体" w:eastAsia="宋体" w:cs="宋体"/>
          <w:b/>
          <w:kern w:val="0"/>
          <w:sz w:val="32"/>
          <w:szCs w:val="32"/>
        </w:rPr>
      </w:pPr>
      <w:r>
        <w:rPr>
          <w:rFonts w:hint="eastAsia" w:ascii="宋体" w:hAnsi="宋体" w:cs="宋体"/>
          <w:b/>
          <w:kern w:val="0"/>
          <w:sz w:val="32"/>
          <w:szCs w:val="32"/>
          <w:lang w:eastAsia="zh-CN"/>
        </w:rPr>
        <w:t>五、</w:t>
      </w:r>
      <w:r>
        <w:rPr>
          <w:rFonts w:hint="eastAsia" w:ascii="宋体" w:hAnsi="宋体" w:eastAsia="宋体" w:cs="宋体"/>
          <w:b/>
          <w:kern w:val="0"/>
          <w:sz w:val="32"/>
          <w:szCs w:val="32"/>
        </w:rPr>
        <w:t>商务技术偏离表</w:t>
      </w:r>
    </w:p>
    <w:p>
      <w:pPr>
        <w:pStyle w:val="2"/>
        <w:numPr>
          <w:ilvl w:val="0"/>
          <w:numId w:val="0"/>
        </w:numPr>
        <w:ind w:leftChars="0"/>
        <w:rPr>
          <w:rFonts w:hint="eastAsia"/>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bCs/>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pStyle w:val="2"/>
        <w:rPr>
          <w:rFonts w:hint="eastAsia"/>
        </w:rPr>
      </w:pPr>
    </w:p>
    <w:p>
      <w:pPr>
        <w:ind w:firstLine="1911" w:firstLineChars="595"/>
        <w:rPr>
          <w:rFonts w:hint="eastAsia" w:ascii="宋体" w:hAnsi="宋体" w:eastAsia="宋体" w:cs="宋体"/>
          <w:b/>
          <w:kern w:val="0"/>
          <w:sz w:val="32"/>
          <w:szCs w:val="32"/>
        </w:rPr>
      </w:pPr>
      <w:r>
        <w:rPr>
          <w:rFonts w:hint="eastAsia" w:ascii="宋体" w:hAnsi="宋体" w:cs="宋体"/>
          <w:b/>
          <w:kern w:val="0"/>
          <w:sz w:val="32"/>
          <w:szCs w:val="32"/>
          <w:lang w:eastAsia="zh-CN"/>
        </w:rPr>
        <w:t>六</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077" w:right="1020" w:bottom="1077" w:left="1020"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（2）报价明细表：工程量清单编制严格按《杭州市建设工程工程量清单计价实施细则（2018年修订）》实施。………………………………………………………………（页码）</w:t>
      </w:r>
    </w:p>
    <w:p>
      <w:pPr>
        <w:pStyle w:val="2"/>
        <w:ind w:left="0" w:leftChars="0" w:firstLine="0" w:firstLineChars="0"/>
        <w:rPr>
          <w:rFonts w:hint="eastAsia" w:eastAsia="宋体"/>
          <w:lang w:eastAsia="zh-CN"/>
        </w:rPr>
      </w:pPr>
      <w:r>
        <w:rPr>
          <w:rFonts w:hint="eastAsia"/>
          <w:lang w:eastAsia="zh-CN"/>
        </w:rPr>
        <w:t>（</w:t>
      </w:r>
      <w:r>
        <w:rPr>
          <w:rFonts w:hint="eastAsia"/>
          <w:lang w:val="en-US" w:eastAsia="zh-CN"/>
        </w:rPr>
        <w:t>3</w:t>
      </w:r>
      <w:r>
        <w:rPr>
          <w:rFonts w:hint="eastAsia"/>
          <w:lang w:eastAsia="zh-CN"/>
        </w:rPr>
        <w:t>）中小企业声明函</w:t>
      </w:r>
      <w:r>
        <w:rPr>
          <w:rFonts w:hint="eastAsia" w:ascii="宋体" w:hAnsi="宋体" w:eastAsia="宋体" w:cs="宋体"/>
          <w:sz w:val="24"/>
        </w:rPr>
        <w:t>………………………………………………………（页码）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077" w:right="1020" w:bottom="1077" w:left="102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u w:val="single"/>
        </w:rPr>
      </w:pPr>
      <w:r>
        <w:rPr>
          <w:rFonts w:hint="eastAsia" w:ascii="宋体" w:hAnsi="宋体" w:eastAsia="宋体" w:cs="宋体"/>
          <w:sz w:val="24"/>
          <w:u w:val="single"/>
        </w:rPr>
        <w:t>（采购人）、（采购代理机构）</w:t>
      </w:r>
      <w:r>
        <w:rPr>
          <w:rFonts w:hint="eastAsia" w:ascii="宋体" w:hAnsi="宋体" w:eastAsia="宋体" w:cs="宋体"/>
          <w:kern w:val="0"/>
          <w:sz w:val="24"/>
          <w:u w:val="single"/>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u w:val="single"/>
        </w:rPr>
        <w:t>（项目名称）</w:t>
      </w:r>
      <w:r>
        <w:rPr>
          <w:rFonts w:hint="eastAsia" w:ascii="宋体" w:hAnsi="宋体" w:cs="宋体"/>
          <w:sz w:val="24"/>
          <w:u w:val="single"/>
          <w:lang w:val="en-US" w:eastAsia="zh-CN"/>
        </w:rPr>
        <w:t xml:space="preserve">        </w:t>
      </w:r>
      <w:r>
        <w:rPr>
          <w:rFonts w:hint="eastAsia" w:ascii="宋体" w:hAnsi="宋体" w:eastAsia="宋体" w:cs="宋体"/>
          <w:kern w:val="0"/>
          <w:sz w:val="24"/>
          <w:lang w:val="zh-CN"/>
        </w:rPr>
        <w:t>【招标编号：</w:t>
      </w:r>
      <w:r>
        <w:rPr>
          <w:rFonts w:hint="eastAsia" w:ascii="宋体" w:hAnsi="宋体" w:eastAsia="宋体" w:cs="宋体"/>
          <w:sz w:val="24"/>
          <w:u w:val="single"/>
        </w:rPr>
        <w:t>（采购编号）</w:t>
      </w:r>
      <w:r>
        <w:rPr>
          <w:rFonts w:hint="eastAsia" w:ascii="宋体" w:hAnsi="宋体" w:cs="宋体"/>
          <w:sz w:val="24"/>
          <w:u w:val="single"/>
          <w:lang w:val="en-US" w:eastAsia="zh-CN"/>
        </w:rPr>
        <w:t xml:space="preserve">      </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5715"/>
        <w:gridCol w:w="1290"/>
        <w:gridCol w:w="432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15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5715"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29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432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w:t>
            </w:r>
          </w:p>
        </w:tc>
        <w:tc>
          <w:tcPr>
            <w:tcW w:w="1455" w:type="dxa"/>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15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5715" w:type="dxa"/>
            <w:vAlign w:val="center"/>
          </w:tcPr>
          <w:p>
            <w:pPr>
              <w:snapToGrid w:val="0"/>
              <w:spacing w:line="360" w:lineRule="auto"/>
              <w:jc w:val="center"/>
              <w:rPr>
                <w:rFonts w:hint="eastAsia" w:ascii="宋体" w:hAnsi="宋体" w:eastAsia="宋体" w:cs="宋体"/>
                <w:sz w:val="24"/>
              </w:rPr>
            </w:pPr>
          </w:p>
        </w:tc>
        <w:tc>
          <w:tcPr>
            <w:tcW w:w="1290" w:type="dxa"/>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1项</w:t>
            </w:r>
          </w:p>
        </w:tc>
        <w:tc>
          <w:tcPr>
            <w:tcW w:w="4320" w:type="dxa"/>
            <w:vAlign w:val="center"/>
          </w:tcPr>
          <w:p>
            <w:pPr>
              <w:spacing w:line="360" w:lineRule="auto"/>
              <w:jc w:val="both"/>
              <w:rPr>
                <w:rFonts w:hint="eastAsia" w:ascii="宋体" w:hAnsi="宋体" w:eastAsia="宋体" w:cs="宋体"/>
                <w:sz w:val="24"/>
              </w:rPr>
            </w:pPr>
            <w:r>
              <w:rPr>
                <w:rFonts w:hint="eastAsia" w:ascii="宋体" w:hAnsi="宋体" w:eastAsia="宋体" w:cs="宋体"/>
                <w:sz w:val="24"/>
              </w:rPr>
              <w:t>投标报价（小写）：</w:t>
            </w:r>
          </w:p>
          <w:p>
            <w:pPr>
              <w:spacing w:line="360" w:lineRule="auto"/>
              <w:jc w:val="both"/>
              <w:rPr>
                <w:rFonts w:hint="eastAsia" w:ascii="宋体" w:hAnsi="宋体" w:eastAsia="宋体" w:cs="宋体"/>
                <w:sz w:val="24"/>
              </w:rPr>
            </w:pPr>
            <w:r>
              <w:rPr>
                <w:rFonts w:hint="eastAsia" w:ascii="宋体" w:hAnsi="宋体" w:eastAsia="宋体" w:cs="宋体"/>
                <w:sz w:val="24"/>
              </w:rPr>
              <w:t>投标报价（大写）：</w:t>
            </w:r>
          </w:p>
        </w:tc>
        <w:tc>
          <w:tcPr>
            <w:tcW w:w="1455" w:type="dxa"/>
            <w:vAlign w:val="center"/>
          </w:tcPr>
          <w:p>
            <w:pPr>
              <w:spacing w:line="360" w:lineRule="auto"/>
              <w:jc w:val="center"/>
              <w:rPr>
                <w:rFonts w:hint="eastAsia" w:ascii="宋体" w:hAnsi="宋体" w:eastAsia="宋体" w:cs="宋体"/>
                <w:sz w:val="24"/>
              </w:rPr>
            </w:pPr>
          </w:p>
        </w:tc>
      </w:tr>
    </w:tbl>
    <w:p>
      <w:pPr>
        <w:spacing w:line="360" w:lineRule="auto"/>
        <w:rPr>
          <w:rFonts w:hint="eastAsia" w:ascii="宋体" w:hAnsi="宋体" w:eastAsia="宋体" w:cs="宋体"/>
          <w:b/>
          <w:kern w:val="0"/>
          <w:sz w:val="24"/>
          <w:lang w:val="zh-CN"/>
        </w:rPr>
      </w:pPr>
      <w:r>
        <w:rPr>
          <w:rFonts w:hint="eastAsia" w:ascii="宋体" w:hAnsi="宋体" w:cs="宋体"/>
          <w:b/>
          <w:kern w:val="0"/>
          <w:sz w:val="24"/>
          <w:lang w:val="zh-CN"/>
        </w:rPr>
        <w:t>注：</w:t>
      </w:r>
    </w:p>
    <w:p>
      <w:pPr>
        <w:spacing w:line="360" w:lineRule="auto"/>
        <w:ind w:firstLine="480" w:firstLineChars="200"/>
        <w:rPr>
          <w:rFonts w:hint="eastAsia" w:ascii="宋体" w:hAnsi="宋体" w:eastAsia="宋体" w:cs="宋体"/>
          <w:b w:val="0"/>
          <w:bCs/>
          <w:kern w:val="0"/>
          <w:sz w:val="24"/>
          <w:lang w:val="zh-CN"/>
        </w:rPr>
      </w:pPr>
      <w:r>
        <w:rPr>
          <w:rFonts w:hint="eastAsia" w:ascii="宋体" w:hAnsi="宋体" w:eastAsia="宋体" w:cs="宋体"/>
          <w:b w:val="0"/>
          <w:bCs/>
          <w:kern w:val="0"/>
          <w:sz w:val="24"/>
          <w:lang w:val="zh-CN"/>
        </w:rPr>
        <w:t>1、此表报价单不得涂改，请按规定要求填报。</w:t>
      </w:r>
    </w:p>
    <w:p>
      <w:pPr>
        <w:spacing w:line="360" w:lineRule="auto"/>
        <w:ind w:firstLine="480" w:firstLineChars="200"/>
        <w:rPr>
          <w:rFonts w:hint="eastAsia" w:ascii="宋体" w:hAnsi="宋体" w:eastAsia="宋体" w:cs="宋体"/>
          <w:b w:val="0"/>
          <w:bCs/>
          <w:kern w:val="0"/>
          <w:sz w:val="24"/>
          <w:lang w:val="zh-CN"/>
        </w:rPr>
      </w:pPr>
      <w:r>
        <w:rPr>
          <w:rFonts w:hint="eastAsia" w:ascii="宋体" w:hAnsi="宋体" w:eastAsia="宋体" w:cs="宋体"/>
          <w:b w:val="0"/>
          <w:bCs/>
          <w:kern w:val="0"/>
          <w:sz w:val="24"/>
          <w:lang w:val="zh-CN"/>
        </w:rPr>
        <w:t>2、以上报价应与“报价明细表”中的“合计”数相一致。</w:t>
      </w:r>
    </w:p>
    <w:p>
      <w:pPr>
        <w:spacing w:line="360" w:lineRule="auto"/>
        <w:ind w:firstLine="480" w:firstLineChars="200"/>
        <w:rPr>
          <w:rFonts w:hint="eastAsia" w:ascii="宋体" w:hAnsi="宋体" w:eastAsia="宋体" w:cs="宋体"/>
          <w:b w:val="0"/>
          <w:bCs/>
          <w:kern w:val="0"/>
          <w:sz w:val="24"/>
        </w:rPr>
      </w:pPr>
      <w:r>
        <w:rPr>
          <w:rFonts w:hint="eastAsia" w:ascii="宋体" w:hAnsi="宋体" w:eastAsia="宋体" w:cs="宋体"/>
          <w:b w:val="0"/>
          <w:bCs/>
          <w:kern w:val="0"/>
          <w:sz w:val="24"/>
          <w:lang w:val="zh-CN"/>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numPr>
          <w:ilvl w:val="0"/>
          <w:numId w:val="5"/>
        </w:numPr>
        <w:tabs>
          <w:tab w:val="clear" w:pos="720"/>
        </w:tabs>
        <w:snapToGrid w:val="0"/>
        <w:spacing w:before="120" w:after="120"/>
        <w:jc w:val="both"/>
        <w:outlineLvl w:val="9"/>
        <w:rPr>
          <w:rFonts w:hint="eastAsia" w:ascii="宋体" w:hAnsi="宋体" w:eastAsia="宋体" w:cs="宋体"/>
          <w:kern w:val="2"/>
          <w:sz w:val="32"/>
          <w:szCs w:val="32"/>
        </w:rPr>
      </w:pPr>
      <w:r>
        <w:rPr>
          <w:rFonts w:hint="eastAsia" w:ascii="宋体" w:hAnsi="宋体" w:eastAsia="宋体" w:cs="宋体"/>
          <w:kern w:val="2"/>
          <w:sz w:val="32"/>
          <w:szCs w:val="32"/>
        </w:rPr>
        <w:t>报价明细表格式如下：</w:t>
      </w:r>
    </w:p>
    <w:p>
      <w:pPr>
        <w:pStyle w:val="690"/>
        <w:keepNext w:val="0"/>
        <w:pageBreakBefore w:val="0"/>
        <w:widowControl w:val="0"/>
        <w:numPr>
          <w:ilvl w:val="0"/>
          <w:numId w:val="0"/>
        </w:numPr>
        <w:tabs>
          <w:tab w:val="clear" w:pos="720"/>
        </w:tabs>
        <w:adjustRightInd w:val="0"/>
        <w:snapToGrid w:val="0"/>
        <w:spacing w:before="120" w:after="120" w:line="360" w:lineRule="auto"/>
        <w:jc w:val="center"/>
        <w:outlineLvl w:val="9"/>
        <w:rPr>
          <w:rFonts w:hint="eastAsia" w:ascii="宋体" w:hAnsi="宋体" w:eastAsia="宋体" w:cs="宋体"/>
          <w:kern w:val="2"/>
          <w:sz w:val="30"/>
          <w:szCs w:val="30"/>
        </w:rPr>
      </w:pPr>
      <w:r>
        <w:rPr>
          <w:rFonts w:hint="eastAsia" w:ascii="宋体" w:hAnsi="宋体" w:eastAsia="宋体" w:cs="宋体"/>
          <w:kern w:val="2"/>
          <w:sz w:val="30"/>
          <w:szCs w:val="30"/>
        </w:rPr>
        <w:t>工程量清单报价要求</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一)投标报价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自行拟定的施工组织设计或施工方案；市场价格或工程造价管理机构发布的价格信息；其他相关资料。</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(二)</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应当根据本企业的具体经营状况、技术装备水平、管理水平，视工程的实际情况、风险程度，自主报价。</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不得以低于其企业成本的投标报价竞标。</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其投标报价情况提供书面报价说明。报价说明的主要内容包括：投标报价的编制依据；对投标工期、质量、材料、施工等方面的承诺；综合单价中考虑的风险因素、风险范围（幅度）；措施项目的依据；其他需要说明的问题。</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 xml:space="preserve">   (三）投标报价应按照以下原则计价：</w:t>
      </w:r>
    </w:p>
    <w:p>
      <w:pPr>
        <w:widowControl/>
        <w:spacing w:line="460" w:lineRule="exact"/>
        <w:ind w:firstLine="482" w:firstLineChars="200"/>
        <w:rPr>
          <w:rFonts w:hAnsi="宋体" w:cs="仿宋_GB2312"/>
          <w:color w:val="auto"/>
          <w:kern w:val="0"/>
          <w:sz w:val="24"/>
          <w:highlight w:val="none"/>
        </w:rPr>
      </w:pPr>
      <w:r>
        <w:rPr>
          <w:rFonts w:hint="eastAsia" w:hAnsi="宋体" w:cs="仿宋_GB2312"/>
          <w:b/>
          <w:color w:val="auto"/>
          <w:kern w:val="0"/>
          <w:sz w:val="24"/>
          <w:highlight w:val="none"/>
        </w:rPr>
        <w:t>1.分部分项工程项目清单费用</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（1）</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按招标工程量清单填报价格。投标报价采用综合单价计价，</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承担的风险范围及其费用。</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（2）人工费、材料费、机械使用费、企业管理费和利润的费用所涵盖内容按省级建设行政主管部门颁发的取费定额确定。上级建设行政主管部门颁发的相关计价文件对费用内容组成另有调整的，按其规定执行。</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（3）综合单价应包括招标人自行采购材料的价款。招标文件提供暂定价的材料，</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按暂定的单价计入综合单价。暂定价材料如遇本省计价依据中无相类似的材料时，</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应该在投标文件报价说明中明确该暂定价材料的损耗率。</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（4）企业管理费、利润的费用计算由</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自主确定或参照省建设行政主管部门颁发的施工费用定额和计算方法计算。</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投标报价时，企业管理费中应包括施工企业现场监控和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同时，</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必须对企业管理费中所包含的施工企业的现场监控、现场临时宿舍取暖降温费用，在相应的清单明细表中（表2-5）进行单独费用报价分析。</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施工企业的现场监控、现场临时宿舍取暖降温费用，应根据市政府、市建设行政主管部门颁发的有关文件对于现场监控和现场民工宿舍空调的设置要求或标准规定落实相应费用的报价。</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未按上述规定要求报价的，评标委员会可以评定为废标。</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（5）综合单价中的风险费计算应根据招标文件中所明确的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应承担的风险范围和幅度由</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自主确定。</w:t>
      </w:r>
    </w:p>
    <w:p>
      <w:pPr>
        <w:widowControl/>
        <w:spacing w:line="460" w:lineRule="exact"/>
        <w:ind w:firstLine="482" w:firstLineChars="200"/>
        <w:rPr>
          <w:rFonts w:hAnsi="宋体" w:cs="仿宋_GB2312"/>
          <w:b/>
          <w:color w:val="auto"/>
          <w:kern w:val="0"/>
          <w:sz w:val="24"/>
          <w:highlight w:val="none"/>
        </w:rPr>
      </w:pPr>
      <w:r>
        <w:rPr>
          <w:rFonts w:hint="eastAsia" w:hAnsi="宋体" w:cs="仿宋_GB2312"/>
          <w:b/>
          <w:color w:val="auto"/>
          <w:kern w:val="0"/>
          <w:sz w:val="24"/>
          <w:highlight w:val="none"/>
        </w:rPr>
        <w:t>2.措施项目清单费用</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（1）</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应根据招标人提供的措施项目清单和</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自行确定的施工组织设计或施工方案填报数量和价格，不发生的措施项目金额以“</w:t>
      </w:r>
      <w:r>
        <w:rPr>
          <w:rFonts w:hint="eastAsia" w:hAnsi="宋体" w:cs="仿宋_GB2312"/>
          <w:color w:val="auto"/>
          <w:kern w:val="0"/>
          <w:sz w:val="24"/>
          <w:highlight w:val="none"/>
          <w:lang w:val="en-US" w:eastAsia="zh-CN"/>
        </w:rPr>
        <w:t>0</w:t>
      </w:r>
      <w:r>
        <w:rPr>
          <w:rFonts w:hint="eastAsia" w:hAnsi="宋体" w:cs="仿宋_GB2312"/>
          <w:color w:val="auto"/>
          <w:kern w:val="0"/>
          <w:sz w:val="24"/>
          <w:highlight w:val="none"/>
        </w:rPr>
        <w:t>”计价。遇有措施项目清单未列项的，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可补充措施项目并报价。</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（2）技术措施项目中的单价项目报价可参照综合单价的组成自主确定或参照省建设行政主管部门发布的消耗量定额、施工费用定额和计算方法计算。</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（3）措施项目中凡属周转使用的设备、材料，均应按单次使用摊销量报价。</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（4）</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应针对拟建工程编制保证安全施工、文明施工、环境保护和临时设施的技术措施方案，并按招标工程量清单中的相应措施清单提供数量和报价。遇有缺项时，</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可补充措施项目。</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（5）施工取费费率依照本省现行计价依据的有关规定执行；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安全文明施工措施项目费用包括安全施工、文明施工、环境保护和临时设施费用，必须充分保证。</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应结合招标工程的实际，依据招标人提供的安全文明施工措施项目清单及计价表（表1-3-A-1），按项目整体考虑分别报价。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安全文明施工措施费用报价不得低于建设行政主管部门颁发的取费计价文件规定的弹性费率下限的计算值。</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未按规定要求报价的，评标委员会可以评定为废标；即：安全文明施工措施费用的投标报价≥∑[(专业工程分部分项工程量清单中的取费基数值 + 技术措施项目清单中的取费基数值)×对应专业工程基本费下限费率]；</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上级建设主管部门颁发的有关文件对该措施费用内容和费率下限标准有调整的，按其规定执行。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暂不填报报价；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上级建设主管部门颁发的有关文件对该措施费用内容和费率下限标准有调整的，按其规定执行。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未按上述规定要求报价的，评标委员会可评定为废标。</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安全文明施工措施费不得挪作他用。工程实施过程中应根据投标文件的承诺和合同约定，经监理单位</w:t>
      </w:r>
      <w:r>
        <w:rPr>
          <w:rFonts w:hint="eastAsia" w:hAnsi="宋体" w:cs="仿宋_GB2312"/>
          <w:color w:val="auto"/>
          <w:kern w:val="0"/>
          <w:sz w:val="24"/>
          <w:highlight w:val="none"/>
          <w:lang w:eastAsia="zh-CN"/>
        </w:rPr>
        <w:t>（</w:t>
      </w:r>
      <w:r>
        <w:rPr>
          <w:rFonts w:hint="eastAsia" w:hAnsi="宋体" w:cs="仿宋_GB2312"/>
          <w:color w:val="auto"/>
          <w:kern w:val="0"/>
          <w:sz w:val="24"/>
          <w:highlight w:val="none"/>
          <w:lang w:val="en-US" w:eastAsia="zh-CN"/>
        </w:rPr>
        <w:t>若有</w:t>
      </w:r>
      <w:r>
        <w:rPr>
          <w:rFonts w:hint="eastAsia" w:hAnsi="宋体" w:cs="仿宋_GB2312"/>
          <w:color w:val="auto"/>
          <w:kern w:val="0"/>
          <w:sz w:val="24"/>
          <w:highlight w:val="none"/>
          <w:lang w:eastAsia="zh-CN"/>
        </w:rPr>
        <w:t>）</w:t>
      </w:r>
      <w:r>
        <w:rPr>
          <w:rFonts w:hint="eastAsia" w:hAnsi="宋体" w:cs="仿宋_GB2312"/>
          <w:color w:val="auto"/>
          <w:kern w:val="0"/>
          <w:sz w:val="24"/>
          <w:highlight w:val="none"/>
        </w:rPr>
        <w:t>审查认可后由建设单位足额支付。</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（6）</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措施项目各分项之间不得重复报价。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3、其他项目清单费用</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（1）暂列金额，</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按招标工程量清单确定的金额填报；总承包服务费，</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按招标工程量清单确定的项目内容和要求自主确定费率并报价；计日工费，</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按招标工程量清单列出的项目内容和数量自主确定综合单价并计算报价。招标人对计日工费内容和数量未作要求的，</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不需要作出报价。</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（2）其他项目清单中的暂列金额和计日工，均为招标人估算、预测数量，投标时计入</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的报价中，竣工结算时应按承包人实际完成的工程内容结算</w:t>
      </w:r>
    </w:p>
    <w:p>
      <w:pPr>
        <w:widowControl/>
        <w:spacing w:line="460" w:lineRule="exact"/>
        <w:ind w:firstLine="482" w:firstLineChars="200"/>
        <w:rPr>
          <w:rFonts w:hAnsi="宋体" w:cs="仿宋_GB2312"/>
          <w:b/>
          <w:color w:val="auto"/>
          <w:kern w:val="0"/>
          <w:sz w:val="24"/>
          <w:highlight w:val="none"/>
        </w:rPr>
      </w:pPr>
      <w:r>
        <w:rPr>
          <w:rFonts w:hint="eastAsia" w:hAnsi="宋体" w:cs="仿宋_GB2312"/>
          <w:b/>
          <w:color w:val="auto"/>
          <w:kern w:val="0"/>
          <w:sz w:val="24"/>
          <w:highlight w:val="none"/>
        </w:rPr>
        <w:t>4.规费、税金</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规费、税金按省建设行政主管部门颁发的施工费用定额的内容和计费标准计算报价。省、市政府及有关权力部门颁发的政策性文件对规费、税金的内容和计费标准有调整的，按其规定执行。</w:t>
      </w:r>
    </w:p>
    <w:p>
      <w:pPr>
        <w:widowControl/>
        <w:spacing w:line="460" w:lineRule="exact"/>
        <w:ind w:firstLine="480" w:firstLineChars="200"/>
        <w:rPr>
          <w:rFonts w:hint="eastAsia" w:hAnsi="宋体" w:cs="仿宋_GB2312"/>
          <w:color w:val="auto"/>
          <w:kern w:val="0"/>
          <w:sz w:val="24"/>
          <w:highlight w:val="none"/>
        </w:rPr>
      </w:pPr>
      <w:r>
        <w:rPr>
          <w:rFonts w:hint="eastAsia" w:hAnsi="宋体" w:cs="仿宋_GB2312"/>
          <w:color w:val="auto"/>
          <w:kern w:val="0"/>
          <w:sz w:val="24"/>
          <w:highlight w:val="none"/>
        </w:rPr>
        <w:t>规费费率低于现行标准费率30%的作废标处理；</w:t>
      </w:r>
    </w:p>
    <w:p>
      <w:pPr>
        <w:widowControl/>
        <w:spacing w:line="460" w:lineRule="exact"/>
        <w:ind w:firstLine="480" w:firstLineChars="200"/>
        <w:rPr>
          <w:rFonts w:hint="eastAsia" w:hAnsi="宋体" w:eastAsia="宋体" w:cs="仿宋_GB2312"/>
          <w:color w:val="auto"/>
          <w:kern w:val="0"/>
          <w:sz w:val="24"/>
          <w:highlight w:val="none"/>
          <w:lang w:eastAsia="zh-CN"/>
        </w:rPr>
      </w:pPr>
      <w:r>
        <w:rPr>
          <w:rFonts w:hint="eastAsia" w:hAnsi="宋体" w:cs="仿宋_GB2312"/>
          <w:color w:val="auto"/>
          <w:kern w:val="0"/>
          <w:sz w:val="24"/>
          <w:highlight w:val="none"/>
        </w:rPr>
        <w:t>税金作为不可竞争费用，费率低于现行规定的作废标处理</w:t>
      </w:r>
      <w:r>
        <w:rPr>
          <w:rFonts w:hint="eastAsia" w:hAnsi="宋体" w:cs="仿宋_GB2312"/>
          <w:color w:val="auto"/>
          <w:kern w:val="0"/>
          <w:sz w:val="24"/>
          <w:highlight w:val="none"/>
          <w:lang w:eastAsia="zh-CN"/>
        </w:rPr>
        <w:t>；</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（四）招标工程量清单中标明的工程量是</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投标报价的共同基础，</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不得擅自修改招标工程量清单的分部分项工程项目清单内容。</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工程量清单报价应与工、料、机报价及对应的报价分析相符，与拟建工程的施工组织设计或施工方案相符。</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应根据自己的企业定额或参照省建设行政主管部门颁发的消耗量定额向招标人提供具体的报价计算分析，其各项报价分析表与工程量清单计价表之间的金额（价格）应前后对应一致。</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（五）除《杭州市建设工程工程量清单计价实施细则（2018年修订）》另有规定外，</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对措施项目清单中不发生的项目，其费用报价允许</w:t>
      </w:r>
      <w:r>
        <w:rPr>
          <w:rFonts w:hint="eastAsia" w:hAnsi="宋体" w:cs="仿宋_GB2312"/>
          <w:color w:val="auto"/>
          <w:kern w:val="0"/>
          <w:sz w:val="24"/>
          <w:highlight w:val="none"/>
          <w:lang w:eastAsia="zh-CN"/>
        </w:rPr>
        <w:t>响应人</w:t>
      </w:r>
      <w:r>
        <w:rPr>
          <w:rFonts w:hint="eastAsia" w:hAnsi="宋体" w:cs="仿宋_GB2312"/>
          <w:color w:val="auto"/>
          <w:kern w:val="0"/>
          <w:sz w:val="24"/>
          <w:highlight w:val="none"/>
        </w:rPr>
        <w:t>根据实际情况报“</w:t>
      </w:r>
      <w:r>
        <w:rPr>
          <w:rFonts w:hint="eastAsia" w:hAnsi="宋体" w:cs="仿宋_GB2312"/>
          <w:color w:val="auto"/>
          <w:kern w:val="0"/>
          <w:sz w:val="24"/>
          <w:highlight w:val="none"/>
          <w:lang w:val="en-US" w:eastAsia="zh-CN"/>
        </w:rPr>
        <w:t>0</w:t>
      </w:r>
      <w:r>
        <w:rPr>
          <w:rFonts w:hint="eastAsia" w:hAnsi="宋体" w:cs="仿宋_GB2312"/>
          <w:color w:val="auto"/>
          <w:kern w:val="0"/>
          <w:sz w:val="24"/>
          <w:highlight w:val="none"/>
        </w:rPr>
        <w:t>”，但须与施工组织设计或施工方案对应并提供充分的说明和依据。</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（六）清单报价中的任何算术性错误，招标人按下列原则予以调整：</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1.大写金额和小写金额不一致，以大写金额为准；</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2.合价金额与单价金额和工程量的乘积不一致的，以单价金额为准，但单价金额有明显错误的除外；</w:t>
      </w:r>
    </w:p>
    <w:p>
      <w:pPr>
        <w:widowControl/>
        <w:spacing w:line="460" w:lineRule="exact"/>
        <w:ind w:firstLine="480" w:firstLineChars="200"/>
        <w:rPr>
          <w:rFonts w:hAnsi="宋体" w:cs="仿宋_GB2312"/>
          <w:color w:val="auto"/>
          <w:kern w:val="0"/>
          <w:sz w:val="24"/>
          <w:highlight w:val="none"/>
        </w:rPr>
      </w:pPr>
      <w:r>
        <w:rPr>
          <w:rFonts w:hint="eastAsia" w:hAnsi="宋体" w:cs="仿宋_GB2312"/>
          <w:color w:val="auto"/>
          <w:kern w:val="0"/>
          <w:sz w:val="24"/>
          <w:highlight w:val="none"/>
        </w:rPr>
        <w:t>3.合价累计金额与小计（合计）金额不一致的，以合价累计金额为准，并修改小计（合计）金额及总报价。</w:t>
      </w:r>
    </w:p>
    <w:p>
      <w:pPr>
        <w:widowControl/>
        <w:spacing w:line="460" w:lineRule="exact"/>
        <w:ind w:firstLine="480" w:firstLineChars="200"/>
        <w:rPr>
          <w:rFonts w:hint="eastAsia" w:hAnsi="宋体" w:cs="仿宋_GB2312"/>
          <w:b/>
          <w:bCs/>
          <w:color w:val="auto"/>
          <w:kern w:val="0"/>
          <w:sz w:val="24"/>
          <w:highlight w:val="none"/>
        </w:rPr>
      </w:pPr>
      <w:r>
        <w:rPr>
          <w:rFonts w:hint="eastAsia" w:ascii="宋体" w:hAnsi="宋体" w:cs="宋体"/>
          <w:bCs/>
          <w:color w:val="auto"/>
          <w:sz w:val="24"/>
          <w:highlight w:val="none"/>
        </w:rPr>
        <w:t>▲</w:t>
      </w:r>
      <w:r>
        <w:rPr>
          <w:rFonts w:hint="eastAsia" w:hAnsi="宋体" w:cs="仿宋_GB2312"/>
          <w:b/>
          <w:bCs/>
          <w:color w:val="auto"/>
          <w:kern w:val="0"/>
          <w:sz w:val="24"/>
          <w:highlight w:val="none"/>
        </w:rPr>
        <w:t>（七）根据住房和城乡建设部、省建设主管部门对造价从业人员执业管理的相关法律法规规定以及《建设工程工程量清单计价规范》（GB50500-2013）的规定，投标报价的编制必须遵守以下规定：</w:t>
      </w:r>
    </w:p>
    <w:p>
      <w:pPr>
        <w:widowControl/>
        <w:spacing w:line="460" w:lineRule="exact"/>
        <w:ind w:firstLine="482" w:firstLineChars="200"/>
        <w:rPr>
          <w:rFonts w:hint="eastAsia" w:hAnsi="宋体" w:cs="仿宋_GB2312"/>
          <w:b/>
          <w:bCs/>
          <w:color w:val="auto"/>
          <w:kern w:val="0"/>
          <w:sz w:val="24"/>
          <w:highlight w:val="none"/>
        </w:rPr>
      </w:pPr>
      <w:r>
        <w:rPr>
          <w:rFonts w:hint="eastAsia" w:hAnsi="宋体" w:cs="仿宋_GB2312"/>
          <w:b/>
          <w:bCs/>
          <w:color w:val="auto"/>
          <w:kern w:val="0"/>
          <w:sz w:val="24"/>
          <w:highlight w:val="none"/>
        </w:rPr>
        <w:t>1.投标报价应由投标人或受其委托具有相应能力的工程造价咨询人编制。</w:t>
      </w:r>
    </w:p>
    <w:p>
      <w:pPr>
        <w:widowControl/>
        <w:spacing w:line="460" w:lineRule="exact"/>
        <w:ind w:firstLine="482" w:firstLineChars="200"/>
        <w:rPr>
          <w:rFonts w:hAnsi="宋体" w:cs="仿宋_GB2312"/>
          <w:b/>
          <w:bCs/>
          <w:color w:val="auto"/>
          <w:kern w:val="0"/>
          <w:sz w:val="24"/>
          <w:highlight w:val="none"/>
        </w:rPr>
      </w:pPr>
      <w:r>
        <w:rPr>
          <w:rFonts w:hint="eastAsia" w:hAnsi="宋体" w:cs="仿宋_GB2312"/>
          <w:b/>
          <w:bCs/>
          <w:color w:val="auto"/>
          <w:kern w:val="0"/>
          <w:sz w:val="24"/>
          <w:highlight w:val="none"/>
        </w:rPr>
        <w:t>2.投标文件的编制人不得接受同一工程招标人委托编制招标文件（含招标控制价)，并不得接受其他投标人委托编制投标文件。</w:t>
      </w:r>
    </w:p>
    <w:p>
      <w:pPr>
        <w:pStyle w:val="690"/>
        <w:keepNext w:val="0"/>
        <w:pageBreakBefore w:val="0"/>
        <w:widowControl w:val="0"/>
        <w:numPr>
          <w:ilvl w:val="0"/>
          <w:numId w:val="0"/>
        </w:numPr>
        <w:tabs>
          <w:tab w:val="clear" w:pos="720"/>
        </w:tabs>
        <w:adjustRightInd w:val="0"/>
        <w:snapToGrid w:val="0"/>
        <w:spacing w:before="120" w:after="120" w:line="360" w:lineRule="auto"/>
        <w:ind w:firstLine="480" w:firstLineChars="200"/>
        <w:jc w:val="both"/>
        <w:outlineLvl w:val="9"/>
        <w:rPr>
          <w:rFonts w:hint="eastAsia" w:ascii="宋体" w:hAnsi="宋体" w:eastAsia="宋体" w:cs="宋体"/>
          <w:b w:val="0"/>
          <w:bCs/>
          <w:kern w:val="2"/>
          <w:sz w:val="30"/>
          <w:szCs w:val="30"/>
        </w:rPr>
        <w:sectPr>
          <w:headerReference r:id="rId21" w:type="first"/>
          <w:footerReference r:id="rId24" w:type="first"/>
          <w:headerReference r:id="rId20" w:type="default"/>
          <w:footerReference r:id="rId22" w:type="default"/>
          <w:footerReference r:id="rId23" w:type="even"/>
          <w:pgSz w:w="11906" w:h="16838"/>
          <w:pgMar w:top="1077" w:right="1020" w:bottom="1077" w:left="1020" w:header="851" w:footer="992" w:gutter="0"/>
          <w:cols w:space="720" w:num="1"/>
          <w:titlePg/>
          <w:docGrid w:linePitch="312" w:charSpace="0"/>
        </w:sectPr>
      </w:pPr>
      <w:r>
        <w:rPr>
          <w:rFonts w:hint="eastAsia" w:ascii="宋体" w:hAnsi="宋体" w:eastAsia="宋体" w:cs="宋体"/>
          <w:b w:val="0"/>
          <w:bCs/>
          <w:color w:val="auto"/>
          <w:kern w:val="0"/>
          <w:sz w:val="24"/>
          <w:highlight w:val="none"/>
        </w:rPr>
        <w:t>（八）按照《杭州市人民政府办公厅关于印发杭州市建设工程推广应用预拌砂浆管理办法的通知》（杭政办函[2011]</w:t>
      </w:r>
      <w:r>
        <w:rPr>
          <w:rFonts w:hint="eastAsia" w:ascii="宋体" w:hAnsi="宋体" w:eastAsia="宋体" w:cs="宋体"/>
          <w:b w:val="0"/>
          <w:bCs/>
          <w:color w:val="auto"/>
          <w:kern w:val="0"/>
          <w:sz w:val="24"/>
          <w:highlight w:val="none"/>
          <w:lang w:val="en-US" w:eastAsia="zh-CN"/>
        </w:rPr>
        <w:t xml:space="preserve"> </w:t>
      </w:r>
      <w:r>
        <w:rPr>
          <w:rFonts w:hint="eastAsia" w:ascii="宋体" w:hAnsi="宋体" w:eastAsia="宋体" w:cs="宋体"/>
          <w:b w:val="0"/>
          <w:bCs/>
          <w:color w:val="auto"/>
          <w:kern w:val="0"/>
          <w:sz w:val="24"/>
          <w:highlight w:val="none"/>
        </w:rPr>
        <w:t>32号文件）的要求使用预拌砂浆，</w:t>
      </w:r>
      <w:r>
        <w:rPr>
          <w:rFonts w:hint="eastAsia" w:ascii="宋体" w:hAnsi="宋体" w:eastAsia="宋体" w:cs="宋体"/>
          <w:b w:val="0"/>
          <w:bCs/>
          <w:color w:val="auto"/>
          <w:kern w:val="0"/>
          <w:sz w:val="24"/>
          <w:highlight w:val="none"/>
          <w:lang w:val="en-US" w:eastAsia="zh-CN"/>
        </w:rPr>
        <w:t>响应</w:t>
      </w:r>
      <w:r>
        <w:rPr>
          <w:rFonts w:hint="eastAsia" w:ascii="宋体" w:hAnsi="宋体" w:eastAsia="宋体" w:cs="宋体"/>
          <w:b w:val="0"/>
          <w:bCs/>
          <w:color w:val="auto"/>
          <w:kern w:val="0"/>
          <w:sz w:val="24"/>
          <w:highlight w:val="none"/>
        </w:rPr>
        <w:t>人应将使用预拌砂浆的费用计入投标报价范围。</w:t>
      </w:r>
    </w:p>
    <w:p>
      <w:pPr>
        <w:widowControl/>
        <w:tabs>
          <w:tab w:val="center" w:pos="4755"/>
          <w:tab w:val="right" w:pos="9070"/>
        </w:tabs>
        <w:spacing w:before="100" w:beforeAutospacing="1" w:after="100" w:afterAutospacing="1"/>
        <w:ind w:firstLine="442" w:firstLineChars="100"/>
        <w:jc w:val="center"/>
        <w:rPr>
          <w:rFonts w:hAnsi="宋体" w:cs="宋体"/>
          <w:b/>
          <w:color w:val="auto"/>
          <w:kern w:val="0"/>
          <w:sz w:val="44"/>
          <w:szCs w:val="44"/>
          <w:highlight w:val="none"/>
        </w:rPr>
      </w:pPr>
      <w:r>
        <w:rPr>
          <w:rFonts w:hint="eastAsia" w:hAnsi="宋体" w:cs="宋体"/>
          <w:b/>
          <w:color w:val="auto"/>
          <w:kern w:val="0"/>
          <w:sz w:val="44"/>
          <w:szCs w:val="44"/>
          <w:highlight w:val="none"/>
        </w:rPr>
        <w:t>投 标 总 价</w:t>
      </w:r>
    </w:p>
    <w:p>
      <w:pPr>
        <w:widowControl/>
        <w:tabs>
          <w:tab w:val="center" w:pos="4755"/>
          <w:tab w:val="right" w:pos="9070"/>
        </w:tabs>
        <w:spacing w:before="100" w:beforeAutospacing="1" w:after="100" w:afterAutospacing="1"/>
        <w:ind w:firstLine="320" w:firstLineChars="100"/>
        <w:jc w:val="center"/>
        <w:rPr>
          <w:rFonts w:hAnsi="宋体" w:cs="宋体"/>
          <w:color w:val="auto"/>
          <w:kern w:val="0"/>
          <w:sz w:val="32"/>
          <w:szCs w:val="32"/>
          <w:highlight w:val="none"/>
        </w:rPr>
      </w:pP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rPr>
      </w:pPr>
      <w:r>
        <w:rPr>
          <w:rFonts w:hint="eastAsia" w:hAnsi="宋体" w:cs="宋体"/>
          <w:color w:val="auto"/>
          <w:kern w:val="0"/>
          <w:sz w:val="32"/>
          <w:szCs w:val="32"/>
          <w:highlight w:val="none"/>
          <w:lang w:val="en-US" w:eastAsia="zh-CN"/>
        </w:rPr>
        <w:t>采购</w:t>
      </w:r>
      <w:r>
        <w:rPr>
          <w:rFonts w:hint="eastAsia" w:hAnsi="宋体" w:cs="宋体"/>
          <w:color w:val="auto"/>
          <w:kern w:val="0"/>
          <w:sz w:val="32"/>
          <w:szCs w:val="32"/>
          <w:highlight w:val="none"/>
        </w:rPr>
        <w:t>单位：</w:t>
      </w: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rPr>
      </w:pPr>
      <w:r>
        <w:rPr>
          <w:rFonts w:hint="eastAsia" w:hAnsi="宋体" w:cs="宋体"/>
          <w:color w:val="auto"/>
          <w:kern w:val="0"/>
          <w:sz w:val="32"/>
          <w:szCs w:val="32"/>
          <w:highlight w:val="none"/>
        </w:rPr>
        <w:t>工程名称：</w:t>
      </w: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u w:val="single"/>
        </w:rPr>
      </w:pPr>
      <w:r>
        <w:rPr>
          <w:rFonts w:hint="eastAsia" w:hAnsi="宋体" w:cs="宋体"/>
          <w:color w:val="auto"/>
          <w:kern w:val="0"/>
          <w:sz w:val="32"/>
          <w:szCs w:val="32"/>
          <w:highlight w:val="none"/>
        </w:rPr>
        <w:t>投标总价（小写）：</w:t>
      </w: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u w:val="single"/>
        </w:rPr>
      </w:pPr>
      <w:r>
        <w:rPr>
          <w:rFonts w:hint="eastAsia" w:hAnsi="宋体" w:cs="宋体"/>
          <w:color w:val="auto"/>
          <w:kern w:val="0"/>
          <w:sz w:val="32"/>
          <w:szCs w:val="32"/>
          <w:highlight w:val="none"/>
        </w:rPr>
        <w:t xml:space="preserve">        （大写）：</w:t>
      </w:r>
    </w:p>
    <w:p>
      <w:pPr>
        <w:widowControl/>
        <w:tabs>
          <w:tab w:val="center" w:pos="4755"/>
          <w:tab w:val="right" w:pos="9070"/>
        </w:tabs>
        <w:spacing w:before="100" w:beforeAutospacing="1" w:after="100" w:afterAutospacing="1"/>
        <w:ind w:right="1280" w:firstLine="320" w:firstLineChars="100"/>
        <w:rPr>
          <w:rFonts w:hAnsi="宋体" w:cs="宋体"/>
          <w:color w:val="auto"/>
          <w:kern w:val="0"/>
          <w:sz w:val="32"/>
          <w:szCs w:val="32"/>
          <w:highlight w:val="none"/>
        </w:rPr>
      </w:pPr>
    </w:p>
    <w:p>
      <w:pPr>
        <w:widowControl/>
        <w:tabs>
          <w:tab w:val="center" w:pos="4755"/>
          <w:tab w:val="right" w:pos="9070"/>
        </w:tabs>
        <w:spacing w:before="100" w:beforeAutospacing="1" w:after="100" w:afterAutospacing="1"/>
        <w:ind w:right="1280" w:firstLine="320" w:firstLineChars="100"/>
        <w:rPr>
          <w:rFonts w:hAnsi="宋体" w:cs="宋体"/>
          <w:color w:val="auto"/>
          <w:kern w:val="0"/>
          <w:sz w:val="32"/>
          <w:szCs w:val="32"/>
          <w:highlight w:val="none"/>
        </w:rPr>
      </w:pPr>
    </w:p>
    <w:p>
      <w:pPr>
        <w:widowControl/>
        <w:tabs>
          <w:tab w:val="center" w:pos="4755"/>
          <w:tab w:val="right" w:pos="9070"/>
        </w:tabs>
        <w:spacing w:before="100" w:beforeAutospacing="1" w:after="100" w:afterAutospacing="1"/>
        <w:ind w:firstLine="320" w:firstLineChars="100"/>
        <w:rPr>
          <w:rFonts w:hAnsi="宋体" w:cs="宋体"/>
          <w:color w:val="auto"/>
          <w:kern w:val="0"/>
          <w:sz w:val="32"/>
          <w:szCs w:val="32"/>
          <w:highlight w:val="none"/>
        </w:rPr>
      </w:pPr>
      <w:r>
        <w:rPr>
          <w:rFonts w:hint="eastAsia" w:hAnsi="宋体" w:cs="宋体"/>
          <w:color w:val="auto"/>
          <w:kern w:val="0"/>
          <w:sz w:val="32"/>
          <w:szCs w:val="32"/>
          <w:highlight w:val="none"/>
          <w:lang w:val="en-US" w:eastAsia="zh-CN"/>
        </w:rPr>
        <w:t>响</w:t>
      </w:r>
      <w:r>
        <w:rPr>
          <w:rFonts w:hint="eastAsia" w:hAnsi="宋体" w:cs="宋体"/>
          <w:color w:val="auto"/>
          <w:kern w:val="0"/>
          <w:sz w:val="32"/>
          <w:szCs w:val="32"/>
          <w:highlight w:val="none"/>
        </w:rPr>
        <w:t xml:space="preserve">   </w:t>
      </w:r>
      <w:r>
        <w:rPr>
          <w:rFonts w:hint="eastAsia" w:hAnsi="宋体" w:cs="宋体"/>
          <w:color w:val="auto"/>
          <w:kern w:val="0"/>
          <w:sz w:val="32"/>
          <w:szCs w:val="32"/>
          <w:highlight w:val="none"/>
          <w:lang w:val="en-US" w:eastAsia="zh-CN"/>
        </w:rPr>
        <w:t>应</w:t>
      </w:r>
      <w:r>
        <w:rPr>
          <w:rFonts w:hint="eastAsia" w:hAnsi="宋体" w:cs="宋体"/>
          <w:color w:val="auto"/>
          <w:kern w:val="0"/>
          <w:sz w:val="32"/>
          <w:szCs w:val="32"/>
          <w:highlight w:val="none"/>
        </w:rPr>
        <w:t xml:space="preserve">   人：                   （单位盖章）           </w:t>
      </w:r>
    </w:p>
    <w:p>
      <w:pPr>
        <w:pStyle w:val="57"/>
        <w:spacing w:line="720" w:lineRule="auto"/>
        <w:ind w:firstLine="320" w:firstLineChars="100"/>
        <w:jc w:val="both"/>
        <w:rPr>
          <w:color w:val="auto"/>
          <w:sz w:val="32"/>
          <w:szCs w:val="32"/>
          <w:highlight w:val="none"/>
        </w:rPr>
      </w:pPr>
      <w:r>
        <w:rPr>
          <w:rFonts w:hint="eastAsia"/>
          <w:color w:val="auto"/>
          <w:sz w:val="32"/>
          <w:szCs w:val="32"/>
          <w:highlight w:val="none"/>
        </w:rPr>
        <w:t xml:space="preserve">法 定 代 表 人：  </w:t>
      </w:r>
      <w:r>
        <w:rPr>
          <w:rFonts w:hint="eastAsia"/>
          <w:color w:val="auto"/>
          <w:sz w:val="32"/>
          <w:szCs w:val="32"/>
          <w:highlight w:val="none"/>
          <w:u w:val="single"/>
        </w:rPr>
        <w:t xml:space="preserve">        </w:t>
      </w:r>
      <w:r>
        <w:rPr>
          <w:rFonts w:hint="eastAsia"/>
          <w:color w:val="auto"/>
          <w:sz w:val="32"/>
          <w:szCs w:val="32"/>
          <w:highlight w:val="none"/>
        </w:rPr>
        <w:t>（签字或盖章）</w:t>
      </w:r>
    </w:p>
    <w:p>
      <w:pPr>
        <w:spacing w:line="500" w:lineRule="exact"/>
        <w:rPr>
          <w:rFonts w:hAnsi="宋体" w:cs="宋体"/>
          <w:color w:val="auto"/>
          <w:sz w:val="24"/>
          <w:highlight w:val="none"/>
        </w:rPr>
      </w:pPr>
    </w:p>
    <w:p>
      <w:pPr>
        <w:pStyle w:val="797"/>
        <w:rPr>
          <w:rFonts w:hint="eastAsia" w:ascii="宋体" w:hAnsi="宋体" w:cs="宋体"/>
          <w:color w:val="auto"/>
          <w:sz w:val="21"/>
          <w:szCs w:val="21"/>
          <w:highlight w:val="none"/>
        </w:rPr>
      </w:pPr>
    </w:p>
    <w:p>
      <w:pPr>
        <w:pStyle w:val="797"/>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pPr>
        <w:pStyle w:val="797"/>
        <w:rPr>
          <w:rFonts w:hint="eastAsia" w:ascii="宋体" w:hAnsi="宋体" w:cs="宋体"/>
          <w:color w:val="auto"/>
          <w:sz w:val="21"/>
          <w:szCs w:val="21"/>
          <w:highlight w:val="none"/>
        </w:rPr>
      </w:pPr>
    </w:p>
    <w:p>
      <w:pPr>
        <w:widowControl/>
        <w:tabs>
          <w:tab w:val="center" w:pos="4755"/>
          <w:tab w:val="right" w:pos="9070"/>
        </w:tabs>
        <w:spacing w:line="600" w:lineRule="exact"/>
        <w:ind w:firstLine="321" w:firstLineChars="100"/>
        <w:jc w:val="center"/>
        <w:rPr>
          <w:rFonts w:hAnsi="宋体"/>
          <w:b/>
          <w:color w:val="auto"/>
          <w:kern w:val="0"/>
          <w:sz w:val="32"/>
          <w:szCs w:val="32"/>
          <w:highlight w:val="none"/>
        </w:rPr>
      </w:pPr>
      <w:r>
        <w:rPr>
          <w:rFonts w:hint="eastAsia" w:hAnsi="宋体"/>
          <w:b/>
          <w:color w:val="auto"/>
          <w:kern w:val="0"/>
          <w:sz w:val="32"/>
          <w:szCs w:val="32"/>
          <w:highlight w:val="none"/>
        </w:rPr>
        <w:t>工程量清单报价说明</w:t>
      </w:r>
    </w:p>
    <w:tbl>
      <w:tblPr>
        <w:tblStyle w:val="62"/>
        <w:tblW w:w="0" w:type="auto"/>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9" w:hRule="atLeast"/>
        </w:trPr>
        <w:tc>
          <w:tcPr>
            <w:tcW w:w="9435" w:type="dxa"/>
            <w:noWrap w:val="0"/>
            <w:vAlign w:val="top"/>
          </w:tcPr>
          <w:p>
            <w:pPr>
              <w:widowControl/>
              <w:tabs>
                <w:tab w:val="center" w:pos="4755"/>
                <w:tab w:val="right" w:pos="9070"/>
              </w:tabs>
              <w:spacing w:before="100" w:beforeAutospacing="1" w:after="100" w:afterAutospacing="1"/>
              <w:rPr>
                <w:rFonts w:hAnsi="宋体"/>
                <w:b/>
                <w:color w:val="auto"/>
                <w:kern w:val="0"/>
                <w:sz w:val="44"/>
                <w:szCs w:val="44"/>
                <w:highlight w:val="none"/>
              </w:rPr>
            </w:pPr>
          </w:p>
        </w:tc>
      </w:tr>
    </w:tbl>
    <w:p>
      <w:pPr>
        <w:widowControl/>
        <w:tabs>
          <w:tab w:val="center" w:pos="4755"/>
          <w:tab w:val="right" w:pos="9070"/>
        </w:tabs>
        <w:spacing w:before="100" w:beforeAutospacing="1" w:after="100" w:afterAutospacing="1" w:line="360" w:lineRule="exact"/>
        <w:ind w:firstLine="240" w:firstLineChars="100"/>
        <w:jc w:val="both"/>
        <w:rPr>
          <w:rFonts w:hAnsi="宋体"/>
          <w:color w:val="auto"/>
          <w:szCs w:val="21"/>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 xml:space="preserve">人：（ 盖章）         </w:t>
      </w:r>
    </w:p>
    <w:p>
      <w:pPr>
        <w:widowControl/>
        <w:tabs>
          <w:tab w:val="center" w:pos="4755"/>
          <w:tab w:val="right" w:pos="9070"/>
        </w:tabs>
        <w:spacing w:before="100" w:beforeAutospacing="1" w:after="100" w:afterAutospacing="1"/>
        <w:ind w:firstLine="240" w:firstLineChars="100"/>
        <w:jc w:val="both"/>
        <w:rPr>
          <w:rFonts w:hAnsi="宋体"/>
          <w:color w:val="auto"/>
          <w:kern w:val="0"/>
          <w:sz w:val="24"/>
          <w:highlight w:val="none"/>
        </w:rPr>
      </w:pPr>
      <w:r>
        <w:rPr>
          <w:rFonts w:hAnsi="宋体"/>
          <w:color w:val="auto"/>
          <w:kern w:val="0"/>
          <w:sz w:val="24"/>
          <w:highlight w:val="none"/>
        </w:rPr>
        <w:br w:type="page"/>
      </w:r>
    </w:p>
    <w:p>
      <w:pPr>
        <w:widowControl/>
        <w:tabs>
          <w:tab w:val="center" w:pos="4755"/>
          <w:tab w:val="right" w:pos="9070"/>
        </w:tabs>
        <w:jc w:val="center"/>
        <w:rPr>
          <w:rFonts w:hAnsi="宋体"/>
          <w:b/>
          <w:color w:val="auto"/>
          <w:kern w:val="0"/>
          <w:sz w:val="32"/>
          <w:szCs w:val="32"/>
          <w:highlight w:val="none"/>
        </w:rPr>
      </w:pPr>
    </w:p>
    <w:p>
      <w:pPr>
        <w:widowControl/>
        <w:tabs>
          <w:tab w:val="center" w:pos="4755"/>
          <w:tab w:val="right" w:pos="9070"/>
        </w:tabs>
        <w:jc w:val="center"/>
        <w:rPr>
          <w:rFonts w:hAnsi="宋体"/>
          <w:b/>
          <w:color w:val="auto"/>
          <w:sz w:val="28"/>
          <w:szCs w:val="28"/>
          <w:highlight w:val="none"/>
        </w:rPr>
      </w:pPr>
      <w:r>
        <w:rPr>
          <w:rFonts w:hint="eastAsia" w:hAnsi="宋体"/>
          <w:b/>
          <w:color w:val="auto"/>
          <w:sz w:val="28"/>
          <w:szCs w:val="28"/>
          <w:highlight w:val="none"/>
        </w:rPr>
        <w:t>表1-1-1  工程项目报价汇总表</w:t>
      </w:r>
    </w:p>
    <w:p>
      <w:pPr>
        <w:widowControl/>
        <w:tabs>
          <w:tab w:val="center" w:pos="4755"/>
          <w:tab w:val="right" w:pos="9070"/>
        </w:tabs>
        <w:jc w:val="left"/>
        <w:rPr>
          <w:rFonts w:hAnsi="宋体"/>
          <w:color w:val="auto"/>
          <w:szCs w:val="21"/>
          <w:highlight w:val="none"/>
        </w:rPr>
      </w:pPr>
    </w:p>
    <w:p>
      <w:pPr>
        <w:widowControl/>
        <w:tabs>
          <w:tab w:val="center" w:pos="4755"/>
          <w:tab w:val="right" w:pos="9070"/>
        </w:tabs>
        <w:ind w:firstLine="420" w:firstLineChars="200"/>
        <w:jc w:val="left"/>
      </w:pPr>
      <w:r>
        <w:rPr>
          <w:rFonts w:hint="eastAsia" w:hAnsi="宋体"/>
          <w:color w:val="auto"/>
          <w:szCs w:val="21"/>
          <w:highlight w:val="none"/>
        </w:rPr>
        <w:t>工程名称：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序号</w:t>
            </w:r>
          </w:p>
        </w:tc>
        <w:tc>
          <w:tcPr>
            <w:tcW w:w="6300"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内   容</w:t>
            </w:r>
          </w:p>
        </w:tc>
        <w:tc>
          <w:tcPr>
            <w:tcW w:w="197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一</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单位工程费合计</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1</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（单位工程1，如1号楼）</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2</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（单位工程2）</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二</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未纳入单位工程费的其他费用[（一）+（二）+（三）+（四）]</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（一）</w:t>
            </w:r>
          </w:p>
        </w:tc>
        <w:tc>
          <w:tcPr>
            <w:tcW w:w="63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整体措施项目清单（1+2）</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1</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组织措施项目清单</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2</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技术措施项目清单</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（二）</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整体其他项目清单</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（三）</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 xml:space="preserve">整体措施项目规费 </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（四）</w:t>
            </w: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税金 {[（一）+（二）+（三）]*费率}</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c>
          <w:tcPr>
            <w:tcW w:w="6300"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总报价 [一 + 二 ]</w:t>
            </w:r>
          </w:p>
        </w:tc>
        <w:tc>
          <w:tcPr>
            <w:tcW w:w="1978" w:type="dxa"/>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3"/>
            <w:noWrap w:val="0"/>
            <w:vAlign w:val="top"/>
          </w:tcPr>
          <w:p>
            <w:pPr>
              <w:widowControl/>
              <w:tabs>
                <w:tab w:val="center" w:pos="4755"/>
                <w:tab w:val="right" w:pos="9070"/>
              </w:tabs>
              <w:spacing w:before="100" w:beforeAutospacing="1" w:after="100" w:afterAutospacing="1" w:line="360" w:lineRule="auto"/>
              <w:jc w:val="left"/>
              <w:rPr>
                <w:rFonts w:hAnsi="宋体"/>
                <w:color w:val="auto"/>
                <w:szCs w:val="21"/>
                <w:highlight w:val="none"/>
              </w:rPr>
            </w:pPr>
            <w:r>
              <w:rPr>
                <w:rFonts w:hint="eastAsia" w:hAnsi="宋体"/>
                <w:color w:val="auto"/>
                <w:szCs w:val="21"/>
                <w:highlight w:val="none"/>
              </w:rPr>
              <w:t xml:space="preserve">总报价（大写）：                           </w:t>
            </w:r>
          </w:p>
        </w:tc>
      </w:tr>
    </w:tbl>
    <w:p>
      <w:pPr>
        <w:widowControl/>
        <w:tabs>
          <w:tab w:val="center" w:pos="4755"/>
          <w:tab w:val="right" w:pos="9070"/>
        </w:tabs>
        <w:jc w:val="left"/>
        <w:rPr>
          <w:rFonts w:hAnsi="宋体"/>
          <w:color w:val="auto"/>
          <w:szCs w:val="21"/>
          <w:highlight w:val="none"/>
        </w:rPr>
      </w:pPr>
      <w:r>
        <w:rPr>
          <w:rFonts w:hint="eastAsia" w:hAnsi="宋体"/>
          <w:color w:val="auto"/>
          <w:szCs w:val="21"/>
          <w:highlight w:val="none"/>
        </w:rPr>
        <w:t>注：1.本表适用于：（1）有2个及以上单位工程的群体项目的总报价汇总；（2）单位工程发包且有2个及以上专业工程分部分项工程量清单的招标项目总报价汇总。本表应在表1-1-2基础上汇总。</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2．本表中的整体项目措施清单报价指根据招标人要求和项目特点应从招标项目整体上考虑的措施项目报价。</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3．本表中的整体其他项目清单报价指根据招标人要求需按招标项目整体考虑的其他项目清单报价。</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4．本表中的规费指整体措施清单项目应计取的规费。</w:t>
      </w:r>
    </w:p>
    <w:p>
      <w:pPr>
        <w:widowControl/>
        <w:tabs>
          <w:tab w:val="center" w:pos="4755"/>
          <w:tab w:val="right" w:pos="9070"/>
        </w:tabs>
        <w:ind w:firstLine="420" w:firstLineChars="200"/>
        <w:jc w:val="left"/>
        <w:rPr>
          <w:rFonts w:hAnsi="宋体"/>
          <w:color w:val="auto"/>
          <w:szCs w:val="21"/>
          <w:highlight w:val="none"/>
        </w:rPr>
      </w:pPr>
      <w:r>
        <w:rPr>
          <w:rFonts w:hint="eastAsia" w:hAnsi="宋体"/>
          <w:color w:val="auto"/>
          <w:szCs w:val="21"/>
          <w:highlight w:val="none"/>
        </w:rPr>
        <w:t>5．本表中的税金指未纳入单位工程费的整体措施项目清单、其他项目清单以及相应规费等费用应计取的税金。</w:t>
      </w:r>
    </w:p>
    <w:p>
      <w:pPr>
        <w:widowControl/>
        <w:tabs>
          <w:tab w:val="center" w:pos="4755"/>
          <w:tab w:val="right" w:pos="9070"/>
        </w:tabs>
        <w:ind w:firstLine="420" w:firstLineChars="200"/>
        <w:jc w:val="left"/>
        <w:rPr>
          <w:rFonts w:hAnsi="宋体"/>
          <w:color w:val="auto"/>
          <w:szCs w:val="21"/>
          <w:highlight w:val="none"/>
        </w:rPr>
      </w:pPr>
    </w:p>
    <w:p>
      <w:pPr>
        <w:widowControl/>
        <w:tabs>
          <w:tab w:val="center" w:pos="4755"/>
          <w:tab w:val="right" w:pos="9070"/>
        </w:tabs>
        <w:ind w:firstLine="420" w:firstLineChars="200"/>
        <w:jc w:val="left"/>
        <w:rPr>
          <w:rFonts w:hAnsi="宋体"/>
          <w:color w:val="auto"/>
          <w:szCs w:val="21"/>
          <w:highlight w:val="none"/>
        </w:rPr>
      </w:pPr>
    </w:p>
    <w:p>
      <w:pPr>
        <w:widowControl/>
        <w:tabs>
          <w:tab w:val="center" w:pos="4755"/>
          <w:tab w:val="right" w:pos="9070"/>
        </w:tabs>
        <w:spacing w:before="100" w:beforeAutospacing="1" w:after="100" w:afterAutospacing="1" w:line="360" w:lineRule="exact"/>
        <w:ind w:firstLine="240" w:firstLineChars="100"/>
        <w:jc w:val="center"/>
        <w:rPr>
          <w:rFonts w:hAnsi="宋体"/>
          <w:color w:val="auto"/>
          <w:szCs w:val="21"/>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Cs w:val="21"/>
          <w:highlight w:val="none"/>
        </w:rPr>
        <w:t xml:space="preserve">              </w:t>
      </w:r>
    </w:p>
    <w:p>
      <w:pPr>
        <w:widowControl/>
        <w:tabs>
          <w:tab w:val="center" w:pos="4755"/>
          <w:tab w:val="right" w:pos="9070"/>
        </w:tabs>
        <w:spacing w:before="100" w:beforeAutospacing="1" w:after="100" w:afterAutospacing="1" w:line="360" w:lineRule="exact"/>
        <w:ind w:firstLine="210" w:firstLineChars="100"/>
        <w:jc w:val="center"/>
        <w:rPr>
          <w:rFonts w:hint="eastAsia" w:hAnsi="宋体"/>
          <w:color w:val="auto"/>
          <w:szCs w:val="21"/>
          <w:highlight w:val="none"/>
        </w:rPr>
      </w:pPr>
    </w:p>
    <w:p>
      <w:pPr>
        <w:widowControl/>
        <w:tabs>
          <w:tab w:val="center" w:pos="4755"/>
          <w:tab w:val="right" w:pos="9070"/>
        </w:tabs>
        <w:spacing w:before="100" w:beforeAutospacing="1" w:after="100" w:afterAutospacing="1" w:line="360" w:lineRule="exact"/>
        <w:ind w:firstLine="210" w:firstLineChars="100"/>
        <w:jc w:val="center"/>
        <w:rPr>
          <w:rFonts w:hAnsi="宋体"/>
          <w:color w:val="auto"/>
          <w:szCs w:val="21"/>
          <w:highlight w:val="none"/>
        </w:rPr>
      </w:pPr>
      <w:r>
        <w:rPr>
          <w:rFonts w:hAnsi="宋体"/>
          <w:color w:val="auto"/>
          <w:szCs w:val="21"/>
          <w:highlight w:val="none"/>
        </w:rPr>
        <w:br w:type="page"/>
      </w:r>
    </w:p>
    <w:p>
      <w:pPr>
        <w:widowControl/>
        <w:tabs>
          <w:tab w:val="center" w:pos="4755"/>
          <w:tab w:val="right" w:pos="9070"/>
        </w:tabs>
        <w:spacing w:before="100" w:beforeAutospacing="1" w:after="100" w:afterAutospacing="1"/>
        <w:ind w:firstLine="281" w:firstLineChars="100"/>
        <w:jc w:val="center"/>
        <w:rPr>
          <w:rFonts w:hAnsi="宋体"/>
          <w:b/>
          <w:color w:val="auto"/>
          <w:sz w:val="28"/>
          <w:szCs w:val="28"/>
          <w:highlight w:val="none"/>
        </w:rPr>
      </w:pPr>
      <w:r>
        <w:rPr>
          <w:rFonts w:hint="eastAsia" w:hAnsi="宋体"/>
          <w:b/>
          <w:color w:val="auto"/>
          <w:sz w:val="28"/>
          <w:szCs w:val="28"/>
          <w:highlight w:val="none"/>
        </w:rPr>
        <w:t>表1-1-2 单位工程报价汇总表</w:t>
      </w:r>
    </w:p>
    <w:p>
      <w:pPr>
        <w:widowControl/>
        <w:tabs>
          <w:tab w:val="center" w:pos="4755"/>
          <w:tab w:val="right" w:pos="9070"/>
        </w:tabs>
        <w:spacing w:line="360" w:lineRule="auto"/>
        <w:jc w:val="left"/>
        <w:rPr>
          <w:rFonts w:hAnsi="宋体"/>
          <w:color w:val="auto"/>
          <w:szCs w:val="21"/>
          <w:highlight w:val="none"/>
        </w:rPr>
      </w:pPr>
      <w:r>
        <w:rPr>
          <w:rFonts w:hint="eastAsia" w:hAnsi="宋体"/>
          <w:color w:val="auto"/>
          <w:szCs w:val="21"/>
          <w:highlight w:val="none"/>
        </w:rPr>
        <w:t xml:space="preserve">工程名称：                    </w:t>
      </w:r>
    </w:p>
    <w:p>
      <w:pPr>
        <w:widowControl/>
        <w:tabs>
          <w:tab w:val="center" w:pos="4755"/>
          <w:tab w:val="right" w:pos="9070"/>
        </w:tabs>
        <w:spacing w:line="360" w:lineRule="auto"/>
        <w:jc w:val="left"/>
        <w:rPr>
          <w:rFonts w:hAnsi="宋体"/>
          <w:color w:val="auto"/>
          <w:szCs w:val="21"/>
          <w:highlight w:val="none"/>
        </w:rPr>
      </w:pPr>
      <w:r>
        <w:rPr>
          <w:rFonts w:hint="eastAsia" w:hAnsi="宋体"/>
          <w:color w:val="auto"/>
          <w:szCs w:val="21"/>
          <w:highlight w:val="none"/>
        </w:rPr>
        <w:t>单位工程名称：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02"/>
        <w:gridCol w:w="4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序号</w:t>
            </w:r>
          </w:p>
        </w:tc>
        <w:tc>
          <w:tcPr>
            <w:tcW w:w="3600" w:type="dxa"/>
            <w:vMerge w:val="restart"/>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内     容</w:t>
            </w:r>
          </w:p>
        </w:tc>
        <w:tc>
          <w:tcPr>
            <w:tcW w:w="1236" w:type="dxa"/>
            <w:vMerge w:val="restart"/>
            <w:noWrap w:val="0"/>
            <w:vAlign w:val="center"/>
          </w:tcPr>
          <w:p>
            <w:pPr>
              <w:widowControl/>
              <w:tabs>
                <w:tab w:val="center" w:pos="4755"/>
                <w:tab w:val="right" w:pos="9070"/>
              </w:tabs>
              <w:jc w:val="center"/>
              <w:rPr>
                <w:rFonts w:hAnsi="宋体"/>
                <w:color w:val="auto"/>
                <w:szCs w:val="21"/>
                <w:highlight w:val="none"/>
              </w:rPr>
            </w:pPr>
            <w:r>
              <w:rPr>
                <w:rFonts w:hint="eastAsia" w:hAnsi="宋体"/>
                <w:color w:val="auto"/>
                <w:szCs w:val="21"/>
                <w:highlight w:val="none"/>
              </w:rPr>
              <w:t>报价合计</w:t>
            </w:r>
          </w:p>
          <w:p>
            <w:pPr>
              <w:widowControl/>
              <w:tabs>
                <w:tab w:val="center" w:pos="4755"/>
                <w:tab w:val="right" w:pos="9070"/>
              </w:tabs>
              <w:jc w:val="center"/>
              <w:rPr>
                <w:rFonts w:hAnsi="宋体"/>
                <w:color w:val="auto"/>
                <w:szCs w:val="21"/>
                <w:highlight w:val="none"/>
              </w:rPr>
            </w:pPr>
            <w:r>
              <w:rPr>
                <w:rFonts w:hint="eastAsia" w:hAnsi="宋体"/>
                <w:color w:val="auto"/>
                <w:szCs w:val="21"/>
                <w:highlight w:val="none"/>
              </w:rPr>
              <w:t>（元）</w:t>
            </w:r>
          </w:p>
        </w:tc>
        <w:tc>
          <w:tcPr>
            <w:tcW w:w="1948" w:type="dxa"/>
            <w:gridSpan w:val="2"/>
            <w:noWrap w:val="0"/>
            <w:vAlign w:val="center"/>
          </w:tcPr>
          <w:p>
            <w:pPr>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（清单号）</w:t>
            </w: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3600" w:type="dxa"/>
            <w:vMerge w:val="continue"/>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p>
        </w:tc>
        <w:tc>
          <w:tcPr>
            <w:tcW w:w="1236" w:type="dxa"/>
            <w:vMerge w:val="continue"/>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(专业工程1)</w:t>
            </w: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一</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分部分项工程量清单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二</w:t>
            </w:r>
          </w:p>
        </w:tc>
        <w:tc>
          <w:tcPr>
            <w:tcW w:w="3600" w:type="dxa"/>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措施项目清单（1+2</w:t>
            </w:r>
            <w:r>
              <w:rPr>
                <w:rFonts w:hAnsi="宋体"/>
                <w:color w:val="auto"/>
                <w:szCs w:val="21"/>
                <w:highlight w:val="none"/>
              </w:rPr>
              <w:t>）</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1</w:t>
            </w:r>
          </w:p>
        </w:tc>
        <w:tc>
          <w:tcPr>
            <w:tcW w:w="3600" w:type="dxa"/>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组织措施项目清单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noWrap w:val="0"/>
            <w:vAlign w:val="top"/>
          </w:tcPr>
          <w:p>
            <w:pPr>
              <w:widowControl/>
              <w:tabs>
                <w:tab w:val="center" w:pos="4755"/>
                <w:tab w:val="right" w:pos="9070"/>
              </w:tabs>
              <w:spacing w:line="360" w:lineRule="auto"/>
              <w:jc w:val="center"/>
              <w:rPr>
                <w:rFonts w:hAnsi="宋体"/>
                <w:color w:val="auto"/>
                <w:szCs w:val="21"/>
                <w:highlight w:val="none"/>
              </w:rPr>
            </w:pPr>
            <w:r>
              <w:rPr>
                <w:rFonts w:hint="eastAsia" w:hAnsi="宋体"/>
                <w:color w:val="auto"/>
                <w:szCs w:val="21"/>
                <w:highlight w:val="none"/>
              </w:rPr>
              <w:t>2</w:t>
            </w:r>
          </w:p>
        </w:tc>
        <w:tc>
          <w:tcPr>
            <w:tcW w:w="3600" w:type="dxa"/>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技术措施项目清单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48"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856" w:type="dxa"/>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三</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其他项目清单</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3804" w:type="dxa"/>
            <w:gridSpan w:val="3"/>
            <w:noWrap w:val="0"/>
            <w:vAlign w:val="center"/>
          </w:tcPr>
          <w:p>
            <w:pPr>
              <w:widowControl/>
              <w:tabs>
                <w:tab w:val="center" w:pos="4755"/>
                <w:tab w:val="right" w:pos="9070"/>
              </w:tabs>
              <w:spacing w:line="360" w:lineRule="auto"/>
              <w:jc w:val="center"/>
              <w:rPr>
                <w:rFonts w:hAnsi="宋体"/>
                <w:color w:val="auto"/>
                <w:szCs w:val="21"/>
                <w:highlight w:val="none"/>
              </w:rPr>
            </w:pPr>
            <w:r>
              <w:rPr>
                <w:rFonts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27" name="直接连接符 27"/>
                      <wp:cNvGraphicFramePr/>
                      <a:graphic xmlns:a="http://schemas.openxmlformats.org/drawingml/2006/main">
                        <a:graphicData uri="http://schemas.microsoft.com/office/word/2010/wordprocessingShape">
                          <wps:wsp>
                            <wps:cNvCnPr/>
                            <wps:spPr>
                              <a:xfrm flipH="1">
                                <a:off x="0" y="0"/>
                                <a:ext cx="2354580" cy="29464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xSJ1wAAAAcBAAAPAAAAAAAAAAEAIAAAACIAAABkcnMvZG93&#10;bnJldi54bWxQSwECFAAUAAAACACHTuJAyjLi0QECAAD3AwAADgAAAAAAAAABACAAAAAmAQAAZHJz&#10;L2Uyb0RvYy54bWxQSwUGAAAAAAYABgBZAQAAmQU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四</w:t>
            </w:r>
          </w:p>
        </w:tc>
        <w:tc>
          <w:tcPr>
            <w:tcW w:w="3600" w:type="dxa"/>
            <w:noWrap w:val="0"/>
            <w:vAlign w:val="center"/>
          </w:tcPr>
          <w:p>
            <w:pPr>
              <w:tabs>
                <w:tab w:val="left" w:pos="3780"/>
              </w:tabs>
              <w:rPr>
                <w:rFonts w:hAnsi="宋体"/>
                <w:color w:val="auto"/>
                <w:szCs w:val="21"/>
                <w:highlight w:val="none"/>
              </w:rPr>
            </w:pPr>
            <w:r>
              <w:rPr>
                <w:rFonts w:hint="eastAsia" w:hAnsi="宋体"/>
                <w:color w:val="auto"/>
                <w:szCs w:val="21"/>
                <w:highlight w:val="none"/>
              </w:rPr>
              <w:t xml:space="preserve">规费  </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02"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1902" w:type="dxa"/>
            <w:gridSpan w:val="2"/>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noWrap w:val="0"/>
            <w:vAlign w:val="center"/>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五</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税金[（一 + 二 + 三 + 四）*费率]</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3804" w:type="dxa"/>
            <w:gridSpan w:val="3"/>
            <w:vMerge w:val="restart"/>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noWrap w:val="0"/>
            <w:vAlign w:val="top"/>
          </w:tcPr>
          <w:p>
            <w:pPr>
              <w:widowControl/>
              <w:tabs>
                <w:tab w:val="center" w:pos="4755"/>
                <w:tab w:val="right" w:pos="9070"/>
              </w:tabs>
              <w:spacing w:before="100" w:beforeAutospacing="1" w:after="100" w:afterAutospacing="1" w:line="360" w:lineRule="auto"/>
              <w:jc w:val="center"/>
              <w:rPr>
                <w:rFonts w:hAnsi="宋体"/>
                <w:color w:val="auto"/>
                <w:szCs w:val="21"/>
                <w:highlight w:val="none"/>
              </w:rPr>
            </w:pPr>
            <w:r>
              <w:rPr>
                <w:rFonts w:hint="eastAsia" w:hAnsi="宋体"/>
                <w:color w:val="auto"/>
                <w:szCs w:val="21"/>
                <w:highlight w:val="none"/>
              </w:rPr>
              <w:t>六</w:t>
            </w:r>
          </w:p>
        </w:tc>
        <w:tc>
          <w:tcPr>
            <w:tcW w:w="3600" w:type="dxa"/>
            <w:noWrap w:val="0"/>
            <w:vAlign w:val="center"/>
          </w:tcPr>
          <w:p>
            <w:pPr>
              <w:widowControl/>
              <w:tabs>
                <w:tab w:val="center" w:pos="4755"/>
                <w:tab w:val="right" w:pos="9070"/>
              </w:tabs>
              <w:spacing w:before="100" w:beforeAutospacing="1" w:after="100" w:afterAutospacing="1" w:line="360" w:lineRule="auto"/>
              <w:rPr>
                <w:rFonts w:hAnsi="宋体"/>
                <w:color w:val="auto"/>
                <w:szCs w:val="21"/>
                <w:highlight w:val="none"/>
              </w:rPr>
            </w:pPr>
            <w:r>
              <w:rPr>
                <w:rFonts w:hint="eastAsia" w:hAnsi="宋体"/>
                <w:color w:val="auto"/>
                <w:szCs w:val="21"/>
                <w:highlight w:val="none"/>
              </w:rPr>
              <w:t>总报价（一+二+三+四+五）</w:t>
            </w:r>
          </w:p>
        </w:tc>
        <w:tc>
          <w:tcPr>
            <w:tcW w:w="1236" w:type="dxa"/>
            <w:noWrap w:val="0"/>
            <w:vAlign w:val="center"/>
          </w:tcPr>
          <w:p>
            <w:pPr>
              <w:widowControl/>
              <w:tabs>
                <w:tab w:val="center" w:pos="4755"/>
                <w:tab w:val="right" w:pos="9070"/>
              </w:tabs>
              <w:spacing w:line="360" w:lineRule="auto"/>
              <w:jc w:val="center"/>
              <w:rPr>
                <w:rFonts w:hAnsi="宋体"/>
                <w:color w:val="auto"/>
                <w:szCs w:val="21"/>
                <w:highlight w:val="none"/>
              </w:rPr>
            </w:pPr>
          </w:p>
        </w:tc>
        <w:tc>
          <w:tcPr>
            <w:tcW w:w="3804" w:type="dxa"/>
            <w:gridSpan w:val="3"/>
            <w:vMerge w:val="continue"/>
            <w:noWrap w:val="0"/>
            <w:vAlign w:val="center"/>
          </w:tcPr>
          <w:p>
            <w:pPr>
              <w:widowControl/>
              <w:tabs>
                <w:tab w:val="center" w:pos="4755"/>
                <w:tab w:val="right" w:pos="9070"/>
              </w:tabs>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6"/>
            <w:noWrap w:val="0"/>
            <w:vAlign w:val="center"/>
          </w:tcPr>
          <w:p>
            <w:pPr>
              <w:widowControl/>
              <w:tabs>
                <w:tab w:val="center" w:pos="4755"/>
                <w:tab w:val="right" w:pos="9070"/>
              </w:tabs>
              <w:spacing w:line="360" w:lineRule="auto"/>
              <w:rPr>
                <w:rFonts w:hAnsi="宋体"/>
                <w:color w:val="auto"/>
                <w:szCs w:val="21"/>
                <w:highlight w:val="none"/>
              </w:rPr>
            </w:pPr>
            <w:r>
              <w:rPr>
                <w:rFonts w:hint="eastAsia" w:hAnsi="宋体"/>
                <w:color w:val="auto"/>
                <w:szCs w:val="21"/>
                <w:highlight w:val="none"/>
              </w:rPr>
              <w:t>总报价(大写):</w:t>
            </w:r>
          </w:p>
        </w:tc>
      </w:tr>
    </w:tbl>
    <w:p>
      <w:pPr>
        <w:widowControl/>
        <w:tabs>
          <w:tab w:val="center" w:pos="4755"/>
          <w:tab w:val="right" w:pos="9070"/>
        </w:tabs>
        <w:spacing w:line="360" w:lineRule="auto"/>
        <w:ind w:left="315" w:hanging="315" w:hangingChars="150"/>
        <w:jc w:val="left"/>
        <w:rPr>
          <w:rFonts w:hAnsi="宋体"/>
          <w:color w:val="auto"/>
          <w:szCs w:val="21"/>
          <w:highlight w:val="none"/>
        </w:rPr>
      </w:pPr>
      <w:r>
        <w:rPr>
          <w:rFonts w:hint="eastAsia" w:hAnsi="宋体"/>
          <w:color w:val="auto"/>
          <w:szCs w:val="21"/>
          <w:highlight w:val="none"/>
        </w:rPr>
        <w:t>注:本表适用于：</w:t>
      </w:r>
    </w:p>
    <w:p>
      <w:pPr>
        <w:widowControl/>
        <w:tabs>
          <w:tab w:val="center" w:pos="4755"/>
          <w:tab w:val="right" w:pos="9070"/>
        </w:tabs>
        <w:ind w:left="315" w:leftChars="100" w:hanging="105" w:hangingChars="50"/>
        <w:jc w:val="left"/>
        <w:rPr>
          <w:rFonts w:hAnsi="宋体"/>
          <w:color w:val="auto"/>
          <w:szCs w:val="21"/>
          <w:highlight w:val="none"/>
        </w:rPr>
      </w:pPr>
      <w:r>
        <w:rPr>
          <w:rFonts w:hint="eastAsia" w:hAnsi="宋体"/>
          <w:color w:val="auto"/>
          <w:szCs w:val="21"/>
          <w:highlight w:val="none"/>
        </w:rPr>
        <w:t>（1）只有1个专业工程分部分项工程量清单的单位工程发包项目的报价汇总；</w:t>
      </w:r>
    </w:p>
    <w:p>
      <w:pPr>
        <w:widowControl/>
        <w:tabs>
          <w:tab w:val="center" w:pos="4755"/>
          <w:tab w:val="right" w:pos="9070"/>
        </w:tabs>
        <w:ind w:left="315" w:leftChars="100" w:hanging="105" w:hangingChars="50"/>
        <w:jc w:val="left"/>
        <w:rPr>
          <w:rFonts w:hAnsi="宋体"/>
          <w:color w:val="auto"/>
          <w:szCs w:val="21"/>
          <w:highlight w:val="none"/>
        </w:rPr>
      </w:pPr>
      <w:r>
        <w:rPr>
          <w:rFonts w:hint="eastAsia" w:hAnsi="宋体"/>
          <w:color w:val="auto"/>
          <w:szCs w:val="21"/>
          <w:highlight w:val="none"/>
        </w:rPr>
        <w:t>（2）其余招标项目的单位工程报价汇总。</w:t>
      </w:r>
    </w:p>
    <w:p>
      <w:pPr>
        <w:widowControl/>
        <w:tabs>
          <w:tab w:val="center" w:pos="4755"/>
          <w:tab w:val="right" w:pos="9070"/>
        </w:tabs>
        <w:spacing w:line="360" w:lineRule="auto"/>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p>
    <w:p>
      <w:pPr>
        <w:widowControl/>
        <w:tabs>
          <w:tab w:val="center" w:pos="4755"/>
          <w:tab w:val="right" w:pos="9070"/>
        </w:tabs>
        <w:jc w:val="left"/>
        <w:rPr>
          <w:rFonts w:hAnsi="宋体"/>
          <w:color w:val="auto"/>
          <w:szCs w:val="21"/>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Cs w:val="21"/>
          <w:highlight w:val="none"/>
        </w:rPr>
        <w:t xml:space="preserve">                   </w:t>
      </w:r>
    </w:p>
    <w:p>
      <w:pPr>
        <w:spacing w:line="300" w:lineRule="exact"/>
        <w:rPr>
          <w:rFonts w:hAnsi="宋体" w:cs="宋体"/>
          <w:b/>
          <w:bCs/>
          <w:color w:val="auto"/>
          <w:kern w:val="0"/>
          <w:sz w:val="32"/>
          <w:szCs w:val="28"/>
          <w:highlight w:val="none"/>
        </w:rPr>
      </w:pPr>
      <w:r>
        <w:rPr>
          <w:rFonts w:hAnsi="宋体"/>
          <w:color w:val="auto"/>
          <w:kern w:val="0"/>
          <w:sz w:val="24"/>
          <w:highlight w:val="none"/>
        </w:rPr>
        <w:br w:type="page"/>
      </w:r>
    </w:p>
    <w:p>
      <w:pPr>
        <w:spacing w:line="600" w:lineRule="exact"/>
        <w:jc w:val="center"/>
        <w:rPr>
          <w:rFonts w:hAnsi="宋体" w:cs="宋体"/>
          <w:b/>
          <w:bCs/>
          <w:color w:val="auto"/>
          <w:kern w:val="0"/>
          <w:sz w:val="28"/>
          <w:szCs w:val="28"/>
          <w:highlight w:val="none"/>
        </w:rPr>
      </w:pPr>
      <w:r>
        <w:rPr>
          <w:rFonts w:hint="eastAsia" w:hAnsi="宋体" w:cs="宋体"/>
          <w:b/>
          <w:bCs/>
          <w:color w:val="auto"/>
          <w:kern w:val="0"/>
          <w:sz w:val="28"/>
          <w:szCs w:val="28"/>
          <w:highlight w:val="none"/>
        </w:rPr>
        <w:t>表1-2　分部分项工程量清单与计价表（　　号清单）</w:t>
      </w:r>
    </w:p>
    <w:p>
      <w:pPr>
        <w:spacing w:line="600" w:lineRule="exact"/>
        <w:rPr>
          <w:rFonts w:hAnsi="宋体"/>
          <w:color w:val="auto"/>
          <w:szCs w:val="21"/>
          <w:highlight w:val="none"/>
        </w:rPr>
      </w:pPr>
      <w:r>
        <w:rPr>
          <w:rFonts w:hint="eastAsia" w:hAnsi="宋体" w:cs="宋体"/>
          <w:color w:val="auto"/>
          <w:kern w:val="0"/>
          <w:sz w:val="24"/>
          <w:highlight w:val="none"/>
        </w:rPr>
        <w:t>单位工程及专业工程名称:                                     第   页  共 页</w:t>
      </w:r>
    </w:p>
    <w:tbl>
      <w:tblPr>
        <w:tblStyle w:val="62"/>
        <w:tblW w:w="10245" w:type="dxa"/>
        <w:tblInd w:w="-136" w:type="dxa"/>
        <w:tblLayout w:type="fixed"/>
        <w:tblCellMar>
          <w:top w:w="0" w:type="dxa"/>
          <w:left w:w="108" w:type="dxa"/>
          <w:bottom w:w="0" w:type="dxa"/>
          <w:right w:w="108" w:type="dxa"/>
        </w:tblCellMar>
      </w:tblPr>
      <w:tblGrid>
        <w:gridCol w:w="810"/>
        <w:gridCol w:w="870"/>
        <w:gridCol w:w="855"/>
        <w:gridCol w:w="885"/>
        <w:gridCol w:w="795"/>
        <w:gridCol w:w="855"/>
        <w:gridCol w:w="646"/>
        <w:gridCol w:w="284"/>
        <w:gridCol w:w="825"/>
        <w:gridCol w:w="870"/>
        <w:gridCol w:w="915"/>
        <w:gridCol w:w="855"/>
        <w:gridCol w:w="780"/>
      </w:tblGrid>
      <w:tr>
        <w:tblPrEx>
          <w:tblCellMar>
            <w:top w:w="0" w:type="dxa"/>
            <w:left w:w="108" w:type="dxa"/>
            <w:bottom w:w="0" w:type="dxa"/>
            <w:right w:w="108" w:type="dxa"/>
          </w:tblCellMar>
        </w:tblPrEx>
        <w:trPr>
          <w:trHeight w:val="367"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102" w:firstLineChars="49"/>
              <w:rPr>
                <w:rFonts w:hAnsi="宋体" w:cs="宋体"/>
                <w:bCs/>
                <w:color w:val="auto"/>
                <w:kern w:val="0"/>
                <w:szCs w:val="21"/>
                <w:highlight w:val="none"/>
              </w:rPr>
            </w:pPr>
            <w:r>
              <w:rPr>
                <w:rFonts w:hint="eastAsia" w:hAnsi="宋体" w:cs="宋体"/>
                <w:bCs/>
                <w:color w:val="auto"/>
                <w:kern w:val="0"/>
                <w:szCs w:val="21"/>
                <w:highlight w:val="none"/>
              </w:rPr>
              <w:t>序</w:t>
            </w:r>
          </w:p>
          <w:p>
            <w:pPr>
              <w:ind w:firstLine="102" w:firstLineChars="49"/>
              <w:rPr>
                <w:rFonts w:hAnsi="宋体" w:cs="宋体"/>
                <w:bCs/>
                <w:color w:val="auto"/>
                <w:kern w:val="0"/>
                <w:szCs w:val="21"/>
                <w:highlight w:val="none"/>
              </w:rPr>
            </w:pPr>
            <w:r>
              <w:rPr>
                <w:rFonts w:hint="eastAsia" w:hAnsi="宋体" w:cs="宋体"/>
                <w:bCs/>
                <w:color w:val="auto"/>
                <w:kern w:val="0"/>
                <w:szCs w:val="21"/>
                <w:highlight w:val="none"/>
              </w:rPr>
              <w:t>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项目</w:t>
            </w:r>
          </w:p>
          <w:p>
            <w:pPr>
              <w:widowControl/>
              <w:jc w:val="center"/>
              <w:rPr>
                <w:rFonts w:hAnsi="宋体" w:cs="宋体"/>
                <w:bCs/>
                <w:color w:val="auto"/>
                <w:kern w:val="0"/>
                <w:szCs w:val="21"/>
                <w:highlight w:val="none"/>
              </w:rPr>
            </w:pPr>
            <w:r>
              <w:rPr>
                <w:rFonts w:hint="eastAsia" w:hAnsi="宋体" w:cs="宋体"/>
                <w:bCs/>
                <w:color w:val="auto"/>
                <w:kern w:val="0"/>
                <w:szCs w:val="21"/>
                <w:highlight w:val="none"/>
              </w:rPr>
              <w:t>编码</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项目</w:t>
            </w:r>
          </w:p>
          <w:p>
            <w:pPr>
              <w:widowControl/>
              <w:jc w:val="center"/>
              <w:rPr>
                <w:rFonts w:hAnsi="宋体" w:cs="宋体"/>
                <w:bCs/>
                <w:color w:val="auto"/>
                <w:kern w:val="0"/>
                <w:szCs w:val="21"/>
                <w:highlight w:val="none"/>
              </w:rPr>
            </w:pPr>
            <w:r>
              <w:rPr>
                <w:rFonts w:hint="eastAsia" w:hAnsi="宋体" w:cs="宋体"/>
                <w:bCs/>
                <w:color w:val="auto"/>
                <w:kern w:val="0"/>
                <w:szCs w:val="21"/>
                <w:highlight w:val="none"/>
              </w:rPr>
              <w:t>名称</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right="71" w:rightChars="34"/>
              <w:rPr>
                <w:rFonts w:hAnsi="宋体" w:cs="宋体"/>
                <w:bCs/>
                <w:color w:val="auto"/>
                <w:kern w:val="0"/>
                <w:szCs w:val="21"/>
                <w:highlight w:val="none"/>
              </w:rPr>
            </w:pPr>
            <w:r>
              <w:rPr>
                <w:rFonts w:hint="eastAsia" w:hAnsi="宋体" w:cs="宋体"/>
                <w:bCs/>
                <w:color w:val="auto"/>
                <w:kern w:val="0"/>
                <w:szCs w:val="21"/>
                <w:highlight w:val="none"/>
              </w:rPr>
              <w:t>项 目</w:t>
            </w:r>
          </w:p>
          <w:p>
            <w:pPr>
              <w:widowControl/>
              <w:rPr>
                <w:rFonts w:hAnsi="宋体" w:cs="宋体"/>
                <w:bCs/>
                <w:color w:val="auto"/>
                <w:kern w:val="0"/>
                <w:szCs w:val="21"/>
                <w:highlight w:val="none"/>
              </w:rPr>
            </w:pPr>
            <w:r>
              <w:rPr>
                <w:rFonts w:hint="eastAsia" w:hAnsi="宋体" w:cs="宋体"/>
                <w:bCs/>
                <w:color w:val="auto"/>
                <w:kern w:val="0"/>
                <w:szCs w:val="21"/>
                <w:highlight w:val="none"/>
              </w:rPr>
              <w:t>特 征</w:t>
            </w:r>
          </w:p>
          <w:p>
            <w:pPr>
              <w:widowControl/>
              <w:rPr>
                <w:rFonts w:hAnsi="宋体" w:cs="宋体"/>
                <w:bCs/>
                <w:color w:val="auto"/>
                <w:kern w:val="0"/>
                <w:szCs w:val="21"/>
                <w:highlight w:val="none"/>
              </w:rPr>
            </w:pPr>
            <w:r>
              <w:rPr>
                <w:rFonts w:hint="eastAsia" w:hAnsi="宋体" w:cs="宋体"/>
                <w:bCs/>
                <w:color w:val="auto"/>
                <w:kern w:val="0"/>
                <w:szCs w:val="21"/>
                <w:highlight w:val="none"/>
              </w:rPr>
              <w:t>描 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计量</w:t>
            </w:r>
          </w:p>
          <w:p>
            <w:pPr>
              <w:jc w:val="center"/>
              <w:rPr>
                <w:rFonts w:hAnsi="宋体" w:cs="宋体"/>
                <w:bCs/>
                <w:color w:val="auto"/>
                <w:kern w:val="0"/>
                <w:szCs w:val="21"/>
                <w:highlight w:val="none"/>
              </w:rPr>
            </w:pPr>
            <w:r>
              <w:rPr>
                <w:rFonts w:hint="eastAsia" w:hAnsi="宋体" w:cs="宋体"/>
                <w:bCs/>
                <w:color w:val="auto"/>
                <w:kern w:val="0"/>
                <w:szCs w:val="21"/>
                <w:highlight w:val="none"/>
              </w:rPr>
              <w:t>单位</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工程量</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综合</w:t>
            </w:r>
          </w:p>
          <w:p>
            <w:pPr>
              <w:widowControl/>
              <w:jc w:val="center"/>
              <w:rPr>
                <w:rFonts w:hAnsi="宋体" w:cs="宋体"/>
                <w:bCs/>
                <w:color w:val="auto"/>
                <w:kern w:val="0"/>
                <w:szCs w:val="21"/>
                <w:highlight w:val="none"/>
              </w:rPr>
            </w:pPr>
            <w:r>
              <w:rPr>
                <w:rFonts w:hint="eastAsia" w:hAnsi="宋体" w:cs="宋体"/>
                <w:bCs/>
                <w:color w:val="auto"/>
                <w:kern w:val="0"/>
                <w:szCs w:val="21"/>
                <w:highlight w:val="none"/>
              </w:rPr>
              <w:t>单价</w:t>
            </w:r>
          </w:p>
          <w:p>
            <w:pPr>
              <w:jc w:val="center"/>
              <w:rPr>
                <w:rFonts w:hAnsi="宋体" w:cs="宋体"/>
                <w:bCs/>
                <w:color w:val="auto"/>
                <w:kern w:val="0"/>
                <w:szCs w:val="21"/>
                <w:highlight w:val="none"/>
              </w:rPr>
            </w:pPr>
            <w:r>
              <w:rPr>
                <w:rFonts w:hint="eastAsia" w:hAnsi="宋体" w:cs="宋体"/>
                <w:bCs/>
                <w:color w:val="auto"/>
                <w:kern w:val="0"/>
                <w:szCs w:val="21"/>
                <w:highlight w:val="none"/>
              </w:rPr>
              <w:t>（元）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合 价</w:t>
            </w:r>
          </w:p>
          <w:p>
            <w:pPr>
              <w:jc w:val="center"/>
              <w:rPr>
                <w:rFonts w:hAnsi="宋体" w:cs="宋体"/>
                <w:bCs/>
                <w:color w:val="auto"/>
                <w:kern w:val="0"/>
                <w:szCs w:val="21"/>
                <w:highlight w:val="none"/>
              </w:rPr>
            </w:pPr>
            <w:r>
              <w:rPr>
                <w:rFonts w:hint="eastAsia" w:hAnsi="宋体" w:cs="宋体"/>
                <w:bCs/>
                <w:color w:val="auto"/>
                <w:kern w:val="0"/>
                <w:szCs w:val="21"/>
                <w:highlight w:val="none"/>
              </w:rPr>
              <w:t>（元）</w:t>
            </w:r>
          </w:p>
        </w:tc>
        <w:tc>
          <w:tcPr>
            <w:tcW w:w="26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其中（元）</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备注</w:t>
            </w:r>
          </w:p>
        </w:tc>
      </w:tr>
      <w:tr>
        <w:tblPrEx>
          <w:tblCellMar>
            <w:top w:w="0" w:type="dxa"/>
            <w:left w:w="108" w:type="dxa"/>
            <w:bottom w:w="0" w:type="dxa"/>
            <w:right w:w="108" w:type="dxa"/>
          </w:tblCellMar>
        </w:tblPrEx>
        <w:trPr>
          <w:trHeight w:val="612"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firstLine="102" w:firstLineChars="49"/>
              <w:rPr>
                <w:rFonts w:hAnsi="宋体" w:cs="宋体"/>
                <w:bCs/>
                <w:color w:val="auto"/>
                <w:kern w:val="0"/>
                <w:szCs w:val="21"/>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Ansi="宋体" w:cs="宋体"/>
                <w:bCs/>
                <w:color w:val="auto"/>
                <w:kern w:val="0"/>
                <w:szCs w:val="21"/>
                <w:highlight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Ansi="宋体" w:cs="宋体"/>
                <w:bCs/>
                <w:color w:val="auto"/>
                <w:kern w:val="0"/>
                <w:szCs w:val="21"/>
                <w:highlight w:val="none"/>
              </w:rPr>
            </w:pPr>
          </w:p>
        </w:tc>
        <w:tc>
          <w:tcPr>
            <w:tcW w:w="885"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rPr>
                <w:rFonts w:hAnsi="宋体" w:cs="宋体"/>
                <w:bCs/>
                <w:color w:val="auto"/>
                <w:kern w:val="0"/>
                <w:szCs w:val="21"/>
                <w:highlight w:val="none"/>
              </w:rPr>
            </w:pPr>
          </w:p>
        </w:tc>
        <w:tc>
          <w:tcPr>
            <w:tcW w:w="795"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Ansi="宋体" w:cs="宋体"/>
                <w:bCs/>
                <w:color w:val="auto"/>
                <w:kern w:val="0"/>
                <w:szCs w:val="21"/>
                <w:highlight w:val="none"/>
              </w:rPr>
            </w:pPr>
          </w:p>
        </w:tc>
        <w:tc>
          <w:tcPr>
            <w:tcW w:w="930" w:type="dxa"/>
            <w:gridSpan w:val="2"/>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c>
          <w:tcPr>
            <w:tcW w:w="825"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人工费</w:t>
            </w:r>
          </w:p>
        </w:tc>
        <w:tc>
          <w:tcPr>
            <w:tcW w:w="915" w:type="dxa"/>
            <w:tcBorders>
              <w:top w:val="single" w:color="000000" w:sz="4" w:space="0"/>
              <w:left w:val="nil"/>
              <w:bottom w:val="single" w:color="000000" w:sz="4" w:space="0"/>
              <w:right w:val="single" w:color="auto"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机械费</w:t>
            </w:r>
          </w:p>
        </w:tc>
        <w:tc>
          <w:tcPr>
            <w:tcW w:w="855" w:type="dxa"/>
            <w:tcBorders>
              <w:top w:val="single" w:color="000000" w:sz="4" w:space="0"/>
              <w:left w:val="nil"/>
              <w:bottom w:val="single" w:color="000000" w:sz="4" w:space="0"/>
              <w:right w:val="single" w:color="auto" w:sz="4" w:space="0"/>
            </w:tcBorders>
            <w:shd w:val="clear" w:color="auto" w:fill="FFFFFF"/>
            <w:noWrap w:val="0"/>
            <w:vAlign w:val="center"/>
          </w:tcPr>
          <w:p>
            <w:pPr>
              <w:widowControl/>
              <w:jc w:val="center"/>
              <w:rPr>
                <w:rFonts w:hAnsi="宋体" w:cs="宋体"/>
                <w:bCs/>
                <w:color w:val="auto"/>
                <w:kern w:val="0"/>
                <w:szCs w:val="21"/>
                <w:highlight w:val="none"/>
              </w:rPr>
            </w:pPr>
            <w:r>
              <w:rPr>
                <w:rFonts w:hint="eastAsia" w:hAnsi="宋体" w:cs="宋体"/>
                <w:bCs/>
                <w:color w:val="auto"/>
                <w:kern w:val="0"/>
                <w:szCs w:val="21"/>
                <w:highlight w:val="none"/>
              </w:rPr>
              <w:t>管理费</w:t>
            </w:r>
          </w:p>
        </w:tc>
        <w:tc>
          <w:tcPr>
            <w:tcW w:w="780" w:type="dxa"/>
            <w:vMerge w:val="continue"/>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Ansi="宋体" w:cs="宋体"/>
                <w:bCs/>
                <w:color w:val="auto"/>
                <w:kern w:val="0"/>
                <w:szCs w:val="21"/>
                <w:highlight w:val="none"/>
              </w:rPr>
            </w:pPr>
          </w:p>
        </w:tc>
      </w:tr>
      <w:tr>
        <w:tblPrEx>
          <w:tblCellMar>
            <w:top w:w="0" w:type="dxa"/>
            <w:left w:w="108" w:type="dxa"/>
            <w:bottom w:w="0" w:type="dxa"/>
            <w:right w:w="108" w:type="dxa"/>
          </w:tblCellMar>
        </w:tblPrEx>
        <w:trPr>
          <w:trHeight w:val="450"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w:t>
            </w: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（2）</w:t>
            </w: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（3）</w:t>
            </w: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（4）</w:t>
            </w: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（5）</w:t>
            </w: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（6）</w:t>
            </w: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（7）</w:t>
            </w: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（8）</w:t>
            </w: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（9）</w:t>
            </w: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（10）</w:t>
            </w: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（11）</w:t>
            </w: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r>
              <w:rPr>
                <w:rFonts w:hint="eastAsia" w:hAnsi="宋体" w:cs="宋体"/>
                <w:color w:val="auto"/>
                <w:kern w:val="0"/>
                <w:szCs w:val="21"/>
                <w:highlight w:val="none"/>
              </w:rPr>
              <w:t>（12）</w:t>
            </w: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450"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810" w:type="dxa"/>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8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9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30"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25"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5716" w:type="dxa"/>
            <w:gridSpan w:val="7"/>
            <w:tcBorders>
              <w:top w:val="nil"/>
              <w:left w:val="single" w:color="000000" w:sz="4" w:space="0"/>
              <w:bottom w:val="single" w:color="000000" w:sz="4" w:space="0"/>
              <w:right w:val="single" w:color="000000" w:sz="4" w:space="0"/>
            </w:tcBorders>
            <w:shd w:val="clear" w:color="auto" w:fill="FFFFFF"/>
            <w:noWrap w:val="0"/>
            <w:vAlign w:val="center"/>
          </w:tcPr>
          <w:p>
            <w:pPr>
              <w:widowControl/>
              <w:spacing w:line="500" w:lineRule="exact"/>
              <w:ind w:firstLine="2415" w:firstLineChars="1150"/>
              <w:jc w:val="center"/>
              <w:rPr>
                <w:rFonts w:hAnsi="宋体"/>
                <w:color w:val="auto"/>
                <w:szCs w:val="21"/>
                <w:highlight w:val="none"/>
              </w:rPr>
            </w:pPr>
            <w:r>
              <w:rPr>
                <w:rFonts w:hint="eastAsia" w:hAnsi="宋体"/>
                <w:color w:val="auto"/>
                <w:szCs w:val="21"/>
                <w:highlight w:val="none"/>
              </w:rPr>
              <w:t>合   计</w:t>
            </w:r>
          </w:p>
        </w:tc>
        <w:tc>
          <w:tcPr>
            <w:tcW w:w="1109" w:type="dxa"/>
            <w:gridSpan w:val="2"/>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70" w:type="dxa"/>
            <w:tcBorders>
              <w:top w:val="nil"/>
              <w:left w:val="nil"/>
              <w:bottom w:val="single" w:color="000000" w:sz="4" w:space="0"/>
              <w:right w:val="single" w:color="000000"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91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855" w:type="dxa"/>
            <w:tcBorders>
              <w:top w:val="nil"/>
              <w:left w:val="nil"/>
              <w:bottom w:val="single" w:color="000000" w:sz="4" w:space="0"/>
              <w:right w:val="single" w:color="auto" w:sz="4" w:space="0"/>
            </w:tcBorders>
            <w:shd w:val="clear" w:color="auto" w:fill="FFFFFF"/>
            <w:noWrap w:val="0"/>
            <w:vAlign w:val="center"/>
          </w:tcPr>
          <w:p>
            <w:pPr>
              <w:widowControl/>
              <w:spacing w:line="500" w:lineRule="exact"/>
              <w:jc w:val="center"/>
              <w:rPr>
                <w:rFonts w:hAnsi="宋体" w:cs="宋体"/>
                <w:color w:val="auto"/>
                <w:kern w:val="0"/>
                <w:szCs w:val="21"/>
                <w:highlight w:val="none"/>
              </w:rPr>
            </w:pPr>
          </w:p>
        </w:tc>
        <w:tc>
          <w:tcPr>
            <w:tcW w:w="780" w:type="dxa"/>
            <w:tcBorders>
              <w:top w:val="nil"/>
              <w:left w:val="single" w:color="auto" w:sz="4" w:space="0"/>
              <w:bottom w:val="single" w:color="000000" w:sz="4" w:space="0"/>
              <w:right w:val="single" w:color="000000" w:sz="4" w:space="0"/>
            </w:tcBorders>
            <w:shd w:val="clear" w:color="auto" w:fill="FFFFFF"/>
            <w:noWrap w:val="0"/>
            <w:vAlign w:val="center"/>
          </w:tcPr>
          <w:p>
            <w:pPr>
              <w:spacing w:line="500" w:lineRule="exact"/>
              <w:jc w:val="center"/>
              <w:rPr>
                <w:rFonts w:hAnsi="宋体" w:cs="宋体"/>
                <w:color w:val="auto"/>
                <w:kern w:val="0"/>
                <w:szCs w:val="21"/>
                <w:highlight w:val="none"/>
              </w:rPr>
            </w:pPr>
          </w:p>
        </w:tc>
      </w:tr>
    </w:tbl>
    <w:p>
      <w:pPr>
        <w:spacing w:line="300" w:lineRule="exact"/>
        <w:rPr>
          <w:rFonts w:hAnsi="宋体"/>
          <w:color w:val="auto"/>
          <w:szCs w:val="21"/>
          <w:highlight w:val="none"/>
        </w:rPr>
      </w:pPr>
      <w:r>
        <w:rPr>
          <w:rFonts w:hint="eastAsia" w:hAnsi="宋体"/>
          <w:color w:val="auto"/>
          <w:szCs w:val="21"/>
          <w:highlight w:val="none"/>
        </w:rPr>
        <w:t>注：表中（1）（2）（3）（4）（5）（6）栏由招标人提供内容。（12）栏由招标人按需提出要求，如招标人需要</w:t>
      </w:r>
      <w:r>
        <w:rPr>
          <w:rFonts w:hint="eastAsia" w:hAnsi="宋体"/>
          <w:color w:val="auto"/>
          <w:szCs w:val="21"/>
          <w:highlight w:val="none"/>
          <w:lang w:val="en-US" w:eastAsia="zh-CN"/>
        </w:rPr>
        <w:t>响应</w:t>
      </w:r>
      <w:r>
        <w:rPr>
          <w:rFonts w:hint="eastAsia" w:hAnsi="宋体"/>
          <w:color w:val="auto"/>
          <w:szCs w:val="21"/>
          <w:highlight w:val="none"/>
        </w:rPr>
        <w:t>人提供清单项目综合单价的计算分析和工料机分析，请在（12）备注中明确。</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spacing w:line="500" w:lineRule="exact"/>
        <w:rPr>
          <w:rFonts w:hint="eastAsia" w:hAnsi="宋体"/>
          <w:b/>
          <w:color w:val="auto"/>
          <w:szCs w:val="32"/>
          <w:highlight w:val="none"/>
        </w:rPr>
      </w:pPr>
      <w:r>
        <w:rPr>
          <w:rFonts w:hint="eastAsia" w:hAnsi="宋体"/>
          <w:color w:val="auto"/>
          <w:sz w:val="24"/>
          <w:highlight w:val="none"/>
        </w:rPr>
        <w:br w:type="page"/>
      </w:r>
    </w:p>
    <w:p>
      <w:pPr>
        <w:widowControl/>
        <w:tabs>
          <w:tab w:val="center" w:pos="4755"/>
          <w:tab w:val="right" w:pos="9070"/>
        </w:tabs>
        <w:spacing w:before="100" w:beforeAutospacing="1" w:after="100" w:afterAutospacing="1"/>
        <w:jc w:val="center"/>
        <w:rPr>
          <w:b/>
          <w:color w:val="auto"/>
          <w:sz w:val="28"/>
          <w:szCs w:val="28"/>
          <w:highlight w:val="none"/>
        </w:rPr>
      </w:pPr>
      <w:r>
        <w:rPr>
          <w:rFonts w:hint="eastAsia" w:hAnsi="宋体"/>
          <w:b/>
          <w:color w:val="auto"/>
          <w:sz w:val="28"/>
          <w:szCs w:val="28"/>
          <w:highlight w:val="none"/>
        </w:rPr>
        <w:t>表</w:t>
      </w:r>
      <w:r>
        <w:rPr>
          <w:rFonts w:hAnsi="宋体"/>
          <w:b/>
          <w:color w:val="auto"/>
          <w:sz w:val="28"/>
          <w:szCs w:val="28"/>
          <w:highlight w:val="none"/>
        </w:rPr>
        <w:t xml:space="preserve">1-3-A  </w:t>
      </w:r>
      <w:r>
        <w:rPr>
          <w:rFonts w:hint="eastAsia" w:hAnsi="宋体"/>
          <w:b/>
          <w:color w:val="auto"/>
          <w:sz w:val="28"/>
          <w:szCs w:val="28"/>
          <w:highlight w:val="none"/>
        </w:rPr>
        <w:t>组织措施项目（整体）清单及计价表</w:t>
      </w:r>
    </w:p>
    <w:p>
      <w:pPr>
        <w:widowControl/>
        <w:tabs>
          <w:tab w:val="center" w:pos="4755"/>
          <w:tab w:val="right" w:pos="9070"/>
        </w:tabs>
        <w:spacing w:before="100" w:beforeAutospacing="1" w:after="100" w:afterAutospacing="1"/>
        <w:jc w:val="left"/>
        <w:rPr>
          <w:color w:val="auto"/>
          <w:szCs w:val="21"/>
          <w:highlight w:val="none"/>
        </w:rPr>
      </w:pPr>
      <w:r>
        <w:rPr>
          <w:rFonts w:hint="eastAsia" w:hAnsi="宋体"/>
          <w:color w:val="auto"/>
          <w:szCs w:val="21"/>
          <w:highlight w:val="none"/>
        </w:rPr>
        <w:t>工程名称</w:t>
      </w:r>
      <w:r>
        <w:rPr>
          <w:rFonts w:hAnsi="宋体"/>
          <w:color w:val="auto"/>
          <w:szCs w:val="21"/>
          <w:highlight w:val="none"/>
        </w:rPr>
        <w:t xml:space="preserve">:                                                            </w:t>
      </w:r>
      <w:r>
        <w:rPr>
          <w:rFonts w:hint="eastAsia" w:hAnsi="宋体"/>
          <w:color w:val="auto"/>
          <w:szCs w:val="21"/>
          <w:highlight w:val="none"/>
        </w:rPr>
        <w:t>第页共页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序号</w:t>
            </w:r>
          </w:p>
        </w:tc>
        <w:tc>
          <w:tcPr>
            <w:tcW w:w="259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项目名称</w:t>
            </w:r>
          </w:p>
        </w:tc>
        <w:tc>
          <w:tcPr>
            <w:tcW w:w="108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单位</w:t>
            </w:r>
          </w:p>
        </w:tc>
        <w:tc>
          <w:tcPr>
            <w:tcW w:w="108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数量</w:t>
            </w:r>
          </w:p>
        </w:tc>
        <w:tc>
          <w:tcPr>
            <w:tcW w:w="1440"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金额</w:t>
            </w:r>
            <w:r>
              <w:rPr>
                <w:rFonts w:hAnsi="宋体"/>
                <w:color w:val="auto"/>
                <w:szCs w:val="21"/>
                <w:highlight w:val="none"/>
              </w:rPr>
              <w:t>(</w:t>
            </w:r>
            <w:r>
              <w:rPr>
                <w:rFonts w:hint="eastAsia" w:hAnsi="宋体"/>
                <w:color w:val="auto"/>
                <w:szCs w:val="21"/>
                <w:highlight w:val="none"/>
              </w:rPr>
              <w:t>元</w:t>
            </w:r>
            <w:r>
              <w:rPr>
                <w:rFonts w:hAnsi="宋体"/>
                <w:color w:val="auto"/>
                <w:szCs w:val="21"/>
                <w:highlight w:val="none"/>
              </w:rPr>
              <w:t>)</w:t>
            </w:r>
          </w:p>
        </w:tc>
        <w:tc>
          <w:tcPr>
            <w:tcW w:w="270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3" w:hRule="atLeast"/>
        </w:trPr>
        <w:tc>
          <w:tcPr>
            <w:tcW w:w="938" w:type="dxa"/>
            <w:noWrap w:val="0"/>
            <w:vAlign w:val="top"/>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w:t>
            </w:r>
          </w:p>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一</w:t>
            </w:r>
          </w:p>
          <w:p>
            <w:pPr>
              <w:widowControl/>
              <w:tabs>
                <w:tab w:val="center" w:pos="4755"/>
                <w:tab w:val="right" w:pos="9070"/>
              </w:tabs>
              <w:spacing w:before="100" w:beforeAutospacing="1" w:after="100" w:afterAutospacing="1"/>
              <w:jc w:val="center"/>
              <w:rPr>
                <w:color w:val="auto"/>
                <w:position w:val="-6"/>
                <w:szCs w:val="21"/>
                <w:highlight w:val="none"/>
              </w:rPr>
            </w:pPr>
            <w:r>
              <w:rPr>
                <w:rFonts w:hint="eastAsia" w:hAnsi="宋体"/>
                <w:color w:val="auto"/>
                <w:position w:val="-6"/>
                <w:szCs w:val="21"/>
                <w:highlight w:val="none"/>
              </w:rPr>
              <w:t>二</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1</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2</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3</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4</w:t>
            </w: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tc>
        <w:tc>
          <w:tcPr>
            <w:tcW w:w="2590" w:type="dxa"/>
            <w:noWrap w:val="0"/>
            <w:vAlign w:val="top"/>
          </w:tcPr>
          <w:p>
            <w:pPr>
              <w:widowControl/>
              <w:tabs>
                <w:tab w:val="center" w:pos="4755"/>
                <w:tab w:val="right" w:pos="9070"/>
              </w:tabs>
              <w:adjustRightInd w:val="0"/>
              <w:spacing w:before="100" w:beforeAutospacing="1" w:after="100" w:afterAutospacing="1"/>
              <w:jc w:val="center"/>
              <w:rPr>
                <w:color w:val="auto"/>
                <w:spacing w:val="-16"/>
                <w:szCs w:val="21"/>
                <w:highlight w:val="none"/>
              </w:rPr>
            </w:pPr>
            <w:r>
              <w:rPr>
                <w:rFonts w:hint="eastAsia" w:hAnsi="宋体"/>
                <w:color w:val="auto"/>
                <w:spacing w:val="-16"/>
                <w:szCs w:val="21"/>
                <w:highlight w:val="none"/>
              </w:rPr>
              <w:t>（</w:t>
            </w:r>
            <w:r>
              <w:rPr>
                <w:rFonts w:hAnsi="宋体"/>
                <w:color w:val="auto"/>
                <w:spacing w:val="-16"/>
                <w:szCs w:val="21"/>
                <w:highlight w:val="none"/>
              </w:rPr>
              <w:t>2</w:t>
            </w:r>
            <w:r>
              <w:rPr>
                <w:rFonts w:hint="eastAsia" w:hAnsi="宋体"/>
                <w:color w:val="auto"/>
                <w:spacing w:val="-16"/>
                <w:szCs w:val="21"/>
                <w:highlight w:val="none"/>
              </w:rPr>
              <w:t>）</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安全文明施工措施项目</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其他组织措施项目</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提前竣工增加费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二次搬运费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冬雨季施工增加费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行车、行人干扰增加费</w:t>
            </w: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tc>
        <w:tc>
          <w:tcPr>
            <w:tcW w:w="1080"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1080"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144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700"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提供分析清单（表</w:t>
            </w:r>
            <w:r>
              <w:rPr>
                <w:rFonts w:hAnsi="宋体"/>
                <w:color w:val="auto"/>
                <w:szCs w:val="21"/>
                <w:highlight w:val="none"/>
              </w:rPr>
              <w:t>1-3-A-1</w:t>
            </w:r>
            <w:r>
              <w:rPr>
                <w:rFonts w:hint="eastAsia" w:hAnsi="宋体"/>
                <w:color w:val="auto"/>
                <w:szCs w:val="21"/>
                <w:highlight w:val="none"/>
              </w:rPr>
              <w:t>）</w:t>
            </w:r>
          </w:p>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合计</w:t>
            </w:r>
          </w:p>
        </w:tc>
        <w:tc>
          <w:tcPr>
            <w:tcW w:w="1440" w:type="dxa"/>
            <w:noWrap w:val="0"/>
            <w:vAlign w:val="top"/>
          </w:tcPr>
          <w:p>
            <w:pPr>
              <w:widowControl/>
              <w:tabs>
                <w:tab w:val="center" w:pos="4755"/>
                <w:tab w:val="right" w:pos="9070"/>
              </w:tabs>
              <w:spacing w:before="100" w:beforeAutospacing="1" w:after="100" w:afterAutospacing="1"/>
              <w:rPr>
                <w:color w:val="auto"/>
                <w:szCs w:val="21"/>
                <w:highlight w:val="none"/>
              </w:rPr>
            </w:pPr>
          </w:p>
        </w:tc>
        <w:tc>
          <w:tcPr>
            <w:tcW w:w="2700" w:type="dxa"/>
            <w:noWrap w:val="0"/>
            <w:vAlign w:val="top"/>
          </w:tcPr>
          <w:p>
            <w:pPr>
              <w:widowControl/>
              <w:tabs>
                <w:tab w:val="center" w:pos="4755"/>
                <w:tab w:val="right" w:pos="9070"/>
              </w:tabs>
              <w:spacing w:before="100" w:beforeAutospacing="1" w:after="100" w:afterAutospacing="1"/>
              <w:rPr>
                <w:color w:val="auto"/>
                <w:szCs w:val="21"/>
                <w:highlight w:val="none"/>
              </w:rPr>
            </w:pPr>
          </w:p>
        </w:tc>
      </w:tr>
    </w:tbl>
    <w:p>
      <w:pPr>
        <w:widowControl/>
        <w:tabs>
          <w:tab w:val="center" w:pos="4755"/>
          <w:tab w:val="right" w:pos="9070"/>
        </w:tabs>
        <w:jc w:val="left"/>
        <w:rPr>
          <w:color w:val="auto"/>
          <w:szCs w:val="21"/>
          <w:highlight w:val="none"/>
        </w:rPr>
      </w:pPr>
      <w:r>
        <w:rPr>
          <w:rFonts w:hint="eastAsia" w:hAnsi="宋体"/>
          <w:color w:val="auto"/>
          <w:szCs w:val="21"/>
          <w:highlight w:val="none"/>
        </w:rPr>
        <w:t>注：</w:t>
      </w:r>
      <w:r>
        <w:rPr>
          <w:rFonts w:hAnsi="宋体"/>
          <w:color w:val="auto"/>
          <w:szCs w:val="21"/>
          <w:highlight w:val="none"/>
        </w:rPr>
        <w:t>1.</w:t>
      </w:r>
      <w:r>
        <w:rPr>
          <w:rFonts w:hint="eastAsia" w:hAnsi="宋体"/>
          <w:color w:val="auto"/>
          <w:szCs w:val="21"/>
          <w:highlight w:val="none"/>
        </w:rPr>
        <w:t>表中列项供参考，（</w:t>
      </w: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）栏由招标人提供，</w:t>
      </w:r>
      <w:r>
        <w:rPr>
          <w:rFonts w:hint="eastAsia" w:hAnsi="宋体"/>
          <w:color w:val="auto"/>
          <w:szCs w:val="21"/>
          <w:highlight w:val="none"/>
          <w:lang w:val="en-US" w:eastAsia="zh-CN"/>
        </w:rPr>
        <w:t>响应</w:t>
      </w:r>
      <w:r>
        <w:rPr>
          <w:rFonts w:hint="eastAsia" w:hAnsi="宋体"/>
          <w:color w:val="auto"/>
          <w:szCs w:val="21"/>
          <w:highlight w:val="none"/>
        </w:rPr>
        <w:t>人可按工程实际作补充。</w:t>
      </w:r>
    </w:p>
    <w:p>
      <w:pPr>
        <w:widowControl/>
        <w:tabs>
          <w:tab w:val="center" w:pos="4755"/>
          <w:tab w:val="right" w:pos="9070"/>
        </w:tabs>
        <w:ind w:firstLine="420" w:firstLineChars="200"/>
        <w:jc w:val="left"/>
        <w:rPr>
          <w:color w:val="auto"/>
          <w:szCs w:val="21"/>
          <w:highlight w:val="none"/>
        </w:rPr>
      </w:pPr>
      <w:r>
        <w:rPr>
          <w:rFonts w:hAnsi="宋体"/>
          <w:color w:val="auto"/>
          <w:szCs w:val="21"/>
          <w:highlight w:val="none"/>
        </w:rPr>
        <w:t>2.</w:t>
      </w:r>
      <w:r>
        <w:rPr>
          <w:rFonts w:hint="eastAsia" w:hAnsi="宋体"/>
          <w:color w:val="auto"/>
          <w:szCs w:val="21"/>
          <w:highlight w:val="none"/>
        </w:rPr>
        <w:t>措施项目应分整体措施项目和专业工程措施项目，安全文明施工措施项目（包括环境保护、文明施工、安全施工、临时设施）以及工程定位复测费应按招标项目整体报价，其他组织措施项目由</w:t>
      </w:r>
      <w:r>
        <w:rPr>
          <w:rFonts w:hint="eastAsia" w:hAnsi="宋体"/>
          <w:color w:val="auto"/>
          <w:szCs w:val="21"/>
          <w:highlight w:val="none"/>
          <w:lang w:val="en-US" w:eastAsia="zh-CN"/>
        </w:rPr>
        <w:t>响应</w:t>
      </w:r>
      <w:r>
        <w:rPr>
          <w:rFonts w:hint="eastAsia" w:hAnsi="宋体"/>
          <w:color w:val="auto"/>
          <w:szCs w:val="21"/>
          <w:highlight w:val="none"/>
        </w:rPr>
        <w:t>人根据工程实际自行决定按整体项目还是按专业工程清单报价（专业工程组织措施项目清单见表</w:t>
      </w:r>
      <w:r>
        <w:rPr>
          <w:rFonts w:hAnsi="宋体"/>
          <w:color w:val="auto"/>
          <w:szCs w:val="21"/>
          <w:highlight w:val="none"/>
        </w:rPr>
        <w:t>1-3-B</w:t>
      </w:r>
      <w:r>
        <w:rPr>
          <w:rFonts w:hint="eastAsia" w:hAnsi="宋体"/>
          <w:color w:val="auto"/>
          <w:szCs w:val="21"/>
          <w:highlight w:val="none"/>
        </w:rPr>
        <w:t>）。</w:t>
      </w:r>
    </w:p>
    <w:p>
      <w:pPr>
        <w:widowControl/>
        <w:tabs>
          <w:tab w:val="center" w:pos="4755"/>
          <w:tab w:val="right" w:pos="9070"/>
        </w:tabs>
        <w:ind w:firstLine="420" w:firstLineChars="200"/>
        <w:jc w:val="left"/>
        <w:rPr>
          <w:rFonts w:hAnsi="宋体"/>
          <w:color w:val="auto"/>
          <w:szCs w:val="21"/>
          <w:highlight w:val="none"/>
        </w:rPr>
      </w:pPr>
      <w:r>
        <w:rPr>
          <w:rFonts w:hAnsi="宋体"/>
          <w:color w:val="auto"/>
          <w:szCs w:val="21"/>
          <w:highlight w:val="none"/>
        </w:rPr>
        <w:t>3.</w:t>
      </w:r>
      <w:r>
        <w:rPr>
          <w:rFonts w:hint="eastAsia" w:hAnsi="宋体"/>
          <w:color w:val="auto"/>
          <w:szCs w:val="21"/>
          <w:highlight w:val="none"/>
        </w:rPr>
        <w:t>专业工程组织措施项目清单表</w:t>
      </w:r>
      <w:r>
        <w:rPr>
          <w:rFonts w:hAnsi="宋体"/>
          <w:color w:val="auto"/>
          <w:szCs w:val="21"/>
          <w:highlight w:val="none"/>
        </w:rPr>
        <w:t>1-3-B</w:t>
      </w:r>
      <w:r>
        <w:rPr>
          <w:rFonts w:hint="eastAsia" w:hAnsi="宋体"/>
          <w:color w:val="auto"/>
          <w:szCs w:val="21"/>
          <w:highlight w:val="none"/>
        </w:rPr>
        <w:t>中已报价的组织措施费不得与整体组织措施项目清单表</w:t>
      </w:r>
      <w:r>
        <w:rPr>
          <w:rFonts w:hAnsi="宋体"/>
          <w:color w:val="auto"/>
          <w:szCs w:val="21"/>
          <w:highlight w:val="none"/>
        </w:rPr>
        <w:t>1-3-A</w:t>
      </w:r>
      <w:r>
        <w:rPr>
          <w:rFonts w:hint="eastAsia" w:hAnsi="宋体"/>
          <w:color w:val="auto"/>
          <w:szCs w:val="21"/>
          <w:highlight w:val="none"/>
        </w:rPr>
        <w:t>中的其他组织措施项目重复报价。</w:t>
      </w:r>
    </w:p>
    <w:p>
      <w:pPr>
        <w:widowControl/>
        <w:tabs>
          <w:tab w:val="center" w:pos="4755"/>
          <w:tab w:val="right" w:pos="9070"/>
        </w:tabs>
        <w:spacing w:before="100" w:beforeAutospacing="1" w:after="100" w:afterAutospacing="1"/>
        <w:jc w:val="both"/>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b/>
          <w:color w:val="auto"/>
          <w:sz w:val="28"/>
          <w:szCs w:val="28"/>
          <w:highlight w:val="none"/>
        </w:rPr>
      </w:pPr>
      <w:r>
        <w:rPr>
          <w:rFonts w:hint="eastAsia"/>
          <w:color w:val="auto"/>
          <w:highlight w:val="none"/>
        </w:rPr>
        <w:br w:type="page"/>
      </w:r>
    </w:p>
    <w:p>
      <w:pPr>
        <w:widowControl/>
        <w:tabs>
          <w:tab w:val="center" w:pos="4755"/>
          <w:tab w:val="right" w:pos="9070"/>
        </w:tabs>
        <w:spacing w:before="100" w:beforeAutospacing="1" w:after="100" w:afterAutospacing="1"/>
        <w:jc w:val="center"/>
        <w:rPr>
          <w:b/>
          <w:color w:val="auto"/>
          <w:sz w:val="28"/>
          <w:szCs w:val="28"/>
          <w:highlight w:val="none"/>
        </w:rPr>
      </w:pPr>
      <w:r>
        <w:rPr>
          <w:rFonts w:hint="eastAsia" w:hAnsi="宋体"/>
          <w:b/>
          <w:color w:val="auto"/>
          <w:sz w:val="28"/>
          <w:szCs w:val="28"/>
          <w:highlight w:val="none"/>
        </w:rPr>
        <w:t>表</w:t>
      </w:r>
      <w:r>
        <w:rPr>
          <w:rFonts w:hAnsi="宋体"/>
          <w:b/>
          <w:color w:val="auto"/>
          <w:sz w:val="28"/>
          <w:szCs w:val="28"/>
          <w:highlight w:val="none"/>
        </w:rPr>
        <w:t xml:space="preserve">1-3-B  </w:t>
      </w:r>
      <w:r>
        <w:rPr>
          <w:rFonts w:hint="eastAsia" w:hAnsi="宋体"/>
          <w:b/>
          <w:color w:val="auto"/>
          <w:sz w:val="28"/>
          <w:szCs w:val="28"/>
          <w:highlight w:val="none"/>
        </w:rPr>
        <w:t>组织措施项目（专业工程）清单及计价表</w:t>
      </w:r>
    </w:p>
    <w:p>
      <w:pPr>
        <w:keepNext w:val="0"/>
        <w:keepLines w:val="0"/>
        <w:pageBreakBefore w:val="0"/>
        <w:widowControl/>
        <w:tabs>
          <w:tab w:val="center" w:pos="4755"/>
          <w:tab w:val="right" w:pos="9070"/>
        </w:tabs>
        <w:kinsoku/>
        <w:wordWrap/>
        <w:overflowPunct/>
        <w:topLinePunct w:val="0"/>
        <w:autoSpaceDE/>
        <w:autoSpaceDN/>
        <w:bidi w:val="0"/>
        <w:adjustRightInd w:val="0"/>
        <w:snapToGrid/>
        <w:spacing w:line="400" w:lineRule="exact"/>
        <w:ind w:left="0" w:hanging="6480" w:hangingChars="2700"/>
        <w:jc w:val="left"/>
        <w:textAlignment w:val="auto"/>
        <w:rPr>
          <w:color w:val="auto"/>
          <w:sz w:val="24"/>
          <w:szCs w:val="24"/>
          <w:highlight w:val="none"/>
        </w:rPr>
      </w:pPr>
      <w:r>
        <w:rPr>
          <w:rFonts w:hint="eastAsia" w:hAnsi="宋体"/>
          <w:color w:val="auto"/>
          <w:sz w:val="24"/>
          <w:szCs w:val="24"/>
          <w:highlight w:val="none"/>
        </w:rPr>
        <w:t>工程名称</w:t>
      </w:r>
      <w:r>
        <w:rPr>
          <w:rFonts w:hAnsi="宋体"/>
          <w:color w:val="auto"/>
          <w:sz w:val="24"/>
          <w:szCs w:val="24"/>
          <w:highlight w:val="none"/>
        </w:rPr>
        <w:t xml:space="preserve">:                                            </w:t>
      </w:r>
    </w:p>
    <w:p>
      <w:pPr>
        <w:keepNext w:val="0"/>
        <w:keepLines w:val="0"/>
        <w:pageBreakBefore w:val="0"/>
        <w:widowControl/>
        <w:tabs>
          <w:tab w:val="center" w:pos="4755"/>
          <w:tab w:val="right" w:pos="9070"/>
        </w:tabs>
        <w:kinsoku/>
        <w:wordWrap/>
        <w:overflowPunct/>
        <w:topLinePunct w:val="0"/>
        <w:autoSpaceDE/>
        <w:autoSpaceDN/>
        <w:bidi w:val="0"/>
        <w:adjustRightInd w:val="0"/>
        <w:snapToGrid/>
        <w:spacing w:line="400" w:lineRule="exact"/>
        <w:ind w:left="0" w:hanging="6480" w:hangingChars="2700"/>
        <w:jc w:val="left"/>
        <w:textAlignment w:val="auto"/>
        <w:rPr>
          <w:color w:val="auto"/>
          <w:sz w:val="24"/>
          <w:szCs w:val="24"/>
          <w:highlight w:val="none"/>
        </w:rPr>
      </w:pPr>
      <w:r>
        <w:rPr>
          <w:rFonts w:hint="eastAsia" w:hAnsi="宋体"/>
          <w:color w:val="auto"/>
          <w:sz w:val="24"/>
          <w:szCs w:val="24"/>
          <w:highlight w:val="none"/>
        </w:rPr>
        <w:t>单位工程及专业工程名称：</w:t>
      </w:r>
      <w:r>
        <w:rPr>
          <w:rFonts w:hint="eastAsia" w:hAnsi="宋体"/>
          <w:color w:val="auto"/>
          <w:sz w:val="24"/>
          <w:szCs w:val="24"/>
          <w:highlight w:val="none"/>
          <w:lang w:val="en-US" w:eastAsia="zh-CN"/>
        </w:rPr>
        <w:t xml:space="preserve">                                          </w:t>
      </w:r>
      <w:r>
        <w:rPr>
          <w:rFonts w:hint="eastAsia" w:hAnsi="宋体"/>
          <w:color w:val="auto"/>
          <w:sz w:val="24"/>
          <w:szCs w:val="24"/>
          <w:highlight w:val="none"/>
        </w:rPr>
        <w:t>第</w:t>
      </w:r>
      <w:r>
        <w:rPr>
          <w:rFonts w:hint="eastAsia" w:hAnsi="宋体"/>
          <w:color w:val="auto"/>
          <w:sz w:val="24"/>
          <w:szCs w:val="24"/>
          <w:highlight w:val="none"/>
          <w:lang w:val="en-US" w:eastAsia="zh-CN"/>
        </w:rPr>
        <w:t xml:space="preserve">  </w:t>
      </w:r>
      <w:r>
        <w:rPr>
          <w:rFonts w:hint="eastAsia" w:hAnsi="宋体"/>
          <w:color w:val="auto"/>
          <w:sz w:val="24"/>
          <w:szCs w:val="24"/>
          <w:highlight w:val="none"/>
        </w:rPr>
        <w:t>页</w:t>
      </w:r>
      <w:r>
        <w:rPr>
          <w:rFonts w:hint="eastAsia" w:hAnsi="宋体"/>
          <w:color w:val="auto"/>
          <w:sz w:val="24"/>
          <w:szCs w:val="24"/>
          <w:highlight w:val="none"/>
          <w:lang w:val="en-US" w:eastAsia="zh-CN"/>
        </w:rPr>
        <w:t xml:space="preserve"> </w:t>
      </w:r>
      <w:r>
        <w:rPr>
          <w:rFonts w:hint="eastAsia" w:hAnsi="宋体"/>
          <w:color w:val="auto"/>
          <w:sz w:val="24"/>
          <w:szCs w:val="24"/>
          <w:highlight w:val="none"/>
        </w:rPr>
        <w:t>共</w:t>
      </w:r>
      <w:r>
        <w:rPr>
          <w:rFonts w:hint="eastAsia" w:hAnsi="宋体"/>
          <w:color w:val="auto"/>
          <w:sz w:val="24"/>
          <w:szCs w:val="24"/>
          <w:highlight w:val="none"/>
          <w:lang w:val="en-US" w:eastAsia="zh-CN"/>
        </w:rPr>
        <w:t xml:space="preserve">  </w:t>
      </w:r>
      <w:r>
        <w:rPr>
          <w:rFonts w:hint="eastAsia" w:hAnsi="宋体"/>
          <w:color w:val="auto"/>
          <w:sz w:val="24"/>
          <w:szCs w:val="24"/>
          <w:highlight w:val="none"/>
        </w:rPr>
        <w:t>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340"/>
        <w:gridCol w:w="1057"/>
        <w:gridCol w:w="921"/>
        <w:gridCol w:w="1789"/>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2"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序号</w:t>
            </w:r>
          </w:p>
        </w:tc>
        <w:tc>
          <w:tcPr>
            <w:tcW w:w="2340"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项目名称</w:t>
            </w:r>
          </w:p>
        </w:tc>
        <w:tc>
          <w:tcPr>
            <w:tcW w:w="1057"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单位</w:t>
            </w:r>
          </w:p>
        </w:tc>
        <w:tc>
          <w:tcPr>
            <w:tcW w:w="92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数量</w:t>
            </w:r>
          </w:p>
        </w:tc>
        <w:tc>
          <w:tcPr>
            <w:tcW w:w="1789"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金额</w:t>
            </w:r>
            <w:r>
              <w:rPr>
                <w:rFonts w:hAnsi="宋体"/>
                <w:color w:val="auto"/>
                <w:szCs w:val="21"/>
                <w:highlight w:val="none"/>
              </w:rPr>
              <w:t>(</w:t>
            </w:r>
            <w:r>
              <w:rPr>
                <w:rFonts w:hint="eastAsia" w:hAnsi="宋体"/>
                <w:color w:val="auto"/>
                <w:szCs w:val="21"/>
                <w:highlight w:val="none"/>
              </w:rPr>
              <w:t>元</w:t>
            </w:r>
            <w:r>
              <w:rPr>
                <w:rFonts w:hAnsi="宋体"/>
                <w:color w:val="auto"/>
                <w:szCs w:val="21"/>
                <w:highlight w:val="none"/>
              </w:rPr>
              <w:t>)</w:t>
            </w:r>
          </w:p>
        </w:tc>
        <w:tc>
          <w:tcPr>
            <w:tcW w:w="269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trPr>
        <w:tc>
          <w:tcPr>
            <w:tcW w:w="942" w:type="dxa"/>
            <w:noWrap w:val="0"/>
            <w:vAlign w:val="top"/>
          </w:tcPr>
          <w:p>
            <w:pPr>
              <w:widowControl/>
              <w:tabs>
                <w:tab w:val="center" w:pos="4755"/>
                <w:tab w:val="right" w:pos="9070"/>
              </w:tabs>
              <w:spacing w:before="100" w:beforeAutospacing="1" w:after="100" w:afterAutospacing="1"/>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1</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2</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3</w:t>
            </w:r>
          </w:p>
          <w:p>
            <w:pPr>
              <w:widowControl/>
              <w:tabs>
                <w:tab w:val="center" w:pos="4755"/>
                <w:tab w:val="right" w:pos="9070"/>
              </w:tabs>
              <w:spacing w:before="100" w:beforeAutospacing="1" w:after="100" w:afterAutospacing="1"/>
              <w:jc w:val="center"/>
              <w:rPr>
                <w:rFonts w:hAnsi="宋体"/>
                <w:color w:val="auto"/>
                <w:position w:val="-6"/>
                <w:szCs w:val="21"/>
                <w:highlight w:val="none"/>
              </w:rPr>
            </w:pPr>
            <w:r>
              <w:rPr>
                <w:rFonts w:hAnsi="宋体"/>
                <w:color w:val="auto"/>
                <w:position w:val="-6"/>
                <w:szCs w:val="21"/>
                <w:highlight w:val="none"/>
              </w:rPr>
              <w:t>4</w:t>
            </w: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jc w:val="center"/>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p>
            <w:pPr>
              <w:widowControl/>
              <w:tabs>
                <w:tab w:val="center" w:pos="4755"/>
                <w:tab w:val="right" w:pos="9070"/>
              </w:tabs>
              <w:spacing w:before="100" w:beforeAutospacing="1" w:after="100" w:afterAutospacing="1"/>
              <w:rPr>
                <w:color w:val="auto"/>
                <w:position w:val="-6"/>
                <w:szCs w:val="21"/>
                <w:highlight w:val="none"/>
              </w:rPr>
            </w:pPr>
          </w:p>
        </w:tc>
        <w:tc>
          <w:tcPr>
            <w:tcW w:w="2340" w:type="dxa"/>
            <w:noWrap w:val="0"/>
            <w:vAlign w:val="top"/>
          </w:tcPr>
          <w:p>
            <w:pPr>
              <w:widowControl/>
              <w:tabs>
                <w:tab w:val="center" w:pos="4755"/>
                <w:tab w:val="right" w:pos="9070"/>
              </w:tabs>
              <w:adjustRightInd w:val="0"/>
              <w:spacing w:before="100" w:beforeAutospacing="1" w:after="100" w:afterAutospacing="1"/>
              <w:jc w:val="center"/>
              <w:rPr>
                <w:color w:val="auto"/>
                <w:spacing w:val="-16"/>
                <w:szCs w:val="21"/>
                <w:highlight w:val="none"/>
              </w:rPr>
            </w:pPr>
            <w:r>
              <w:rPr>
                <w:rFonts w:hint="eastAsia" w:hAnsi="宋体"/>
                <w:color w:val="auto"/>
                <w:spacing w:val="-16"/>
                <w:szCs w:val="21"/>
                <w:highlight w:val="none"/>
              </w:rPr>
              <w:t>（</w:t>
            </w:r>
            <w:r>
              <w:rPr>
                <w:rFonts w:hAnsi="宋体"/>
                <w:color w:val="auto"/>
                <w:spacing w:val="-16"/>
                <w:szCs w:val="21"/>
                <w:highlight w:val="none"/>
              </w:rPr>
              <w:t>2</w:t>
            </w:r>
            <w:r>
              <w:rPr>
                <w:rFonts w:hint="eastAsia" w:hAnsi="宋体"/>
                <w:color w:val="auto"/>
                <w:spacing w:val="-16"/>
                <w:szCs w:val="21"/>
                <w:highlight w:val="none"/>
              </w:rPr>
              <w:t>）</w:t>
            </w:r>
          </w:p>
          <w:p>
            <w:pPr>
              <w:widowControl/>
              <w:tabs>
                <w:tab w:val="center" w:pos="4755"/>
                <w:tab w:val="right" w:pos="9070"/>
              </w:tabs>
              <w:adjustRightInd w:val="0"/>
              <w:spacing w:before="100" w:beforeAutospacing="1" w:after="100" w:afterAutospacing="1"/>
              <w:rPr>
                <w:color w:val="auto"/>
                <w:szCs w:val="21"/>
                <w:highlight w:val="none"/>
              </w:rPr>
            </w:pPr>
            <w:r>
              <w:rPr>
                <w:rFonts w:hint="eastAsia" w:hAnsi="宋体"/>
                <w:color w:val="auto"/>
                <w:szCs w:val="21"/>
                <w:highlight w:val="none"/>
              </w:rPr>
              <w:t>提前竣工增加费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二次搬运费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冬雨季施工增加费</w:t>
            </w:r>
          </w:p>
          <w:p>
            <w:pPr>
              <w:widowControl/>
              <w:tabs>
                <w:tab w:val="center" w:pos="4755"/>
                <w:tab w:val="right" w:pos="9070"/>
              </w:tabs>
              <w:adjustRightInd w:val="0"/>
              <w:spacing w:before="100" w:beforeAutospacing="1" w:after="100" w:afterAutospacing="1"/>
              <w:rPr>
                <w:color w:val="auto"/>
                <w:spacing w:val="-16"/>
                <w:szCs w:val="21"/>
                <w:highlight w:val="none"/>
              </w:rPr>
            </w:pPr>
            <w:r>
              <w:rPr>
                <w:rFonts w:hint="eastAsia" w:hAnsi="宋体"/>
                <w:color w:val="auto"/>
                <w:spacing w:val="-16"/>
                <w:szCs w:val="21"/>
                <w:highlight w:val="none"/>
              </w:rPr>
              <w:t>行车、行人干扰增加费</w:t>
            </w: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p>
            <w:pPr>
              <w:widowControl/>
              <w:tabs>
                <w:tab w:val="center" w:pos="4755"/>
                <w:tab w:val="right" w:pos="9070"/>
              </w:tabs>
              <w:adjustRightInd w:val="0"/>
              <w:spacing w:before="100" w:beforeAutospacing="1" w:after="100" w:afterAutospacing="1"/>
              <w:rPr>
                <w:color w:val="auto"/>
                <w:spacing w:val="-16"/>
                <w:szCs w:val="21"/>
                <w:highlight w:val="none"/>
              </w:rPr>
            </w:pPr>
          </w:p>
        </w:tc>
        <w:tc>
          <w:tcPr>
            <w:tcW w:w="1057"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921" w:type="dxa"/>
            <w:noWrap w:val="0"/>
            <w:vAlign w:val="top"/>
          </w:tcPr>
          <w:p>
            <w:pPr>
              <w:widowControl/>
              <w:tabs>
                <w:tab w:val="center" w:pos="4755"/>
                <w:tab w:val="right" w:pos="9070"/>
              </w:tabs>
              <w:spacing w:before="100" w:beforeAutospacing="1" w:after="100" w:afterAutospacing="1"/>
              <w:jc w:val="center"/>
              <w:rPr>
                <w:color w:val="auto"/>
                <w:szCs w:val="21"/>
                <w:highlight w:val="none"/>
              </w:rPr>
            </w:pPr>
          </w:p>
        </w:tc>
        <w:tc>
          <w:tcPr>
            <w:tcW w:w="1789"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691" w:type="dxa"/>
            <w:noWrap w:val="0"/>
            <w:vAlign w:val="top"/>
          </w:tcPr>
          <w:p>
            <w:pPr>
              <w:widowControl/>
              <w:tabs>
                <w:tab w:val="center" w:pos="4755"/>
                <w:tab w:val="right" w:pos="9070"/>
              </w:tabs>
              <w:spacing w:before="100" w:beforeAutospacing="1" w:after="100" w:afterAutospacing="1"/>
              <w:rPr>
                <w:color w:val="auto"/>
                <w:szCs w:val="21"/>
                <w:highlight w:val="none"/>
              </w:rPr>
            </w:pPr>
          </w:p>
          <w:p>
            <w:pPr>
              <w:widowControl/>
              <w:tabs>
                <w:tab w:val="center" w:pos="4755"/>
                <w:tab w:val="right" w:pos="9070"/>
              </w:tabs>
              <w:spacing w:before="100" w:beforeAutospacing="1" w:after="100" w:afterAutospacing="1"/>
              <w:jc w:val="center"/>
              <w:rPr>
                <w:color w:val="auto"/>
                <w:szCs w:val="21"/>
                <w:highlight w:val="none"/>
              </w:rPr>
            </w:pPr>
          </w:p>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260" w:type="dxa"/>
            <w:gridSpan w:val="4"/>
            <w:noWrap w:val="0"/>
            <w:vAlign w:val="top"/>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合计</w:t>
            </w:r>
          </w:p>
        </w:tc>
        <w:tc>
          <w:tcPr>
            <w:tcW w:w="1789" w:type="dxa"/>
            <w:noWrap w:val="0"/>
            <w:vAlign w:val="top"/>
          </w:tcPr>
          <w:p>
            <w:pPr>
              <w:widowControl/>
              <w:tabs>
                <w:tab w:val="center" w:pos="4755"/>
                <w:tab w:val="right" w:pos="9070"/>
              </w:tabs>
              <w:spacing w:before="100" w:beforeAutospacing="1" w:after="100" w:afterAutospacing="1"/>
              <w:rPr>
                <w:color w:val="auto"/>
                <w:szCs w:val="21"/>
                <w:highlight w:val="none"/>
              </w:rPr>
            </w:pPr>
          </w:p>
        </w:tc>
        <w:tc>
          <w:tcPr>
            <w:tcW w:w="2691" w:type="dxa"/>
            <w:noWrap w:val="0"/>
            <w:vAlign w:val="top"/>
          </w:tcPr>
          <w:p>
            <w:pPr>
              <w:widowControl/>
              <w:tabs>
                <w:tab w:val="center" w:pos="4755"/>
                <w:tab w:val="right" w:pos="9070"/>
              </w:tabs>
              <w:spacing w:before="100" w:beforeAutospacing="1" w:after="100" w:afterAutospacing="1"/>
              <w:rPr>
                <w:color w:val="auto"/>
                <w:szCs w:val="21"/>
                <w:highlight w:val="none"/>
              </w:rPr>
            </w:pPr>
          </w:p>
        </w:tc>
      </w:tr>
    </w:tbl>
    <w:p>
      <w:pPr>
        <w:widowControl/>
        <w:tabs>
          <w:tab w:val="center" w:pos="4755"/>
          <w:tab w:val="right" w:pos="9070"/>
        </w:tabs>
        <w:jc w:val="left"/>
        <w:rPr>
          <w:color w:val="auto"/>
          <w:szCs w:val="21"/>
          <w:highlight w:val="none"/>
        </w:rPr>
      </w:pPr>
      <w:r>
        <w:rPr>
          <w:rFonts w:hint="eastAsia" w:hAnsi="宋体"/>
          <w:color w:val="auto"/>
          <w:szCs w:val="21"/>
          <w:highlight w:val="none"/>
        </w:rPr>
        <w:t>注：</w:t>
      </w:r>
      <w:r>
        <w:rPr>
          <w:rFonts w:hAnsi="宋体"/>
          <w:color w:val="auto"/>
          <w:szCs w:val="21"/>
          <w:highlight w:val="none"/>
        </w:rPr>
        <w:t xml:space="preserve"> 1.</w:t>
      </w:r>
      <w:r>
        <w:rPr>
          <w:rFonts w:hint="eastAsia" w:hAnsi="宋体"/>
          <w:color w:val="auto"/>
          <w:szCs w:val="21"/>
          <w:highlight w:val="none"/>
        </w:rPr>
        <w:t>表中列项供参考，（</w:t>
      </w: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）栏由招标人提供，</w:t>
      </w:r>
      <w:r>
        <w:rPr>
          <w:rFonts w:hint="eastAsia" w:hAnsi="宋体"/>
          <w:color w:val="auto"/>
          <w:szCs w:val="21"/>
          <w:highlight w:val="none"/>
          <w:lang w:val="en-US" w:eastAsia="zh-CN"/>
        </w:rPr>
        <w:t>响应</w:t>
      </w:r>
      <w:r>
        <w:rPr>
          <w:rFonts w:hint="eastAsia" w:hAnsi="宋体"/>
          <w:color w:val="auto"/>
          <w:szCs w:val="21"/>
          <w:highlight w:val="none"/>
        </w:rPr>
        <w:t>人可按工程实际作补充。</w:t>
      </w:r>
    </w:p>
    <w:p>
      <w:pPr>
        <w:widowControl/>
        <w:tabs>
          <w:tab w:val="center" w:pos="4755"/>
          <w:tab w:val="right" w:pos="9070"/>
        </w:tabs>
        <w:ind w:left="479" w:leftChars="228"/>
        <w:rPr>
          <w:color w:val="auto"/>
          <w:szCs w:val="21"/>
          <w:highlight w:val="none"/>
        </w:rPr>
      </w:pPr>
      <w:r>
        <w:rPr>
          <w:rFonts w:hAnsi="宋体"/>
          <w:color w:val="auto"/>
          <w:szCs w:val="21"/>
          <w:highlight w:val="none"/>
        </w:rPr>
        <w:t>2</w:t>
      </w:r>
      <w:r>
        <w:rPr>
          <w:rFonts w:hint="eastAsia" w:hAnsi="宋体"/>
          <w:color w:val="auto"/>
          <w:szCs w:val="21"/>
          <w:highlight w:val="none"/>
        </w:rPr>
        <w:t>．当招标项目为单位工程发包且只有</w:t>
      </w:r>
      <w:r>
        <w:rPr>
          <w:rFonts w:hAnsi="宋体"/>
          <w:color w:val="auto"/>
          <w:szCs w:val="21"/>
          <w:highlight w:val="none"/>
        </w:rPr>
        <w:t>1</w:t>
      </w:r>
      <w:r>
        <w:rPr>
          <w:rFonts w:hint="eastAsia" w:hAnsi="宋体"/>
          <w:color w:val="auto"/>
          <w:szCs w:val="21"/>
          <w:highlight w:val="none"/>
        </w:rPr>
        <w:t>个分部分项工程量清单时，组织措施项目清单应按表</w:t>
      </w:r>
      <w:r>
        <w:rPr>
          <w:rFonts w:hAnsi="宋体"/>
          <w:color w:val="auto"/>
          <w:szCs w:val="21"/>
          <w:highlight w:val="none"/>
        </w:rPr>
        <w:t>1-3-A</w:t>
      </w:r>
      <w:r>
        <w:rPr>
          <w:rFonts w:hint="eastAsia" w:hAnsi="宋体"/>
          <w:color w:val="auto"/>
          <w:szCs w:val="21"/>
          <w:highlight w:val="none"/>
        </w:rPr>
        <w:t>报价。</w:t>
      </w:r>
    </w:p>
    <w:p>
      <w:pPr>
        <w:widowControl/>
        <w:tabs>
          <w:tab w:val="center" w:pos="4755"/>
          <w:tab w:val="right" w:pos="9070"/>
        </w:tabs>
        <w:ind w:left="479" w:leftChars="228"/>
        <w:rPr>
          <w:rFonts w:hint="eastAsia" w:hAnsi="宋体"/>
          <w:color w:val="auto"/>
          <w:kern w:val="0"/>
          <w:sz w:val="24"/>
          <w:highlight w:val="none"/>
          <w:lang w:val="en-US" w:eastAsia="zh-CN"/>
        </w:rPr>
      </w:pPr>
    </w:p>
    <w:p>
      <w:pPr>
        <w:widowControl/>
        <w:tabs>
          <w:tab w:val="center" w:pos="4755"/>
          <w:tab w:val="right" w:pos="9070"/>
        </w:tabs>
        <w:rPr>
          <w:rFonts w:hint="eastAsia" w:hAnsi="宋体"/>
          <w:color w:val="auto"/>
          <w:kern w:val="0"/>
          <w:sz w:val="24"/>
          <w:highlight w:val="none"/>
          <w:lang w:val="en-US" w:eastAsia="zh-CN"/>
        </w:rPr>
      </w:pPr>
    </w:p>
    <w:p>
      <w:pPr>
        <w:widowControl/>
        <w:tabs>
          <w:tab w:val="center" w:pos="4755"/>
          <w:tab w:val="right" w:pos="9070"/>
        </w:tabs>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spacing w:line="500" w:lineRule="exact"/>
        <w:rPr>
          <w:rFonts w:hAnsi="宋体"/>
          <w:b/>
          <w:bCs/>
          <w:color w:val="auto"/>
          <w:sz w:val="32"/>
          <w:highlight w:val="none"/>
        </w:rPr>
      </w:pPr>
      <w:r>
        <w:rPr>
          <w:rFonts w:hAnsi="宋体"/>
          <w:color w:val="auto"/>
          <w:sz w:val="24"/>
          <w:highlight w:val="none"/>
        </w:rPr>
        <w:br w:type="page"/>
      </w:r>
    </w:p>
    <w:p>
      <w:pPr>
        <w:spacing w:line="500" w:lineRule="exact"/>
        <w:jc w:val="center"/>
        <w:rPr>
          <w:rFonts w:hAnsi="宋体"/>
          <w:b/>
          <w:bCs/>
          <w:color w:val="auto"/>
          <w:sz w:val="28"/>
          <w:szCs w:val="28"/>
          <w:highlight w:val="none"/>
        </w:rPr>
      </w:pPr>
      <w:r>
        <w:rPr>
          <w:rFonts w:hint="eastAsia" w:hAnsi="宋体"/>
          <w:b/>
          <w:bCs/>
          <w:color w:val="auto"/>
          <w:sz w:val="28"/>
          <w:szCs w:val="28"/>
          <w:highlight w:val="none"/>
        </w:rPr>
        <w:t>表1-3-C　技术措施项目清单及计价表</w:t>
      </w:r>
    </w:p>
    <w:p>
      <w:pPr>
        <w:spacing w:line="500" w:lineRule="exact"/>
        <w:rPr>
          <w:rFonts w:hAnsi="宋体"/>
          <w:bCs/>
          <w:color w:val="auto"/>
          <w:sz w:val="24"/>
          <w:highlight w:val="none"/>
        </w:rPr>
      </w:pPr>
      <w:r>
        <w:rPr>
          <w:rFonts w:hint="eastAsia" w:hAnsi="宋体"/>
          <w:bCs/>
          <w:color w:val="auto"/>
          <w:sz w:val="24"/>
          <w:highlight w:val="none"/>
        </w:rPr>
        <w:t>工程名称：</w:t>
      </w:r>
    </w:p>
    <w:p>
      <w:pPr>
        <w:spacing w:line="500" w:lineRule="exact"/>
        <w:rPr>
          <w:rFonts w:hAnsi="宋体"/>
          <w:bCs/>
          <w:color w:val="auto"/>
          <w:sz w:val="24"/>
          <w:highlight w:val="none"/>
        </w:rPr>
      </w:pPr>
      <w:r>
        <w:rPr>
          <w:rFonts w:hint="eastAsia" w:hAnsi="宋体"/>
          <w:bCs/>
          <w:color w:val="auto"/>
          <w:sz w:val="24"/>
          <w:highlight w:val="none"/>
        </w:rPr>
        <w:t>单位及专业工程名称：                                        第  页  共  页</w:t>
      </w:r>
    </w:p>
    <w:tbl>
      <w:tblPr>
        <w:tblStyle w:val="62"/>
        <w:tblW w:w="0" w:type="auto"/>
        <w:tblInd w:w="-432" w:type="dxa"/>
        <w:tblLayout w:type="fixed"/>
        <w:tblCellMar>
          <w:top w:w="0" w:type="dxa"/>
          <w:left w:w="108" w:type="dxa"/>
          <w:bottom w:w="0" w:type="dxa"/>
          <w:right w:w="108" w:type="dxa"/>
        </w:tblCellMar>
      </w:tblPr>
      <w:tblGrid>
        <w:gridCol w:w="720"/>
        <w:gridCol w:w="813"/>
        <w:gridCol w:w="1260"/>
        <w:gridCol w:w="1008"/>
        <w:gridCol w:w="850"/>
        <w:gridCol w:w="720"/>
        <w:gridCol w:w="900"/>
        <w:gridCol w:w="900"/>
        <w:gridCol w:w="720"/>
        <w:gridCol w:w="750"/>
        <w:gridCol w:w="789"/>
        <w:gridCol w:w="749"/>
      </w:tblGrid>
      <w:tr>
        <w:tblPrEx>
          <w:tblCellMar>
            <w:top w:w="0" w:type="dxa"/>
            <w:left w:w="108" w:type="dxa"/>
            <w:bottom w:w="0" w:type="dxa"/>
            <w:right w:w="108" w:type="dxa"/>
          </w:tblCellMar>
        </w:tblPrEx>
        <w:trPr>
          <w:trHeight w:val="503" w:hRule="atLeast"/>
        </w:trPr>
        <w:tc>
          <w:tcPr>
            <w:tcW w:w="72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序</w:t>
            </w:r>
          </w:p>
          <w:p>
            <w:pPr>
              <w:widowControl/>
              <w:jc w:val="center"/>
              <w:rPr>
                <w:rFonts w:hAnsi="宋体" w:cs="宋体"/>
                <w:color w:val="auto"/>
                <w:kern w:val="0"/>
                <w:sz w:val="24"/>
                <w:highlight w:val="none"/>
              </w:rPr>
            </w:pPr>
            <w:r>
              <w:rPr>
                <w:rFonts w:hint="eastAsia" w:hAnsi="宋体" w:cs="宋体"/>
                <w:color w:val="auto"/>
                <w:kern w:val="0"/>
                <w:sz w:val="24"/>
                <w:highlight w:val="none"/>
              </w:rPr>
              <w:t>号</w:t>
            </w:r>
          </w:p>
          <w:p>
            <w:pPr>
              <w:jc w:val="center"/>
              <w:rPr>
                <w:rFonts w:hAnsi="宋体" w:cs="宋体"/>
                <w:color w:val="auto"/>
                <w:kern w:val="0"/>
                <w:sz w:val="24"/>
                <w:highlight w:val="none"/>
              </w:rPr>
            </w:pPr>
          </w:p>
        </w:tc>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项目编码</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项目名称</w:t>
            </w:r>
          </w:p>
        </w:tc>
        <w:tc>
          <w:tcPr>
            <w:tcW w:w="1008"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项目特征描述</w:t>
            </w:r>
          </w:p>
        </w:tc>
        <w:tc>
          <w:tcPr>
            <w:tcW w:w="850"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计量单位</w:t>
            </w:r>
          </w:p>
          <w:p>
            <w:pPr>
              <w:jc w:val="center"/>
              <w:rPr>
                <w:rFonts w:hAnsi="宋体" w:cs="宋体"/>
                <w:color w:val="auto"/>
                <w:kern w:val="0"/>
                <w:sz w:val="24"/>
                <w:highlight w:val="none"/>
              </w:rPr>
            </w:pPr>
          </w:p>
        </w:tc>
        <w:tc>
          <w:tcPr>
            <w:tcW w:w="72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工</w:t>
            </w:r>
          </w:p>
          <w:p>
            <w:pPr>
              <w:widowControl/>
              <w:jc w:val="center"/>
              <w:rPr>
                <w:rFonts w:hAnsi="宋体" w:cs="宋体"/>
                <w:color w:val="auto"/>
                <w:kern w:val="0"/>
                <w:sz w:val="24"/>
                <w:highlight w:val="none"/>
              </w:rPr>
            </w:pPr>
            <w:r>
              <w:rPr>
                <w:rFonts w:hint="eastAsia" w:hAnsi="宋体" w:cs="宋体"/>
                <w:color w:val="auto"/>
                <w:kern w:val="0"/>
                <w:sz w:val="24"/>
                <w:highlight w:val="none"/>
              </w:rPr>
              <w:t>程</w:t>
            </w:r>
          </w:p>
          <w:p>
            <w:pPr>
              <w:widowControl/>
              <w:jc w:val="center"/>
              <w:rPr>
                <w:rFonts w:hAnsi="宋体" w:cs="宋体"/>
                <w:color w:val="auto"/>
                <w:kern w:val="0"/>
                <w:sz w:val="24"/>
                <w:highlight w:val="none"/>
              </w:rPr>
            </w:pPr>
            <w:r>
              <w:rPr>
                <w:rFonts w:hint="eastAsia" w:hAnsi="宋体" w:cs="宋体"/>
                <w:color w:val="auto"/>
                <w:kern w:val="0"/>
                <w:sz w:val="24"/>
                <w:highlight w:val="none"/>
              </w:rPr>
              <w:t>量</w:t>
            </w:r>
          </w:p>
        </w:tc>
        <w:tc>
          <w:tcPr>
            <w:tcW w:w="90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综合单价（元）</w:t>
            </w:r>
          </w:p>
        </w:tc>
        <w:tc>
          <w:tcPr>
            <w:tcW w:w="90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合价</w:t>
            </w:r>
          </w:p>
          <w:p>
            <w:pPr>
              <w:widowControl/>
              <w:jc w:val="center"/>
              <w:rPr>
                <w:rFonts w:hAnsi="宋体" w:cs="宋体"/>
                <w:color w:val="auto"/>
                <w:kern w:val="0"/>
                <w:sz w:val="24"/>
                <w:highlight w:val="none"/>
              </w:rPr>
            </w:pPr>
            <w:r>
              <w:rPr>
                <w:rFonts w:hint="eastAsia" w:hAnsi="宋体" w:cs="宋体"/>
                <w:color w:val="auto"/>
                <w:kern w:val="0"/>
                <w:sz w:val="24"/>
                <w:highlight w:val="none"/>
              </w:rPr>
              <w:t>（元）</w:t>
            </w:r>
          </w:p>
        </w:tc>
        <w:tc>
          <w:tcPr>
            <w:tcW w:w="225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其中</w:t>
            </w:r>
          </w:p>
        </w:tc>
        <w:tc>
          <w:tcPr>
            <w:tcW w:w="749"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备注</w:t>
            </w:r>
          </w:p>
        </w:tc>
      </w:tr>
      <w:tr>
        <w:tblPrEx>
          <w:tblCellMar>
            <w:top w:w="0" w:type="dxa"/>
            <w:left w:w="108" w:type="dxa"/>
            <w:bottom w:w="0" w:type="dxa"/>
            <w:right w:w="108" w:type="dxa"/>
          </w:tblCellMar>
        </w:tblPrEx>
        <w:trPr>
          <w:trHeight w:val="127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1008"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850"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720" w:type="dxa"/>
            <w:vMerge w:val="continue"/>
            <w:tcBorders>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900" w:type="dxa"/>
            <w:vMerge w:val="continue"/>
            <w:tcBorders>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900" w:type="dxa"/>
            <w:vMerge w:val="continue"/>
            <w:tcBorders>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人</w:t>
            </w:r>
          </w:p>
          <w:p>
            <w:pPr>
              <w:widowControl/>
              <w:jc w:val="center"/>
              <w:rPr>
                <w:rFonts w:hAnsi="宋体" w:cs="宋体"/>
                <w:color w:val="auto"/>
                <w:kern w:val="0"/>
                <w:sz w:val="24"/>
                <w:highlight w:val="none"/>
              </w:rPr>
            </w:pPr>
            <w:r>
              <w:rPr>
                <w:rFonts w:hint="eastAsia" w:hAnsi="宋体" w:cs="宋体"/>
                <w:color w:val="auto"/>
                <w:kern w:val="0"/>
                <w:sz w:val="24"/>
                <w:highlight w:val="none"/>
              </w:rPr>
              <w:t>工</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机</w:t>
            </w:r>
          </w:p>
          <w:p>
            <w:pPr>
              <w:widowControl/>
              <w:jc w:val="center"/>
              <w:rPr>
                <w:rFonts w:hAnsi="宋体" w:cs="宋体"/>
                <w:color w:val="auto"/>
                <w:kern w:val="0"/>
                <w:sz w:val="24"/>
                <w:highlight w:val="none"/>
              </w:rPr>
            </w:pPr>
            <w:r>
              <w:rPr>
                <w:rFonts w:hint="eastAsia" w:hAnsi="宋体" w:cs="宋体"/>
                <w:color w:val="auto"/>
                <w:kern w:val="0"/>
                <w:sz w:val="24"/>
                <w:highlight w:val="none"/>
              </w:rPr>
              <w:t>械</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管</w:t>
            </w:r>
          </w:p>
          <w:p>
            <w:pPr>
              <w:widowControl/>
              <w:jc w:val="center"/>
              <w:rPr>
                <w:rFonts w:hAnsi="宋体" w:cs="宋体"/>
                <w:color w:val="auto"/>
                <w:kern w:val="0"/>
                <w:sz w:val="24"/>
                <w:highlight w:val="none"/>
              </w:rPr>
            </w:pPr>
            <w:r>
              <w:rPr>
                <w:rFonts w:hint="eastAsia" w:hAnsi="宋体" w:cs="宋体"/>
                <w:color w:val="auto"/>
                <w:kern w:val="0"/>
                <w:sz w:val="24"/>
                <w:highlight w:val="none"/>
              </w:rPr>
              <w:t>理</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49" w:type="dxa"/>
            <w:vMerge w:val="continue"/>
            <w:tcBorders>
              <w:left w:val="single" w:color="auto" w:sz="4" w:space="0"/>
              <w:bottom w:val="single" w:color="000000" w:sz="4" w:space="0"/>
              <w:right w:val="single" w:color="auto" w:sz="4" w:space="0"/>
            </w:tcBorders>
            <w:noWrap w:val="0"/>
            <w:vAlign w:val="center"/>
          </w:tcPr>
          <w:p>
            <w:pPr>
              <w:widowControl/>
              <w:jc w:val="center"/>
              <w:rPr>
                <w:rFonts w:hAnsi="宋体" w:cs="宋体"/>
                <w:color w:val="auto"/>
                <w:kern w:val="0"/>
                <w:sz w:val="24"/>
                <w:highlight w:val="none"/>
              </w:rPr>
            </w:pPr>
          </w:p>
        </w:tc>
      </w:tr>
      <w:tr>
        <w:tblPrEx>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（1）</w:t>
            </w: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（2）</w:t>
            </w: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（3）</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（4）</w:t>
            </w:r>
          </w:p>
        </w:tc>
        <w:tc>
          <w:tcPr>
            <w:tcW w:w="85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（5）</w:t>
            </w: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8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r>
              <w:rPr>
                <w:rFonts w:hint="eastAsia" w:hAnsi="宋体" w:cs="宋体"/>
                <w:color w:val="auto"/>
                <w:kern w:val="0"/>
                <w:sz w:val="24"/>
                <w:highlight w:val="none"/>
              </w:rPr>
              <w:t>（6）</w:t>
            </w:r>
          </w:p>
        </w:tc>
      </w:tr>
      <w:tr>
        <w:tblPrEx>
          <w:tblCellMar>
            <w:top w:w="0" w:type="dxa"/>
            <w:left w:w="108" w:type="dxa"/>
            <w:bottom w:w="0" w:type="dxa"/>
            <w:right w:w="108" w:type="dxa"/>
          </w:tblCellMar>
        </w:tblPrEx>
        <w:trPr>
          <w:trHeight w:val="806" w:hRule="atLeast"/>
        </w:trPr>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大型机械设备进出场及安拆</w:t>
            </w:r>
          </w:p>
        </w:tc>
        <w:tc>
          <w:tcPr>
            <w:tcW w:w="1008"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50"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89"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施工降水</w:t>
            </w:r>
          </w:p>
        </w:tc>
        <w:tc>
          <w:tcPr>
            <w:tcW w:w="1008" w:type="dxa"/>
            <w:tcBorders>
              <w:top w:val="nil"/>
              <w:left w:val="nil"/>
              <w:bottom w:val="single" w:color="auto" w:sz="4" w:space="0"/>
              <w:right w:val="single" w:color="auto" w:sz="4" w:space="0"/>
              <w:tr2bl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8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5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8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施工排水</w:t>
            </w:r>
          </w:p>
        </w:tc>
        <w:tc>
          <w:tcPr>
            <w:tcW w:w="1008" w:type="dxa"/>
            <w:tcBorders>
              <w:top w:val="nil"/>
              <w:left w:val="nil"/>
              <w:bottom w:val="single" w:color="auto" w:sz="4" w:space="0"/>
              <w:right w:val="single" w:color="auto" w:sz="4" w:space="0"/>
              <w:tr2bl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280" w:lineRule="exact"/>
              <w:rPr>
                <w:rFonts w:hAnsi="宋体" w:cs="宋体"/>
                <w:color w:val="auto"/>
                <w:kern w:val="0"/>
                <w:sz w:val="24"/>
                <w:highlight w:val="none"/>
              </w:rPr>
            </w:pPr>
            <w:r>
              <w:rPr>
                <w:rFonts w:hint="eastAsia" w:hAnsi="宋体" w:cs="宋体"/>
                <w:color w:val="auto"/>
                <w:kern w:val="0"/>
                <w:sz w:val="24"/>
                <w:highlight w:val="none"/>
              </w:rPr>
              <w:t>地下、地下设施或建筑物的临时保护措施</w:t>
            </w:r>
          </w:p>
        </w:tc>
        <w:tc>
          <w:tcPr>
            <w:tcW w:w="1008" w:type="dxa"/>
            <w:tcBorders>
              <w:top w:val="nil"/>
              <w:left w:val="nil"/>
              <w:bottom w:val="single" w:color="auto" w:sz="4" w:space="0"/>
              <w:right w:val="single" w:color="auto" w:sz="4" w:space="0"/>
              <w:tr2bl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813"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w:t>
            </w:r>
          </w:p>
        </w:tc>
        <w:tc>
          <w:tcPr>
            <w:tcW w:w="1008"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13"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模板</w:t>
            </w:r>
          </w:p>
        </w:tc>
        <w:tc>
          <w:tcPr>
            <w:tcW w:w="1008"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72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13"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08"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8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398" w:hRule="atLeast"/>
        </w:trPr>
        <w:tc>
          <w:tcPr>
            <w:tcW w:w="6271" w:type="dxa"/>
            <w:gridSpan w:val="7"/>
            <w:tcBorders>
              <w:top w:val="nil"/>
              <w:left w:val="single" w:color="auto" w:sz="4" w:space="0"/>
              <w:bottom w:val="single" w:color="auto" w:sz="4" w:space="0"/>
              <w:right w:val="single" w:color="auto" w:sz="4" w:space="0"/>
            </w:tcBorders>
            <w:noWrap w:val="0"/>
            <w:vAlign w:val="bottom"/>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合　　计</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5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8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p>
        </w:tc>
        <w:tc>
          <w:tcPr>
            <w:tcW w:w="749"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bl>
    <w:p>
      <w:pPr>
        <w:spacing w:line="300" w:lineRule="exact"/>
        <w:ind w:firstLine="480" w:firstLineChars="200"/>
        <w:rPr>
          <w:rFonts w:hAnsi="宋体"/>
          <w:bCs/>
          <w:color w:val="auto"/>
          <w:sz w:val="24"/>
          <w:highlight w:val="none"/>
        </w:rPr>
      </w:pPr>
      <w:r>
        <w:rPr>
          <w:rFonts w:hint="eastAsia" w:hAnsi="宋体"/>
          <w:bCs/>
          <w:color w:val="auto"/>
          <w:sz w:val="24"/>
          <w:highlight w:val="none"/>
        </w:rPr>
        <w:t>注：1、本表适用于以“项”为单位计价和以“分部分项工程量清单综合单价”方式计价的技术措施项目。2、措施项目应分整体措施项目和专业工程措施项目，如应用于整体措施项目，表头中只须填报工程名称；如应用于专业工程措施项目，表头中应分别填写工程名称、单位工程及专业工程名称。3、以“分部分项工程量清单项目综合单价”方式计价的技术措施项目，表中（1）（2）（3）（4）（5）栏由招标人提供；以“项”为单位计价的技术措施项目，表中第（4）栏项目特征不需提供和填写。</w:t>
      </w:r>
      <w:r>
        <w:rPr>
          <w:rFonts w:hint="eastAsia" w:hAnsi="宋体"/>
          <w:bCs/>
          <w:color w:val="auto"/>
          <w:sz w:val="24"/>
          <w:highlight w:val="none"/>
          <w:lang w:val="en-US" w:eastAsia="zh-CN"/>
        </w:rPr>
        <w:t>响应</w:t>
      </w:r>
      <w:r>
        <w:rPr>
          <w:rFonts w:hint="eastAsia" w:hAnsi="宋体"/>
          <w:bCs/>
          <w:color w:val="auto"/>
          <w:sz w:val="24"/>
          <w:highlight w:val="none"/>
        </w:rPr>
        <w:t>人根据施工方案对具体项目可作补充。4、第（6）栏由招标人按需出要求，如招标人需要</w:t>
      </w:r>
      <w:r>
        <w:rPr>
          <w:rFonts w:hint="eastAsia" w:hAnsi="宋体"/>
          <w:bCs/>
          <w:color w:val="auto"/>
          <w:sz w:val="24"/>
          <w:highlight w:val="none"/>
          <w:lang w:val="en-US" w:eastAsia="zh-CN"/>
        </w:rPr>
        <w:t>响应</w:t>
      </w:r>
      <w:r>
        <w:rPr>
          <w:rFonts w:hint="eastAsia" w:hAnsi="宋体"/>
          <w:bCs/>
          <w:color w:val="auto"/>
          <w:sz w:val="24"/>
          <w:highlight w:val="none"/>
        </w:rPr>
        <w:t>人提供清单项目综合单价的计算分析和工料机分析，请在备注中明确。</w:t>
      </w:r>
    </w:p>
    <w:p>
      <w:pPr>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Ansi="宋体"/>
          <w:color w:val="auto"/>
          <w:sz w:val="24"/>
          <w:highlight w:val="none"/>
        </w:rPr>
      </w:pPr>
      <w:r>
        <w:rPr>
          <w:rFonts w:hAnsi="宋体"/>
          <w:color w:val="auto"/>
          <w:sz w:val="24"/>
          <w:highlight w:val="none"/>
        </w:rPr>
        <w:br w:type="page"/>
      </w:r>
    </w:p>
    <w:p>
      <w:pPr>
        <w:spacing w:line="360" w:lineRule="auto"/>
        <w:jc w:val="center"/>
        <w:rPr>
          <w:b/>
          <w:bCs/>
          <w:color w:val="auto"/>
          <w:sz w:val="28"/>
          <w:szCs w:val="28"/>
          <w:highlight w:val="none"/>
        </w:rPr>
      </w:pPr>
      <w:r>
        <w:rPr>
          <w:rFonts w:hint="eastAsia" w:hAnsi="宋体"/>
          <w:b/>
          <w:bCs/>
          <w:color w:val="auto"/>
          <w:sz w:val="28"/>
          <w:szCs w:val="28"/>
          <w:highlight w:val="none"/>
        </w:rPr>
        <w:t>表</w:t>
      </w:r>
      <w:r>
        <w:rPr>
          <w:rFonts w:hAnsi="宋体"/>
          <w:b/>
          <w:bCs/>
          <w:color w:val="auto"/>
          <w:sz w:val="28"/>
          <w:szCs w:val="28"/>
          <w:highlight w:val="none"/>
        </w:rPr>
        <w:t xml:space="preserve">1-3-A-1  </w:t>
      </w:r>
      <w:r>
        <w:rPr>
          <w:rFonts w:hint="eastAsia" w:hAnsi="宋体"/>
          <w:b/>
          <w:bCs/>
          <w:color w:val="auto"/>
          <w:sz w:val="28"/>
          <w:szCs w:val="28"/>
          <w:highlight w:val="none"/>
        </w:rPr>
        <w:t>安全文明施工措施项目清单及计价表</w:t>
      </w:r>
    </w:p>
    <w:p>
      <w:pPr>
        <w:spacing w:line="360" w:lineRule="auto"/>
        <w:rPr>
          <w:b/>
          <w:bCs/>
          <w:color w:val="auto"/>
          <w:sz w:val="24"/>
          <w:szCs w:val="24"/>
          <w:highlight w:val="none"/>
        </w:rPr>
      </w:pPr>
      <w:r>
        <w:rPr>
          <w:rFonts w:hint="eastAsia" w:hAnsi="宋体"/>
          <w:bCs/>
          <w:color w:val="auto"/>
          <w:sz w:val="24"/>
          <w:szCs w:val="24"/>
          <w:highlight w:val="none"/>
        </w:rPr>
        <w:t>工程名称</w:t>
      </w:r>
      <w:r>
        <w:rPr>
          <w:rFonts w:hAnsi="宋体"/>
          <w:bCs/>
          <w:color w:val="auto"/>
          <w:sz w:val="24"/>
          <w:szCs w:val="24"/>
          <w:highlight w:val="none"/>
        </w:rPr>
        <w:t xml:space="preserve">:                                                        </w:t>
      </w:r>
      <w:r>
        <w:rPr>
          <w:rFonts w:hint="eastAsia" w:hAnsi="宋体"/>
          <w:bCs/>
          <w:color w:val="auto"/>
          <w:sz w:val="24"/>
          <w:szCs w:val="24"/>
          <w:highlight w:val="none"/>
        </w:rPr>
        <w:t>第</w:t>
      </w: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页</w:t>
      </w: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共</w:t>
      </w:r>
      <w:r>
        <w:rPr>
          <w:rFonts w:hint="eastAsia" w:hAnsi="宋体"/>
          <w:bCs/>
          <w:color w:val="auto"/>
          <w:sz w:val="24"/>
          <w:szCs w:val="24"/>
          <w:highlight w:val="none"/>
          <w:lang w:val="en-US" w:eastAsia="zh-CN"/>
        </w:rPr>
        <w:t xml:space="preserve">   </w:t>
      </w:r>
      <w:r>
        <w:rPr>
          <w:rFonts w:hint="eastAsia" w:hAnsi="宋体"/>
          <w:bCs/>
          <w:color w:val="auto"/>
          <w:sz w:val="24"/>
          <w:szCs w:val="24"/>
          <w:highlight w:val="none"/>
        </w:rPr>
        <w:t>页</w:t>
      </w:r>
    </w:p>
    <w:tbl>
      <w:tblPr>
        <w:tblStyle w:val="62"/>
        <w:tblW w:w="0" w:type="auto"/>
        <w:tblInd w:w="-459" w:type="dxa"/>
        <w:tblLayout w:type="fixed"/>
        <w:tblCellMar>
          <w:top w:w="0" w:type="dxa"/>
          <w:left w:w="108" w:type="dxa"/>
          <w:bottom w:w="0" w:type="dxa"/>
          <w:right w:w="108" w:type="dxa"/>
        </w:tblCellMar>
      </w:tblPr>
      <w:tblGrid>
        <w:gridCol w:w="1107"/>
        <w:gridCol w:w="3004"/>
        <w:gridCol w:w="776"/>
        <w:gridCol w:w="1080"/>
        <w:gridCol w:w="1080"/>
        <w:gridCol w:w="1080"/>
        <w:gridCol w:w="1980"/>
      </w:tblGrid>
      <w:tr>
        <w:tblPrEx>
          <w:tblCellMar>
            <w:top w:w="0" w:type="dxa"/>
            <w:left w:w="108" w:type="dxa"/>
            <w:bottom w:w="0" w:type="dxa"/>
            <w:right w:w="108" w:type="dxa"/>
          </w:tblCellMar>
        </w:tblPrEx>
        <w:trPr>
          <w:trHeight w:val="449"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序号</w:t>
            </w:r>
          </w:p>
        </w:tc>
        <w:tc>
          <w:tcPr>
            <w:tcW w:w="3004"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措施项目名称</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单位</w:t>
            </w:r>
          </w:p>
        </w:tc>
        <w:tc>
          <w:tcPr>
            <w:tcW w:w="1080"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数量</w:t>
            </w:r>
          </w:p>
        </w:tc>
        <w:tc>
          <w:tcPr>
            <w:tcW w:w="1080"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单价（元）</w:t>
            </w:r>
          </w:p>
        </w:tc>
        <w:tc>
          <w:tcPr>
            <w:tcW w:w="1080" w:type="dxa"/>
            <w:tcBorders>
              <w:top w:val="single" w:color="auto" w:sz="4" w:space="0"/>
              <w:left w:val="nil"/>
              <w:bottom w:val="single" w:color="auto" w:sz="4" w:space="0"/>
              <w:right w:val="single" w:color="auto" w:sz="4" w:space="0"/>
            </w:tcBorders>
            <w:noWrap w:val="0"/>
            <w:vAlign w:val="center"/>
          </w:tcPr>
          <w:p>
            <w:pPr>
              <w:ind w:left="-288" w:leftChars="-137"/>
              <w:jc w:val="center"/>
              <w:rPr>
                <w:color w:val="auto"/>
                <w:szCs w:val="21"/>
                <w:highlight w:val="none"/>
              </w:rPr>
            </w:pPr>
            <w:r>
              <w:rPr>
                <w:rFonts w:hint="eastAsia"/>
                <w:color w:val="auto"/>
                <w:szCs w:val="21"/>
                <w:highlight w:val="none"/>
              </w:rPr>
              <w:t>合价（元）</w:t>
            </w:r>
          </w:p>
        </w:tc>
        <w:tc>
          <w:tcPr>
            <w:tcW w:w="1980"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备注</w:t>
            </w:r>
          </w:p>
        </w:tc>
      </w:tr>
      <w:tr>
        <w:tblPrEx>
          <w:tblCellMar>
            <w:top w:w="0" w:type="dxa"/>
            <w:left w:w="108" w:type="dxa"/>
            <w:bottom w:w="0" w:type="dxa"/>
            <w:right w:w="108" w:type="dxa"/>
          </w:tblCellMar>
        </w:tblPrEx>
        <w:trPr>
          <w:trHeight w:val="277"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ascii="黑体" w:hAnsi="宋体" w:eastAsia="黑体"/>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top"/>
          </w:tcPr>
          <w:p>
            <w:pPr>
              <w:jc w:val="center"/>
              <w:rPr>
                <w:rFonts w:ascii="黑体" w:hAnsi="宋体" w:eastAsia="黑体"/>
                <w:b/>
                <w:bCs/>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776"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top"/>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一</w:t>
            </w:r>
          </w:p>
        </w:tc>
        <w:tc>
          <w:tcPr>
            <w:tcW w:w="3004"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安全施工措施项目</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b/>
                <w:bCs/>
                <w:color w:val="auto"/>
                <w:szCs w:val="21"/>
                <w:highlight w:val="none"/>
              </w:rPr>
            </w:pPr>
            <w:r>
              <w:rPr>
                <w:rFonts w:hint="eastAsia" w:ascii="黑体"/>
                <w:b/>
                <w:bCs/>
                <w:color w:val="auto"/>
                <w:szCs w:val="21"/>
                <w:highlight w:val="none"/>
              </w:rPr>
              <w:t>（一）</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基本安全防护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安全平网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平面面积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密目式立网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垂直立面</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防护栏杆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按栏杆长度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高处作业临边防护栏杆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深基坑（槽）临边护栏</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其他防护栏杆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防护门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按防护面积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通道防护棚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井架防护棚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升降机防护棚</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含人货两用升降机、货用升降机</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断头路阻挡墙</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3</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安全隔离网</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爆破工程</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对讲机</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b/>
                <w:bCs/>
                <w:color w:val="auto"/>
                <w:szCs w:val="21"/>
                <w:highlight w:val="none"/>
              </w:rPr>
            </w:pPr>
            <w:r>
              <w:rPr>
                <w:rFonts w:hint="eastAsia" w:ascii="黑体"/>
                <w:b/>
                <w:bCs/>
                <w:color w:val="auto"/>
                <w:szCs w:val="21"/>
                <w:highlight w:val="none"/>
              </w:rPr>
              <w:t>（二）</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高处作业</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洞口水平隔离防护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按洞口水平面积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高压线安全措施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起重设备防护措施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楼层呼唤器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其他高处作业安全防护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（三）</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深基坑（槽）</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上下专用通道</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含安全爬梯</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基坑支护变形监测</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其他深基坑安全防护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（四）</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脚手架</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水平隔离封闭设施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其他脚手架安全防护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（五）</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井架</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架体围护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货用升降机操作室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其他井架防护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（六）</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消防器材、设施</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灭火器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消防水泵</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台</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水枪、水带</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消防箱</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消防立管</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危险品仓库搭建</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防雷设施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8</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（七）</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特殊工程安全措施</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特殊作业防护用品</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救生设施</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含救生衣、救生圈等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防毒面具</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付</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有毒气体检测仪器</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其他特殊安全防护</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（八）</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安全标志</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安全警示标牌、标识</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警示灯</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处</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航标灯</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处</w:t>
            </w: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通航要求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auto"/>
                <w:szCs w:val="21"/>
                <w:highlight w:val="none"/>
              </w:rPr>
            </w:pPr>
            <w:r>
              <w:rPr>
                <w:rFonts w:eastAsia="黑体"/>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其他安全标志</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Cs w:val="21"/>
                <w:highlight w:val="none"/>
              </w:rPr>
            </w:pPr>
            <w:r>
              <w:rPr>
                <w:rFonts w:hint="eastAsia"/>
                <w:b/>
                <w:bCs/>
                <w:color w:val="auto"/>
                <w:szCs w:val="21"/>
                <w:highlight w:val="none"/>
              </w:rPr>
              <w:t>（九）</w:t>
            </w:r>
          </w:p>
        </w:tc>
        <w:tc>
          <w:tcPr>
            <w:tcW w:w="3004" w:type="dxa"/>
            <w:tcBorders>
              <w:top w:val="single" w:color="auto" w:sz="4" w:space="0"/>
              <w:left w:val="nil"/>
              <w:bottom w:val="single" w:color="auto" w:sz="4" w:space="0"/>
              <w:right w:val="single" w:color="auto" w:sz="4" w:space="0"/>
            </w:tcBorders>
            <w:noWrap w:val="0"/>
            <w:vAlign w:val="center"/>
          </w:tcPr>
          <w:p>
            <w:pPr>
              <w:rPr>
                <w:b/>
                <w:bCs/>
                <w:color w:val="auto"/>
                <w:szCs w:val="21"/>
                <w:highlight w:val="none"/>
              </w:rPr>
            </w:pPr>
            <w:r>
              <w:rPr>
                <w:rFonts w:hint="eastAsia"/>
                <w:b/>
                <w:bCs/>
                <w:color w:val="auto"/>
                <w:szCs w:val="21"/>
                <w:highlight w:val="none"/>
              </w:rPr>
              <w:t>安全专项检测</w:t>
            </w:r>
          </w:p>
        </w:tc>
        <w:tc>
          <w:tcPr>
            <w:tcW w:w="776" w:type="dxa"/>
            <w:tcBorders>
              <w:top w:val="single" w:color="auto" w:sz="4" w:space="0"/>
              <w:left w:val="nil"/>
              <w:bottom w:val="single" w:color="auto" w:sz="4" w:space="0"/>
              <w:right w:val="single" w:color="auto" w:sz="4" w:space="0"/>
            </w:tcBorders>
            <w:noWrap w:val="0"/>
            <w:vAlign w:val="center"/>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rFonts w:ascii="黑体" w:eastAsia="黑体"/>
                <w:b/>
                <w:bCs/>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rFonts w:ascii="黑体" w:eastAsia="黑体"/>
                <w:b/>
                <w:bCs/>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起重机械检测费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塔吊、升降机等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钢管、扣件检测费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高处作业吊篮检测费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防坠器专项检测费</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r>
              <w:rPr>
                <w:rFonts w:hint="eastAsia"/>
                <w:color w:val="auto"/>
                <w:szCs w:val="21"/>
                <w:highlight w:val="none"/>
              </w:rPr>
              <w:t>其他安全检测</w:t>
            </w:r>
          </w:p>
        </w:tc>
        <w:tc>
          <w:tcPr>
            <w:tcW w:w="776" w:type="dxa"/>
            <w:tcBorders>
              <w:top w:val="single" w:color="auto" w:sz="4" w:space="0"/>
              <w:left w:val="nil"/>
              <w:bottom w:val="single" w:color="auto" w:sz="4" w:space="0"/>
              <w:right w:val="single" w:color="auto" w:sz="4" w:space="0"/>
            </w:tcBorders>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（十）</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安全教育培训</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（十一）</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现场安全保卫</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（十二）</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其他安全施工措施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二</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文明施工措施项目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围墙</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大门、门楼</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标牌</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效果图</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彩钢板围档</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按标准设置</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地坪硬化</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其他文明施工措施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511"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三</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环境保护措施项目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含扬尘污染防治措施</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现场绿化</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防尘网布</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车辆冲洗设施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含洗车槽、自动冲洗或其他冲洗设备等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喷淋设施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塔吊喷淋</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外架喷淋</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场地喷淋</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防尘雾炮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台</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其他扬尘控制费用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噪声控制费用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8</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污水处理费用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特殊工程要求</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9</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车辆密封费用</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元</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10</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工地食堂油烟净化设备</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套</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11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其他环境保护措施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四</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jc w:val="center"/>
              <w:rPr>
                <w:rFonts w:ascii="黑体" w:eastAsia="黑体"/>
                <w:b/>
                <w:bCs/>
                <w:color w:val="auto"/>
                <w:szCs w:val="21"/>
                <w:highlight w:val="none"/>
              </w:rPr>
            </w:pPr>
            <w:r>
              <w:rPr>
                <w:rFonts w:hint="eastAsia" w:ascii="黑体" w:eastAsia="黑体"/>
                <w:b/>
                <w:bCs/>
                <w:color w:val="auto"/>
                <w:szCs w:val="21"/>
                <w:highlight w:val="none"/>
              </w:rPr>
              <w:t>临时设施措施项目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b/>
                <w:bCs/>
                <w:color w:val="auto"/>
                <w:szCs w:val="21"/>
                <w:highlight w:val="none"/>
              </w:rPr>
              <w:t>（一）</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b/>
                <w:bCs/>
                <w:color w:val="auto"/>
                <w:szCs w:val="21"/>
                <w:highlight w:val="none"/>
              </w:rPr>
              <w:t>办公用房</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b/>
                <w:bCs/>
                <w:color w:val="auto"/>
                <w:szCs w:val="21"/>
                <w:highlight w:val="none"/>
              </w:rPr>
              <w:t>（二）</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b/>
                <w:bCs/>
                <w:color w:val="auto"/>
                <w:szCs w:val="21"/>
                <w:highlight w:val="none"/>
              </w:rPr>
              <w:t>生活用房</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宿舍</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食堂</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厕所</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浴室</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其他生活设施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休息场所、文化娱乐设施等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b/>
                <w:bCs/>
                <w:color w:val="auto"/>
                <w:szCs w:val="21"/>
                <w:highlight w:val="none"/>
              </w:rPr>
              <w:t>（三）</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b/>
                <w:bCs/>
                <w:color w:val="auto"/>
                <w:szCs w:val="21"/>
                <w:highlight w:val="none"/>
              </w:rPr>
              <w:t>生产用房（仓库）</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m</w:t>
            </w:r>
            <w:r>
              <w:rPr>
                <w:color w:val="auto"/>
                <w:szCs w:val="21"/>
                <w:highlight w:val="none"/>
                <w:vertAlign w:val="superscript"/>
              </w:rPr>
              <w:t>2</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b/>
                <w:bCs/>
                <w:color w:val="auto"/>
                <w:szCs w:val="21"/>
                <w:highlight w:val="none"/>
              </w:rPr>
            </w:pPr>
            <w:r>
              <w:rPr>
                <w:rFonts w:hint="eastAsia" w:hAnsi="宋体"/>
                <w:b/>
                <w:bCs/>
                <w:color w:val="auto"/>
                <w:szCs w:val="21"/>
                <w:highlight w:val="none"/>
              </w:rPr>
              <w:t>（四）</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b/>
                <w:bCs/>
                <w:color w:val="auto"/>
                <w:szCs w:val="21"/>
                <w:highlight w:val="none"/>
              </w:rPr>
            </w:pPr>
            <w:r>
              <w:rPr>
                <w:rFonts w:hint="eastAsia" w:hAnsi="宋体"/>
                <w:b/>
                <w:bCs/>
                <w:color w:val="auto"/>
                <w:szCs w:val="21"/>
                <w:highlight w:val="none"/>
              </w:rPr>
              <w:t>临时用电设施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ind w:left="-288" w:leftChars="-137"/>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ascii="黑体" w:eastAsia="黑体"/>
                <w:b/>
                <w:bCs/>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color w:val="auto"/>
                <w:szCs w:val="21"/>
                <w:highlight w:val="none"/>
              </w:rPr>
              <w:t>1</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r>
              <w:rPr>
                <w:rFonts w:hint="eastAsia"/>
                <w:color w:val="auto"/>
                <w:szCs w:val="21"/>
                <w:highlight w:val="none"/>
              </w:rPr>
              <w:t>总配电箱</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2</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分配电箱</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3</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开关箱</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只</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4</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临时用电线路</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5</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用电保护装置</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处</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6</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发电机</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台</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7</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其他临时用电设施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附近外电线路防护设施等</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（五）</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临时供水</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（六）</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临时排水</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r>
              <w:rPr>
                <w:color w:val="auto"/>
                <w:szCs w:val="21"/>
                <w:highlight w:val="none"/>
              </w:rPr>
              <w:t>m</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r>
              <w:rPr>
                <w:rFonts w:hint="eastAsia"/>
                <w:color w:val="auto"/>
                <w:szCs w:val="21"/>
                <w:highlight w:val="none"/>
              </w:rPr>
              <w:t>按管道长度</w:t>
            </w:r>
          </w:p>
        </w:tc>
      </w:tr>
      <w:tr>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b/>
                <w:bCs/>
                <w:color w:val="auto"/>
                <w:szCs w:val="21"/>
                <w:highlight w:val="none"/>
              </w:rPr>
            </w:pPr>
            <w:r>
              <w:rPr>
                <w:rFonts w:hint="eastAsia"/>
                <w:b/>
                <w:bCs/>
                <w:color w:val="auto"/>
                <w:szCs w:val="21"/>
                <w:highlight w:val="none"/>
              </w:rPr>
              <w:t>（七）</w:t>
            </w:r>
          </w:p>
        </w:tc>
        <w:tc>
          <w:tcPr>
            <w:tcW w:w="3004" w:type="dxa"/>
            <w:tcBorders>
              <w:top w:val="single" w:color="auto" w:sz="4" w:space="0"/>
              <w:left w:val="nil"/>
              <w:bottom w:val="single" w:color="auto" w:sz="4" w:space="0"/>
              <w:right w:val="single" w:color="auto" w:sz="4" w:space="0"/>
            </w:tcBorders>
            <w:shd w:val="clear" w:color="auto" w:fill="FFFFFF"/>
            <w:noWrap w:val="0"/>
            <w:vAlign w:val="center"/>
          </w:tcPr>
          <w:p>
            <w:pPr>
              <w:rPr>
                <w:b/>
                <w:bCs/>
                <w:color w:val="auto"/>
                <w:szCs w:val="21"/>
                <w:highlight w:val="none"/>
              </w:rPr>
            </w:pPr>
            <w:r>
              <w:rPr>
                <w:rFonts w:hint="eastAsia"/>
                <w:b/>
                <w:bCs/>
                <w:color w:val="auto"/>
                <w:szCs w:val="21"/>
                <w:highlight w:val="none"/>
              </w:rPr>
              <w:t>其他临时设施</w:t>
            </w:r>
          </w:p>
        </w:tc>
        <w:tc>
          <w:tcPr>
            <w:tcW w:w="776"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r>
        <w:tblPrEx>
          <w:tblCellMar>
            <w:top w:w="0" w:type="dxa"/>
            <w:left w:w="108" w:type="dxa"/>
            <w:bottom w:w="0" w:type="dxa"/>
            <w:right w:w="108" w:type="dxa"/>
          </w:tblCellMar>
        </w:tblPrEx>
        <w:trPr>
          <w:trHeight w:val="454" w:hRule="atLeast"/>
        </w:trPr>
        <w:tc>
          <w:tcPr>
            <w:tcW w:w="7047"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color w:val="auto"/>
                <w:szCs w:val="21"/>
                <w:highlight w:val="none"/>
              </w:rPr>
            </w:pPr>
            <w:r>
              <w:rPr>
                <w:rFonts w:hint="eastAsia"/>
                <w:color w:val="auto"/>
                <w:szCs w:val="21"/>
                <w:highlight w:val="none"/>
              </w:rPr>
              <w:t>合计</w:t>
            </w:r>
          </w:p>
        </w:tc>
        <w:tc>
          <w:tcPr>
            <w:tcW w:w="1080" w:type="dxa"/>
            <w:tcBorders>
              <w:top w:val="single" w:color="auto" w:sz="4" w:space="0"/>
              <w:left w:val="nil"/>
              <w:bottom w:val="single" w:color="auto" w:sz="4" w:space="0"/>
              <w:right w:val="single" w:color="auto" w:sz="4" w:space="0"/>
            </w:tcBorders>
            <w:shd w:val="clear" w:color="auto" w:fill="FFFFFF"/>
            <w:noWrap w:val="0"/>
            <w:vAlign w:val="top"/>
          </w:tcPr>
          <w:p>
            <w:pPr>
              <w:ind w:left="-288" w:leftChars="-137"/>
              <w:jc w:val="center"/>
              <w:rPr>
                <w:color w:val="auto"/>
                <w:szCs w:val="21"/>
                <w:highlight w:val="none"/>
              </w:rPr>
            </w:pPr>
          </w:p>
        </w:tc>
        <w:tc>
          <w:tcPr>
            <w:tcW w:w="1980" w:type="dxa"/>
            <w:tcBorders>
              <w:top w:val="single" w:color="auto" w:sz="4" w:space="0"/>
              <w:left w:val="nil"/>
              <w:bottom w:val="single" w:color="auto" w:sz="4" w:space="0"/>
              <w:right w:val="single" w:color="auto" w:sz="4" w:space="0"/>
            </w:tcBorders>
            <w:shd w:val="clear" w:color="auto" w:fill="FFFFFF"/>
            <w:noWrap w:val="0"/>
            <w:vAlign w:val="center"/>
          </w:tcPr>
          <w:p>
            <w:pPr>
              <w:rPr>
                <w:color w:val="auto"/>
                <w:szCs w:val="21"/>
                <w:highlight w:val="none"/>
              </w:rPr>
            </w:pPr>
          </w:p>
        </w:tc>
      </w:tr>
    </w:tbl>
    <w:p>
      <w:pPr>
        <w:widowControl/>
        <w:jc w:val="left"/>
        <w:rPr>
          <w:color w:val="auto"/>
          <w:szCs w:val="21"/>
          <w:highlight w:val="none"/>
        </w:rPr>
      </w:pPr>
      <w:r>
        <w:rPr>
          <w:rFonts w:hint="eastAsia" w:hAnsi="宋体"/>
          <w:color w:val="auto"/>
          <w:szCs w:val="21"/>
          <w:highlight w:val="none"/>
        </w:rPr>
        <w:t>注：表中（</w:t>
      </w: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）栏由招标人根据具体工程特点提供，</w:t>
      </w:r>
      <w:r>
        <w:rPr>
          <w:rFonts w:hint="eastAsia" w:hAnsi="宋体"/>
          <w:color w:val="auto"/>
          <w:szCs w:val="21"/>
          <w:highlight w:val="none"/>
          <w:lang w:val="en-US" w:eastAsia="zh-CN"/>
        </w:rPr>
        <w:t>响应</w:t>
      </w:r>
      <w:r>
        <w:rPr>
          <w:rFonts w:hint="eastAsia" w:hAnsi="宋体"/>
          <w:color w:val="auto"/>
          <w:szCs w:val="21"/>
          <w:highlight w:val="none"/>
        </w:rPr>
        <w:t>人可补充。安全文明施工措施项目及费用应按招标项目整体报价。</w:t>
      </w:r>
    </w:p>
    <w:p>
      <w:pPr>
        <w:spacing w:line="500" w:lineRule="exact"/>
        <w:rPr>
          <w:rFonts w:hint="eastAsia" w:hAnsi="宋体"/>
          <w:color w:val="auto"/>
          <w:kern w:val="0"/>
          <w:sz w:val="24"/>
          <w:highlight w:val="none"/>
          <w:lang w:val="en-US" w:eastAsia="zh-CN"/>
        </w:rPr>
      </w:pPr>
    </w:p>
    <w:p>
      <w:pPr>
        <w:spacing w:line="500" w:lineRule="exact"/>
        <w:rPr>
          <w:rFonts w:hint="eastAsia" w:hAnsi="宋体"/>
          <w:color w:val="auto"/>
          <w:kern w:val="0"/>
          <w:sz w:val="24"/>
          <w:highlight w:val="none"/>
          <w:lang w:val="en-US" w:eastAsia="zh-CN"/>
        </w:rPr>
      </w:pP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rPr>
          <w:rFonts w:hint="eastAsia" w:hAnsi="宋体"/>
          <w:color w:val="auto"/>
          <w:sz w:val="24"/>
          <w:highlight w:val="none"/>
        </w:rPr>
      </w:pPr>
      <w:r>
        <w:rPr>
          <w:rFonts w:hint="eastAsia" w:hAnsi="宋体"/>
          <w:color w:val="auto"/>
          <w:sz w:val="24"/>
          <w:highlight w:val="none"/>
        </w:rPr>
        <w:br w:type="page"/>
      </w:r>
    </w:p>
    <w:p>
      <w:pPr>
        <w:widowControl/>
        <w:tabs>
          <w:tab w:val="center" w:pos="4755"/>
          <w:tab w:val="right" w:pos="9070"/>
        </w:tabs>
        <w:spacing w:before="100" w:beforeAutospacing="1" w:after="100" w:afterAutospacing="1"/>
        <w:ind w:firstLine="281" w:firstLineChars="100"/>
        <w:jc w:val="center"/>
        <w:rPr>
          <w:rFonts w:hAnsi="宋体"/>
          <w:b/>
          <w:color w:val="auto"/>
          <w:kern w:val="0"/>
          <w:sz w:val="28"/>
          <w:szCs w:val="28"/>
          <w:highlight w:val="none"/>
        </w:rPr>
      </w:pPr>
      <w:r>
        <w:rPr>
          <w:rFonts w:hint="eastAsia" w:hAnsi="宋体"/>
          <w:b/>
          <w:color w:val="auto"/>
          <w:kern w:val="0"/>
          <w:sz w:val="28"/>
          <w:szCs w:val="28"/>
          <w:highlight w:val="none"/>
        </w:rPr>
        <w:t>表1-4  其他项目清单及计价表</w:t>
      </w:r>
    </w:p>
    <w:p>
      <w:pPr>
        <w:keepNext w:val="0"/>
        <w:keepLines w:val="0"/>
        <w:pageBreakBefore w:val="0"/>
        <w:widowControl/>
        <w:tabs>
          <w:tab w:val="center" w:pos="4755"/>
          <w:tab w:val="right" w:pos="9070"/>
        </w:tabs>
        <w:kinsoku/>
        <w:wordWrap/>
        <w:overflowPunct/>
        <w:topLinePunct w:val="0"/>
        <w:autoSpaceDE/>
        <w:autoSpaceDN/>
        <w:bidi w:val="0"/>
        <w:adjustRightInd w:val="0"/>
        <w:snapToGrid/>
        <w:spacing w:line="400" w:lineRule="exact"/>
        <w:ind w:firstLine="240" w:firstLineChars="100"/>
        <w:textAlignment w:val="auto"/>
        <w:rPr>
          <w:rFonts w:hAnsi="宋体"/>
          <w:color w:val="auto"/>
          <w:kern w:val="0"/>
          <w:sz w:val="24"/>
          <w:highlight w:val="none"/>
        </w:rPr>
      </w:pPr>
      <w:r>
        <w:rPr>
          <w:rFonts w:hint="eastAsia" w:hAnsi="宋体"/>
          <w:color w:val="auto"/>
          <w:kern w:val="0"/>
          <w:sz w:val="24"/>
          <w:highlight w:val="none"/>
        </w:rPr>
        <w:t xml:space="preserve">工程名称: </w:t>
      </w:r>
    </w:p>
    <w:p>
      <w:pPr>
        <w:keepNext w:val="0"/>
        <w:keepLines w:val="0"/>
        <w:pageBreakBefore w:val="0"/>
        <w:widowControl/>
        <w:tabs>
          <w:tab w:val="center" w:pos="4755"/>
          <w:tab w:val="right" w:pos="9070"/>
        </w:tabs>
        <w:kinsoku/>
        <w:wordWrap/>
        <w:overflowPunct/>
        <w:topLinePunct w:val="0"/>
        <w:autoSpaceDE/>
        <w:autoSpaceDN/>
        <w:bidi w:val="0"/>
        <w:adjustRightInd w:val="0"/>
        <w:snapToGrid/>
        <w:spacing w:line="400" w:lineRule="exact"/>
        <w:ind w:firstLine="240" w:firstLineChars="100"/>
        <w:textAlignment w:val="auto"/>
        <w:rPr>
          <w:rFonts w:hAnsi="宋体"/>
          <w:color w:val="auto"/>
          <w:kern w:val="0"/>
          <w:sz w:val="24"/>
          <w:highlight w:val="none"/>
        </w:rPr>
      </w:pPr>
      <w:r>
        <w:rPr>
          <w:rFonts w:hint="eastAsia" w:hAnsi="宋体"/>
          <w:color w:val="auto"/>
          <w:kern w:val="0"/>
          <w:sz w:val="24"/>
          <w:highlight w:val="none"/>
        </w:rPr>
        <w:t>单位工程名称：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3178"/>
        <w:gridCol w:w="2566"/>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序号</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项目名称</w:t>
            </w:r>
          </w:p>
        </w:tc>
        <w:tc>
          <w:tcPr>
            <w:tcW w:w="2566"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金额</w:t>
            </w:r>
            <w:r>
              <w:rPr>
                <w:rFonts w:hAnsi="宋体"/>
                <w:color w:val="auto"/>
                <w:szCs w:val="21"/>
                <w:highlight w:val="none"/>
              </w:rPr>
              <w:t>(</w:t>
            </w:r>
            <w:r>
              <w:rPr>
                <w:rFonts w:hint="eastAsia" w:hAnsi="宋体"/>
                <w:color w:val="auto"/>
                <w:szCs w:val="21"/>
                <w:highlight w:val="none"/>
              </w:rPr>
              <w:t>元</w:t>
            </w:r>
            <w:r>
              <w:rPr>
                <w:rFonts w:hAnsi="宋体"/>
                <w:color w:val="auto"/>
                <w:szCs w:val="21"/>
                <w:highlight w:val="none"/>
              </w:rPr>
              <w:t>)</w:t>
            </w: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Ansi="宋体"/>
                <w:color w:val="auto"/>
                <w:szCs w:val="21"/>
                <w:highlight w:val="none"/>
              </w:rPr>
              <w:t>1</w:t>
            </w:r>
          </w:p>
        </w:tc>
        <w:tc>
          <w:tcPr>
            <w:tcW w:w="3178" w:type="dxa"/>
            <w:noWrap w:val="0"/>
            <w:vAlign w:val="center"/>
          </w:tcPr>
          <w:p>
            <w:pPr>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暂列金额</w:t>
            </w:r>
          </w:p>
        </w:tc>
        <w:tc>
          <w:tcPr>
            <w:tcW w:w="2566" w:type="dxa"/>
            <w:noWrap w:val="0"/>
            <w:vAlign w:val="center"/>
          </w:tcPr>
          <w:p>
            <w:pPr>
              <w:widowControl/>
              <w:tabs>
                <w:tab w:val="left" w:pos="1000"/>
              </w:tabs>
              <w:spacing w:before="100" w:beforeAutospacing="1" w:after="100" w:afterAutospacing="1"/>
              <w:jc w:val="center"/>
              <w:rPr>
                <w:color w:val="auto"/>
                <w:szCs w:val="21"/>
                <w:highlight w:val="none"/>
              </w:rPr>
            </w:pPr>
          </w:p>
        </w:tc>
        <w:tc>
          <w:tcPr>
            <w:tcW w:w="2501" w:type="dxa"/>
            <w:noWrap w:val="0"/>
            <w:vAlign w:val="center"/>
          </w:tcPr>
          <w:p>
            <w:pPr>
              <w:widowControl/>
              <w:tabs>
                <w:tab w:val="left" w:pos="100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Ansi="宋体"/>
                <w:color w:val="auto"/>
                <w:szCs w:val="21"/>
                <w:highlight w:val="none"/>
              </w:rPr>
              <w:t>2</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计日工</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明细表详见</w:t>
            </w:r>
            <w:r>
              <w:rPr>
                <w:rFonts w:hAnsi="宋体"/>
                <w:color w:val="auto"/>
                <w:szCs w:val="21"/>
                <w:highlight w:val="none"/>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Ansi="宋体"/>
                <w:color w:val="auto"/>
                <w:szCs w:val="21"/>
                <w:highlight w:val="none"/>
              </w:rPr>
              <w:t>3</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总承包服务费</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明细表详见</w:t>
            </w:r>
            <w:r>
              <w:rPr>
                <w:rFonts w:hAnsi="宋体"/>
                <w:color w:val="auto"/>
                <w:szCs w:val="21"/>
                <w:highlight w:val="none"/>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rFonts w:hAnsi="宋体"/>
                <w:color w:val="auto"/>
                <w:szCs w:val="21"/>
                <w:highlight w:val="none"/>
              </w:rPr>
            </w:pPr>
            <w:r>
              <w:rPr>
                <w:rFonts w:hint="eastAsia" w:hAnsi="宋体"/>
                <w:color w:val="auto"/>
                <w:szCs w:val="21"/>
                <w:highlight w:val="none"/>
              </w:rPr>
              <w:t>4</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color w:val="auto"/>
                <w:szCs w:val="21"/>
                <w:highlight w:val="none"/>
              </w:rPr>
              <w:t>标化工地增加费</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color w:val="auto"/>
                <w:szCs w:val="21"/>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color w:val="auto"/>
                <w:szCs w:val="21"/>
                <w:highlight w:val="none"/>
              </w:rPr>
              <w:t>5</w:t>
            </w: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color w:val="auto"/>
                <w:szCs w:val="21"/>
                <w:highlight w:val="none"/>
              </w:rPr>
              <w:t>优质工程增加费</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color w:val="auto"/>
                <w:szCs w:val="21"/>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3178"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r>
              <w:rPr>
                <w:rFonts w:hint="eastAsia" w:hAnsi="宋体"/>
                <w:color w:val="auto"/>
                <w:szCs w:val="21"/>
                <w:highlight w:val="none"/>
              </w:rPr>
              <w:t>合计</w:t>
            </w:r>
          </w:p>
        </w:tc>
        <w:tc>
          <w:tcPr>
            <w:tcW w:w="2566"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c>
          <w:tcPr>
            <w:tcW w:w="2501" w:type="dxa"/>
            <w:noWrap w:val="0"/>
            <w:vAlign w:val="center"/>
          </w:tcPr>
          <w:p>
            <w:pPr>
              <w:widowControl/>
              <w:tabs>
                <w:tab w:val="center" w:pos="4755"/>
                <w:tab w:val="right" w:pos="9070"/>
              </w:tabs>
              <w:spacing w:before="100" w:beforeAutospacing="1" w:after="100" w:afterAutospacing="1"/>
              <w:jc w:val="center"/>
              <w:rPr>
                <w:color w:val="auto"/>
                <w:szCs w:val="21"/>
                <w:highlight w:val="none"/>
              </w:rPr>
            </w:pPr>
          </w:p>
        </w:tc>
      </w:tr>
    </w:tbl>
    <w:p>
      <w:pPr>
        <w:spacing w:line="500" w:lineRule="exact"/>
        <w:rPr>
          <w:rFonts w:hAnsi="宋体"/>
          <w:color w:val="auto"/>
          <w:sz w:val="24"/>
          <w:highlight w:val="none"/>
        </w:rPr>
      </w:pPr>
    </w:p>
    <w:p>
      <w:pPr>
        <w:spacing w:line="500" w:lineRule="exact"/>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widowControl/>
        <w:tabs>
          <w:tab w:val="center" w:pos="4755"/>
          <w:tab w:val="right" w:pos="9070"/>
        </w:tabs>
        <w:spacing w:before="100" w:beforeAutospacing="1" w:after="100" w:afterAutospacing="1"/>
        <w:ind w:firstLine="241" w:firstLineChars="100"/>
        <w:rPr>
          <w:rFonts w:hAnsi="宋体"/>
          <w:b/>
          <w:color w:val="auto"/>
          <w:kern w:val="0"/>
          <w:sz w:val="24"/>
          <w:highlight w:val="none"/>
        </w:rPr>
      </w:pPr>
      <w:r>
        <w:rPr>
          <w:rFonts w:hAnsi="宋体"/>
          <w:b/>
          <w:color w:val="auto"/>
          <w:kern w:val="0"/>
          <w:sz w:val="24"/>
          <w:highlight w:val="none"/>
        </w:rPr>
        <w:br w:type="page"/>
      </w:r>
    </w:p>
    <w:p>
      <w:pPr>
        <w:widowControl/>
        <w:tabs>
          <w:tab w:val="center" w:pos="4755"/>
          <w:tab w:val="right" w:pos="9070"/>
        </w:tabs>
        <w:ind w:firstLine="281" w:firstLineChars="100"/>
        <w:jc w:val="center"/>
        <w:rPr>
          <w:rFonts w:hint="eastAsia" w:hAnsi="宋体"/>
          <w:b/>
          <w:color w:val="auto"/>
          <w:kern w:val="0"/>
          <w:sz w:val="28"/>
          <w:szCs w:val="28"/>
          <w:highlight w:val="none"/>
        </w:rPr>
      </w:pPr>
      <w:r>
        <w:rPr>
          <w:rFonts w:hint="eastAsia" w:hAnsi="宋体"/>
          <w:b/>
          <w:color w:val="auto"/>
          <w:kern w:val="0"/>
          <w:sz w:val="28"/>
          <w:szCs w:val="28"/>
          <w:highlight w:val="none"/>
        </w:rPr>
        <w:t>表1-4-1  计日工表</w:t>
      </w:r>
    </w:p>
    <w:p>
      <w:pPr>
        <w:pStyle w:val="2"/>
      </w:pPr>
    </w:p>
    <w:p>
      <w:pPr>
        <w:widowControl/>
        <w:tabs>
          <w:tab w:val="center" w:pos="4755"/>
          <w:tab w:val="right" w:pos="9070"/>
        </w:tabs>
        <w:spacing w:line="360" w:lineRule="auto"/>
        <w:rPr>
          <w:rFonts w:hAnsi="宋体"/>
          <w:color w:val="auto"/>
          <w:kern w:val="0"/>
          <w:sz w:val="24"/>
          <w:highlight w:val="none"/>
        </w:rPr>
      </w:pPr>
      <w:r>
        <w:rPr>
          <w:rFonts w:hint="eastAsia" w:hAnsi="宋体"/>
          <w:color w:val="auto"/>
          <w:kern w:val="0"/>
          <w:sz w:val="24"/>
          <w:highlight w:val="none"/>
        </w:rPr>
        <w:t xml:space="preserve">工程名称:                                   </w:t>
      </w:r>
    </w:p>
    <w:p>
      <w:pPr>
        <w:widowControl/>
        <w:tabs>
          <w:tab w:val="center" w:pos="4755"/>
          <w:tab w:val="right" w:pos="9070"/>
        </w:tabs>
        <w:spacing w:line="360" w:lineRule="auto"/>
        <w:rPr>
          <w:rFonts w:hAnsi="宋体"/>
          <w:color w:val="auto"/>
          <w:kern w:val="0"/>
          <w:sz w:val="24"/>
          <w:highlight w:val="none"/>
        </w:rPr>
      </w:pPr>
      <w:r>
        <w:rPr>
          <w:rFonts w:hint="eastAsia" w:hAnsi="宋体"/>
          <w:color w:val="auto"/>
          <w:kern w:val="0"/>
          <w:sz w:val="24"/>
          <w:highlight w:val="none"/>
        </w:rPr>
        <w:t>单位工程名称：                                            第  页共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816"/>
        <w:gridCol w:w="1506"/>
        <w:gridCol w:w="1506"/>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编号</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项 目 名 称</w:t>
            </w:r>
          </w:p>
        </w:tc>
        <w:tc>
          <w:tcPr>
            <w:tcW w:w="81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单位</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数量</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综合单价（元）</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81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1506"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一</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人    工</w:t>
            </w: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人 工 小 计</w:t>
            </w: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二</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材    料</w:t>
            </w: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材 料 小 计</w:t>
            </w: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三</w:t>
            </w:r>
          </w:p>
        </w:tc>
        <w:tc>
          <w:tcPr>
            <w:tcW w:w="2880"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施工机械</w:t>
            </w: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1</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3</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4</w:t>
            </w:r>
          </w:p>
        </w:tc>
        <w:tc>
          <w:tcPr>
            <w:tcW w:w="2880" w:type="dxa"/>
            <w:noWrap w:val="0"/>
            <w:vAlign w:val="center"/>
          </w:tcPr>
          <w:p>
            <w:pPr>
              <w:tabs>
                <w:tab w:val="left" w:pos="3780"/>
              </w:tabs>
              <w:jc w:val="center"/>
              <w:rPr>
                <w:rFonts w:hAnsi="宋体"/>
                <w:color w:val="auto"/>
                <w:sz w:val="24"/>
                <w:highlight w:val="none"/>
              </w:rPr>
            </w:pPr>
          </w:p>
        </w:tc>
        <w:tc>
          <w:tcPr>
            <w:tcW w:w="81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施工机械小计</w:t>
            </w:r>
          </w:p>
        </w:tc>
        <w:tc>
          <w:tcPr>
            <w:tcW w:w="1506" w:type="dxa"/>
            <w:noWrap w:val="0"/>
            <w:vAlign w:val="center"/>
          </w:tcPr>
          <w:p>
            <w:pPr>
              <w:tabs>
                <w:tab w:val="left" w:pos="3780"/>
              </w:tabs>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536" w:type="dxa"/>
            <w:gridSpan w:val="5"/>
            <w:noWrap w:val="0"/>
            <w:vAlign w:val="center"/>
          </w:tcPr>
          <w:p>
            <w:pPr>
              <w:tabs>
                <w:tab w:val="left" w:pos="3780"/>
              </w:tabs>
              <w:jc w:val="center"/>
              <w:rPr>
                <w:rFonts w:hAnsi="宋体"/>
                <w:color w:val="auto"/>
                <w:sz w:val="24"/>
                <w:highlight w:val="none"/>
              </w:rPr>
            </w:pPr>
            <w:r>
              <w:rPr>
                <w:rFonts w:hint="eastAsia" w:hAnsi="宋体"/>
                <w:color w:val="auto"/>
                <w:sz w:val="24"/>
                <w:highlight w:val="none"/>
              </w:rPr>
              <w:t>合    计</w:t>
            </w:r>
          </w:p>
        </w:tc>
        <w:tc>
          <w:tcPr>
            <w:tcW w:w="1506" w:type="dxa"/>
            <w:noWrap w:val="0"/>
            <w:vAlign w:val="center"/>
          </w:tcPr>
          <w:p>
            <w:pPr>
              <w:tabs>
                <w:tab w:val="left" w:pos="3780"/>
              </w:tabs>
              <w:jc w:val="center"/>
              <w:rPr>
                <w:rFonts w:hAnsi="宋体"/>
                <w:color w:val="auto"/>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注：表中（1）（2）（3）（4）由招标人按需要提出，其中第（4</w:t>
      </w:r>
      <w:r>
        <w:rPr>
          <w:rFonts w:hAnsi="宋体"/>
          <w:color w:val="auto"/>
          <w:kern w:val="0"/>
          <w:sz w:val="24"/>
          <w:highlight w:val="none"/>
        </w:rPr>
        <w:t>）</w:t>
      </w:r>
      <w:r>
        <w:rPr>
          <w:rFonts w:hint="eastAsia" w:hAnsi="宋体"/>
          <w:color w:val="auto"/>
          <w:kern w:val="0"/>
          <w:sz w:val="24"/>
          <w:highlight w:val="none"/>
        </w:rPr>
        <w:t>栏数量为暂定。</w:t>
      </w:r>
    </w:p>
    <w:p>
      <w:pPr>
        <w:widowControl/>
        <w:tabs>
          <w:tab w:val="center" w:pos="4755"/>
          <w:tab w:val="right" w:pos="9070"/>
        </w:tabs>
        <w:ind w:firstLine="240" w:firstLineChars="100"/>
        <w:jc w:val="left"/>
        <w:rPr>
          <w:rFonts w:hAnsi="宋体"/>
          <w:color w:val="auto"/>
          <w:kern w:val="0"/>
          <w:sz w:val="24"/>
          <w:highlight w:val="none"/>
        </w:rPr>
      </w:pPr>
    </w:p>
    <w:p>
      <w:pPr>
        <w:spacing w:line="500" w:lineRule="exact"/>
        <w:rPr>
          <w:rFonts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widowControl/>
        <w:tabs>
          <w:tab w:val="center" w:pos="4755"/>
          <w:tab w:val="right" w:pos="9070"/>
        </w:tabs>
        <w:ind w:firstLine="240" w:firstLineChars="100"/>
        <w:jc w:val="left"/>
        <w:rPr>
          <w:rFonts w:hAnsi="宋体"/>
          <w:b/>
          <w:color w:val="auto"/>
          <w:kern w:val="0"/>
          <w:sz w:val="32"/>
          <w:highlight w:val="none"/>
        </w:rPr>
      </w:pPr>
      <w:r>
        <w:rPr>
          <w:rFonts w:hAnsi="宋体"/>
          <w:color w:val="auto"/>
          <w:kern w:val="0"/>
          <w:sz w:val="24"/>
          <w:highlight w:val="none"/>
        </w:rPr>
        <w:br w:type="page"/>
      </w:r>
    </w:p>
    <w:p>
      <w:pPr>
        <w:tabs>
          <w:tab w:val="left" w:pos="3780"/>
        </w:tabs>
        <w:jc w:val="center"/>
        <w:rPr>
          <w:rFonts w:hint="eastAsia" w:hAnsi="宋体"/>
          <w:b/>
          <w:color w:val="auto"/>
          <w:sz w:val="28"/>
          <w:szCs w:val="28"/>
          <w:highlight w:val="none"/>
        </w:rPr>
      </w:pPr>
      <w:r>
        <w:rPr>
          <w:rFonts w:hint="eastAsia" w:hAnsi="宋体"/>
          <w:b/>
          <w:color w:val="auto"/>
          <w:kern w:val="0"/>
          <w:sz w:val="28"/>
          <w:szCs w:val="28"/>
          <w:highlight w:val="none"/>
        </w:rPr>
        <w:t>表1-4-2</w:t>
      </w:r>
      <w:r>
        <w:rPr>
          <w:rFonts w:hint="eastAsia" w:hAnsi="宋体"/>
          <w:b/>
          <w:color w:val="auto"/>
          <w:sz w:val="28"/>
          <w:szCs w:val="28"/>
          <w:highlight w:val="none"/>
        </w:rPr>
        <w:t>总承包服务费项目及计价表</w:t>
      </w:r>
    </w:p>
    <w:p>
      <w:pPr>
        <w:pStyle w:val="2"/>
      </w:pPr>
    </w:p>
    <w:p>
      <w:pPr>
        <w:tabs>
          <w:tab w:val="left" w:pos="3780"/>
        </w:tabs>
        <w:spacing w:after="78" w:afterLines="25"/>
        <w:rPr>
          <w:rFonts w:hAnsi="宋体"/>
          <w:color w:val="auto"/>
          <w:sz w:val="24"/>
          <w:highlight w:val="none"/>
        </w:rPr>
      </w:pPr>
      <w:r>
        <w:rPr>
          <w:rFonts w:hint="eastAsia" w:hAnsi="宋体"/>
          <w:color w:val="auto"/>
          <w:sz w:val="24"/>
          <w:highlight w:val="none"/>
        </w:rPr>
        <w:t>工程名称：                                                  第   页 共   页</w:t>
      </w:r>
    </w:p>
    <w:tbl>
      <w:tblPr>
        <w:tblStyle w:val="6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序号</w:t>
            </w:r>
          </w:p>
        </w:tc>
        <w:tc>
          <w:tcPr>
            <w:tcW w:w="2709" w:type="dxa"/>
            <w:tcBorders>
              <w:top w:val="single" w:color="auto" w:sz="8" w:space="0"/>
            </w:tcBorders>
            <w:noWrap w:val="0"/>
            <w:vAlign w:val="center"/>
          </w:tcPr>
          <w:p>
            <w:pPr>
              <w:tabs>
                <w:tab w:val="left" w:pos="3780"/>
              </w:tabs>
              <w:ind w:firstLine="420"/>
              <w:rPr>
                <w:rFonts w:hAnsi="宋体"/>
                <w:color w:val="auto"/>
                <w:sz w:val="24"/>
                <w:highlight w:val="none"/>
              </w:rPr>
            </w:pPr>
            <w:r>
              <w:rPr>
                <w:rFonts w:hint="eastAsia" w:hAnsi="宋体"/>
                <w:color w:val="auto"/>
                <w:sz w:val="24"/>
                <w:highlight w:val="none"/>
              </w:rPr>
              <w:t>项 目 名 称</w:t>
            </w:r>
          </w:p>
        </w:tc>
        <w:tc>
          <w:tcPr>
            <w:tcW w:w="1620" w:type="dxa"/>
            <w:tcBorders>
              <w:top w:val="single" w:color="auto" w:sz="8" w:space="0"/>
            </w:tcBorders>
            <w:noWrap w:val="0"/>
            <w:vAlign w:val="center"/>
          </w:tcPr>
          <w:p>
            <w:pPr>
              <w:tabs>
                <w:tab w:val="left" w:pos="3780"/>
              </w:tabs>
              <w:jc w:val="center"/>
              <w:rPr>
                <w:rFonts w:hAnsi="宋体"/>
                <w:color w:val="auto"/>
                <w:sz w:val="24"/>
                <w:highlight w:val="none"/>
              </w:rPr>
            </w:pPr>
            <w:r>
              <w:rPr>
                <w:rFonts w:hint="eastAsia" w:hAnsi="宋体"/>
                <w:color w:val="auto"/>
                <w:sz w:val="24"/>
                <w:highlight w:val="none"/>
              </w:rPr>
              <w:t>项目价值</w:t>
            </w:r>
          </w:p>
          <w:p>
            <w:pPr>
              <w:tabs>
                <w:tab w:val="left" w:pos="3780"/>
              </w:tabs>
              <w:jc w:val="center"/>
              <w:rPr>
                <w:rFonts w:hAnsi="宋体"/>
                <w:color w:val="auto"/>
                <w:sz w:val="24"/>
                <w:highlight w:val="none"/>
              </w:rPr>
            </w:pPr>
            <w:r>
              <w:rPr>
                <w:rFonts w:hint="eastAsia" w:hAnsi="宋体"/>
                <w:color w:val="auto"/>
                <w:sz w:val="24"/>
                <w:highlight w:val="none"/>
              </w:rPr>
              <w:t>（元）</w:t>
            </w:r>
          </w:p>
        </w:tc>
        <w:tc>
          <w:tcPr>
            <w:tcW w:w="1440"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服务内容</w:t>
            </w:r>
          </w:p>
        </w:tc>
        <w:tc>
          <w:tcPr>
            <w:tcW w:w="1440"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费率（%）</w:t>
            </w:r>
          </w:p>
        </w:tc>
        <w:tc>
          <w:tcPr>
            <w:tcW w:w="1440" w:type="dxa"/>
            <w:tcBorders>
              <w:top w:val="single" w:color="auto" w:sz="8"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rPr>
                <w:rFonts w:hAnsi="宋体"/>
                <w:color w:val="auto"/>
                <w:sz w:val="24"/>
                <w:highlight w:val="none"/>
              </w:rPr>
            </w:pPr>
            <w:r>
              <w:rPr>
                <w:rFonts w:hint="eastAsia" w:hAnsi="宋体"/>
                <w:color w:val="auto"/>
                <w:sz w:val="24"/>
                <w:highlight w:val="none"/>
              </w:rPr>
              <w:t>（1）</w:t>
            </w:r>
          </w:p>
        </w:tc>
        <w:tc>
          <w:tcPr>
            <w:tcW w:w="2709" w:type="dxa"/>
            <w:noWrap w:val="0"/>
            <w:vAlign w:val="center"/>
          </w:tcPr>
          <w:p>
            <w:pPr>
              <w:tabs>
                <w:tab w:val="left" w:pos="3780"/>
              </w:tabs>
              <w:jc w:val="center"/>
              <w:rPr>
                <w:rFonts w:hAnsi="宋体"/>
                <w:color w:val="auto"/>
                <w:sz w:val="24"/>
                <w:highlight w:val="none"/>
              </w:rPr>
            </w:pPr>
            <w:r>
              <w:rPr>
                <w:rFonts w:hint="eastAsia" w:hAnsi="宋体"/>
                <w:color w:val="auto"/>
                <w:sz w:val="24"/>
                <w:highlight w:val="none"/>
              </w:rPr>
              <w:t>（2）</w:t>
            </w:r>
          </w:p>
        </w:tc>
        <w:tc>
          <w:tcPr>
            <w:tcW w:w="1620" w:type="dxa"/>
            <w:noWrap w:val="0"/>
            <w:vAlign w:val="center"/>
          </w:tcPr>
          <w:p>
            <w:pPr>
              <w:tabs>
                <w:tab w:val="left" w:pos="3780"/>
              </w:tabs>
              <w:ind w:firstLine="420"/>
              <w:rPr>
                <w:rFonts w:hAnsi="宋体"/>
                <w:color w:val="auto"/>
                <w:sz w:val="24"/>
                <w:highlight w:val="none"/>
              </w:rPr>
            </w:pPr>
            <w:r>
              <w:rPr>
                <w:rFonts w:hint="eastAsia" w:hAnsi="宋体"/>
                <w:color w:val="auto"/>
                <w:sz w:val="24"/>
                <w:highlight w:val="none"/>
              </w:rPr>
              <w:t>（3）</w:t>
            </w:r>
          </w:p>
        </w:tc>
        <w:tc>
          <w:tcPr>
            <w:tcW w:w="1440" w:type="dxa"/>
            <w:tcBorders>
              <w:top w:val="single" w:color="auto" w:sz="6" w:space="0"/>
              <w:bottom w:val="single" w:color="auto" w:sz="6" w:space="0"/>
            </w:tcBorders>
            <w:noWrap w:val="0"/>
            <w:vAlign w:val="center"/>
          </w:tcPr>
          <w:p>
            <w:pPr>
              <w:tabs>
                <w:tab w:val="left" w:pos="3780"/>
              </w:tabs>
              <w:ind w:firstLine="240" w:firstLineChars="100"/>
              <w:rPr>
                <w:rFonts w:hAnsi="宋体"/>
                <w:color w:val="auto"/>
                <w:sz w:val="24"/>
                <w:highlight w:val="none"/>
              </w:rPr>
            </w:pPr>
            <w:r>
              <w:rPr>
                <w:rFonts w:hint="eastAsia" w:hAnsi="宋体"/>
                <w:color w:val="auto"/>
                <w:sz w:val="24"/>
                <w:highlight w:val="none"/>
              </w:rPr>
              <w:t>（4）</w:t>
            </w: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240" w:firstLineChars="100"/>
              <w:rPr>
                <w:rFonts w:hAnsi="宋体"/>
                <w:color w:val="auto"/>
                <w:sz w:val="24"/>
                <w:highlight w:val="none"/>
              </w:rPr>
            </w:pPr>
            <w:r>
              <w:rPr>
                <w:rFonts w:hint="eastAsia" w:hAnsi="宋体"/>
                <w:color w:val="auto"/>
                <w:sz w:val="24"/>
                <w:highlight w:val="none"/>
              </w:rPr>
              <w:t>1</w:t>
            </w:r>
          </w:p>
        </w:tc>
        <w:tc>
          <w:tcPr>
            <w:tcW w:w="2709" w:type="dxa"/>
            <w:noWrap w:val="0"/>
            <w:vAlign w:val="center"/>
          </w:tcPr>
          <w:p>
            <w:pPr>
              <w:tabs>
                <w:tab w:val="left" w:pos="3780"/>
              </w:tabs>
              <w:rPr>
                <w:rFonts w:hAnsi="宋体"/>
                <w:color w:val="auto"/>
                <w:sz w:val="24"/>
                <w:highlight w:val="none"/>
              </w:rPr>
            </w:pPr>
            <w:r>
              <w:rPr>
                <w:rFonts w:hint="eastAsia" w:hAnsi="宋体"/>
                <w:color w:val="auto"/>
                <w:sz w:val="24"/>
                <w:highlight w:val="none"/>
              </w:rPr>
              <w:t>发包人分包专业工程</w:t>
            </w: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240" w:firstLineChars="100"/>
              <w:rPr>
                <w:rFonts w:hAnsi="宋体"/>
                <w:color w:val="auto"/>
                <w:sz w:val="24"/>
                <w:highlight w:val="none"/>
              </w:rPr>
            </w:pPr>
            <w:r>
              <w:rPr>
                <w:rFonts w:hint="eastAsia" w:hAnsi="宋体"/>
                <w:color w:val="auto"/>
                <w:sz w:val="24"/>
                <w:highlight w:val="none"/>
              </w:rPr>
              <w:t>2</w:t>
            </w:r>
          </w:p>
        </w:tc>
        <w:tc>
          <w:tcPr>
            <w:tcW w:w="2709" w:type="dxa"/>
            <w:noWrap w:val="0"/>
            <w:vAlign w:val="center"/>
          </w:tcPr>
          <w:p>
            <w:pPr>
              <w:tabs>
                <w:tab w:val="left" w:pos="3780"/>
              </w:tabs>
              <w:rPr>
                <w:rFonts w:hAnsi="宋体"/>
                <w:color w:val="auto"/>
                <w:sz w:val="24"/>
                <w:highlight w:val="none"/>
              </w:rPr>
            </w:pPr>
            <w:r>
              <w:rPr>
                <w:rFonts w:hint="eastAsia" w:hAnsi="宋体"/>
                <w:color w:val="auto"/>
                <w:sz w:val="24"/>
                <w:highlight w:val="none"/>
              </w:rPr>
              <w:t>发包人供应材料</w:t>
            </w:r>
          </w:p>
        </w:tc>
        <w:tc>
          <w:tcPr>
            <w:tcW w:w="1620" w:type="dxa"/>
            <w:noWrap w:val="0"/>
            <w:vAlign w:val="center"/>
          </w:tcPr>
          <w:p>
            <w:pPr>
              <w:tabs>
                <w:tab w:val="left" w:pos="3780"/>
              </w:tabs>
              <w:ind w:left="210" w:leftChars="100"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left="210" w:leftChars="100" w:firstLine="420"/>
              <w:rPr>
                <w:rFonts w:hAnsi="宋体"/>
                <w:color w:val="auto"/>
                <w:sz w:val="24"/>
                <w:highlight w:val="none"/>
              </w:rPr>
            </w:pPr>
          </w:p>
        </w:tc>
        <w:tc>
          <w:tcPr>
            <w:tcW w:w="1620" w:type="dxa"/>
            <w:noWrap w:val="0"/>
            <w:vAlign w:val="center"/>
          </w:tcPr>
          <w:p>
            <w:pPr>
              <w:tabs>
                <w:tab w:val="left" w:pos="3780"/>
              </w:tabs>
              <w:ind w:left="210" w:leftChars="100"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0"/>
            <w:vAlign w:val="center"/>
          </w:tcPr>
          <w:p>
            <w:pPr>
              <w:tabs>
                <w:tab w:val="left" w:pos="3780"/>
              </w:tabs>
              <w:ind w:firstLine="560"/>
              <w:jc w:val="center"/>
              <w:rPr>
                <w:rFonts w:hAnsi="宋体"/>
                <w:color w:val="auto"/>
                <w:sz w:val="24"/>
                <w:highlight w:val="none"/>
              </w:rPr>
            </w:pPr>
          </w:p>
        </w:tc>
        <w:tc>
          <w:tcPr>
            <w:tcW w:w="2709" w:type="dxa"/>
            <w:noWrap w:val="0"/>
            <w:vAlign w:val="center"/>
          </w:tcPr>
          <w:p>
            <w:pPr>
              <w:tabs>
                <w:tab w:val="left" w:pos="3780"/>
              </w:tabs>
              <w:ind w:firstLine="420"/>
              <w:rPr>
                <w:rFonts w:hAnsi="宋体"/>
                <w:color w:val="auto"/>
                <w:sz w:val="24"/>
                <w:highlight w:val="none"/>
              </w:rPr>
            </w:pPr>
          </w:p>
        </w:tc>
        <w:tc>
          <w:tcPr>
            <w:tcW w:w="1620" w:type="dxa"/>
            <w:noWrap w:val="0"/>
            <w:vAlign w:val="center"/>
          </w:tcPr>
          <w:p>
            <w:pPr>
              <w:tabs>
                <w:tab w:val="left" w:pos="3780"/>
              </w:tabs>
              <w:ind w:firstLine="420"/>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c>
          <w:tcPr>
            <w:tcW w:w="1440" w:type="dxa"/>
            <w:tcBorders>
              <w:top w:val="single" w:color="auto" w:sz="6" w:space="0"/>
              <w:bottom w:val="single" w:color="auto" w:sz="6" w:space="0"/>
            </w:tcBorders>
            <w:noWrap w:val="0"/>
            <w:vAlign w:val="center"/>
          </w:tcPr>
          <w:p>
            <w:pPr>
              <w:tabs>
                <w:tab w:val="left" w:pos="3780"/>
              </w:tabs>
              <w:ind w:firstLine="420"/>
              <w:jc w:val="center"/>
              <w:rPr>
                <w:rFonts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noWrap w:val="0"/>
            <w:vAlign w:val="center"/>
          </w:tcPr>
          <w:p>
            <w:pPr>
              <w:tabs>
                <w:tab w:val="left" w:pos="3780"/>
              </w:tabs>
              <w:ind w:firstLine="560"/>
              <w:jc w:val="center"/>
              <w:rPr>
                <w:rFonts w:hAnsi="宋体"/>
                <w:color w:val="auto"/>
                <w:sz w:val="24"/>
                <w:highlight w:val="none"/>
              </w:rPr>
            </w:pPr>
            <w:r>
              <w:rPr>
                <w:rFonts w:hint="eastAsia" w:hAnsi="宋体"/>
                <w:color w:val="auto"/>
                <w:sz w:val="24"/>
                <w:highlight w:val="none"/>
              </w:rPr>
              <w:t>合    计</w:t>
            </w:r>
          </w:p>
        </w:tc>
        <w:tc>
          <w:tcPr>
            <w:tcW w:w="1440" w:type="dxa"/>
            <w:tcBorders>
              <w:top w:val="single" w:color="auto" w:sz="6" w:space="0"/>
              <w:left w:val="single" w:color="auto" w:sz="6" w:space="0"/>
              <w:bottom w:val="single" w:color="auto" w:sz="8" w:space="0"/>
            </w:tcBorders>
            <w:noWrap w:val="0"/>
            <w:vAlign w:val="center"/>
          </w:tcPr>
          <w:p>
            <w:pPr>
              <w:tabs>
                <w:tab w:val="left" w:pos="3780"/>
              </w:tabs>
              <w:ind w:firstLine="420"/>
              <w:jc w:val="center"/>
              <w:rPr>
                <w:rFonts w:hAnsi="宋体"/>
                <w:color w:val="auto"/>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注：表中（1）（2）（3）（4）由招标人按需要提出。</w:t>
      </w:r>
    </w:p>
    <w:p>
      <w:pPr>
        <w:widowControl/>
        <w:tabs>
          <w:tab w:val="center" w:pos="4755"/>
          <w:tab w:val="right" w:pos="9070"/>
        </w:tabs>
        <w:jc w:val="left"/>
        <w:rPr>
          <w:rFonts w:hAnsi="宋体"/>
          <w:color w:val="auto"/>
          <w:kern w:val="0"/>
          <w:sz w:val="24"/>
          <w:highlight w:val="none"/>
        </w:rPr>
      </w:pP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jc w:val="center"/>
        <w:rPr>
          <w:rFonts w:hAnsi="宋体"/>
          <w:b/>
          <w:color w:val="auto"/>
          <w:kern w:val="0"/>
          <w:sz w:val="32"/>
          <w:highlight w:val="none"/>
        </w:rPr>
      </w:pPr>
      <w:r>
        <w:rPr>
          <w:rFonts w:hint="eastAsia" w:hAnsi="宋体"/>
          <w:color w:val="auto"/>
          <w:sz w:val="24"/>
          <w:highlight w:val="none"/>
        </w:rPr>
        <w:br w:type="page"/>
      </w:r>
      <w:r>
        <w:rPr>
          <w:rFonts w:hint="eastAsia" w:hAnsi="宋体"/>
          <w:b/>
          <w:color w:val="auto"/>
          <w:kern w:val="0"/>
          <w:sz w:val="28"/>
          <w:szCs w:val="28"/>
          <w:highlight w:val="none"/>
        </w:rPr>
        <w:t>表1-5  主要工日价格表</w:t>
      </w:r>
    </w:p>
    <w:p>
      <w:pPr>
        <w:widowControl/>
        <w:tabs>
          <w:tab w:val="center" w:pos="4755"/>
          <w:tab w:val="right" w:pos="9070"/>
        </w:tabs>
        <w:ind w:firstLine="480" w:firstLineChars="200"/>
        <w:rPr>
          <w:rFonts w:hAnsi="宋体"/>
          <w:color w:val="auto"/>
          <w:kern w:val="0"/>
          <w:sz w:val="24"/>
          <w:highlight w:val="none"/>
        </w:rPr>
      </w:pPr>
      <w:r>
        <w:rPr>
          <w:rFonts w:hint="eastAsia" w:hAnsi="宋体"/>
          <w:color w:val="auto"/>
          <w:kern w:val="0"/>
          <w:sz w:val="24"/>
          <w:highlight w:val="none"/>
        </w:rPr>
        <w:t xml:space="preserve">工程名称：                       </w:t>
      </w:r>
      <w:r>
        <w:rPr>
          <w:rFonts w:hint="eastAsia" w:hAnsi="宋体"/>
          <w:color w:val="auto"/>
          <w:kern w:val="0"/>
          <w:sz w:val="24"/>
          <w:highlight w:val="none"/>
          <w:lang w:val="en-US" w:eastAsia="zh-CN"/>
        </w:rPr>
        <w:t xml:space="preserve">          </w:t>
      </w:r>
      <w:r>
        <w:rPr>
          <w:rFonts w:hint="eastAsia" w:hAnsi="宋体"/>
          <w:color w:val="auto"/>
          <w:kern w:val="0"/>
          <w:sz w:val="24"/>
          <w:highlight w:val="none"/>
        </w:rPr>
        <w:t xml:space="preserve">           第  页 共  页</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138"/>
        <w:gridCol w:w="1723"/>
        <w:gridCol w:w="155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436"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序号</w:t>
            </w:r>
          </w:p>
        </w:tc>
        <w:tc>
          <w:tcPr>
            <w:tcW w:w="2138"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工  种</w:t>
            </w:r>
          </w:p>
        </w:tc>
        <w:tc>
          <w:tcPr>
            <w:tcW w:w="1723"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单位</w:t>
            </w:r>
          </w:p>
        </w:tc>
        <w:tc>
          <w:tcPr>
            <w:tcW w:w="1550" w:type="dxa"/>
            <w:tcBorders>
              <w:bottom w:val="single" w:color="auto" w:sz="4" w:space="0"/>
            </w:tcBorders>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数 量</w:t>
            </w:r>
          </w:p>
        </w:tc>
        <w:tc>
          <w:tcPr>
            <w:tcW w:w="2333" w:type="dxa"/>
            <w:tcBorders>
              <w:bottom w:val="single" w:color="auto" w:sz="4" w:space="0"/>
            </w:tcBorders>
            <w:noWrap w:val="0"/>
            <w:vAlign w:val="center"/>
          </w:tcPr>
          <w:p>
            <w:pPr>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r>
              <w:rPr>
                <w:rFonts w:hint="eastAsia" w:hAnsi="宋体"/>
                <w:color w:val="auto"/>
                <w:kern w:val="0"/>
                <w:sz w:val="24"/>
                <w:highlight w:val="none"/>
              </w:rPr>
              <w:t>（1）</w:t>
            </w:r>
          </w:p>
        </w:tc>
        <w:tc>
          <w:tcPr>
            <w:tcW w:w="2138" w:type="dxa"/>
            <w:noWrap w:val="0"/>
            <w:vAlign w:val="top"/>
          </w:tcPr>
          <w:p>
            <w:pPr>
              <w:widowControl/>
              <w:tabs>
                <w:tab w:val="center" w:pos="4755"/>
                <w:tab w:val="right" w:pos="9070"/>
              </w:tabs>
              <w:spacing w:before="100" w:beforeAutospacing="1" w:after="100" w:afterAutospacing="1"/>
              <w:ind w:firstLine="360" w:firstLineChars="150"/>
              <w:rPr>
                <w:rFonts w:hAnsi="宋体"/>
                <w:color w:val="auto"/>
                <w:kern w:val="0"/>
                <w:sz w:val="24"/>
                <w:highlight w:val="none"/>
              </w:rPr>
            </w:pPr>
            <w:r>
              <w:rPr>
                <w:rFonts w:hint="eastAsia" w:hAnsi="宋体"/>
                <w:color w:val="auto"/>
                <w:kern w:val="0"/>
                <w:sz w:val="24"/>
                <w:highlight w:val="none"/>
              </w:rPr>
              <w:t>（2）</w:t>
            </w:r>
          </w:p>
        </w:tc>
        <w:tc>
          <w:tcPr>
            <w:tcW w:w="1723" w:type="dxa"/>
            <w:noWrap w:val="0"/>
            <w:vAlign w:val="top"/>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工日</w:t>
            </w: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138"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72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55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33"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bl>
    <w:p>
      <w:pPr>
        <w:widowControl/>
        <w:tabs>
          <w:tab w:val="center" w:pos="4755"/>
          <w:tab w:val="right" w:pos="9070"/>
        </w:tabs>
        <w:ind w:firstLine="600" w:firstLineChars="250"/>
        <w:jc w:val="left"/>
        <w:rPr>
          <w:rFonts w:hAnsi="宋体"/>
          <w:color w:val="auto"/>
          <w:kern w:val="0"/>
          <w:sz w:val="24"/>
          <w:highlight w:val="none"/>
        </w:rPr>
      </w:pPr>
      <w:r>
        <w:rPr>
          <w:rFonts w:hint="eastAsia" w:hAnsi="宋体"/>
          <w:color w:val="auto"/>
          <w:kern w:val="0"/>
          <w:sz w:val="24"/>
          <w:highlight w:val="none"/>
        </w:rPr>
        <w:t>注：本表（1）（2）栏由招标人按需要提出。</w:t>
      </w:r>
    </w:p>
    <w:p>
      <w:pPr>
        <w:widowControl/>
        <w:tabs>
          <w:tab w:val="center" w:pos="4755"/>
          <w:tab w:val="right" w:pos="9070"/>
        </w:tabs>
        <w:ind w:firstLine="600" w:firstLineChars="250"/>
        <w:jc w:val="left"/>
        <w:rPr>
          <w:rFonts w:hAnsi="宋体"/>
          <w:color w:val="auto"/>
          <w:kern w:val="0"/>
          <w:sz w:val="24"/>
          <w:highlight w:val="none"/>
        </w:rPr>
      </w:pPr>
    </w:p>
    <w:p>
      <w:pPr>
        <w:spacing w:line="500" w:lineRule="exact"/>
        <w:ind w:firstLine="600" w:firstLineChars="250"/>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rPr>
          <w:rFonts w:hAnsi="宋体"/>
          <w:b/>
          <w:color w:val="auto"/>
          <w:kern w:val="0"/>
          <w:sz w:val="32"/>
          <w:highlight w:val="none"/>
        </w:rPr>
      </w:pPr>
      <w:r>
        <w:rPr>
          <w:rFonts w:hint="eastAsia" w:hAnsi="宋体"/>
          <w:color w:val="auto"/>
          <w:sz w:val="24"/>
          <w:highlight w:val="none"/>
        </w:rPr>
        <w:br w:type="page"/>
      </w:r>
    </w:p>
    <w:p>
      <w:pPr>
        <w:spacing w:line="500" w:lineRule="exact"/>
        <w:jc w:val="center"/>
        <w:rPr>
          <w:rFonts w:hint="eastAsia" w:hAnsi="宋体"/>
          <w:b/>
          <w:color w:val="auto"/>
          <w:kern w:val="0"/>
          <w:sz w:val="32"/>
          <w:highlight w:val="none"/>
        </w:rPr>
      </w:pPr>
      <w:r>
        <w:rPr>
          <w:rFonts w:hint="eastAsia" w:hAnsi="宋体"/>
          <w:b/>
          <w:color w:val="auto"/>
          <w:kern w:val="0"/>
          <w:sz w:val="32"/>
          <w:highlight w:val="none"/>
        </w:rPr>
        <w:t>表1-6  主要材料及设备价格表</w:t>
      </w:r>
    </w:p>
    <w:p>
      <w:pPr>
        <w:pStyle w:val="2"/>
      </w:pPr>
    </w:p>
    <w:p>
      <w:pPr>
        <w:widowControl/>
        <w:tabs>
          <w:tab w:val="center" w:pos="4755"/>
          <w:tab w:val="right" w:pos="9070"/>
        </w:tabs>
        <w:spacing w:line="360" w:lineRule="exact"/>
        <w:rPr>
          <w:rFonts w:hAnsi="宋体"/>
          <w:b/>
          <w:color w:val="auto"/>
          <w:kern w:val="0"/>
          <w:sz w:val="24"/>
          <w:highlight w:val="none"/>
        </w:rPr>
      </w:pPr>
      <w:r>
        <w:rPr>
          <w:rFonts w:hint="eastAsia" w:hAnsi="宋体"/>
          <w:color w:val="auto"/>
          <w:kern w:val="0"/>
          <w:sz w:val="24"/>
          <w:highlight w:val="none"/>
        </w:rPr>
        <w:t xml:space="preserve">工程名称：                                        </w:t>
      </w:r>
      <w:r>
        <w:rPr>
          <w:rFonts w:hint="eastAsia" w:hAnsi="宋体"/>
          <w:color w:val="auto"/>
          <w:kern w:val="0"/>
          <w:sz w:val="24"/>
          <w:highlight w:val="none"/>
          <w:lang w:val="en-US" w:eastAsia="zh-CN"/>
        </w:rPr>
        <w:t xml:space="preserve">            </w:t>
      </w:r>
      <w:r>
        <w:rPr>
          <w:rFonts w:hint="eastAsia" w:hAnsi="宋体"/>
          <w:color w:val="auto"/>
          <w:kern w:val="0"/>
          <w:sz w:val="24"/>
          <w:highlight w:val="none"/>
        </w:rPr>
        <w:t xml:space="preserve">  第  页共  页</w:t>
      </w:r>
    </w:p>
    <w:tbl>
      <w:tblPr>
        <w:tblStyle w:val="62"/>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54"/>
        <w:gridCol w:w="1581"/>
        <w:gridCol w:w="1406"/>
        <w:gridCol w:w="1230"/>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879"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序号</w:t>
            </w:r>
          </w:p>
        </w:tc>
        <w:tc>
          <w:tcPr>
            <w:tcW w:w="1054"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编码</w:t>
            </w:r>
          </w:p>
        </w:tc>
        <w:tc>
          <w:tcPr>
            <w:tcW w:w="1581"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材料或设备名称</w:t>
            </w:r>
          </w:p>
        </w:tc>
        <w:tc>
          <w:tcPr>
            <w:tcW w:w="1406"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规格、型号</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单位</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数量</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单价（元）</w:t>
            </w:r>
          </w:p>
        </w:tc>
        <w:tc>
          <w:tcPr>
            <w:tcW w:w="1230" w:type="dxa"/>
            <w:tcBorders>
              <w:bottom w:val="single" w:color="auto" w:sz="4" w:space="0"/>
            </w:tcBorders>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79"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（1）</w:t>
            </w:r>
          </w:p>
        </w:tc>
        <w:tc>
          <w:tcPr>
            <w:tcW w:w="1054"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（2）</w:t>
            </w:r>
          </w:p>
        </w:tc>
        <w:tc>
          <w:tcPr>
            <w:tcW w:w="1581"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（3）</w:t>
            </w:r>
          </w:p>
        </w:tc>
        <w:tc>
          <w:tcPr>
            <w:tcW w:w="1406"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（4）</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（5）</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（6）</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（7）</w:t>
            </w:r>
          </w:p>
        </w:tc>
        <w:tc>
          <w:tcPr>
            <w:tcW w:w="1230" w:type="dxa"/>
            <w:noWrap w:val="0"/>
            <w:vAlign w:val="center"/>
          </w:tcPr>
          <w:p>
            <w:pPr>
              <w:widowControl/>
              <w:tabs>
                <w:tab w:val="center" w:pos="4755"/>
                <w:tab w:val="right" w:pos="9070"/>
              </w:tabs>
              <w:spacing w:before="100" w:beforeAutospacing="1" w:after="100" w:afterAutospacing="1" w:line="360" w:lineRule="exact"/>
              <w:jc w:val="center"/>
              <w:rPr>
                <w:rFonts w:hAnsi="宋体"/>
                <w:color w:val="auto"/>
                <w:kern w:val="0"/>
                <w:sz w:val="24"/>
                <w:highlight w:val="none"/>
              </w:rPr>
            </w:pPr>
            <w:r>
              <w:rPr>
                <w:rFonts w:hint="eastAsia" w:hAnsi="宋体"/>
                <w:color w:val="auto"/>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79"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054"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581"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406"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c>
          <w:tcPr>
            <w:tcW w:w="1230" w:type="dxa"/>
            <w:noWrap w:val="0"/>
            <w:vAlign w:val="top"/>
          </w:tcPr>
          <w:p>
            <w:pPr>
              <w:widowControl/>
              <w:tabs>
                <w:tab w:val="center" w:pos="4755"/>
                <w:tab w:val="right" w:pos="9070"/>
              </w:tabs>
              <w:spacing w:before="100" w:beforeAutospacing="1" w:after="100" w:afterAutospacing="1" w:line="360" w:lineRule="exact"/>
              <w:rPr>
                <w:rFonts w:hAnsi="宋体"/>
                <w:color w:val="auto"/>
                <w:kern w:val="0"/>
                <w:sz w:val="24"/>
                <w:highlight w:val="none"/>
              </w:rPr>
            </w:pPr>
          </w:p>
        </w:tc>
      </w:tr>
    </w:tbl>
    <w:p>
      <w:pPr>
        <w:widowControl/>
        <w:tabs>
          <w:tab w:val="left" w:pos="1470"/>
        </w:tabs>
        <w:spacing w:line="360" w:lineRule="exact"/>
        <w:ind w:left="480" w:hanging="480" w:hangingChars="200"/>
        <w:jc w:val="left"/>
        <w:rPr>
          <w:rFonts w:hAnsi="宋体"/>
          <w:color w:val="auto"/>
          <w:kern w:val="0"/>
          <w:sz w:val="24"/>
          <w:highlight w:val="none"/>
        </w:rPr>
      </w:pPr>
      <w:r>
        <w:rPr>
          <w:rFonts w:hint="eastAsia" w:hAnsi="宋体"/>
          <w:color w:val="auto"/>
          <w:kern w:val="0"/>
          <w:sz w:val="24"/>
          <w:highlight w:val="none"/>
        </w:rPr>
        <w:t>注：1、表（1）（2）（3）（5）（8）栏由招标人按需要提出，</w:t>
      </w:r>
      <w:r>
        <w:rPr>
          <w:rFonts w:hint="eastAsia" w:hAnsi="宋体"/>
          <w:color w:val="auto"/>
          <w:kern w:val="0"/>
          <w:sz w:val="24"/>
          <w:highlight w:val="none"/>
          <w:lang w:val="en-US" w:eastAsia="zh-CN"/>
        </w:rPr>
        <w:t>响应</w:t>
      </w:r>
      <w:r>
        <w:rPr>
          <w:rFonts w:hint="eastAsia" w:hAnsi="宋体"/>
          <w:color w:val="auto"/>
          <w:kern w:val="0"/>
          <w:sz w:val="24"/>
          <w:highlight w:val="none"/>
        </w:rPr>
        <w:t>人可补充；（4）（6）（7）栏由</w:t>
      </w:r>
      <w:r>
        <w:rPr>
          <w:rFonts w:hint="eastAsia" w:hAnsi="宋体"/>
          <w:color w:val="auto"/>
          <w:kern w:val="0"/>
          <w:sz w:val="24"/>
          <w:highlight w:val="none"/>
          <w:lang w:val="en-US" w:eastAsia="zh-CN"/>
        </w:rPr>
        <w:t>响应</w:t>
      </w:r>
      <w:r>
        <w:rPr>
          <w:rFonts w:hint="eastAsia" w:hAnsi="宋体"/>
          <w:color w:val="auto"/>
          <w:kern w:val="0"/>
          <w:sz w:val="24"/>
          <w:highlight w:val="none"/>
        </w:rPr>
        <w:t>人填写。</w:t>
      </w:r>
    </w:p>
    <w:p>
      <w:pPr>
        <w:widowControl/>
        <w:tabs>
          <w:tab w:val="center" w:pos="4755"/>
          <w:tab w:val="right" w:pos="9070"/>
        </w:tabs>
        <w:spacing w:line="360" w:lineRule="exact"/>
        <w:ind w:left="227" w:leftChars="108" w:firstLine="240" w:firstLineChars="100"/>
        <w:jc w:val="left"/>
        <w:rPr>
          <w:rFonts w:hAnsi="宋体"/>
          <w:color w:val="auto"/>
          <w:kern w:val="0"/>
          <w:sz w:val="24"/>
          <w:highlight w:val="none"/>
        </w:rPr>
      </w:pPr>
      <w:r>
        <w:rPr>
          <w:rFonts w:hint="eastAsia" w:hAnsi="宋体"/>
          <w:color w:val="auto"/>
          <w:kern w:val="0"/>
          <w:sz w:val="24"/>
          <w:highlight w:val="none"/>
        </w:rPr>
        <w:t>2、本表的材料及设备包括原材料、燃料、构配件以及按规定应计入建筑安装工程造价的设备。</w:t>
      </w:r>
    </w:p>
    <w:p>
      <w:pPr>
        <w:widowControl/>
        <w:tabs>
          <w:tab w:val="center" w:pos="4755"/>
          <w:tab w:val="right" w:pos="9070"/>
        </w:tabs>
        <w:spacing w:line="360" w:lineRule="exact"/>
        <w:ind w:firstLine="360" w:firstLineChars="150"/>
        <w:jc w:val="left"/>
        <w:rPr>
          <w:rFonts w:hAnsi="宋体"/>
          <w:color w:val="auto"/>
          <w:kern w:val="0"/>
          <w:sz w:val="24"/>
          <w:highlight w:val="none"/>
        </w:rPr>
      </w:pPr>
      <w:r>
        <w:rPr>
          <w:rFonts w:hint="eastAsia" w:hAnsi="宋体"/>
          <w:color w:val="auto"/>
          <w:kern w:val="0"/>
          <w:sz w:val="24"/>
          <w:highlight w:val="none"/>
        </w:rPr>
        <w:t xml:space="preserve"> 3、招标人指定、提供或暂定的材料和设备，按杭州市工程量清单计价实施细则的规定填写。</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Ansi="宋体"/>
          <w:b/>
          <w:color w:val="auto"/>
          <w:kern w:val="0"/>
          <w:sz w:val="32"/>
          <w:highlight w:val="none"/>
        </w:rPr>
      </w:pPr>
      <w:r>
        <w:rPr>
          <w:rFonts w:hint="eastAsia" w:hAnsi="宋体"/>
          <w:color w:val="auto"/>
          <w:sz w:val="24"/>
          <w:highlight w:val="none"/>
        </w:rPr>
        <w:br w:type="page"/>
      </w:r>
    </w:p>
    <w:p>
      <w:pPr>
        <w:spacing w:line="500" w:lineRule="exact"/>
        <w:jc w:val="center"/>
        <w:rPr>
          <w:rFonts w:hint="eastAsia" w:hAnsi="宋体"/>
          <w:b/>
          <w:color w:val="auto"/>
          <w:kern w:val="0"/>
          <w:sz w:val="32"/>
          <w:highlight w:val="none"/>
        </w:rPr>
      </w:pPr>
      <w:r>
        <w:rPr>
          <w:rFonts w:hint="eastAsia" w:hAnsi="宋体"/>
          <w:b/>
          <w:color w:val="auto"/>
          <w:kern w:val="0"/>
          <w:sz w:val="32"/>
          <w:highlight w:val="none"/>
        </w:rPr>
        <w:t>表1-7  主要机械台班价格表</w:t>
      </w:r>
    </w:p>
    <w:p>
      <w:pPr>
        <w:pStyle w:val="2"/>
      </w:pPr>
    </w:p>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 xml:space="preserve">工程名称：                           </w:t>
      </w:r>
      <w:r>
        <w:rPr>
          <w:rFonts w:hint="eastAsia" w:hAnsi="宋体"/>
          <w:color w:val="auto"/>
          <w:kern w:val="0"/>
          <w:sz w:val="24"/>
          <w:highlight w:val="none"/>
          <w:lang w:val="en-US" w:eastAsia="zh-CN"/>
        </w:rPr>
        <w:t xml:space="preserve">           </w:t>
      </w:r>
      <w:r>
        <w:rPr>
          <w:rFonts w:hint="eastAsia" w:hAnsi="宋体"/>
          <w:color w:val="auto"/>
          <w:kern w:val="0"/>
          <w:sz w:val="24"/>
          <w:highlight w:val="none"/>
        </w:rPr>
        <w:t xml:space="preserve">        第  页共  页</w:t>
      </w:r>
    </w:p>
    <w:tbl>
      <w:tblPr>
        <w:tblStyle w:val="6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序号</w:t>
            </w:r>
          </w:p>
        </w:tc>
        <w:tc>
          <w:tcPr>
            <w:tcW w:w="306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机械设备名称</w:t>
            </w:r>
          </w:p>
        </w:tc>
        <w:tc>
          <w:tcPr>
            <w:tcW w:w="1244"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单位</w:t>
            </w:r>
          </w:p>
        </w:tc>
        <w:tc>
          <w:tcPr>
            <w:tcW w:w="126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数量</w:t>
            </w:r>
          </w:p>
        </w:tc>
        <w:tc>
          <w:tcPr>
            <w:tcW w:w="234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16"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（1）</w:t>
            </w:r>
          </w:p>
        </w:tc>
        <w:tc>
          <w:tcPr>
            <w:tcW w:w="3060"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（2）</w:t>
            </w:r>
          </w:p>
        </w:tc>
        <w:tc>
          <w:tcPr>
            <w:tcW w:w="1244" w:type="dxa"/>
            <w:noWrap w:val="0"/>
            <w:vAlign w:val="center"/>
          </w:tcPr>
          <w:p>
            <w:pPr>
              <w:widowControl/>
              <w:tabs>
                <w:tab w:val="center" w:pos="4755"/>
                <w:tab w:val="right" w:pos="9070"/>
              </w:tabs>
              <w:spacing w:before="100" w:beforeAutospacing="1" w:after="100" w:afterAutospacing="1"/>
              <w:jc w:val="center"/>
              <w:rPr>
                <w:rFonts w:hAnsi="宋体"/>
                <w:color w:val="auto"/>
                <w:kern w:val="0"/>
                <w:sz w:val="24"/>
                <w:highlight w:val="none"/>
              </w:rPr>
            </w:pPr>
            <w:r>
              <w:rPr>
                <w:rFonts w:hint="eastAsia" w:hAnsi="宋体"/>
                <w:color w:val="auto"/>
                <w:kern w:val="0"/>
                <w:sz w:val="24"/>
                <w:highlight w:val="none"/>
              </w:rPr>
              <w:t>台班</w:t>
            </w:r>
          </w:p>
        </w:tc>
        <w:tc>
          <w:tcPr>
            <w:tcW w:w="1260" w:type="dxa"/>
            <w:noWrap w:val="0"/>
            <w:vAlign w:val="top"/>
          </w:tcPr>
          <w:p>
            <w:pPr>
              <w:widowControl/>
              <w:tabs>
                <w:tab w:val="center" w:pos="4755"/>
                <w:tab w:val="right" w:pos="9070"/>
              </w:tabs>
              <w:spacing w:before="100" w:beforeAutospacing="1" w:after="100" w:afterAutospacing="1"/>
              <w:jc w:val="center"/>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jc w:val="center"/>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16"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30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44"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126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c>
          <w:tcPr>
            <w:tcW w:w="2340" w:type="dxa"/>
            <w:noWrap w:val="0"/>
            <w:vAlign w:val="top"/>
          </w:tcPr>
          <w:p>
            <w:pPr>
              <w:widowControl/>
              <w:tabs>
                <w:tab w:val="center" w:pos="4755"/>
                <w:tab w:val="right" w:pos="9070"/>
              </w:tabs>
              <w:spacing w:before="100" w:beforeAutospacing="1" w:after="100" w:afterAutospacing="1"/>
              <w:rPr>
                <w:rFonts w:hAnsi="宋体"/>
                <w:color w:val="auto"/>
                <w:kern w:val="0"/>
                <w:sz w:val="24"/>
                <w:highlight w:val="none"/>
              </w:rPr>
            </w:pPr>
          </w:p>
        </w:tc>
      </w:tr>
    </w:tbl>
    <w:p>
      <w:pPr>
        <w:widowControl/>
        <w:tabs>
          <w:tab w:val="center" w:pos="4755"/>
          <w:tab w:val="right" w:pos="9070"/>
        </w:tabs>
        <w:ind w:firstLine="240" w:firstLineChars="100"/>
        <w:jc w:val="left"/>
        <w:rPr>
          <w:rFonts w:hAnsi="宋体"/>
          <w:color w:val="auto"/>
          <w:kern w:val="0"/>
          <w:sz w:val="24"/>
          <w:highlight w:val="none"/>
        </w:rPr>
      </w:pPr>
      <w:r>
        <w:rPr>
          <w:rFonts w:hint="eastAsia" w:hAnsi="宋体"/>
          <w:color w:val="auto"/>
          <w:kern w:val="0"/>
          <w:sz w:val="24"/>
          <w:highlight w:val="none"/>
        </w:rPr>
        <w:t>注：表（1）（2）由招标人按需要提出，</w:t>
      </w:r>
      <w:r>
        <w:rPr>
          <w:rFonts w:hint="eastAsia" w:hAnsi="宋体"/>
          <w:color w:val="auto"/>
          <w:kern w:val="0"/>
          <w:sz w:val="24"/>
          <w:highlight w:val="none"/>
          <w:lang w:val="en-US" w:eastAsia="zh-CN"/>
        </w:rPr>
        <w:t>响应</w:t>
      </w:r>
      <w:r>
        <w:rPr>
          <w:rFonts w:hint="eastAsia" w:hAnsi="宋体"/>
          <w:color w:val="auto"/>
          <w:kern w:val="0"/>
          <w:sz w:val="24"/>
          <w:highlight w:val="none"/>
        </w:rPr>
        <w:t>人可补充。</w:t>
      </w:r>
    </w:p>
    <w:p>
      <w:pPr>
        <w:widowControl/>
        <w:tabs>
          <w:tab w:val="center" w:pos="4755"/>
          <w:tab w:val="right" w:pos="9070"/>
        </w:tabs>
        <w:ind w:firstLine="240" w:firstLineChars="100"/>
        <w:jc w:val="left"/>
        <w:rPr>
          <w:rFonts w:hAnsi="宋体"/>
          <w:color w:val="auto"/>
          <w:kern w:val="0"/>
          <w:sz w:val="24"/>
          <w:highlight w:val="none"/>
        </w:rPr>
      </w:pPr>
    </w:p>
    <w:p>
      <w:pPr>
        <w:widowControl/>
        <w:tabs>
          <w:tab w:val="center" w:pos="4755"/>
          <w:tab w:val="right" w:pos="9070"/>
        </w:tabs>
        <w:ind w:firstLine="240" w:firstLineChars="100"/>
        <w:jc w:val="lef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rFonts w:hint="eastAsia" w:hAnsi="宋体"/>
          <w:color w:val="auto"/>
          <w:sz w:val="24"/>
          <w:highlight w:val="none"/>
        </w:rPr>
      </w:pPr>
    </w:p>
    <w:p>
      <w:pPr>
        <w:pStyle w:val="797"/>
        <w:jc w:val="center"/>
        <w:rPr>
          <w:rFonts w:hAnsi="宋体"/>
          <w:b/>
          <w:bCs/>
          <w:color w:val="auto"/>
          <w:sz w:val="32"/>
          <w:highlight w:val="none"/>
        </w:rPr>
      </w:pPr>
      <w:r>
        <w:rPr>
          <w:rFonts w:hint="eastAsia" w:hAnsi="宋体"/>
          <w:color w:val="auto"/>
          <w:sz w:val="24"/>
          <w:highlight w:val="none"/>
        </w:rPr>
        <w:br w:type="page"/>
      </w:r>
      <w:r>
        <w:rPr>
          <w:rFonts w:hint="eastAsia" w:hAnsi="宋体"/>
          <w:b/>
          <w:bCs/>
          <w:color w:val="auto"/>
          <w:sz w:val="28"/>
          <w:szCs w:val="28"/>
          <w:highlight w:val="none"/>
        </w:rPr>
        <w:t>表2-1　分部分项工程量清单综合单价分析表</w:t>
      </w:r>
    </w:p>
    <w:tbl>
      <w:tblPr>
        <w:tblStyle w:val="62"/>
        <w:tblW w:w="0" w:type="auto"/>
        <w:tblInd w:w="-547" w:type="dxa"/>
        <w:tblLayout w:type="fixed"/>
        <w:tblCellMar>
          <w:top w:w="0" w:type="dxa"/>
          <w:left w:w="108" w:type="dxa"/>
          <w:bottom w:w="0" w:type="dxa"/>
          <w:right w:w="108" w:type="dxa"/>
        </w:tblCellMar>
      </w:tblPr>
      <w:tblGrid>
        <w:gridCol w:w="540"/>
        <w:gridCol w:w="1080"/>
        <w:gridCol w:w="1080"/>
        <w:gridCol w:w="720"/>
        <w:gridCol w:w="720"/>
        <w:gridCol w:w="720"/>
        <w:gridCol w:w="720"/>
        <w:gridCol w:w="720"/>
        <w:gridCol w:w="720"/>
        <w:gridCol w:w="720"/>
        <w:gridCol w:w="720"/>
        <w:gridCol w:w="720"/>
        <w:gridCol w:w="1260"/>
      </w:tblGrid>
      <w:tr>
        <w:tblPrEx>
          <w:tblCellMar>
            <w:top w:w="0" w:type="dxa"/>
            <w:left w:w="108" w:type="dxa"/>
            <w:bottom w:w="0" w:type="dxa"/>
            <w:right w:w="108" w:type="dxa"/>
          </w:tblCellMar>
        </w:tblPrEx>
        <w:trPr>
          <w:trHeight w:val="525" w:hRule="atLeast"/>
        </w:trPr>
        <w:tc>
          <w:tcPr>
            <w:tcW w:w="10440" w:type="dxa"/>
            <w:gridSpan w:val="13"/>
            <w:tcBorders>
              <w:top w:val="nil"/>
              <w:left w:val="nil"/>
              <w:bottom w:val="single" w:color="auto" w:sz="4" w:space="0"/>
              <w:right w:val="nil"/>
            </w:tcBorders>
            <w:noWrap w:val="0"/>
            <w:vAlign w:val="center"/>
          </w:tcPr>
          <w:p>
            <w:pPr>
              <w:widowControl/>
              <w:jc w:val="left"/>
              <w:rPr>
                <w:rFonts w:hAnsi="宋体" w:cs="宋体"/>
                <w:color w:val="auto"/>
                <w:kern w:val="0"/>
                <w:sz w:val="24"/>
                <w:highlight w:val="none"/>
              </w:rPr>
            </w:pPr>
            <w:r>
              <w:rPr>
                <w:rFonts w:hint="eastAsia" w:hAnsi="宋体" w:cs="宋体"/>
                <w:color w:val="auto"/>
                <w:kern w:val="0"/>
                <w:sz w:val="24"/>
                <w:highlight w:val="none"/>
              </w:rPr>
              <w:t>工程名称：               清单号：                                     第 页 共 页</w:t>
            </w:r>
          </w:p>
        </w:tc>
      </w:tr>
      <w:tr>
        <w:tblPrEx>
          <w:tblCellMar>
            <w:top w:w="0" w:type="dxa"/>
            <w:left w:w="108" w:type="dxa"/>
            <w:bottom w:w="0" w:type="dxa"/>
            <w:right w:w="108" w:type="dxa"/>
          </w:tblCellMar>
        </w:tblPrEx>
        <w:trPr>
          <w:trHeight w:val="550" w:hRule="atLeast"/>
        </w:trPr>
        <w:tc>
          <w:tcPr>
            <w:tcW w:w="54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序</w:t>
            </w:r>
          </w:p>
          <w:p>
            <w:pPr>
              <w:spacing w:line="500" w:lineRule="exact"/>
              <w:jc w:val="center"/>
              <w:rPr>
                <w:rFonts w:hAnsi="宋体" w:cs="宋体"/>
                <w:color w:val="auto"/>
                <w:kern w:val="0"/>
                <w:sz w:val="24"/>
                <w:highlight w:val="none"/>
              </w:rPr>
            </w:pPr>
            <w:r>
              <w:rPr>
                <w:rFonts w:hint="eastAsia" w:hAnsi="宋体" w:cs="宋体"/>
                <w:color w:val="auto"/>
                <w:kern w:val="0"/>
                <w:sz w:val="24"/>
                <w:highlight w:val="none"/>
              </w:rPr>
              <w:t>号</w:t>
            </w:r>
          </w:p>
        </w:tc>
        <w:tc>
          <w:tcPr>
            <w:tcW w:w="108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编号</w:t>
            </w:r>
          </w:p>
        </w:tc>
        <w:tc>
          <w:tcPr>
            <w:tcW w:w="108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名称</w:t>
            </w:r>
          </w:p>
        </w:tc>
        <w:tc>
          <w:tcPr>
            <w:tcW w:w="720" w:type="dxa"/>
            <w:vMerge w:val="restart"/>
            <w:tcBorders>
              <w:top w:val="nil"/>
              <w:left w:val="nil"/>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计量</w:t>
            </w:r>
          </w:p>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单位</w:t>
            </w:r>
          </w:p>
        </w:tc>
        <w:tc>
          <w:tcPr>
            <w:tcW w:w="72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数</w:t>
            </w:r>
          </w:p>
          <w:p>
            <w:pPr>
              <w:spacing w:line="500" w:lineRule="exact"/>
              <w:jc w:val="center"/>
              <w:rPr>
                <w:rFonts w:hAnsi="宋体" w:cs="宋体"/>
                <w:color w:val="auto"/>
                <w:kern w:val="0"/>
                <w:sz w:val="24"/>
                <w:highlight w:val="none"/>
              </w:rPr>
            </w:pPr>
            <w:r>
              <w:rPr>
                <w:rFonts w:hint="eastAsia" w:hAnsi="宋体" w:cs="宋体"/>
                <w:color w:val="auto"/>
                <w:kern w:val="0"/>
                <w:sz w:val="24"/>
                <w:highlight w:val="none"/>
              </w:rPr>
              <w:t>量</w:t>
            </w:r>
          </w:p>
        </w:tc>
        <w:tc>
          <w:tcPr>
            <w:tcW w:w="5040" w:type="dxa"/>
            <w:gridSpan w:val="7"/>
            <w:tcBorders>
              <w:top w:val="single" w:color="auto" w:sz="4" w:space="0"/>
              <w:left w:val="single" w:color="auto" w:sz="4" w:space="0"/>
              <w:bottom w:val="single" w:color="000000" w:sz="4" w:space="0"/>
              <w:right w:val="single" w:color="000000"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综  合  单  价（元）</w:t>
            </w:r>
          </w:p>
        </w:tc>
        <w:tc>
          <w:tcPr>
            <w:tcW w:w="1260" w:type="dxa"/>
            <w:vMerge w:val="restart"/>
            <w:tcBorders>
              <w:top w:val="nil"/>
              <w:left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合计</w:t>
            </w:r>
          </w:p>
          <w:p>
            <w:pPr>
              <w:spacing w:line="500" w:lineRule="exact"/>
              <w:jc w:val="center"/>
              <w:rPr>
                <w:rFonts w:hAnsi="宋体" w:cs="宋体"/>
                <w:color w:val="auto"/>
                <w:kern w:val="0"/>
                <w:sz w:val="24"/>
                <w:highlight w:val="none"/>
              </w:rPr>
            </w:pPr>
            <w:r>
              <w:rPr>
                <w:rFonts w:hint="eastAsia" w:hAnsi="宋体" w:cs="宋体"/>
                <w:color w:val="auto"/>
                <w:kern w:val="0"/>
                <w:sz w:val="24"/>
                <w:highlight w:val="none"/>
              </w:rPr>
              <w:t>（元）</w:t>
            </w:r>
          </w:p>
        </w:tc>
      </w:tr>
      <w:tr>
        <w:tblPrEx>
          <w:tblCellMar>
            <w:top w:w="0" w:type="dxa"/>
            <w:left w:w="108" w:type="dxa"/>
            <w:bottom w:w="0" w:type="dxa"/>
            <w:right w:w="108" w:type="dxa"/>
          </w:tblCellMar>
        </w:tblPrEx>
        <w:trPr>
          <w:trHeight w:val="738" w:hRule="atLeast"/>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p>
        </w:tc>
        <w:tc>
          <w:tcPr>
            <w:tcW w:w="720" w:type="dxa"/>
            <w:vMerge w:val="continue"/>
            <w:tcBorders>
              <w:left w:val="nil"/>
              <w:bottom w:val="single" w:color="auto" w:sz="4" w:space="0"/>
              <w:right w:val="single" w:color="auto" w:sz="4" w:space="0"/>
            </w:tcBorders>
            <w:noWrap w:val="0"/>
            <w:vAlign w:val="center"/>
          </w:tcPr>
          <w:p>
            <w:pPr>
              <w:spacing w:line="500" w:lineRule="exact"/>
              <w:jc w:val="center"/>
              <w:rPr>
                <w:rFonts w:hAnsi="宋体" w:cs="宋体"/>
                <w:color w:val="auto"/>
                <w:kern w:val="0"/>
                <w:sz w:val="24"/>
                <w:highlight w:val="none"/>
              </w:rPr>
            </w:pPr>
          </w:p>
        </w:tc>
        <w:tc>
          <w:tcPr>
            <w:tcW w:w="72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人</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工</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材</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料</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机</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械</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管</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理</w:t>
            </w:r>
          </w:p>
          <w:p>
            <w:pPr>
              <w:widowControl/>
              <w:spacing w:line="300" w:lineRule="exact"/>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利</w:t>
            </w:r>
          </w:p>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润</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风险</w:t>
            </w:r>
          </w:p>
          <w:p>
            <w:pPr>
              <w:jc w:val="center"/>
              <w:rPr>
                <w:rFonts w:hAnsi="宋体" w:cs="宋体"/>
                <w:color w:val="auto"/>
                <w:kern w:val="0"/>
                <w:sz w:val="24"/>
                <w:highlight w:val="none"/>
              </w:rPr>
            </w:pPr>
            <w:r>
              <w:rPr>
                <w:rFonts w:hint="eastAsia" w:hAnsi="宋体" w:cs="宋体"/>
                <w:color w:val="auto"/>
                <w:kern w:val="0"/>
                <w:sz w:val="24"/>
                <w:highlight w:val="none"/>
              </w:rPr>
              <w:t>费用</w:t>
            </w:r>
          </w:p>
        </w:tc>
        <w:tc>
          <w:tcPr>
            <w:tcW w:w="72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小 计</w:t>
            </w:r>
          </w:p>
        </w:tc>
        <w:tc>
          <w:tcPr>
            <w:tcW w:w="1260" w:type="dxa"/>
            <w:vMerge w:val="continue"/>
            <w:tcBorders>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（2）</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（3）</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（4）</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（5）</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（6）</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（7）</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（8）</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（9）</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（10）</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（11）</w:t>
            </w:r>
          </w:p>
        </w:tc>
        <w:tc>
          <w:tcPr>
            <w:tcW w:w="126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（4）*（11）</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1</w:t>
            </w:r>
          </w:p>
        </w:tc>
        <w:tc>
          <w:tcPr>
            <w:tcW w:w="1080" w:type="dxa"/>
            <w:tcBorders>
              <w:top w:val="nil"/>
              <w:left w:val="nil"/>
              <w:bottom w:val="single" w:color="auto" w:sz="4" w:space="0"/>
              <w:right w:val="single" w:color="auto" w:sz="4" w:space="0"/>
            </w:tcBorders>
            <w:noWrap w:val="0"/>
            <w:vAlign w:val="center"/>
          </w:tcPr>
          <w:p>
            <w:pPr>
              <w:widowControl/>
              <w:spacing w:line="500" w:lineRule="exact"/>
              <w:rPr>
                <w:rFonts w:hAnsi="宋体" w:cs="宋体"/>
                <w:color w:val="auto"/>
                <w:spacing w:val="-22"/>
                <w:kern w:val="0"/>
                <w:sz w:val="20"/>
                <w:highlight w:val="none"/>
              </w:rPr>
            </w:pPr>
            <w:r>
              <w:rPr>
                <w:rFonts w:hint="eastAsia" w:hAnsi="宋体" w:cs="宋体"/>
                <w:color w:val="auto"/>
                <w:spacing w:val="-22"/>
                <w:kern w:val="0"/>
                <w:sz w:val="20"/>
                <w:highlight w:val="none"/>
              </w:rPr>
              <w:t>（清单编码）</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22"/>
                <w:kern w:val="0"/>
                <w:sz w:val="20"/>
                <w:highlight w:val="none"/>
              </w:rPr>
            </w:pPr>
            <w:r>
              <w:rPr>
                <w:rFonts w:hint="eastAsia" w:hAnsi="宋体" w:cs="宋体"/>
                <w:color w:val="auto"/>
                <w:spacing w:val="-22"/>
                <w:kern w:val="0"/>
                <w:sz w:val="20"/>
                <w:highlight w:val="none"/>
              </w:rPr>
              <w:t>（清单名称）</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spacing w:val="-22"/>
                <w:kern w:val="0"/>
                <w:sz w:val="20"/>
                <w:highlight w:val="none"/>
              </w:rPr>
              <w:t>（定额编号）</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0"/>
                <w:highlight w:val="none"/>
              </w:rPr>
            </w:pPr>
            <w:r>
              <w:rPr>
                <w:rFonts w:hint="eastAsia" w:hAnsi="宋体" w:cs="宋体"/>
                <w:color w:val="auto"/>
                <w:spacing w:val="-22"/>
                <w:kern w:val="0"/>
                <w:sz w:val="20"/>
                <w:highlight w:val="none"/>
              </w:rPr>
              <w:t>（定额名称）</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2</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22"/>
                <w:kern w:val="0"/>
                <w:sz w:val="20"/>
                <w:highlight w:val="none"/>
              </w:rPr>
            </w:pPr>
            <w:r>
              <w:rPr>
                <w:rFonts w:hint="eastAsia" w:hAnsi="宋体" w:cs="宋体"/>
                <w:color w:val="auto"/>
                <w:spacing w:val="-22"/>
                <w:kern w:val="0"/>
                <w:sz w:val="20"/>
                <w:highlight w:val="none"/>
              </w:rPr>
              <w:t>（清单编码）</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22"/>
                <w:kern w:val="0"/>
                <w:sz w:val="20"/>
                <w:highlight w:val="none"/>
              </w:rPr>
            </w:pPr>
            <w:r>
              <w:rPr>
                <w:rFonts w:hint="eastAsia" w:hAnsi="宋体" w:cs="宋体"/>
                <w:color w:val="auto"/>
                <w:spacing w:val="-22"/>
                <w:kern w:val="0"/>
                <w:sz w:val="20"/>
                <w:highlight w:val="none"/>
              </w:rPr>
              <w:t>（清单名称）</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spacing w:val="-22"/>
                <w:kern w:val="0"/>
                <w:sz w:val="20"/>
                <w:highlight w:val="none"/>
              </w:rPr>
              <w:t>（定额编号）</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0"/>
                <w:highlight w:val="none"/>
              </w:rPr>
            </w:pPr>
            <w:r>
              <w:rPr>
                <w:rFonts w:hint="eastAsia" w:hAnsi="宋体" w:cs="宋体"/>
                <w:color w:val="auto"/>
                <w:spacing w:val="-22"/>
                <w:kern w:val="0"/>
                <w:sz w:val="20"/>
                <w:highlight w:val="none"/>
              </w:rPr>
              <w:t>（定额名称）</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c>
          <w:tcPr>
            <w:tcW w:w="126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0"/>
                <w:highlight w:val="none"/>
              </w:rPr>
            </w:pPr>
            <w:r>
              <w:rPr>
                <w:rFonts w:hint="eastAsia" w:hAnsi="宋体" w:cs="宋体"/>
                <w:color w:val="auto"/>
                <w:kern w:val="0"/>
                <w:sz w:val="20"/>
                <w:highlight w:val="none"/>
              </w:rPr>
              <w:t>　</w:t>
            </w:r>
          </w:p>
        </w:tc>
      </w:tr>
      <w:tr>
        <w:tblPrEx>
          <w:tblCellMar>
            <w:top w:w="0" w:type="dxa"/>
            <w:left w:w="108" w:type="dxa"/>
            <w:bottom w:w="0" w:type="dxa"/>
            <w:right w:w="108" w:type="dxa"/>
          </w:tblCellMar>
        </w:tblPrEx>
        <w:trPr>
          <w:trHeight w:val="450" w:hRule="atLeast"/>
        </w:trPr>
        <w:tc>
          <w:tcPr>
            <w:tcW w:w="9180" w:type="dxa"/>
            <w:gridSpan w:val="12"/>
            <w:tcBorders>
              <w:top w:val="single" w:color="auto" w:sz="4" w:space="0"/>
              <w:left w:val="single" w:color="auto" w:sz="4" w:space="0"/>
              <w:bottom w:val="single" w:color="auto" w:sz="4" w:space="0"/>
              <w:right w:val="single" w:color="000000" w:sz="4" w:space="0"/>
            </w:tcBorders>
            <w:noWrap w:val="0"/>
            <w:vAlign w:val="center"/>
          </w:tcPr>
          <w:p>
            <w:pPr>
              <w:widowControl/>
              <w:spacing w:line="500" w:lineRule="exact"/>
              <w:jc w:val="center"/>
              <w:rPr>
                <w:rFonts w:hAnsi="宋体" w:cs="宋体"/>
                <w:color w:val="auto"/>
                <w:kern w:val="0"/>
                <w:sz w:val="20"/>
                <w:highlight w:val="none"/>
              </w:rPr>
            </w:pPr>
            <w:r>
              <w:rPr>
                <w:rFonts w:hint="eastAsia" w:hAnsi="宋体" w:cs="宋体"/>
                <w:color w:val="auto"/>
                <w:kern w:val="0"/>
                <w:sz w:val="20"/>
                <w:highlight w:val="none"/>
              </w:rPr>
              <w:t>合  计：</w:t>
            </w:r>
          </w:p>
        </w:tc>
        <w:tc>
          <w:tcPr>
            <w:tcW w:w="126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0"/>
                <w:highlight w:val="none"/>
              </w:rPr>
            </w:pPr>
            <w:r>
              <w:rPr>
                <w:rFonts w:hint="eastAsia" w:hAnsi="宋体" w:cs="宋体"/>
                <w:color w:val="auto"/>
                <w:kern w:val="0"/>
                <w:sz w:val="20"/>
                <w:highlight w:val="none"/>
              </w:rPr>
              <w:t>　</w:t>
            </w:r>
          </w:p>
        </w:tc>
      </w:tr>
    </w:tbl>
    <w:p>
      <w:pPr>
        <w:spacing w:line="500" w:lineRule="exact"/>
        <w:rPr>
          <w:rFonts w:hAnsi="宋体"/>
          <w:color w:val="auto"/>
          <w:sz w:val="24"/>
          <w:highlight w:val="none"/>
        </w:rPr>
      </w:pPr>
      <w:r>
        <w:rPr>
          <w:rFonts w:hint="eastAsia" w:hAnsi="宋体"/>
          <w:color w:val="auto"/>
          <w:sz w:val="24"/>
          <w:highlight w:val="none"/>
        </w:rPr>
        <w:t>注：表（1）（2）（3）（4）栏中清单编号、清单名称、清单计量单位和数量由招标人按需要提出。</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pStyle w:val="797"/>
        <w:rPr>
          <w:color w:val="auto"/>
          <w:highlight w:val="none"/>
        </w:rPr>
      </w:pPr>
      <w:r>
        <w:rPr>
          <w:color w:val="auto"/>
          <w:highlight w:val="none"/>
        </w:rPr>
        <w:br w:type="page"/>
      </w:r>
    </w:p>
    <w:p>
      <w:pPr>
        <w:widowControl/>
        <w:tabs>
          <w:tab w:val="center" w:pos="4755"/>
          <w:tab w:val="right" w:pos="9070"/>
        </w:tabs>
        <w:spacing w:before="100" w:beforeAutospacing="1" w:after="100" w:afterAutospacing="1" w:line="340" w:lineRule="exact"/>
        <w:ind w:firstLine="321" w:firstLineChars="100"/>
        <w:jc w:val="center"/>
        <w:rPr>
          <w:rFonts w:hAnsi="宋体"/>
          <w:b/>
          <w:color w:val="auto"/>
          <w:kern w:val="0"/>
          <w:sz w:val="32"/>
          <w:szCs w:val="32"/>
          <w:highlight w:val="none"/>
        </w:rPr>
      </w:pPr>
      <w:r>
        <w:rPr>
          <w:rFonts w:hint="eastAsia" w:hAnsi="宋体"/>
          <w:b/>
          <w:color w:val="auto"/>
          <w:kern w:val="0"/>
          <w:sz w:val="32"/>
          <w:szCs w:val="32"/>
          <w:highlight w:val="none"/>
        </w:rPr>
        <w:t>表2-2  措施项目清单分析表</w:t>
      </w:r>
    </w:p>
    <w:p>
      <w:pPr>
        <w:spacing w:line="440" w:lineRule="exact"/>
        <w:rPr>
          <w:rFonts w:hAnsi="宋体"/>
          <w:bCs/>
          <w:color w:val="auto"/>
          <w:sz w:val="24"/>
          <w:highlight w:val="none"/>
        </w:rPr>
      </w:pPr>
      <w:r>
        <w:rPr>
          <w:rFonts w:hint="eastAsia" w:hAnsi="宋体"/>
          <w:bCs/>
          <w:color w:val="auto"/>
          <w:sz w:val="24"/>
          <w:highlight w:val="none"/>
        </w:rPr>
        <w:t>工程名称：</w:t>
      </w:r>
    </w:p>
    <w:p>
      <w:pPr>
        <w:spacing w:line="440" w:lineRule="exact"/>
        <w:rPr>
          <w:rFonts w:hAnsi="宋体"/>
          <w:bCs/>
          <w:color w:val="auto"/>
          <w:sz w:val="24"/>
          <w:highlight w:val="none"/>
        </w:rPr>
      </w:pPr>
      <w:r>
        <w:rPr>
          <w:rFonts w:hint="eastAsia" w:hAnsi="宋体"/>
          <w:bCs/>
          <w:color w:val="auto"/>
          <w:sz w:val="24"/>
          <w:highlight w:val="none"/>
        </w:rPr>
        <w:t>单位工程名称：                                           　　 第  页共  页</w:t>
      </w:r>
    </w:p>
    <w:tbl>
      <w:tblPr>
        <w:tblStyle w:val="62"/>
        <w:tblW w:w="0" w:type="auto"/>
        <w:tblInd w:w="-697" w:type="dxa"/>
        <w:tblLayout w:type="fixed"/>
        <w:tblCellMar>
          <w:top w:w="0" w:type="dxa"/>
          <w:left w:w="108" w:type="dxa"/>
          <w:bottom w:w="0" w:type="dxa"/>
          <w:right w:w="108" w:type="dxa"/>
        </w:tblCellMar>
      </w:tblPr>
      <w:tblGrid>
        <w:gridCol w:w="540"/>
        <w:gridCol w:w="1440"/>
        <w:gridCol w:w="1440"/>
        <w:gridCol w:w="720"/>
        <w:gridCol w:w="720"/>
        <w:gridCol w:w="720"/>
        <w:gridCol w:w="720"/>
        <w:gridCol w:w="720"/>
        <w:gridCol w:w="540"/>
        <w:gridCol w:w="540"/>
        <w:gridCol w:w="900"/>
        <w:gridCol w:w="720"/>
        <w:gridCol w:w="1080"/>
      </w:tblGrid>
      <w:tr>
        <w:tblPrEx>
          <w:tblCellMar>
            <w:top w:w="0" w:type="dxa"/>
            <w:left w:w="108" w:type="dxa"/>
            <w:bottom w:w="0" w:type="dxa"/>
            <w:right w:w="108" w:type="dxa"/>
          </w:tblCellMar>
        </w:tblPrEx>
        <w:trPr>
          <w:trHeight w:val="503" w:hRule="atLeast"/>
        </w:trPr>
        <w:tc>
          <w:tcPr>
            <w:tcW w:w="54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序</w:t>
            </w:r>
          </w:p>
          <w:p>
            <w:pPr>
              <w:widowControl/>
              <w:jc w:val="center"/>
              <w:rPr>
                <w:rFonts w:hAnsi="宋体" w:cs="宋体"/>
                <w:color w:val="auto"/>
                <w:kern w:val="0"/>
                <w:sz w:val="24"/>
                <w:highlight w:val="none"/>
              </w:rPr>
            </w:pPr>
            <w:r>
              <w:rPr>
                <w:rFonts w:hint="eastAsia" w:hAnsi="宋体" w:cs="宋体"/>
                <w:color w:val="auto"/>
                <w:kern w:val="0"/>
                <w:sz w:val="24"/>
                <w:highlight w:val="none"/>
              </w:rPr>
              <w:t>号</w:t>
            </w:r>
          </w:p>
          <w:p>
            <w:pPr>
              <w:jc w:val="center"/>
              <w:rPr>
                <w:rFonts w:hAnsi="宋体" w:cs="宋体"/>
                <w:color w:val="auto"/>
                <w:kern w:val="0"/>
                <w:sz w:val="24"/>
                <w:highlight w:val="none"/>
              </w:rPr>
            </w:pP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编号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名称</w:t>
            </w:r>
          </w:p>
        </w:tc>
        <w:tc>
          <w:tcPr>
            <w:tcW w:w="720"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计</w:t>
            </w:r>
          </w:p>
          <w:p>
            <w:pPr>
              <w:widowControl/>
              <w:jc w:val="center"/>
              <w:rPr>
                <w:rFonts w:hAnsi="宋体" w:cs="宋体"/>
                <w:color w:val="auto"/>
                <w:kern w:val="0"/>
                <w:sz w:val="24"/>
                <w:highlight w:val="none"/>
              </w:rPr>
            </w:pPr>
            <w:r>
              <w:rPr>
                <w:rFonts w:hint="eastAsia" w:hAnsi="宋体" w:cs="宋体"/>
                <w:color w:val="auto"/>
                <w:kern w:val="0"/>
                <w:sz w:val="24"/>
                <w:highlight w:val="none"/>
              </w:rPr>
              <w:t>量</w:t>
            </w:r>
          </w:p>
          <w:p>
            <w:pPr>
              <w:widowControl/>
              <w:jc w:val="center"/>
              <w:rPr>
                <w:rFonts w:hAnsi="宋体" w:cs="宋体"/>
                <w:color w:val="auto"/>
                <w:kern w:val="0"/>
                <w:sz w:val="24"/>
                <w:highlight w:val="none"/>
              </w:rPr>
            </w:pPr>
            <w:r>
              <w:rPr>
                <w:rFonts w:hint="eastAsia" w:hAnsi="宋体" w:cs="宋体"/>
                <w:color w:val="auto"/>
                <w:kern w:val="0"/>
                <w:sz w:val="24"/>
                <w:highlight w:val="none"/>
              </w:rPr>
              <w:t>单</w:t>
            </w:r>
          </w:p>
          <w:p>
            <w:pPr>
              <w:widowControl/>
              <w:jc w:val="center"/>
              <w:rPr>
                <w:rFonts w:hAnsi="宋体" w:cs="宋体"/>
                <w:color w:val="auto"/>
                <w:kern w:val="0"/>
                <w:sz w:val="24"/>
                <w:highlight w:val="none"/>
              </w:rPr>
            </w:pPr>
            <w:r>
              <w:rPr>
                <w:rFonts w:hint="eastAsia" w:hAnsi="宋体" w:cs="宋体"/>
                <w:color w:val="auto"/>
                <w:kern w:val="0"/>
                <w:sz w:val="24"/>
                <w:highlight w:val="none"/>
              </w:rPr>
              <w:t>位</w:t>
            </w:r>
          </w:p>
        </w:tc>
        <w:tc>
          <w:tcPr>
            <w:tcW w:w="720" w:type="dxa"/>
            <w:vMerge w:val="restart"/>
            <w:tcBorders>
              <w:top w:val="single" w:color="auto" w:sz="4" w:space="0"/>
              <w:left w:val="nil"/>
              <w:bottom w:val="nil"/>
              <w:right w:val="single" w:color="auto" w:sz="4" w:space="0"/>
            </w:tcBorders>
            <w:noWrap w:val="0"/>
            <w:vAlign w:val="center"/>
          </w:tcPr>
          <w:p>
            <w:pPr>
              <w:widowControl/>
              <w:jc w:val="center"/>
              <w:rPr>
                <w:rFonts w:hAnsi="宋体" w:cs="宋体"/>
                <w:color w:val="auto"/>
                <w:kern w:val="0"/>
                <w:sz w:val="24"/>
                <w:highlight w:val="none"/>
              </w:rPr>
            </w:pPr>
          </w:p>
          <w:p>
            <w:pPr>
              <w:widowControl/>
              <w:jc w:val="center"/>
              <w:rPr>
                <w:rFonts w:hAnsi="宋体" w:cs="宋体"/>
                <w:color w:val="auto"/>
                <w:kern w:val="0"/>
                <w:sz w:val="24"/>
                <w:highlight w:val="none"/>
              </w:rPr>
            </w:pPr>
            <w:r>
              <w:rPr>
                <w:rFonts w:hint="eastAsia" w:hAnsi="宋体" w:cs="宋体"/>
                <w:color w:val="auto"/>
                <w:kern w:val="0"/>
                <w:sz w:val="24"/>
                <w:highlight w:val="none"/>
              </w:rPr>
              <w:t>数</w:t>
            </w:r>
          </w:p>
          <w:p>
            <w:pPr>
              <w:widowControl/>
              <w:jc w:val="center"/>
              <w:rPr>
                <w:rFonts w:hAnsi="宋体" w:cs="宋体"/>
                <w:color w:val="auto"/>
                <w:kern w:val="0"/>
                <w:sz w:val="24"/>
                <w:highlight w:val="none"/>
              </w:rPr>
            </w:pPr>
            <w:r>
              <w:rPr>
                <w:rFonts w:hint="eastAsia" w:hAnsi="宋体" w:cs="宋体"/>
                <w:color w:val="auto"/>
                <w:kern w:val="0"/>
                <w:sz w:val="24"/>
                <w:highlight w:val="none"/>
              </w:rPr>
              <w:t>量</w:t>
            </w:r>
          </w:p>
          <w:p>
            <w:pPr>
              <w:jc w:val="center"/>
              <w:rPr>
                <w:rFonts w:hAnsi="宋体" w:cs="宋体"/>
                <w:color w:val="auto"/>
                <w:kern w:val="0"/>
                <w:sz w:val="24"/>
                <w:highlight w:val="none"/>
              </w:rPr>
            </w:pPr>
          </w:p>
        </w:tc>
        <w:tc>
          <w:tcPr>
            <w:tcW w:w="486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综 合 单 价（元）</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合计（元）</w:t>
            </w:r>
          </w:p>
        </w:tc>
      </w:tr>
      <w:tr>
        <w:tblPrEx>
          <w:tblCellMar>
            <w:top w:w="0" w:type="dxa"/>
            <w:left w:w="108" w:type="dxa"/>
            <w:bottom w:w="0" w:type="dxa"/>
            <w:right w:w="108" w:type="dxa"/>
          </w:tblCellMar>
        </w:tblPrEx>
        <w:trPr>
          <w:trHeight w:val="1270"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720" w:type="dxa"/>
            <w:vMerge w:val="continue"/>
            <w:tcBorders>
              <w:top w:val="single" w:color="auto" w:sz="4" w:space="0"/>
              <w:left w:val="nil"/>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人</w:t>
            </w:r>
          </w:p>
          <w:p>
            <w:pPr>
              <w:widowControl/>
              <w:jc w:val="center"/>
              <w:rPr>
                <w:rFonts w:hAnsi="宋体" w:cs="宋体"/>
                <w:color w:val="auto"/>
                <w:kern w:val="0"/>
                <w:sz w:val="24"/>
                <w:highlight w:val="none"/>
              </w:rPr>
            </w:pPr>
            <w:r>
              <w:rPr>
                <w:rFonts w:hint="eastAsia" w:hAnsi="宋体" w:cs="宋体"/>
                <w:color w:val="auto"/>
                <w:kern w:val="0"/>
                <w:sz w:val="24"/>
                <w:highlight w:val="none"/>
              </w:rPr>
              <w:t>工</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材</w:t>
            </w:r>
          </w:p>
          <w:p>
            <w:pPr>
              <w:widowControl/>
              <w:jc w:val="center"/>
              <w:rPr>
                <w:rFonts w:hAnsi="宋体" w:cs="宋体"/>
                <w:color w:val="auto"/>
                <w:kern w:val="0"/>
                <w:sz w:val="24"/>
                <w:highlight w:val="none"/>
              </w:rPr>
            </w:pPr>
            <w:r>
              <w:rPr>
                <w:rFonts w:hint="eastAsia" w:hAnsi="宋体" w:cs="宋体"/>
                <w:color w:val="auto"/>
                <w:kern w:val="0"/>
                <w:sz w:val="24"/>
                <w:highlight w:val="none"/>
              </w:rPr>
              <w:t>料</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机</w:t>
            </w:r>
          </w:p>
          <w:p>
            <w:pPr>
              <w:widowControl/>
              <w:jc w:val="center"/>
              <w:rPr>
                <w:rFonts w:hAnsi="宋体" w:cs="宋体"/>
                <w:color w:val="auto"/>
                <w:kern w:val="0"/>
                <w:sz w:val="24"/>
                <w:highlight w:val="none"/>
              </w:rPr>
            </w:pPr>
            <w:r>
              <w:rPr>
                <w:rFonts w:hint="eastAsia" w:hAnsi="宋体" w:cs="宋体"/>
                <w:color w:val="auto"/>
                <w:kern w:val="0"/>
                <w:sz w:val="24"/>
                <w:highlight w:val="none"/>
              </w:rPr>
              <w:t>械</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管</w:t>
            </w:r>
          </w:p>
          <w:p>
            <w:pPr>
              <w:widowControl/>
              <w:jc w:val="center"/>
              <w:rPr>
                <w:rFonts w:hAnsi="宋体" w:cs="宋体"/>
                <w:color w:val="auto"/>
                <w:kern w:val="0"/>
                <w:sz w:val="24"/>
                <w:highlight w:val="none"/>
              </w:rPr>
            </w:pPr>
            <w:r>
              <w:rPr>
                <w:rFonts w:hint="eastAsia" w:hAnsi="宋体" w:cs="宋体"/>
                <w:color w:val="auto"/>
                <w:kern w:val="0"/>
                <w:sz w:val="24"/>
                <w:highlight w:val="none"/>
              </w:rPr>
              <w:t>理</w:t>
            </w:r>
          </w:p>
          <w:p>
            <w:pPr>
              <w:widowControl/>
              <w:jc w:val="center"/>
              <w:rPr>
                <w:rFonts w:hAnsi="宋体" w:cs="宋体"/>
                <w:color w:val="auto"/>
                <w:kern w:val="0"/>
                <w:sz w:val="24"/>
                <w:highlight w:val="none"/>
              </w:rPr>
            </w:pPr>
            <w:r>
              <w:rPr>
                <w:rFonts w:hint="eastAsia" w:hAnsi="宋体" w:cs="宋体"/>
                <w:color w:val="auto"/>
                <w:kern w:val="0"/>
                <w:sz w:val="24"/>
                <w:highlight w:val="none"/>
              </w:rPr>
              <w:t>费</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利润</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风险</w:t>
            </w:r>
          </w:p>
          <w:p>
            <w:pPr>
              <w:jc w:val="center"/>
              <w:rPr>
                <w:rFonts w:hAnsi="宋体" w:cs="宋体"/>
                <w:color w:val="auto"/>
                <w:kern w:val="0"/>
                <w:sz w:val="24"/>
                <w:highlight w:val="none"/>
              </w:rPr>
            </w:pPr>
            <w:r>
              <w:rPr>
                <w:rFonts w:hint="eastAsia" w:hAnsi="宋体" w:cs="宋体"/>
                <w:color w:val="auto"/>
                <w:kern w:val="0"/>
                <w:sz w:val="24"/>
                <w:highlight w:val="none"/>
              </w:rPr>
              <w:t>费用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小计</w:t>
            </w:r>
          </w:p>
        </w:tc>
        <w:tc>
          <w:tcPr>
            <w:tcW w:w="1080" w:type="dxa"/>
            <w:vMerge w:val="continue"/>
            <w:tcBorders>
              <w:left w:val="single" w:color="auto" w:sz="4" w:space="0"/>
              <w:bottom w:val="single" w:color="000000" w:sz="4" w:space="0"/>
              <w:right w:val="single" w:color="auto" w:sz="4" w:space="0"/>
            </w:tcBorders>
            <w:noWrap w:val="0"/>
            <w:vAlign w:val="center"/>
          </w:tcPr>
          <w:p>
            <w:pPr>
              <w:widowControl/>
              <w:jc w:val="center"/>
              <w:rPr>
                <w:rFonts w:hAnsi="宋体" w:cs="宋体"/>
                <w:color w:val="auto"/>
                <w:kern w:val="0"/>
                <w:sz w:val="24"/>
                <w:highlight w:val="none"/>
              </w:rPr>
            </w:pPr>
          </w:p>
        </w:tc>
      </w:tr>
      <w:tr>
        <w:tblPrEx>
          <w:tblCellMar>
            <w:top w:w="0" w:type="dxa"/>
            <w:left w:w="108" w:type="dxa"/>
            <w:bottom w:w="0" w:type="dxa"/>
            <w:right w:w="108" w:type="dxa"/>
          </w:tblCellMar>
        </w:tblPrEx>
        <w:trPr>
          <w:trHeight w:val="6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（2）</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Ansi="宋体" w:cs="宋体"/>
                <w:color w:val="auto"/>
                <w:spacing w:val="-20"/>
                <w:kern w:val="0"/>
                <w:szCs w:val="21"/>
                <w:highlight w:val="none"/>
              </w:rPr>
            </w:pPr>
            <w:r>
              <w:rPr>
                <w:rFonts w:hint="eastAsia" w:hAnsi="宋体" w:cs="宋体"/>
                <w:color w:val="auto"/>
                <w:spacing w:val="-20"/>
                <w:kern w:val="0"/>
                <w:szCs w:val="21"/>
                <w:highlight w:val="none"/>
              </w:rPr>
              <w:t>（3）</w:t>
            </w:r>
          </w:p>
        </w:tc>
        <w:tc>
          <w:tcPr>
            <w:tcW w:w="720" w:type="dxa"/>
            <w:tcBorders>
              <w:top w:val="single" w:color="auto" w:sz="4" w:space="0"/>
              <w:left w:val="nil"/>
              <w:bottom w:val="single" w:color="auto" w:sz="4" w:space="0"/>
              <w:right w:val="single" w:color="auto" w:sz="4" w:space="0"/>
            </w:tcBorders>
            <w:noWrap w:val="0"/>
            <w:vAlign w:val="center"/>
          </w:tcPr>
          <w:p>
            <w:pPr>
              <w:jc w:val="center"/>
              <w:rPr>
                <w:rFonts w:hAnsi="宋体" w:cs="宋体"/>
                <w:color w:val="auto"/>
                <w:spacing w:val="-20"/>
                <w:kern w:val="0"/>
                <w:szCs w:val="21"/>
                <w:highlight w:val="none"/>
              </w:rPr>
            </w:pPr>
            <w:r>
              <w:rPr>
                <w:rFonts w:hint="eastAsia" w:hAnsi="宋体" w:cs="宋体"/>
                <w:color w:val="auto"/>
                <w:spacing w:val="-20"/>
                <w:kern w:val="0"/>
                <w:szCs w:val="21"/>
                <w:highlight w:val="none"/>
              </w:rPr>
              <w:t>（4）</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（5）</w:t>
            </w:r>
          </w:p>
        </w:tc>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（7）</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rPr>
                <w:rFonts w:hAnsi="宋体" w:cs="宋体"/>
                <w:color w:val="auto"/>
                <w:spacing w:val="-30"/>
                <w:kern w:val="0"/>
                <w:szCs w:val="21"/>
                <w:highlight w:val="none"/>
              </w:rPr>
            </w:pPr>
            <w:r>
              <w:rPr>
                <w:rFonts w:hint="eastAsia" w:hAnsi="宋体" w:cs="宋体"/>
                <w:color w:val="auto"/>
                <w:spacing w:val="-30"/>
                <w:kern w:val="0"/>
                <w:szCs w:val="21"/>
                <w:highlight w:val="none"/>
              </w:rPr>
              <w:t>（8）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auto"/>
                <w:spacing w:val="-30"/>
                <w:kern w:val="0"/>
                <w:szCs w:val="21"/>
                <w:highlight w:val="none"/>
              </w:rPr>
            </w:pPr>
            <w:r>
              <w:rPr>
                <w:rFonts w:hint="eastAsia" w:hAnsi="宋体" w:cs="宋体"/>
                <w:color w:val="auto"/>
                <w:spacing w:val="-30"/>
                <w:kern w:val="0"/>
                <w:szCs w:val="21"/>
                <w:highlight w:val="none"/>
              </w:rPr>
              <w:t>（9）</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rPr>
                <w:rFonts w:hAnsi="宋体" w:cs="宋体"/>
                <w:color w:val="auto"/>
                <w:spacing w:val="-20"/>
                <w:kern w:val="0"/>
                <w:szCs w:val="21"/>
                <w:highlight w:val="none"/>
              </w:rPr>
            </w:pPr>
            <w:r>
              <w:rPr>
                <w:rFonts w:hint="eastAsia" w:hAnsi="宋体" w:cs="宋体"/>
                <w:color w:val="auto"/>
                <w:spacing w:val="-20"/>
                <w:kern w:val="0"/>
                <w:szCs w:val="21"/>
                <w:highlight w:val="none"/>
              </w:rPr>
              <w:t>（11）</w:t>
            </w:r>
          </w:p>
        </w:tc>
        <w:tc>
          <w:tcPr>
            <w:tcW w:w="1080" w:type="dxa"/>
            <w:tcBorders>
              <w:left w:val="single" w:color="auto" w:sz="4" w:space="0"/>
              <w:bottom w:val="single" w:color="000000" w:sz="4" w:space="0"/>
              <w:right w:val="single" w:color="auto" w:sz="4" w:space="0"/>
            </w:tcBorders>
            <w:noWrap w:val="0"/>
            <w:vAlign w:val="center"/>
          </w:tcPr>
          <w:p>
            <w:pPr>
              <w:widowControl/>
              <w:jc w:val="center"/>
              <w:rPr>
                <w:rFonts w:hAnsi="宋体" w:cs="宋体"/>
                <w:color w:val="auto"/>
                <w:spacing w:val="-20"/>
                <w:kern w:val="0"/>
                <w:szCs w:val="21"/>
                <w:highlight w:val="none"/>
              </w:rPr>
            </w:pPr>
            <w:r>
              <w:rPr>
                <w:rFonts w:hint="eastAsia" w:hAnsi="宋体" w:cs="宋体"/>
                <w:color w:val="auto"/>
                <w:spacing w:val="-20"/>
                <w:kern w:val="0"/>
                <w:szCs w:val="21"/>
                <w:highlight w:val="none"/>
              </w:rPr>
              <w:t>（4）*（11）</w:t>
            </w:r>
          </w:p>
        </w:tc>
      </w:tr>
      <w:tr>
        <w:tblPrEx>
          <w:tblCellMar>
            <w:top w:w="0" w:type="dxa"/>
            <w:left w:w="108" w:type="dxa"/>
            <w:bottom w:w="0" w:type="dxa"/>
            <w:right w:w="108" w:type="dxa"/>
          </w:tblCellMar>
        </w:tblPrEx>
        <w:trPr>
          <w:trHeight w:val="64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1</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72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r>
      <w:tr>
        <w:tblPrEx>
          <w:tblCellMar>
            <w:top w:w="0" w:type="dxa"/>
            <w:left w:w="108" w:type="dxa"/>
            <w:bottom w:w="0" w:type="dxa"/>
            <w:right w:w="108" w:type="dxa"/>
          </w:tblCellMar>
        </w:tblPrEx>
        <w:trPr>
          <w:trHeight w:val="645"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r>
      <w:tr>
        <w:tblPrEx>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w:t>
            </w:r>
          </w:p>
        </w:tc>
        <w:tc>
          <w:tcPr>
            <w:tcW w:w="72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54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72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Cs w:val="21"/>
                <w:highlight w:val="none"/>
              </w:rPr>
            </w:pP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2</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spacing w:val="-12"/>
                <w:kern w:val="0"/>
                <w:sz w:val="24"/>
                <w:highlight w:val="none"/>
              </w:rPr>
            </w:pPr>
            <w:r>
              <w:rPr>
                <w:rFonts w:hint="eastAsia" w:hAnsi="宋体" w:cs="宋体"/>
                <w:color w:val="auto"/>
                <w:spacing w:val="-12"/>
                <w:kern w:val="0"/>
                <w:sz w:val="24"/>
                <w:highlight w:val="none"/>
              </w:rPr>
              <w:t>（清单编码）</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spacing w:val="-12"/>
                <w:kern w:val="0"/>
                <w:sz w:val="24"/>
                <w:highlight w:val="none"/>
              </w:rPr>
            </w:pPr>
            <w:r>
              <w:rPr>
                <w:rFonts w:hint="eastAsia" w:hAnsi="宋体" w:cs="宋体"/>
                <w:color w:val="auto"/>
                <w:spacing w:val="-12"/>
                <w:kern w:val="0"/>
                <w:sz w:val="24"/>
                <w:highlight w:val="none"/>
              </w:rPr>
              <w:t>（定额编码）</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w:t>
            </w:r>
          </w:p>
        </w:tc>
        <w:tc>
          <w:tcPr>
            <w:tcW w:w="1440" w:type="dxa"/>
            <w:tcBorders>
              <w:top w:val="nil"/>
              <w:left w:val="nil"/>
              <w:bottom w:val="single" w:color="auto" w:sz="4" w:space="0"/>
              <w:right w:val="single" w:color="auto" w:sz="4" w:space="0"/>
            </w:tcBorders>
            <w:noWrap w:val="0"/>
            <w:vAlign w:val="center"/>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 w:val="24"/>
                <w:highlight w:val="none"/>
              </w:rPr>
            </w:pPr>
            <w:r>
              <w:rPr>
                <w:rFonts w:hint="eastAsia" w:hAnsi="宋体" w:cs="宋体"/>
                <w:color w:val="auto"/>
                <w:kern w:val="0"/>
                <w:sz w:val="24"/>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540" w:type="dxa"/>
            <w:tcBorders>
              <w:top w:val="nil"/>
              <w:left w:val="single" w:color="auto" w:sz="4" w:space="0"/>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4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54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90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72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c>
          <w:tcPr>
            <w:tcW w:w="1080" w:type="dxa"/>
            <w:tcBorders>
              <w:top w:val="nil"/>
              <w:left w:val="nil"/>
              <w:bottom w:val="single" w:color="auto" w:sz="4" w:space="0"/>
              <w:right w:val="single" w:color="auto" w:sz="4" w:space="0"/>
            </w:tcBorders>
            <w:noWrap w:val="0"/>
            <w:vAlign w:val="bottom"/>
          </w:tcPr>
          <w:p>
            <w:pPr>
              <w:widowControl/>
              <w:spacing w:line="500" w:lineRule="exact"/>
              <w:jc w:val="left"/>
              <w:rPr>
                <w:rFonts w:hAnsi="宋体" w:cs="宋体"/>
                <w:color w:val="auto"/>
                <w:kern w:val="0"/>
                <w:szCs w:val="21"/>
                <w:highlight w:val="none"/>
              </w:rPr>
            </w:pPr>
            <w:r>
              <w:rPr>
                <w:rFonts w:hint="eastAsia" w:hAnsi="宋体" w:cs="宋体"/>
                <w:color w:val="auto"/>
                <w:kern w:val="0"/>
                <w:szCs w:val="21"/>
                <w:highlight w:val="none"/>
              </w:rPr>
              <w:t>　</w:t>
            </w:r>
          </w:p>
        </w:tc>
      </w:tr>
      <w:tr>
        <w:tblPrEx>
          <w:tblCellMar>
            <w:top w:w="0" w:type="dxa"/>
            <w:left w:w="108" w:type="dxa"/>
            <w:bottom w:w="0" w:type="dxa"/>
            <w:right w:w="108" w:type="dxa"/>
          </w:tblCellMar>
        </w:tblPrEx>
        <w:trPr>
          <w:trHeight w:val="525" w:hRule="atLeast"/>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Ansi="宋体" w:cs="宋体"/>
                <w:color w:val="auto"/>
                <w:kern w:val="0"/>
                <w:sz w:val="24"/>
                <w:highlight w:val="none"/>
              </w:rPr>
            </w:pPr>
            <w:r>
              <w:rPr>
                <w:rFonts w:hint="eastAsia" w:hAnsi="宋体" w:cs="宋体"/>
                <w:color w:val="auto"/>
                <w:kern w:val="0"/>
                <w:sz w:val="24"/>
                <w:highlight w:val="none"/>
              </w:rPr>
              <w:t>合  计：</w:t>
            </w:r>
          </w:p>
        </w:tc>
        <w:tc>
          <w:tcPr>
            <w:tcW w:w="1080" w:type="dxa"/>
            <w:tcBorders>
              <w:top w:val="nil"/>
              <w:left w:val="nil"/>
              <w:bottom w:val="single" w:color="auto" w:sz="4" w:space="0"/>
              <w:right w:val="single" w:color="auto" w:sz="4" w:space="0"/>
            </w:tcBorders>
            <w:noWrap w:val="0"/>
            <w:vAlign w:val="center"/>
          </w:tcPr>
          <w:p>
            <w:pPr>
              <w:widowControl/>
              <w:spacing w:line="500" w:lineRule="exact"/>
              <w:jc w:val="right"/>
              <w:rPr>
                <w:rFonts w:hAnsi="宋体" w:cs="宋体"/>
                <w:color w:val="auto"/>
                <w:kern w:val="0"/>
                <w:sz w:val="24"/>
                <w:highlight w:val="none"/>
              </w:rPr>
            </w:pPr>
          </w:p>
        </w:tc>
      </w:tr>
    </w:tbl>
    <w:p>
      <w:pPr>
        <w:spacing w:line="500" w:lineRule="exact"/>
        <w:rPr>
          <w:rFonts w:hAnsi="宋体"/>
          <w:color w:val="auto"/>
          <w:sz w:val="24"/>
          <w:highlight w:val="none"/>
        </w:rPr>
      </w:pPr>
      <w:r>
        <w:rPr>
          <w:rFonts w:hint="eastAsia" w:hAnsi="宋体"/>
          <w:color w:val="auto"/>
          <w:sz w:val="24"/>
          <w:highlight w:val="none"/>
        </w:rPr>
        <w:t>注：表（1）（2）栏中清单编号和措施项目清单名称由招标人按需要提出。</w:t>
      </w:r>
    </w:p>
    <w:p>
      <w:pPr>
        <w:spacing w:line="500" w:lineRule="exact"/>
        <w:rPr>
          <w:rFonts w:hint="eastAsia" w:hAnsi="宋体"/>
          <w:color w:val="auto"/>
          <w:sz w:val="24"/>
          <w:highlight w:val="none"/>
        </w:rPr>
      </w:pPr>
      <w:r>
        <w:rPr>
          <w:rFonts w:hint="eastAsia" w:hAnsi="宋体"/>
          <w:color w:val="auto"/>
          <w:kern w:val="0"/>
          <w:sz w:val="24"/>
          <w:highlight w:val="none"/>
          <w:lang w:val="en-US" w:eastAsia="zh-CN"/>
        </w:rPr>
        <w:t>响应</w:t>
      </w:r>
      <w:r>
        <w:rPr>
          <w:rFonts w:hint="eastAsia" w:hAnsi="宋体"/>
          <w:color w:val="auto"/>
          <w:kern w:val="0"/>
          <w:sz w:val="24"/>
          <w:highlight w:val="none"/>
        </w:rPr>
        <w:t>人：（ 盖章）</w:t>
      </w:r>
      <w:r>
        <w:rPr>
          <w:rFonts w:hint="eastAsia" w:hAnsi="宋体"/>
          <w:color w:val="auto"/>
          <w:sz w:val="24"/>
          <w:highlight w:val="none"/>
        </w:rPr>
        <w:t xml:space="preserve">   </w:t>
      </w:r>
    </w:p>
    <w:p>
      <w:pPr>
        <w:spacing w:line="500" w:lineRule="exact"/>
        <w:rPr>
          <w:rFonts w:hAnsi="宋体"/>
          <w:color w:val="auto"/>
          <w:sz w:val="24"/>
          <w:highlight w:val="none"/>
        </w:rPr>
      </w:pPr>
      <w:r>
        <w:rPr>
          <w:rFonts w:hint="eastAsia" w:hAnsi="宋体"/>
          <w:color w:val="auto"/>
          <w:sz w:val="24"/>
          <w:highlight w:val="none"/>
        </w:rPr>
        <w:br w:type="page"/>
      </w:r>
    </w:p>
    <w:p>
      <w:pPr>
        <w:widowControl/>
        <w:tabs>
          <w:tab w:val="center" w:pos="4755"/>
          <w:tab w:val="right" w:pos="9070"/>
        </w:tabs>
        <w:jc w:val="center"/>
        <w:rPr>
          <w:rFonts w:hint="eastAsia" w:hAnsi="宋体"/>
          <w:b/>
          <w:bCs/>
          <w:color w:val="auto"/>
          <w:kern w:val="0"/>
          <w:sz w:val="32"/>
          <w:szCs w:val="28"/>
          <w:highlight w:val="none"/>
        </w:rPr>
      </w:pPr>
      <w:r>
        <w:rPr>
          <w:rFonts w:hint="eastAsia" w:hAnsi="宋体"/>
          <w:b/>
          <w:bCs/>
          <w:color w:val="auto"/>
          <w:kern w:val="0"/>
          <w:sz w:val="32"/>
          <w:szCs w:val="28"/>
          <w:highlight w:val="none"/>
        </w:rPr>
        <w:t>表2-3  综合单价工料机分析表</w:t>
      </w:r>
    </w:p>
    <w:p>
      <w:pPr>
        <w:pStyle w:val="2"/>
      </w:pP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项目编码:                                            计量单位：</w:t>
      </w: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人工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一类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二类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三类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center"/>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主要</w:t>
            </w:r>
          </w:p>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材料</w:t>
            </w: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主要</w:t>
            </w:r>
          </w:p>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机械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管理费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利润</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综合单价（4+5+6+7）</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tabs>
                <w:tab w:val="center" w:pos="4755"/>
                <w:tab w:val="right" w:pos="9070"/>
              </w:tabs>
              <w:jc w:val="left"/>
              <w:rPr>
                <w:rFonts w:hAnsi="宋体"/>
                <w:color w:val="auto"/>
                <w:kern w:val="0"/>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注:本表由招标人按需要提出</w:t>
      </w: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int="eastAsia" w:hAnsi="宋体" w:cs="宋体"/>
          <w:b/>
          <w:bCs/>
          <w:color w:val="auto"/>
          <w:kern w:val="0"/>
          <w:sz w:val="32"/>
          <w:szCs w:val="32"/>
          <w:highlight w:val="none"/>
        </w:rPr>
      </w:pPr>
      <w:r>
        <w:rPr>
          <w:rFonts w:hAnsi="宋体"/>
          <w:color w:val="auto"/>
          <w:kern w:val="0"/>
          <w:sz w:val="32"/>
          <w:highlight w:val="none"/>
        </w:rPr>
        <w:br w:type="page"/>
      </w:r>
    </w:p>
    <w:p>
      <w:pPr>
        <w:widowControl/>
        <w:jc w:val="center"/>
        <w:rPr>
          <w:rFonts w:hint="eastAsia" w:hAnsi="宋体" w:cs="宋体"/>
          <w:b/>
          <w:bCs/>
          <w:color w:val="auto"/>
          <w:kern w:val="0"/>
          <w:sz w:val="32"/>
          <w:szCs w:val="32"/>
          <w:highlight w:val="none"/>
        </w:rPr>
      </w:pPr>
      <w:r>
        <w:rPr>
          <w:rFonts w:hint="eastAsia" w:hAnsi="宋体" w:cs="宋体"/>
          <w:b/>
          <w:bCs/>
          <w:color w:val="auto"/>
          <w:kern w:val="0"/>
          <w:sz w:val="32"/>
          <w:szCs w:val="32"/>
          <w:highlight w:val="none"/>
        </w:rPr>
        <w:t>表2-4  措施项目工料机分析表</w:t>
      </w:r>
    </w:p>
    <w:p>
      <w:pPr>
        <w:pStyle w:val="2"/>
      </w:pP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项目编码:                                            计量单位：</w:t>
      </w:r>
    </w:p>
    <w:p>
      <w:pPr>
        <w:widowControl/>
        <w:tabs>
          <w:tab w:val="center" w:pos="4755"/>
          <w:tab w:val="right" w:pos="9070"/>
        </w:tabs>
        <w:spacing w:line="360" w:lineRule="auto"/>
        <w:jc w:val="left"/>
        <w:rPr>
          <w:rFonts w:hAnsi="宋体"/>
          <w:color w:val="auto"/>
          <w:kern w:val="0"/>
          <w:sz w:val="24"/>
          <w:highlight w:val="none"/>
        </w:rPr>
      </w:pPr>
      <w:r>
        <w:rPr>
          <w:rFonts w:hint="eastAsia" w:hAnsi="宋体"/>
          <w:color w:val="auto"/>
          <w:kern w:val="0"/>
          <w:sz w:val="24"/>
          <w:highlight w:val="none"/>
        </w:rPr>
        <w:t>项目名称:                                             第   页共  页</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人工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一类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二类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三类</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工日</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主要材料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ind w:firstLine="240" w:firstLineChars="100"/>
              <w:rPr>
                <w:rFonts w:hAnsi="宋体"/>
                <w:color w:val="auto"/>
                <w:kern w:val="0"/>
                <w:sz w:val="24"/>
                <w:highlight w:val="none"/>
              </w:rPr>
            </w:pPr>
            <w:r>
              <w:rPr>
                <w:rFonts w:hint="eastAsia" w:hAnsi="宋体"/>
                <w:color w:val="auto"/>
                <w:kern w:val="0"/>
                <w:sz w:val="24"/>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主要机械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Ansi="宋体"/>
                <w:color w:val="auto"/>
                <w:kern w:val="0"/>
                <w:sz w:val="24"/>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管理费</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利润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jc w:val="center"/>
              <w:rPr>
                <w:rFonts w:hAnsi="宋体"/>
                <w:color w:val="auto"/>
                <w:kern w:val="0"/>
                <w:sz w:val="24"/>
                <w:highlight w:val="none"/>
              </w:rPr>
            </w:pPr>
            <w:r>
              <w:rPr>
                <w:rFonts w:hint="eastAsia" w:hAnsi="宋体"/>
                <w:color w:val="auto"/>
                <w:kern w:val="0"/>
                <w:sz w:val="24"/>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r>
              <w:rPr>
                <w:rFonts w:hint="eastAsia" w:hAnsi="宋体"/>
                <w:color w:val="auto"/>
                <w:kern w:val="0"/>
                <w:sz w:val="24"/>
                <w:highlight w:val="none"/>
              </w:rPr>
              <w:t>合计（4+5+6+7）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4755"/>
                <w:tab w:val="right" w:pos="9070"/>
              </w:tabs>
              <w:rPr>
                <w:rFonts w:hAnsi="宋体"/>
                <w:color w:val="auto"/>
                <w:kern w:val="0"/>
                <w:sz w:val="24"/>
                <w:highlight w:val="none"/>
              </w:rPr>
            </w:pPr>
          </w:p>
        </w:tc>
      </w:tr>
    </w:tbl>
    <w:p>
      <w:pPr>
        <w:widowControl/>
        <w:tabs>
          <w:tab w:val="center" w:pos="4755"/>
          <w:tab w:val="right" w:pos="9070"/>
        </w:tabs>
        <w:jc w:val="left"/>
        <w:rPr>
          <w:rFonts w:hAnsi="宋体"/>
          <w:color w:val="auto"/>
          <w:kern w:val="0"/>
          <w:sz w:val="24"/>
          <w:highlight w:val="none"/>
        </w:rPr>
      </w:pPr>
      <w:r>
        <w:rPr>
          <w:rFonts w:hint="eastAsia" w:hAnsi="宋体"/>
          <w:color w:val="auto"/>
          <w:kern w:val="0"/>
          <w:sz w:val="24"/>
          <w:highlight w:val="none"/>
        </w:rPr>
        <w:t>注:本表由招标人按需要提出</w:t>
      </w: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Ansi="宋体"/>
          <w:color w:val="auto"/>
          <w:kern w:val="0"/>
          <w:sz w:val="24"/>
          <w:highlight w:val="none"/>
        </w:rPr>
      </w:pPr>
    </w:p>
    <w:p>
      <w:pPr>
        <w:widowControl/>
        <w:tabs>
          <w:tab w:val="center" w:pos="4755"/>
          <w:tab w:val="right" w:pos="9070"/>
        </w:tabs>
        <w:jc w:val="left"/>
        <w:rPr>
          <w:rFonts w:hAnsi="宋体"/>
          <w:color w:val="auto"/>
          <w:kern w:val="0"/>
          <w:sz w:val="24"/>
          <w:highlight w:val="none"/>
        </w:rPr>
      </w:pPr>
      <w:r>
        <w:rPr>
          <w:rFonts w:hAnsi="宋体"/>
          <w:color w:val="auto"/>
          <w:kern w:val="0"/>
          <w:sz w:val="24"/>
          <w:highlight w:val="none"/>
        </w:rPr>
        <w:br w:type="page"/>
      </w:r>
    </w:p>
    <w:p>
      <w:pPr>
        <w:widowControl/>
        <w:tabs>
          <w:tab w:val="center" w:pos="4755"/>
          <w:tab w:val="right" w:pos="9070"/>
        </w:tabs>
        <w:jc w:val="left"/>
        <w:rPr>
          <w:rFonts w:hAnsi="宋体"/>
          <w:color w:val="auto"/>
          <w:kern w:val="0"/>
          <w:sz w:val="24"/>
          <w:highlight w:val="none"/>
        </w:rPr>
      </w:pPr>
    </w:p>
    <w:p>
      <w:pPr>
        <w:widowControl/>
        <w:jc w:val="center"/>
        <w:rPr>
          <w:rFonts w:hAnsi="宋体" w:cs="宋体"/>
          <w:b/>
          <w:bCs/>
          <w:color w:val="auto"/>
          <w:kern w:val="0"/>
          <w:sz w:val="32"/>
          <w:szCs w:val="32"/>
          <w:highlight w:val="none"/>
        </w:rPr>
      </w:pPr>
      <w:r>
        <w:rPr>
          <w:rFonts w:hint="eastAsia" w:hAnsi="宋体" w:cs="宋体"/>
          <w:b/>
          <w:bCs/>
          <w:color w:val="auto"/>
          <w:kern w:val="0"/>
          <w:sz w:val="32"/>
          <w:szCs w:val="32"/>
          <w:highlight w:val="none"/>
        </w:rPr>
        <w:t>表2-5现场监控、临时宿舍取暖降温费用分析表</w:t>
      </w:r>
    </w:p>
    <w:p>
      <w:pPr>
        <w:widowControl/>
        <w:jc w:val="center"/>
        <w:rPr>
          <w:rFonts w:hAnsi="宋体" w:cs="宋体"/>
          <w:b/>
          <w:bCs/>
          <w:color w:val="auto"/>
          <w:kern w:val="0"/>
          <w:sz w:val="32"/>
          <w:szCs w:val="32"/>
          <w:highlight w:val="none"/>
        </w:rPr>
      </w:pPr>
    </w:p>
    <w:p>
      <w:pPr>
        <w:topLinePunct/>
        <w:spacing w:line="440" w:lineRule="exact"/>
        <w:ind w:left="240" w:hanging="240" w:hangingChars="100"/>
        <w:rPr>
          <w:color w:val="auto"/>
          <w:sz w:val="24"/>
          <w:highlight w:val="none"/>
        </w:rPr>
      </w:pPr>
      <w:r>
        <w:rPr>
          <w:rFonts w:hint="eastAsia"/>
          <w:color w:val="auto"/>
          <w:sz w:val="24"/>
          <w:highlight w:val="none"/>
        </w:rPr>
        <w:t>工程名称：                                                   第   页  共 页</w:t>
      </w:r>
    </w:p>
    <w:tbl>
      <w:tblPr>
        <w:tblStyle w:val="6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37"/>
        <w:gridCol w:w="1045"/>
        <w:gridCol w:w="1117"/>
        <w:gridCol w:w="138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noWrap w:val="0"/>
            <w:vAlign w:val="center"/>
          </w:tcPr>
          <w:p>
            <w:pPr>
              <w:topLinePunct/>
              <w:spacing w:line="440" w:lineRule="exact"/>
              <w:jc w:val="center"/>
              <w:rPr>
                <w:color w:val="auto"/>
                <w:sz w:val="24"/>
                <w:highlight w:val="none"/>
              </w:rPr>
            </w:pPr>
            <w:r>
              <w:rPr>
                <w:rFonts w:hint="eastAsia"/>
                <w:color w:val="auto"/>
                <w:sz w:val="24"/>
                <w:highlight w:val="none"/>
              </w:rPr>
              <w:t>序号</w:t>
            </w:r>
          </w:p>
        </w:tc>
        <w:tc>
          <w:tcPr>
            <w:tcW w:w="3637" w:type="dxa"/>
            <w:noWrap w:val="0"/>
            <w:vAlign w:val="center"/>
          </w:tcPr>
          <w:p>
            <w:pPr>
              <w:topLinePunct/>
              <w:spacing w:line="440" w:lineRule="exact"/>
              <w:jc w:val="center"/>
              <w:rPr>
                <w:color w:val="auto"/>
                <w:sz w:val="24"/>
                <w:highlight w:val="none"/>
              </w:rPr>
            </w:pPr>
            <w:r>
              <w:rPr>
                <w:rFonts w:hint="eastAsia"/>
                <w:color w:val="auto"/>
                <w:sz w:val="24"/>
                <w:highlight w:val="none"/>
              </w:rPr>
              <w:t>费用名称</w:t>
            </w:r>
          </w:p>
        </w:tc>
        <w:tc>
          <w:tcPr>
            <w:tcW w:w="1045" w:type="dxa"/>
            <w:noWrap w:val="0"/>
            <w:vAlign w:val="center"/>
          </w:tcPr>
          <w:p>
            <w:pPr>
              <w:topLinePunct/>
              <w:spacing w:line="440" w:lineRule="exact"/>
              <w:jc w:val="center"/>
              <w:rPr>
                <w:color w:val="auto"/>
                <w:sz w:val="24"/>
                <w:highlight w:val="none"/>
              </w:rPr>
            </w:pPr>
            <w:r>
              <w:rPr>
                <w:rFonts w:hint="eastAsia"/>
                <w:color w:val="auto"/>
                <w:sz w:val="24"/>
                <w:highlight w:val="none"/>
              </w:rPr>
              <w:t>单位</w:t>
            </w:r>
          </w:p>
        </w:tc>
        <w:tc>
          <w:tcPr>
            <w:tcW w:w="1117" w:type="dxa"/>
            <w:noWrap w:val="0"/>
            <w:vAlign w:val="center"/>
          </w:tcPr>
          <w:p>
            <w:pPr>
              <w:topLinePunct/>
              <w:spacing w:line="440" w:lineRule="exact"/>
              <w:jc w:val="center"/>
              <w:rPr>
                <w:color w:val="auto"/>
                <w:sz w:val="24"/>
                <w:highlight w:val="none"/>
              </w:rPr>
            </w:pPr>
            <w:r>
              <w:rPr>
                <w:rFonts w:hint="eastAsia"/>
                <w:color w:val="auto"/>
                <w:sz w:val="24"/>
                <w:highlight w:val="none"/>
              </w:rPr>
              <w:t>数量</w:t>
            </w:r>
          </w:p>
        </w:tc>
        <w:tc>
          <w:tcPr>
            <w:tcW w:w="1382" w:type="dxa"/>
            <w:noWrap w:val="0"/>
            <w:vAlign w:val="center"/>
          </w:tcPr>
          <w:p>
            <w:pPr>
              <w:topLinePunct/>
              <w:spacing w:line="440" w:lineRule="exact"/>
              <w:jc w:val="center"/>
              <w:rPr>
                <w:color w:val="auto"/>
                <w:sz w:val="24"/>
                <w:highlight w:val="none"/>
              </w:rPr>
            </w:pPr>
            <w:r>
              <w:rPr>
                <w:rFonts w:hint="eastAsia"/>
                <w:color w:val="auto"/>
                <w:sz w:val="24"/>
                <w:highlight w:val="none"/>
              </w:rPr>
              <w:t>单价（元）</w:t>
            </w:r>
          </w:p>
        </w:tc>
        <w:tc>
          <w:tcPr>
            <w:tcW w:w="1429" w:type="dxa"/>
            <w:noWrap w:val="0"/>
            <w:vAlign w:val="center"/>
          </w:tcPr>
          <w:p>
            <w:pPr>
              <w:topLinePunct/>
              <w:spacing w:line="440" w:lineRule="exact"/>
              <w:jc w:val="center"/>
              <w:rPr>
                <w:color w:val="auto"/>
                <w:sz w:val="24"/>
                <w:highlight w:val="none"/>
              </w:rPr>
            </w:pPr>
            <w:r>
              <w:rPr>
                <w:rFonts w:hint="eastAsia"/>
                <w:color w:val="auto"/>
                <w:sz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r>
              <w:rPr>
                <w:rFonts w:hint="eastAsia" w:hAnsi="宋体"/>
                <w:b/>
                <w:color w:val="auto"/>
                <w:sz w:val="24"/>
                <w:highlight w:val="none"/>
              </w:rPr>
              <w:t>一</w:t>
            </w:r>
          </w:p>
        </w:tc>
        <w:tc>
          <w:tcPr>
            <w:tcW w:w="3637" w:type="dxa"/>
            <w:noWrap w:val="0"/>
            <w:vAlign w:val="top"/>
          </w:tcPr>
          <w:p>
            <w:pPr>
              <w:topLinePunct/>
              <w:spacing w:line="440" w:lineRule="exact"/>
              <w:rPr>
                <w:rFonts w:hAnsi="宋体"/>
                <w:b/>
                <w:color w:val="auto"/>
                <w:sz w:val="24"/>
                <w:highlight w:val="none"/>
              </w:rPr>
            </w:pPr>
            <w:r>
              <w:rPr>
                <w:rFonts w:hint="eastAsia" w:hAnsi="宋体"/>
                <w:b/>
                <w:color w:val="auto"/>
                <w:sz w:val="24"/>
                <w:highlight w:val="none"/>
              </w:rPr>
              <w:t>施工现场在线监测监控系统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color w:val="auto"/>
                <w:sz w:val="24"/>
                <w:highlight w:val="none"/>
              </w:rPr>
            </w:pPr>
            <w:r>
              <w:rPr>
                <w:rFonts w:hint="eastAsia" w:hAnsi="宋体"/>
                <w:color w:val="auto"/>
                <w:sz w:val="24"/>
                <w:highlight w:val="none"/>
              </w:rPr>
              <w:t>1</w:t>
            </w:r>
          </w:p>
        </w:tc>
        <w:tc>
          <w:tcPr>
            <w:tcW w:w="3637" w:type="dxa"/>
            <w:noWrap w:val="0"/>
            <w:vAlign w:val="top"/>
          </w:tcPr>
          <w:p>
            <w:pPr>
              <w:topLinePunct/>
              <w:spacing w:line="440" w:lineRule="exact"/>
              <w:rPr>
                <w:rFonts w:hAnsi="宋体"/>
                <w:color w:val="auto"/>
                <w:sz w:val="24"/>
                <w:highlight w:val="none"/>
              </w:rPr>
            </w:pPr>
            <w:r>
              <w:rPr>
                <w:rFonts w:hint="eastAsia" w:hAnsi="宋体"/>
                <w:color w:val="auto"/>
                <w:sz w:val="24"/>
                <w:highlight w:val="none"/>
              </w:rPr>
              <w:t>塔吊安全监控系统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color w:val="auto"/>
                <w:sz w:val="24"/>
                <w:highlight w:val="none"/>
              </w:rPr>
            </w:pPr>
            <w:r>
              <w:rPr>
                <w:rFonts w:hint="eastAsia" w:hAnsi="宋体"/>
                <w:color w:val="auto"/>
                <w:sz w:val="24"/>
                <w:highlight w:val="none"/>
              </w:rPr>
              <w:t>2</w:t>
            </w:r>
          </w:p>
        </w:tc>
        <w:tc>
          <w:tcPr>
            <w:tcW w:w="3637" w:type="dxa"/>
            <w:noWrap w:val="0"/>
            <w:vAlign w:val="top"/>
          </w:tcPr>
          <w:p>
            <w:pPr>
              <w:topLinePunct/>
              <w:spacing w:line="440" w:lineRule="exact"/>
              <w:rPr>
                <w:rFonts w:hAnsi="宋体"/>
                <w:color w:val="auto"/>
                <w:sz w:val="24"/>
                <w:highlight w:val="none"/>
              </w:rPr>
            </w:pPr>
            <w:r>
              <w:rPr>
                <w:rFonts w:hint="eastAsia" w:hAnsi="宋体"/>
                <w:color w:val="auto"/>
                <w:sz w:val="24"/>
                <w:highlight w:val="none"/>
              </w:rPr>
              <w:t>现场远程视频监控系统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color w:val="auto"/>
                <w:sz w:val="24"/>
                <w:highlight w:val="none"/>
              </w:rPr>
            </w:pPr>
            <w:r>
              <w:rPr>
                <w:rFonts w:hint="eastAsia" w:hAnsi="宋体"/>
                <w:color w:val="auto"/>
                <w:sz w:val="24"/>
                <w:highlight w:val="none"/>
              </w:rPr>
              <w:t>3</w:t>
            </w:r>
          </w:p>
        </w:tc>
        <w:tc>
          <w:tcPr>
            <w:tcW w:w="3637" w:type="dxa"/>
            <w:noWrap w:val="0"/>
            <w:vAlign w:val="top"/>
          </w:tcPr>
          <w:p>
            <w:pPr>
              <w:topLinePunct/>
              <w:spacing w:line="440" w:lineRule="exact"/>
              <w:rPr>
                <w:rFonts w:hAnsi="宋体"/>
                <w:color w:val="auto"/>
                <w:sz w:val="24"/>
                <w:highlight w:val="none"/>
              </w:rPr>
            </w:pPr>
            <w:r>
              <w:rPr>
                <w:rFonts w:hint="eastAsia" w:hAnsi="宋体"/>
                <w:color w:val="auto"/>
                <w:sz w:val="24"/>
                <w:highlight w:val="none"/>
              </w:rPr>
              <w:t>其他监测系统</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r>
              <w:rPr>
                <w:rFonts w:hint="eastAsia" w:hAnsi="宋体"/>
                <w:b/>
                <w:color w:val="auto"/>
                <w:sz w:val="24"/>
                <w:highlight w:val="none"/>
              </w:rPr>
              <w:t>二</w:t>
            </w:r>
          </w:p>
        </w:tc>
        <w:tc>
          <w:tcPr>
            <w:tcW w:w="3637" w:type="dxa"/>
            <w:noWrap w:val="0"/>
            <w:vAlign w:val="top"/>
          </w:tcPr>
          <w:p>
            <w:pPr>
              <w:topLinePunct/>
              <w:spacing w:line="440" w:lineRule="exact"/>
              <w:rPr>
                <w:rFonts w:hAnsi="宋体"/>
                <w:b/>
                <w:color w:val="auto"/>
                <w:sz w:val="24"/>
                <w:highlight w:val="none"/>
              </w:rPr>
            </w:pPr>
            <w:r>
              <w:rPr>
                <w:rFonts w:hint="eastAsia" w:hAnsi="宋体"/>
                <w:b/>
                <w:color w:val="auto"/>
                <w:sz w:val="24"/>
                <w:highlight w:val="none"/>
              </w:rPr>
              <w:t>现场临时宿舍空调设施</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noWrap w:val="0"/>
            <w:vAlign w:val="top"/>
          </w:tcPr>
          <w:p>
            <w:pPr>
              <w:topLinePunct/>
              <w:spacing w:line="440" w:lineRule="exact"/>
              <w:jc w:val="center"/>
              <w:rPr>
                <w:rFonts w:hAnsi="宋体"/>
                <w:b/>
                <w:color w:val="auto"/>
                <w:sz w:val="24"/>
                <w:highlight w:val="none"/>
              </w:rPr>
            </w:pPr>
          </w:p>
        </w:tc>
        <w:tc>
          <w:tcPr>
            <w:tcW w:w="3637" w:type="dxa"/>
            <w:noWrap w:val="0"/>
            <w:vAlign w:val="top"/>
          </w:tcPr>
          <w:p>
            <w:pPr>
              <w:topLinePunct/>
              <w:spacing w:line="440" w:lineRule="exact"/>
              <w:jc w:val="center"/>
              <w:rPr>
                <w:rFonts w:hAnsi="宋体"/>
                <w:b/>
                <w:color w:val="auto"/>
                <w:sz w:val="24"/>
                <w:highlight w:val="none"/>
              </w:rPr>
            </w:pPr>
            <w:r>
              <w:rPr>
                <w:rFonts w:hint="eastAsia" w:hAnsi="宋体"/>
                <w:b/>
                <w:color w:val="auto"/>
                <w:sz w:val="24"/>
                <w:highlight w:val="none"/>
              </w:rPr>
              <w:t>合计</w:t>
            </w:r>
          </w:p>
        </w:tc>
        <w:tc>
          <w:tcPr>
            <w:tcW w:w="1045" w:type="dxa"/>
            <w:noWrap w:val="0"/>
            <w:vAlign w:val="top"/>
          </w:tcPr>
          <w:p>
            <w:pPr>
              <w:topLinePunct/>
              <w:spacing w:line="440" w:lineRule="exact"/>
              <w:jc w:val="center"/>
              <w:rPr>
                <w:rFonts w:hAnsi="宋体"/>
                <w:b/>
                <w:color w:val="auto"/>
                <w:sz w:val="24"/>
                <w:highlight w:val="none"/>
              </w:rPr>
            </w:pPr>
          </w:p>
        </w:tc>
        <w:tc>
          <w:tcPr>
            <w:tcW w:w="1117" w:type="dxa"/>
            <w:noWrap w:val="0"/>
            <w:vAlign w:val="top"/>
          </w:tcPr>
          <w:p>
            <w:pPr>
              <w:topLinePunct/>
              <w:spacing w:line="440" w:lineRule="exact"/>
              <w:jc w:val="center"/>
              <w:rPr>
                <w:rFonts w:hAnsi="宋体"/>
                <w:b/>
                <w:color w:val="auto"/>
                <w:sz w:val="24"/>
                <w:highlight w:val="none"/>
              </w:rPr>
            </w:pPr>
          </w:p>
        </w:tc>
        <w:tc>
          <w:tcPr>
            <w:tcW w:w="1382" w:type="dxa"/>
            <w:noWrap w:val="0"/>
            <w:vAlign w:val="top"/>
          </w:tcPr>
          <w:p>
            <w:pPr>
              <w:topLinePunct/>
              <w:spacing w:line="440" w:lineRule="exact"/>
              <w:jc w:val="center"/>
              <w:rPr>
                <w:rFonts w:hAnsi="宋体"/>
                <w:b/>
                <w:color w:val="auto"/>
                <w:sz w:val="24"/>
                <w:highlight w:val="none"/>
              </w:rPr>
            </w:pPr>
          </w:p>
        </w:tc>
        <w:tc>
          <w:tcPr>
            <w:tcW w:w="1429" w:type="dxa"/>
            <w:noWrap w:val="0"/>
            <w:vAlign w:val="top"/>
          </w:tcPr>
          <w:p>
            <w:pPr>
              <w:topLinePunct/>
              <w:spacing w:line="440" w:lineRule="exact"/>
              <w:jc w:val="center"/>
              <w:rPr>
                <w:rFonts w:hAnsi="宋体"/>
                <w:b/>
                <w:color w:val="auto"/>
                <w:sz w:val="24"/>
                <w:highlight w:val="none"/>
              </w:rPr>
            </w:pPr>
          </w:p>
        </w:tc>
      </w:tr>
    </w:tbl>
    <w:p>
      <w:pPr>
        <w:topLinePunct/>
        <w:spacing w:line="440" w:lineRule="exact"/>
        <w:jc w:val="center"/>
        <w:rPr>
          <w:b/>
          <w:color w:val="auto"/>
          <w:sz w:val="32"/>
          <w:szCs w:val="32"/>
          <w:highlight w:val="none"/>
        </w:rPr>
      </w:pPr>
    </w:p>
    <w:p>
      <w:pPr>
        <w:topLinePunct/>
        <w:spacing w:line="440" w:lineRule="exact"/>
        <w:rPr>
          <w:color w:val="auto"/>
          <w:sz w:val="24"/>
          <w:highlight w:val="none"/>
        </w:rPr>
      </w:pPr>
      <w:r>
        <w:rPr>
          <w:rFonts w:hint="eastAsia"/>
          <w:color w:val="auto"/>
          <w:sz w:val="24"/>
          <w:highlight w:val="none"/>
        </w:rPr>
        <w:t>注：本表为分析表，由</w:t>
      </w:r>
      <w:r>
        <w:rPr>
          <w:rFonts w:hint="eastAsia" w:hAnsi="宋体"/>
          <w:color w:val="auto"/>
          <w:kern w:val="0"/>
          <w:sz w:val="24"/>
          <w:highlight w:val="none"/>
          <w:lang w:val="en-US" w:eastAsia="zh-CN"/>
        </w:rPr>
        <w:t>响应</w:t>
      </w:r>
      <w:r>
        <w:rPr>
          <w:rFonts w:hint="eastAsia" w:hAnsi="宋体"/>
          <w:color w:val="auto"/>
          <w:kern w:val="0"/>
          <w:sz w:val="24"/>
          <w:highlight w:val="none"/>
        </w:rPr>
        <w:t>人</w:t>
      </w:r>
      <w:r>
        <w:rPr>
          <w:rFonts w:hint="eastAsia"/>
          <w:color w:val="auto"/>
          <w:sz w:val="24"/>
          <w:highlight w:val="none"/>
        </w:rPr>
        <w:t>根据市政府、市政建设行政主管部门颁发的有关文件对于现场监控和现场民工宿舍空调的设置要求或标准规定进行相应数量和费用的报价。</w:t>
      </w:r>
    </w:p>
    <w:p>
      <w:pPr>
        <w:pStyle w:val="690"/>
        <w:keepNext w:val="0"/>
        <w:pageBreakBefore w:val="0"/>
        <w:tabs>
          <w:tab w:val="clear" w:pos="720"/>
        </w:tabs>
        <w:snapToGrid w:val="0"/>
        <w:spacing w:before="120" w:after="120"/>
        <w:jc w:val="both"/>
        <w:outlineLvl w:val="9"/>
        <w:rPr>
          <w:rFonts w:hint="eastAsia" w:ascii="宋体" w:hAnsi="宋体" w:eastAsia="宋体" w:cs="宋体"/>
          <w:kern w:val="2"/>
          <w:sz w:val="32"/>
          <w:szCs w:val="32"/>
        </w:rPr>
        <w:sectPr>
          <w:pgSz w:w="11906" w:h="16838"/>
          <w:pgMar w:top="1077" w:right="1020" w:bottom="1077" w:left="102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三、政府采购信用融资操作流程：</w:t>
      </w:r>
    </w:p>
    <w:p>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7"/>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7"/>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6"/>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916" w:name="_Toc465665161"/>
      <w:r>
        <w:rPr>
          <w:rFonts w:hint="eastAsia" w:ascii="宋体" w:hAnsi="宋体" w:eastAsia="宋体" w:cs="宋体"/>
        </w:rPr>
        <w:t>附件</w:t>
      </w:r>
      <w:bookmarkEnd w:id="916"/>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917" w:name="OLE_LINK13"/>
      <w:bookmarkStart w:id="918" w:name="OLE_LINK14"/>
      <w:r>
        <w:rPr>
          <w:rFonts w:hint="eastAsia" w:ascii="宋体" w:hAnsi="宋体" w:eastAsia="宋体" w:cs="宋体"/>
          <w:b/>
          <w:spacing w:val="6"/>
          <w:sz w:val="32"/>
          <w:szCs w:val="32"/>
        </w:rPr>
        <w:t>残疾人福利性单位声明函</w:t>
      </w:r>
    </w:p>
    <w:bookmarkEnd w:id="917"/>
    <w:bookmarkEnd w:id="918"/>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pStyle w:val="2"/>
        <w:rPr>
          <w:rFonts w:hint="eastAsia"/>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pStyle w:val="2"/>
        <w:rPr>
          <w:rFonts w:hint="eastAsia" w:ascii="宋体" w:hAnsi="宋体" w:eastAsia="宋体" w:cs="宋体"/>
          <w:b/>
          <w:spacing w:val="6"/>
          <w:sz w:val="32"/>
          <w:szCs w:val="32"/>
        </w:rPr>
      </w:pPr>
    </w:p>
    <w:p>
      <w:pPr>
        <w:pStyle w:val="3"/>
        <w:rPr>
          <w:rFonts w:hint="eastAsia"/>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pStyle w:val="2"/>
        <w:rPr>
          <w:rFonts w:hint="eastAsia"/>
        </w:rPr>
      </w:pP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中小企业声明函（工程、服务）</w:t>
      </w:r>
    </w:p>
    <w:p>
      <w:pPr>
        <w:spacing w:line="360" w:lineRule="auto"/>
        <w:rPr>
          <w:rFonts w:hint="eastAsia" w:ascii="宋体" w:hAnsi="宋体" w:eastAsia="宋体" w:cs="宋体"/>
        </w:rPr>
      </w:pPr>
    </w:p>
    <w:p>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ascii="宋体" w:hAnsi="宋体" w:eastAsia="宋体" w:cs="宋体"/>
          <w:lang w:val="en-US"/>
        </w:rPr>
      </w:pPr>
    </w:p>
    <w:p>
      <w:pPr>
        <w:spacing w:line="360" w:lineRule="auto"/>
        <w:ind w:right="420"/>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pStyle w:val="4"/>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jc w:val="center"/>
        <w:rPr>
          <w:rFonts w:hint="eastAsia" w:ascii="仿宋" w:hAnsi="仿宋" w:eastAsia="仿宋" w:cs="仿宋"/>
          <w:color w:val="auto"/>
          <w:sz w:val="44"/>
          <w:szCs w:val="44"/>
          <w:highlight w:val="none"/>
        </w:rPr>
      </w:pPr>
      <w:r>
        <w:rPr>
          <w:rFonts w:hint="eastAsia" w:ascii="仿宋" w:hAnsi="仿宋" w:eastAsia="仿宋" w:cs="仿宋"/>
          <w:b/>
          <w:bCs/>
          <w:color w:val="auto"/>
          <w:sz w:val="40"/>
          <w:szCs w:val="40"/>
          <w:highlight w:val="none"/>
        </w:rPr>
        <w:t>政府采购融资畅通工程金融机构联系信息表</w:t>
      </w:r>
    </w:p>
    <w:p>
      <w:pPr>
        <w:rPr>
          <w:rFonts w:hint="eastAsia" w:ascii="仿宋" w:hAnsi="仿宋" w:eastAsia="仿宋" w:cs="仿宋"/>
          <w:color w:val="auto"/>
          <w:sz w:val="44"/>
          <w:szCs w:val="44"/>
          <w:highlight w:val="none"/>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金融机构各称</w:t>
            </w:r>
          </w:p>
        </w:tc>
        <w:tc>
          <w:tcPr>
            <w:tcW w:w="142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444"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77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w:t>
            </w:r>
            <w:r>
              <w:rPr>
                <w:rFonts w:hint="eastAsia" w:ascii="仿宋" w:hAnsi="仿宋" w:eastAsia="仿宋" w:cs="仿宋"/>
                <w:color w:val="auto"/>
                <w:sz w:val="28"/>
                <w:szCs w:val="28"/>
                <w:highlight w:val="none"/>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13868003773</w:t>
            </w:r>
          </w:p>
        </w:tc>
        <w:tc>
          <w:tcPr>
            <w:tcW w:w="2775" w:type="dxa"/>
            <w:tcBorders>
              <w:bottom w:val="single" w:color="auto" w:sz="4" w:space="0"/>
            </w:tcBorders>
            <w:vAlign w:val="center"/>
          </w:tcPr>
          <w:p>
            <w:pPr>
              <w:pStyle w:val="5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沈</w:t>
            </w:r>
            <w:r>
              <w:rPr>
                <w:rFonts w:hint="eastAsia" w:ascii="仿宋" w:hAnsi="仿宋" w:eastAsia="仿宋" w:cs="仿宋"/>
                <w:color w:val="auto"/>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61092936</w:t>
            </w:r>
          </w:p>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石镜街777号</w:t>
            </w:r>
          </w:p>
        </w:tc>
      </w:tr>
    </w:tbl>
    <w:p>
      <w:pPr>
        <w:pStyle w:val="2"/>
        <w:ind w:left="0" w:leftChars="0" w:firstLine="0" w:firstLineChars="0"/>
        <w:rPr>
          <w:rFonts w:hint="eastAsia"/>
        </w:rPr>
      </w:pPr>
    </w:p>
    <w:p>
      <w:pPr>
        <w:spacing w:line="360" w:lineRule="auto"/>
        <w:rPr>
          <w:rFonts w:hint="eastAsia" w:ascii="宋体" w:hAnsi="宋体" w:eastAsia="宋体" w:cs="宋体"/>
          <w:bCs/>
          <w:sz w:val="24"/>
        </w:rPr>
      </w:pPr>
    </w:p>
    <w:sectPr>
      <w:pgSz w:w="11906" w:h="16838"/>
      <w:pgMar w:top="1077" w:right="1020" w:bottom="1077" w:left="102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919" w:name="_Toc164085800"/>
    <w:bookmarkStart w:id="920" w:name="_Toc36110187"/>
    <w:bookmarkStart w:id="921" w:name="_Toc91899912"/>
    <w:bookmarkStart w:id="922" w:name="_Toc131845147"/>
    <w:r>
      <w:rPr>
        <w:rFonts w:hint="eastAsia" w:ascii="仿宋_GB2312" w:eastAsia="仿宋_GB2312"/>
        <w:kern w:val="0"/>
        <w:szCs w:val="21"/>
      </w:rPr>
      <w:t xml:space="preserve"> 页</w:t>
    </w:r>
    <w:bookmarkEnd w:id="919"/>
    <w:bookmarkEnd w:id="920"/>
    <w:bookmarkEnd w:id="921"/>
    <w:bookmarkEnd w:id="9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4"/>
      </w:pBdr>
      <w:jc w:val="center"/>
      <w:rPr>
        <w:rFonts w:ascii="仿宋_GB2312" w:eastAsia="仿宋_GB2312"/>
        <w:b w:val="0"/>
        <w:i/>
        <w:sz w:val="18"/>
        <w:u w:val="single"/>
        <w:lang w:val="en-US"/>
      </w:rPr>
    </w:pPr>
    <w:r>
      <w:rPr>
        <w:rFonts w:hint="eastAsia"/>
      </w:rPr>
      <w:t>龙岗污水处理厂提标改造工程——设备工程</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Fonts w:hint="eastAsia"/>
      </w:rPr>
      <w:t>龙岗污水处理厂提标改造工程——设备工程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tabs>
        <w:tab w:val="center" w:pos="4535"/>
        <w:tab w:val="right" w:pos="9070"/>
        <w:tab w:val="clear" w:pos="4153"/>
        <w:tab w:val="clear" w:pos="8306"/>
      </w:tabs>
      <w:jc w:val="center"/>
    </w:pPr>
    <w:r>
      <w:rPr>
        <w:lang w:val="zh-CN"/>
      </w:rPr>
      <w:t></w:t>
    </w:r>
    <w:r>
      <w:rPr>
        <w:rFonts w:hint="eastAsia"/>
        <w:lang w:val="zh-CN"/>
      </w:rPr>
      <w:t>龙岗污水处理厂提标改造工程——设备工程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u w:val="single"/>
      </w:rPr>
    </w:pPr>
    <w:r>
      <w:rPr>
        <w:rFonts w:hint="eastAsia"/>
      </w:rPr>
      <w:t>龙岗污水处理厂提标改造工程——设备工程</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jc w:val="center"/>
    </w:pPr>
    <w:r>
      <w:rPr>
        <w:rFonts w:hint="eastAsia"/>
      </w:rPr>
      <w:t>龙岗污水处理厂提标改造工程——设备工程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ascii="仿宋_GB2312" w:eastAsia="仿宋_GB2312"/>
        <w:b/>
        <w:i/>
        <w:sz w:val="18"/>
        <w:szCs w:val="18"/>
        <w:u w:val="single"/>
      </w:rPr>
    </w:pPr>
    <w:r>
      <w:rPr>
        <w:rFonts w:hint="eastAsia"/>
        <w:sz w:val="18"/>
        <w:szCs w:val="18"/>
      </w:rPr>
      <w:t>龙岗污水处理厂提标改造工程——设备工程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龙岗污水处理厂提标改造工程——设备工程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w:rPr>
        <w:rFonts w:hint="eastAsia"/>
      </w:rPr>
      <w:t>龙岗污水处理厂提标改造工程——设备工程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t></w:t>
    </w:r>
    <w:r>
      <w:rPr>
        <w:rFonts w:hint="eastAsia"/>
      </w:rPr>
      <w:t>龙岗污水处理厂提标改造工程——设备工程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9BD9"/>
    <w:multiLevelType w:val="singleLevel"/>
    <w:tmpl w:val="B3FF9BD9"/>
    <w:lvl w:ilvl="0" w:tentative="0">
      <w:start w:val="1"/>
      <w:numFmt w:val="chineseCounting"/>
      <w:suff w:val="nothing"/>
      <w:lvlText w:val="%1、"/>
      <w:lvlJc w:val="left"/>
      <w:rPr>
        <w:rFonts w:hint="eastAsia"/>
      </w:rPr>
    </w:lvl>
  </w:abstractNum>
  <w:abstractNum w:abstractNumId="1">
    <w:nsid w:val="15DD67F5"/>
    <w:multiLevelType w:val="singleLevel"/>
    <w:tmpl w:val="15DD67F5"/>
    <w:lvl w:ilvl="0" w:tentative="0">
      <w:start w:val="2"/>
      <w:numFmt w:val="chineseCounting"/>
      <w:suff w:val="nothing"/>
      <w:lvlText w:val="%1、"/>
      <w:lvlJc w:val="left"/>
      <w:rPr>
        <w:rFonts w:hint="eastAsia"/>
      </w:rPr>
    </w:lvl>
  </w:abstractNum>
  <w:abstractNum w:abstractNumId="2">
    <w:nsid w:val="2795CAEE"/>
    <w:multiLevelType w:val="singleLevel"/>
    <w:tmpl w:val="2795CAEE"/>
    <w:lvl w:ilvl="0" w:tentative="0">
      <w:start w:val="1"/>
      <w:numFmt w:val="chineseCounting"/>
      <w:suff w:val="space"/>
      <w:lvlText w:val="%1、"/>
      <w:lvlJc w:val="left"/>
      <w:rPr>
        <w:rFonts w:hint="eastAsia"/>
      </w:rPr>
    </w:lvl>
  </w:abstractNum>
  <w:abstractNum w:abstractNumId="3">
    <w:nsid w:val="64777EAC"/>
    <w:multiLevelType w:val="singleLevel"/>
    <w:tmpl w:val="64777EAC"/>
    <w:lvl w:ilvl="0" w:tentative="0">
      <w:start w:val="4"/>
      <w:numFmt w:val="decimal"/>
      <w:suff w:val="nothing"/>
      <w:lvlText w:val="%1、"/>
      <w:lvlJc w:val="left"/>
    </w:lvl>
  </w:abstractNum>
  <w:abstractNum w:abstractNumId="4">
    <w:nsid w:val="7251F2DD"/>
    <w:multiLevelType w:val="singleLevel"/>
    <w:tmpl w:val="7251F2DD"/>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ZmNiMmI0ZWFlNTgwZjIwNzA4M2ZmMGQ1Yzg3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026"/>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07238"/>
    <w:rsid w:val="023870D5"/>
    <w:rsid w:val="025612CA"/>
    <w:rsid w:val="026B2E25"/>
    <w:rsid w:val="02824D4D"/>
    <w:rsid w:val="02DC4B10"/>
    <w:rsid w:val="02DD76CE"/>
    <w:rsid w:val="02F36323"/>
    <w:rsid w:val="02F5619C"/>
    <w:rsid w:val="0326446A"/>
    <w:rsid w:val="032D5555"/>
    <w:rsid w:val="036634D2"/>
    <w:rsid w:val="03CA0201"/>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6F17EB"/>
    <w:rsid w:val="0779354C"/>
    <w:rsid w:val="08061376"/>
    <w:rsid w:val="08452D77"/>
    <w:rsid w:val="086401F8"/>
    <w:rsid w:val="08751CAA"/>
    <w:rsid w:val="087E4C40"/>
    <w:rsid w:val="08A632D3"/>
    <w:rsid w:val="08D0310D"/>
    <w:rsid w:val="08D66AD6"/>
    <w:rsid w:val="08DA33A3"/>
    <w:rsid w:val="08E80F13"/>
    <w:rsid w:val="09335624"/>
    <w:rsid w:val="09435C2C"/>
    <w:rsid w:val="0944690F"/>
    <w:rsid w:val="09535675"/>
    <w:rsid w:val="095F057D"/>
    <w:rsid w:val="09642282"/>
    <w:rsid w:val="09733572"/>
    <w:rsid w:val="09772C16"/>
    <w:rsid w:val="097D1872"/>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657B4"/>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877FA"/>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60CF8"/>
    <w:rsid w:val="10646583"/>
    <w:rsid w:val="107D4B15"/>
    <w:rsid w:val="108A3C80"/>
    <w:rsid w:val="10C26171"/>
    <w:rsid w:val="10F33360"/>
    <w:rsid w:val="10FC16EA"/>
    <w:rsid w:val="110F1D40"/>
    <w:rsid w:val="11266F33"/>
    <w:rsid w:val="118963A1"/>
    <w:rsid w:val="11C6522A"/>
    <w:rsid w:val="11E104CC"/>
    <w:rsid w:val="11E20309"/>
    <w:rsid w:val="12255233"/>
    <w:rsid w:val="122B27B2"/>
    <w:rsid w:val="12530213"/>
    <w:rsid w:val="127723A9"/>
    <w:rsid w:val="12862074"/>
    <w:rsid w:val="12883966"/>
    <w:rsid w:val="129E45B4"/>
    <w:rsid w:val="12D81596"/>
    <w:rsid w:val="12E110C3"/>
    <w:rsid w:val="13072A44"/>
    <w:rsid w:val="135F4BE2"/>
    <w:rsid w:val="139B1A0A"/>
    <w:rsid w:val="139D25C7"/>
    <w:rsid w:val="13BF3CE4"/>
    <w:rsid w:val="13C16461"/>
    <w:rsid w:val="141008D8"/>
    <w:rsid w:val="14125FE6"/>
    <w:rsid w:val="146D271E"/>
    <w:rsid w:val="14982588"/>
    <w:rsid w:val="149A5AD9"/>
    <w:rsid w:val="14A7619D"/>
    <w:rsid w:val="150536C3"/>
    <w:rsid w:val="150C1963"/>
    <w:rsid w:val="151447A0"/>
    <w:rsid w:val="154A6454"/>
    <w:rsid w:val="15762120"/>
    <w:rsid w:val="157E7817"/>
    <w:rsid w:val="16A8729C"/>
    <w:rsid w:val="16B33777"/>
    <w:rsid w:val="16BC70A7"/>
    <w:rsid w:val="16C6339E"/>
    <w:rsid w:val="172F2D79"/>
    <w:rsid w:val="17557BEF"/>
    <w:rsid w:val="17D26762"/>
    <w:rsid w:val="17D349C1"/>
    <w:rsid w:val="1830729E"/>
    <w:rsid w:val="1870062C"/>
    <w:rsid w:val="18817102"/>
    <w:rsid w:val="18830A15"/>
    <w:rsid w:val="18852B28"/>
    <w:rsid w:val="188B5321"/>
    <w:rsid w:val="191D7F9E"/>
    <w:rsid w:val="192817FA"/>
    <w:rsid w:val="19932372"/>
    <w:rsid w:val="19A20DD5"/>
    <w:rsid w:val="19AE03F1"/>
    <w:rsid w:val="19C44917"/>
    <w:rsid w:val="1A071A03"/>
    <w:rsid w:val="1A1F16AE"/>
    <w:rsid w:val="1A3B5C77"/>
    <w:rsid w:val="1A984BAD"/>
    <w:rsid w:val="1AB8220E"/>
    <w:rsid w:val="1AE4166C"/>
    <w:rsid w:val="1AF06CFB"/>
    <w:rsid w:val="1AF11B8D"/>
    <w:rsid w:val="1B11359C"/>
    <w:rsid w:val="1B2A271F"/>
    <w:rsid w:val="1B395C34"/>
    <w:rsid w:val="1B530544"/>
    <w:rsid w:val="1B713184"/>
    <w:rsid w:val="1BA209CF"/>
    <w:rsid w:val="1BB4777D"/>
    <w:rsid w:val="1BD75AB8"/>
    <w:rsid w:val="1C0459C2"/>
    <w:rsid w:val="1C1B3B4A"/>
    <w:rsid w:val="1C566E7F"/>
    <w:rsid w:val="1C88086E"/>
    <w:rsid w:val="1D266CE1"/>
    <w:rsid w:val="1D365E56"/>
    <w:rsid w:val="1D3963AF"/>
    <w:rsid w:val="1D6A673C"/>
    <w:rsid w:val="1D9247AE"/>
    <w:rsid w:val="1D9A3602"/>
    <w:rsid w:val="1DB567EC"/>
    <w:rsid w:val="1DEF0B38"/>
    <w:rsid w:val="1DF51A98"/>
    <w:rsid w:val="1E3D060F"/>
    <w:rsid w:val="1E3F7D2E"/>
    <w:rsid w:val="1E4134E4"/>
    <w:rsid w:val="1E5062B3"/>
    <w:rsid w:val="1E523514"/>
    <w:rsid w:val="1E714A66"/>
    <w:rsid w:val="1E761259"/>
    <w:rsid w:val="1E802593"/>
    <w:rsid w:val="1EA703CC"/>
    <w:rsid w:val="1EB7330C"/>
    <w:rsid w:val="1F0A0FF3"/>
    <w:rsid w:val="1F3C1B5B"/>
    <w:rsid w:val="1F5771FF"/>
    <w:rsid w:val="1FE868A9"/>
    <w:rsid w:val="1FF422D5"/>
    <w:rsid w:val="20034907"/>
    <w:rsid w:val="20173E4B"/>
    <w:rsid w:val="204E48BC"/>
    <w:rsid w:val="208921B3"/>
    <w:rsid w:val="20973DEB"/>
    <w:rsid w:val="20B26522"/>
    <w:rsid w:val="20B44310"/>
    <w:rsid w:val="211116EB"/>
    <w:rsid w:val="216133FC"/>
    <w:rsid w:val="21795FCB"/>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17736"/>
    <w:rsid w:val="258B00E2"/>
    <w:rsid w:val="25A917A6"/>
    <w:rsid w:val="25BE27CC"/>
    <w:rsid w:val="25F74A5C"/>
    <w:rsid w:val="2628662C"/>
    <w:rsid w:val="262D45DE"/>
    <w:rsid w:val="26A53EF9"/>
    <w:rsid w:val="26A94201"/>
    <w:rsid w:val="26AC274F"/>
    <w:rsid w:val="26D17231"/>
    <w:rsid w:val="27044A29"/>
    <w:rsid w:val="271D34C8"/>
    <w:rsid w:val="272C1F8B"/>
    <w:rsid w:val="276142BF"/>
    <w:rsid w:val="27783712"/>
    <w:rsid w:val="27907362"/>
    <w:rsid w:val="279473FE"/>
    <w:rsid w:val="27F1579C"/>
    <w:rsid w:val="281B76B8"/>
    <w:rsid w:val="28333E1D"/>
    <w:rsid w:val="28454BD6"/>
    <w:rsid w:val="28455253"/>
    <w:rsid w:val="28551971"/>
    <w:rsid w:val="285B1C53"/>
    <w:rsid w:val="28836A4D"/>
    <w:rsid w:val="289F7086"/>
    <w:rsid w:val="28C32028"/>
    <w:rsid w:val="28CC490F"/>
    <w:rsid w:val="28DE40AA"/>
    <w:rsid w:val="28F355C4"/>
    <w:rsid w:val="29001E4B"/>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37750"/>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19173D"/>
    <w:rsid w:val="316B62D0"/>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B1D46"/>
    <w:rsid w:val="342E63AB"/>
    <w:rsid w:val="34950E68"/>
    <w:rsid w:val="34986E94"/>
    <w:rsid w:val="34AF62C9"/>
    <w:rsid w:val="34CB4388"/>
    <w:rsid w:val="34CC52D7"/>
    <w:rsid w:val="34FA6E12"/>
    <w:rsid w:val="35845BB2"/>
    <w:rsid w:val="358D5588"/>
    <w:rsid w:val="363A3B40"/>
    <w:rsid w:val="365302AE"/>
    <w:rsid w:val="36607A0A"/>
    <w:rsid w:val="366E227C"/>
    <w:rsid w:val="366F2E0D"/>
    <w:rsid w:val="3674681F"/>
    <w:rsid w:val="367B6A5C"/>
    <w:rsid w:val="36A74ADA"/>
    <w:rsid w:val="36AD60D5"/>
    <w:rsid w:val="36B224F9"/>
    <w:rsid w:val="36E9763F"/>
    <w:rsid w:val="36EC0CC9"/>
    <w:rsid w:val="373F410B"/>
    <w:rsid w:val="37521A1A"/>
    <w:rsid w:val="37EE7094"/>
    <w:rsid w:val="38296C89"/>
    <w:rsid w:val="383002EB"/>
    <w:rsid w:val="383513E6"/>
    <w:rsid w:val="38586797"/>
    <w:rsid w:val="38BC0149"/>
    <w:rsid w:val="38D87D1C"/>
    <w:rsid w:val="39636459"/>
    <w:rsid w:val="396B7F6C"/>
    <w:rsid w:val="398B4D6E"/>
    <w:rsid w:val="39B417A9"/>
    <w:rsid w:val="39DE7F87"/>
    <w:rsid w:val="39FC5695"/>
    <w:rsid w:val="3A006D8E"/>
    <w:rsid w:val="3A3651E5"/>
    <w:rsid w:val="3A744481"/>
    <w:rsid w:val="3A7A0A1C"/>
    <w:rsid w:val="3A8C7BEF"/>
    <w:rsid w:val="3A906246"/>
    <w:rsid w:val="3B2349B7"/>
    <w:rsid w:val="3B616CFF"/>
    <w:rsid w:val="3B6259F6"/>
    <w:rsid w:val="3B976654"/>
    <w:rsid w:val="3BA76330"/>
    <w:rsid w:val="3BC01EFC"/>
    <w:rsid w:val="3BCA786A"/>
    <w:rsid w:val="3BD31E2F"/>
    <w:rsid w:val="3BF15831"/>
    <w:rsid w:val="3C105946"/>
    <w:rsid w:val="3C45158A"/>
    <w:rsid w:val="3C471448"/>
    <w:rsid w:val="3C5F759A"/>
    <w:rsid w:val="3C6C525A"/>
    <w:rsid w:val="3CCE23CB"/>
    <w:rsid w:val="3CD17D17"/>
    <w:rsid w:val="3D3C7F39"/>
    <w:rsid w:val="3D440F09"/>
    <w:rsid w:val="3D4504A0"/>
    <w:rsid w:val="3D496EB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E4DF0"/>
    <w:rsid w:val="3F060E16"/>
    <w:rsid w:val="3F1D1096"/>
    <w:rsid w:val="3F2F0234"/>
    <w:rsid w:val="3F6363FE"/>
    <w:rsid w:val="3F6A5E19"/>
    <w:rsid w:val="3F756B8F"/>
    <w:rsid w:val="3F95482B"/>
    <w:rsid w:val="4019356B"/>
    <w:rsid w:val="40592157"/>
    <w:rsid w:val="406E1CAE"/>
    <w:rsid w:val="40A0133A"/>
    <w:rsid w:val="40C31A53"/>
    <w:rsid w:val="40FF545D"/>
    <w:rsid w:val="410067C8"/>
    <w:rsid w:val="41210759"/>
    <w:rsid w:val="418F0D2A"/>
    <w:rsid w:val="41D01505"/>
    <w:rsid w:val="42474939"/>
    <w:rsid w:val="424C3C57"/>
    <w:rsid w:val="42613FF3"/>
    <w:rsid w:val="42660D96"/>
    <w:rsid w:val="428667D2"/>
    <w:rsid w:val="42CD1CE0"/>
    <w:rsid w:val="42E11043"/>
    <w:rsid w:val="42E1381E"/>
    <w:rsid w:val="42E64850"/>
    <w:rsid w:val="42ED6459"/>
    <w:rsid w:val="42FE58DD"/>
    <w:rsid w:val="43174B3D"/>
    <w:rsid w:val="434B790E"/>
    <w:rsid w:val="4360274F"/>
    <w:rsid w:val="43977AB6"/>
    <w:rsid w:val="43A3342B"/>
    <w:rsid w:val="43C77C27"/>
    <w:rsid w:val="43CF0940"/>
    <w:rsid w:val="43DE09EE"/>
    <w:rsid w:val="44002FAD"/>
    <w:rsid w:val="444D54F0"/>
    <w:rsid w:val="449101DD"/>
    <w:rsid w:val="44DE1391"/>
    <w:rsid w:val="451B225C"/>
    <w:rsid w:val="452410C9"/>
    <w:rsid w:val="45317DFB"/>
    <w:rsid w:val="454A5318"/>
    <w:rsid w:val="456D3CE4"/>
    <w:rsid w:val="4579042C"/>
    <w:rsid w:val="457F0571"/>
    <w:rsid w:val="45851176"/>
    <w:rsid w:val="45927E77"/>
    <w:rsid w:val="45A54224"/>
    <w:rsid w:val="45C63B94"/>
    <w:rsid w:val="460D5750"/>
    <w:rsid w:val="460E7DA5"/>
    <w:rsid w:val="46422483"/>
    <w:rsid w:val="4659254A"/>
    <w:rsid w:val="465B0637"/>
    <w:rsid w:val="465E3F0D"/>
    <w:rsid w:val="466A16E6"/>
    <w:rsid w:val="46893F2B"/>
    <w:rsid w:val="46C4686E"/>
    <w:rsid w:val="46C73B51"/>
    <w:rsid w:val="47255440"/>
    <w:rsid w:val="477B778F"/>
    <w:rsid w:val="478203EC"/>
    <w:rsid w:val="47B025FA"/>
    <w:rsid w:val="4809698F"/>
    <w:rsid w:val="4811697D"/>
    <w:rsid w:val="48314A22"/>
    <w:rsid w:val="487A3E25"/>
    <w:rsid w:val="48825891"/>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C10C7"/>
    <w:rsid w:val="4B707271"/>
    <w:rsid w:val="4B9739F7"/>
    <w:rsid w:val="4BEE2503"/>
    <w:rsid w:val="4C245A30"/>
    <w:rsid w:val="4CB6685F"/>
    <w:rsid w:val="4CC367FE"/>
    <w:rsid w:val="4D077F3C"/>
    <w:rsid w:val="4D123355"/>
    <w:rsid w:val="4D2A3B31"/>
    <w:rsid w:val="4D312C52"/>
    <w:rsid w:val="4D785452"/>
    <w:rsid w:val="4D905305"/>
    <w:rsid w:val="4D964A72"/>
    <w:rsid w:val="4D9C1254"/>
    <w:rsid w:val="4DF41C64"/>
    <w:rsid w:val="4E793892"/>
    <w:rsid w:val="4E800872"/>
    <w:rsid w:val="4EC569ED"/>
    <w:rsid w:val="4ED50EA1"/>
    <w:rsid w:val="4EDE5BC3"/>
    <w:rsid w:val="4EEC050C"/>
    <w:rsid w:val="4F104EC3"/>
    <w:rsid w:val="4F47354A"/>
    <w:rsid w:val="4F911C54"/>
    <w:rsid w:val="4FE625E0"/>
    <w:rsid w:val="5021480F"/>
    <w:rsid w:val="50962ECB"/>
    <w:rsid w:val="50A42E38"/>
    <w:rsid w:val="50A4577F"/>
    <w:rsid w:val="50B73D1F"/>
    <w:rsid w:val="50BD5BC9"/>
    <w:rsid w:val="50C11EEE"/>
    <w:rsid w:val="50C92078"/>
    <w:rsid w:val="50E97CFC"/>
    <w:rsid w:val="50FA4028"/>
    <w:rsid w:val="510D65B7"/>
    <w:rsid w:val="511157AB"/>
    <w:rsid w:val="5142540C"/>
    <w:rsid w:val="518832C8"/>
    <w:rsid w:val="51A0432A"/>
    <w:rsid w:val="51A86090"/>
    <w:rsid w:val="51B7396D"/>
    <w:rsid w:val="522E4CC3"/>
    <w:rsid w:val="523621EC"/>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C4CE0"/>
    <w:rsid w:val="55DC29B6"/>
    <w:rsid w:val="55DD4241"/>
    <w:rsid w:val="55F8212E"/>
    <w:rsid w:val="56222D4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1482F"/>
    <w:rsid w:val="57D675AB"/>
    <w:rsid w:val="57D95FDD"/>
    <w:rsid w:val="582E3475"/>
    <w:rsid w:val="58917D2F"/>
    <w:rsid w:val="5894085C"/>
    <w:rsid w:val="58AE4F0C"/>
    <w:rsid w:val="58B85899"/>
    <w:rsid w:val="58E363A9"/>
    <w:rsid w:val="595E1678"/>
    <w:rsid w:val="596D5BD4"/>
    <w:rsid w:val="59771406"/>
    <w:rsid w:val="597E3DD8"/>
    <w:rsid w:val="59F80043"/>
    <w:rsid w:val="5A09252F"/>
    <w:rsid w:val="5A0B2778"/>
    <w:rsid w:val="5A174F19"/>
    <w:rsid w:val="5A2A7C7B"/>
    <w:rsid w:val="5A3E2560"/>
    <w:rsid w:val="5A5D3B6E"/>
    <w:rsid w:val="5A637A76"/>
    <w:rsid w:val="5A6D33BA"/>
    <w:rsid w:val="5A792B1F"/>
    <w:rsid w:val="5A820063"/>
    <w:rsid w:val="5A874767"/>
    <w:rsid w:val="5AAD6F28"/>
    <w:rsid w:val="5AD63A24"/>
    <w:rsid w:val="5B2E1A1D"/>
    <w:rsid w:val="5B843A1C"/>
    <w:rsid w:val="5B873E3F"/>
    <w:rsid w:val="5C02690E"/>
    <w:rsid w:val="5C196DA7"/>
    <w:rsid w:val="5C2A048C"/>
    <w:rsid w:val="5C5654C3"/>
    <w:rsid w:val="5C80234E"/>
    <w:rsid w:val="5C8A680C"/>
    <w:rsid w:val="5CAB1AF3"/>
    <w:rsid w:val="5D0C4701"/>
    <w:rsid w:val="5D0F0395"/>
    <w:rsid w:val="5D221076"/>
    <w:rsid w:val="5D397964"/>
    <w:rsid w:val="5D5A0E23"/>
    <w:rsid w:val="5D5A391C"/>
    <w:rsid w:val="5D5F10C0"/>
    <w:rsid w:val="5D891B7B"/>
    <w:rsid w:val="5DAD38EE"/>
    <w:rsid w:val="5E006862"/>
    <w:rsid w:val="5E0207B9"/>
    <w:rsid w:val="5E1834A1"/>
    <w:rsid w:val="5E261785"/>
    <w:rsid w:val="5E337FF2"/>
    <w:rsid w:val="5E4A7017"/>
    <w:rsid w:val="5E552BBA"/>
    <w:rsid w:val="5E611C10"/>
    <w:rsid w:val="5EFC7377"/>
    <w:rsid w:val="5F06174D"/>
    <w:rsid w:val="5F3A3602"/>
    <w:rsid w:val="5F6277C6"/>
    <w:rsid w:val="5F6D0B1D"/>
    <w:rsid w:val="5F8D0B82"/>
    <w:rsid w:val="5FCC5339"/>
    <w:rsid w:val="5FE34A5B"/>
    <w:rsid w:val="5FFE1E36"/>
    <w:rsid w:val="60083B32"/>
    <w:rsid w:val="60232584"/>
    <w:rsid w:val="607330CE"/>
    <w:rsid w:val="60825176"/>
    <w:rsid w:val="609F2AC4"/>
    <w:rsid w:val="60A93E66"/>
    <w:rsid w:val="60FA2EE8"/>
    <w:rsid w:val="61054A27"/>
    <w:rsid w:val="610A52BC"/>
    <w:rsid w:val="611D2366"/>
    <w:rsid w:val="61421856"/>
    <w:rsid w:val="614C5166"/>
    <w:rsid w:val="615227C4"/>
    <w:rsid w:val="61654E3F"/>
    <w:rsid w:val="6182292A"/>
    <w:rsid w:val="619F7F92"/>
    <w:rsid w:val="61F94C26"/>
    <w:rsid w:val="62000E56"/>
    <w:rsid w:val="624F3E49"/>
    <w:rsid w:val="62632286"/>
    <w:rsid w:val="62885958"/>
    <w:rsid w:val="62F40B65"/>
    <w:rsid w:val="62FB6C04"/>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902E5"/>
    <w:rsid w:val="66195831"/>
    <w:rsid w:val="662E75B1"/>
    <w:rsid w:val="66342C2E"/>
    <w:rsid w:val="663E784C"/>
    <w:rsid w:val="668B6A45"/>
    <w:rsid w:val="672F3F24"/>
    <w:rsid w:val="673E055F"/>
    <w:rsid w:val="674160EB"/>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F0917"/>
    <w:rsid w:val="68E937A3"/>
    <w:rsid w:val="693E15D3"/>
    <w:rsid w:val="694A15CE"/>
    <w:rsid w:val="69627681"/>
    <w:rsid w:val="6977531D"/>
    <w:rsid w:val="69CC2BFF"/>
    <w:rsid w:val="69D42310"/>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034E5"/>
    <w:rsid w:val="6C8C67B7"/>
    <w:rsid w:val="6C9D744C"/>
    <w:rsid w:val="6C9F2CF6"/>
    <w:rsid w:val="6D167928"/>
    <w:rsid w:val="6D26299B"/>
    <w:rsid w:val="6D4772EC"/>
    <w:rsid w:val="6D9078AF"/>
    <w:rsid w:val="6DAA3FEF"/>
    <w:rsid w:val="6DC0172B"/>
    <w:rsid w:val="6DCB690C"/>
    <w:rsid w:val="6DD41A5B"/>
    <w:rsid w:val="6DD778D7"/>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ED1C9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42701"/>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50781"/>
    <w:rsid w:val="79477FD1"/>
    <w:rsid w:val="797E66A9"/>
    <w:rsid w:val="79A97383"/>
    <w:rsid w:val="79CD6A95"/>
    <w:rsid w:val="79E27E8B"/>
    <w:rsid w:val="79F850CE"/>
    <w:rsid w:val="79FD443C"/>
    <w:rsid w:val="7A0304D2"/>
    <w:rsid w:val="7A1D1975"/>
    <w:rsid w:val="7A3E5150"/>
    <w:rsid w:val="7A4670D6"/>
    <w:rsid w:val="7A534B63"/>
    <w:rsid w:val="7A615382"/>
    <w:rsid w:val="7A67303B"/>
    <w:rsid w:val="7AAB1D04"/>
    <w:rsid w:val="7ABA4368"/>
    <w:rsid w:val="7AD05746"/>
    <w:rsid w:val="7AFA7058"/>
    <w:rsid w:val="7B257FFD"/>
    <w:rsid w:val="7B343476"/>
    <w:rsid w:val="7B5A2978"/>
    <w:rsid w:val="7B5A7E4C"/>
    <w:rsid w:val="7B667AF9"/>
    <w:rsid w:val="7B7468F8"/>
    <w:rsid w:val="7BEE0103"/>
    <w:rsid w:val="7C0A0FE4"/>
    <w:rsid w:val="7C254906"/>
    <w:rsid w:val="7C590818"/>
    <w:rsid w:val="7C7C10F6"/>
    <w:rsid w:val="7C853BEA"/>
    <w:rsid w:val="7C881368"/>
    <w:rsid w:val="7CAA58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3123F"/>
    <w:rsid w:val="7F886E69"/>
    <w:rsid w:val="7F8A5140"/>
    <w:rsid w:val="7FF770A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2"/>
    <w:qFormat/>
    <w:uiPriority w:val="0"/>
    <w:pPr>
      <w:spacing w:line="480" w:lineRule="exact"/>
      <w:ind w:firstLine="480" w:firstLineChars="200"/>
    </w:pPr>
    <w:rPr>
      <w:rFonts w:ascii="宋体" w:hAnsi="宋体"/>
      <w:sz w:val="24"/>
    </w:rPr>
  </w:style>
  <w:style w:type="paragraph" w:styleId="3">
    <w:name w:val="List Number"/>
    <w:basedOn w:val="1"/>
    <w:next w:val="4"/>
    <w:qFormat/>
    <w:uiPriority w:val="0"/>
    <w:pPr>
      <w:widowControl/>
      <w:tabs>
        <w:tab w:val="left" w:pos="390"/>
        <w:tab w:val="left" w:pos="454"/>
      </w:tabs>
      <w:adjustRightInd/>
      <w:spacing w:after="156" w:afterLines="50"/>
      <w:ind w:left="454" w:hanging="284"/>
      <w:jc w:val="left"/>
    </w:pPr>
    <w:rPr>
      <w:kern w:val="0"/>
      <w:sz w:val="24"/>
      <w:szCs w:val="20"/>
    </w:rPr>
  </w:style>
  <w:style w:type="paragraph" w:styleId="4">
    <w:name w:val="Balloon Text"/>
    <w:basedOn w:val="1"/>
    <w:next w:val="5"/>
    <w:link w:val="185"/>
    <w:qFormat/>
    <w:uiPriority w:val="0"/>
    <w:rPr>
      <w:sz w:val="18"/>
      <w:szCs w:val="18"/>
    </w:rPr>
  </w:style>
  <w:style w:type="paragraph" w:styleId="5">
    <w:name w:val="toc 8"/>
    <w:basedOn w:val="1"/>
    <w:next w:val="1"/>
    <w:qFormat/>
    <w:uiPriority w:val="0"/>
    <w:pPr>
      <w:ind w:left="2940" w:leftChars="14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link w:val="93"/>
    <w:qFormat/>
    <w:uiPriority w:val="0"/>
    <w:rPr>
      <w:b/>
      <w:bCs/>
    </w:rPr>
  </w:style>
  <w:style w:type="paragraph" w:styleId="60">
    <w:name w:val="Body Text First Indent"/>
    <w:basedOn w:val="26"/>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7"/>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6"/>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7"/>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8"/>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8"/>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6"/>
    <w:qFormat/>
    <w:uiPriority w:val="0"/>
    <w:pPr>
      <w:tabs>
        <w:tab w:val="left" w:pos="840"/>
      </w:tabs>
      <w:adjustRightInd/>
      <w:ind w:left="840" w:hanging="420"/>
    </w:pPr>
  </w:style>
  <w:style w:type="paragraph" w:customStyle="1" w:styleId="623">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8"/>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8"/>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3"/>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6"/>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118</Pages>
  <Words>61324</Words>
  <Characters>64465</Characters>
  <Lines>287</Lines>
  <Paragraphs>81</Paragraphs>
  <TotalTime>362</TotalTime>
  <ScaleCrop>false</ScaleCrop>
  <LinksUpToDate>false</LinksUpToDate>
  <CharactersWithSpaces>73627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Reset</cp:lastModifiedBy>
  <cp:lastPrinted>2021-12-27T03:06:00Z</cp:lastPrinted>
  <dcterms:modified xsi:type="dcterms:W3CDTF">2022-05-05T05:59:47Z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