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sz w:val="24"/>
        </w:rPr>
      </w:pPr>
    </w:p>
    <w:p>
      <w:pPr>
        <w:adjustRightInd/>
        <w:spacing w:line="360" w:lineRule="auto"/>
        <w:jc w:val="both"/>
        <w:rPr>
          <w:rFonts w:hint="eastAsia" w:ascii="宋体" w:hAnsi="宋体" w:eastAsia="宋体" w:cs="宋体"/>
          <w:b/>
          <w:sz w:val="48"/>
          <w:szCs w:val="48"/>
        </w:rPr>
      </w:pPr>
    </w:p>
    <w:p>
      <w:pPr>
        <w:adjustRightInd/>
        <w:spacing w:line="360" w:lineRule="auto"/>
        <w:jc w:val="both"/>
        <w:rPr>
          <w:rFonts w:hint="eastAsia" w:ascii="宋体" w:hAnsi="宋体" w:eastAsia="宋体" w:cs="宋体"/>
          <w:b/>
          <w:bCs/>
          <w:sz w:val="48"/>
          <w:szCs w:val="48"/>
        </w:rPr>
      </w:pPr>
      <w:r>
        <w:rPr>
          <w:rFonts w:hint="eastAsia" w:ascii="宋体" w:hAnsi="宋体" w:eastAsia="宋体" w:cs="宋体"/>
          <w:b/>
          <w:bCs/>
          <w:sz w:val="48"/>
          <w:szCs w:val="48"/>
        </w:rPr>
        <w:t>龙岗污水处理厂提标改造工程——设备工程</w:t>
      </w:r>
    </w:p>
    <w:p>
      <w:pPr>
        <w:adjustRightInd/>
        <w:spacing w:line="360" w:lineRule="auto"/>
        <w:jc w:val="center"/>
        <w:rPr>
          <w:rFonts w:hint="eastAsia" w:ascii="宋体" w:hAnsi="宋体" w:eastAsia="宋体" w:cs="宋体"/>
          <w:b/>
          <w:bCs/>
          <w:sz w:val="48"/>
          <w:szCs w:val="48"/>
        </w:rPr>
      </w:pPr>
      <w:r>
        <w:rPr>
          <w:rFonts w:hint="eastAsia" w:ascii="宋体" w:hAnsi="宋体" w:eastAsia="宋体" w:cs="宋体"/>
          <w:b/>
          <w:bCs/>
          <w:sz w:val="48"/>
          <w:szCs w:val="48"/>
        </w:rPr>
        <w:t>招标文件</w:t>
      </w:r>
    </w:p>
    <w:p>
      <w:pPr>
        <w:adjustRightInd/>
        <w:spacing w:line="360" w:lineRule="auto"/>
        <w:jc w:val="center"/>
        <w:rPr>
          <w:rFonts w:hint="eastAsia" w:ascii="宋体" w:hAnsi="宋体" w:eastAsia="宋体" w:cs="宋体"/>
          <w:b/>
          <w:sz w:val="44"/>
          <w:szCs w:val="44"/>
        </w:rPr>
      </w:pPr>
      <w:r>
        <w:rPr>
          <w:rFonts w:hint="eastAsia" w:ascii="宋体" w:hAnsi="宋体" w:eastAsia="宋体" w:cs="宋体"/>
          <w:b/>
          <w:sz w:val="44"/>
          <w:szCs w:val="44"/>
        </w:rPr>
        <w:t>（电子招投标）</w:t>
      </w:r>
    </w:p>
    <w:p>
      <w:pPr>
        <w:snapToGrid w:val="0"/>
        <w:spacing w:line="360" w:lineRule="auto"/>
        <w:jc w:val="center"/>
        <w:rPr>
          <w:rFonts w:hint="eastAsia" w:ascii="宋体" w:hAnsi="宋体" w:eastAsia="宋体" w:cs="宋体"/>
          <w:sz w:val="32"/>
          <w:szCs w:val="32"/>
          <w:lang w:val="en-US" w:eastAsia="zh-CN"/>
        </w:rPr>
      </w:pPr>
      <w:r>
        <w:rPr>
          <w:rFonts w:hint="eastAsia" w:ascii="宋体" w:hAnsi="宋体" w:cs="宋体"/>
          <w:sz w:val="32"/>
          <w:szCs w:val="32"/>
          <w:lang w:eastAsia="zh-CN"/>
        </w:rPr>
        <w:t>（</w:t>
      </w:r>
      <w:r>
        <w:rPr>
          <w:rFonts w:hint="eastAsia" w:ascii="宋体" w:hAnsi="宋体" w:eastAsia="宋体" w:cs="宋体"/>
          <w:sz w:val="32"/>
          <w:szCs w:val="32"/>
        </w:rPr>
        <w:t>编号:</w:t>
      </w:r>
      <w:r>
        <w:rPr>
          <w:rFonts w:hint="eastAsia" w:ascii="宋体" w:hAnsi="宋体" w:cs="宋体"/>
          <w:sz w:val="32"/>
          <w:szCs w:val="32"/>
          <w:lang w:val="en-US" w:eastAsia="zh-CN"/>
        </w:rPr>
        <w:t>ZD</w:t>
      </w:r>
      <w:r>
        <w:rPr>
          <w:rFonts w:hint="eastAsia" w:ascii="宋体" w:hAnsi="宋体" w:eastAsia="宋体" w:cs="宋体"/>
          <w:sz w:val="32"/>
          <w:szCs w:val="32"/>
          <w:lang w:val="en-US" w:eastAsia="zh-CN"/>
        </w:rPr>
        <w:t>LA（2022）005号</w:t>
      </w:r>
      <w:r>
        <w:rPr>
          <w:rFonts w:hint="eastAsia" w:ascii="宋体" w:hAnsi="宋体" w:cs="宋体"/>
          <w:sz w:val="32"/>
          <w:szCs w:val="32"/>
          <w:lang w:val="en-US" w:eastAsia="zh-CN"/>
        </w:rPr>
        <w:t>）</w:t>
      </w:r>
    </w:p>
    <w:p>
      <w:pPr>
        <w:adjustRightInd/>
        <w:spacing w:line="360" w:lineRule="auto"/>
        <w:rPr>
          <w:rFonts w:hint="eastAsia" w:ascii="宋体" w:hAnsi="宋体" w:eastAsia="宋体" w:cs="宋体"/>
          <w:sz w:val="28"/>
          <w:szCs w:val="20"/>
        </w:rPr>
      </w:pPr>
    </w:p>
    <w:p>
      <w:pPr>
        <w:spacing w:line="360" w:lineRule="auto"/>
        <w:jc w:val="center"/>
        <w:rPr>
          <w:rFonts w:hint="eastAsia" w:ascii="宋体" w:hAnsi="宋体" w:eastAsia="宋体" w:cs="宋体"/>
          <w:b/>
          <w:sz w:val="44"/>
          <w:szCs w:val="44"/>
        </w:rPr>
      </w:pPr>
      <w:r>
        <w:rPr>
          <w:rFonts w:hint="eastAsia" w:ascii="宋体" w:hAnsi="宋体" w:eastAsia="宋体" w:cs="宋体"/>
          <w:b/>
          <w:sz w:val="44"/>
          <w:szCs w:val="44"/>
        </w:rPr>
        <w:t xml:space="preserve"> </w:t>
      </w:r>
    </w:p>
    <w:p>
      <w:pPr>
        <w:spacing w:line="360" w:lineRule="auto"/>
        <w:jc w:val="center"/>
        <w:rPr>
          <w:rFonts w:hint="eastAsia" w:ascii="宋体" w:hAnsi="宋体" w:eastAsia="宋体" w:cs="宋体"/>
          <w:b/>
          <w:sz w:val="44"/>
          <w:szCs w:val="44"/>
        </w:rPr>
      </w:pPr>
    </w:p>
    <w:p>
      <w:pPr>
        <w:spacing w:line="360" w:lineRule="auto"/>
        <w:jc w:val="center"/>
        <w:rPr>
          <w:rFonts w:hint="eastAsia" w:ascii="宋体" w:hAnsi="宋体" w:eastAsia="宋体" w:cs="宋体"/>
          <w:sz w:val="24"/>
        </w:rPr>
      </w:pPr>
    </w:p>
    <w:p>
      <w:pPr>
        <w:spacing w:line="360" w:lineRule="auto"/>
        <w:jc w:val="center"/>
        <w:rPr>
          <w:rFonts w:hint="eastAsia" w:ascii="宋体" w:hAnsi="宋体" w:eastAsia="宋体" w:cs="宋体"/>
          <w:sz w:val="24"/>
        </w:rPr>
      </w:pPr>
    </w:p>
    <w:p>
      <w:pPr>
        <w:pStyle w:val="7"/>
        <w:rPr>
          <w:rFonts w:hint="eastAsia" w:ascii="宋体" w:hAnsi="宋体" w:eastAsia="宋体" w:cs="宋体"/>
          <w:sz w:val="24"/>
        </w:rPr>
      </w:pPr>
    </w:p>
    <w:p>
      <w:pPr>
        <w:rPr>
          <w:rFonts w:hint="eastAsia" w:ascii="宋体" w:hAnsi="宋体" w:eastAsia="宋体" w:cs="宋体"/>
          <w:sz w:val="24"/>
        </w:rPr>
      </w:pPr>
    </w:p>
    <w:p>
      <w:pPr>
        <w:pStyle w:val="7"/>
        <w:rPr>
          <w:rFonts w:hint="eastAsia" w:ascii="宋体" w:hAnsi="宋体" w:eastAsia="宋体" w:cs="宋体"/>
          <w:sz w:val="24"/>
        </w:rPr>
      </w:pPr>
    </w:p>
    <w:p>
      <w:pPr>
        <w:rPr>
          <w:rFonts w:hint="eastAsia"/>
        </w:rPr>
      </w:pPr>
    </w:p>
    <w:p>
      <w:pPr>
        <w:spacing w:line="360" w:lineRule="auto"/>
        <w:rPr>
          <w:rFonts w:hint="eastAsia" w:ascii="宋体" w:hAnsi="宋体" w:eastAsia="宋体" w:cs="宋体"/>
          <w:sz w:val="32"/>
          <w:szCs w:val="32"/>
        </w:rPr>
      </w:pPr>
    </w:p>
    <w:p>
      <w:pPr>
        <w:pStyle w:val="7"/>
        <w:rPr>
          <w:rFonts w:hint="eastAsia"/>
        </w:rPr>
      </w:pPr>
    </w:p>
    <w:p>
      <w:pPr>
        <w:snapToGrid w:val="0"/>
        <w:spacing w:line="360" w:lineRule="auto"/>
        <w:ind w:firstLine="1280" w:firstLineChars="400"/>
        <w:jc w:val="both"/>
        <w:rPr>
          <w:rFonts w:hint="eastAsia" w:ascii="宋体" w:hAnsi="宋体" w:eastAsia="宋体" w:cs="宋体"/>
          <w:sz w:val="32"/>
          <w:szCs w:val="32"/>
        </w:rPr>
      </w:pPr>
      <w:r>
        <w:rPr>
          <w:rFonts w:hint="eastAsia" w:ascii="宋体" w:hAnsi="宋体" w:eastAsia="宋体" w:cs="宋体"/>
          <w:sz w:val="32"/>
          <w:szCs w:val="32"/>
        </w:rPr>
        <w:t>采购单位：杭州市临安区</w:t>
      </w:r>
      <w:r>
        <w:rPr>
          <w:rFonts w:hint="eastAsia" w:ascii="宋体" w:hAnsi="宋体" w:eastAsia="宋体" w:cs="宋体"/>
          <w:sz w:val="32"/>
          <w:szCs w:val="32"/>
          <w:lang w:eastAsia="zh-CN"/>
        </w:rPr>
        <w:t>龙岗</w:t>
      </w:r>
      <w:r>
        <w:rPr>
          <w:rFonts w:hint="eastAsia" w:ascii="宋体" w:hAnsi="宋体" w:eastAsia="宋体" w:cs="宋体"/>
          <w:sz w:val="32"/>
          <w:szCs w:val="32"/>
        </w:rPr>
        <w:t>镇人民政府</w:t>
      </w:r>
    </w:p>
    <w:p>
      <w:pPr>
        <w:snapToGrid w:val="0"/>
        <w:spacing w:line="360" w:lineRule="auto"/>
        <w:ind w:firstLine="1280" w:firstLineChars="400"/>
        <w:jc w:val="both"/>
        <w:rPr>
          <w:rFonts w:hint="eastAsia" w:ascii="宋体" w:hAnsi="宋体" w:eastAsia="宋体" w:cs="宋体"/>
          <w:sz w:val="32"/>
          <w:szCs w:val="32"/>
          <w:lang w:eastAsia="zh-CN"/>
        </w:rPr>
      </w:pPr>
      <w:r>
        <w:rPr>
          <w:rFonts w:hint="eastAsia" w:ascii="宋体" w:hAnsi="宋体" w:eastAsia="宋体" w:cs="宋体"/>
          <w:sz w:val="32"/>
          <w:szCs w:val="32"/>
        </w:rPr>
        <w:t>采购机构：浙江</w:t>
      </w:r>
      <w:r>
        <w:rPr>
          <w:rFonts w:hint="eastAsia" w:ascii="宋体" w:hAnsi="宋体" w:eastAsia="宋体" w:cs="宋体"/>
          <w:sz w:val="32"/>
          <w:szCs w:val="32"/>
          <w:lang w:eastAsia="zh-CN"/>
        </w:rPr>
        <w:t>中达工程造价事务所有限公司</w:t>
      </w:r>
    </w:p>
    <w:p>
      <w:pPr>
        <w:snapToGrid w:val="0"/>
        <w:spacing w:line="360" w:lineRule="auto"/>
        <w:ind w:firstLine="1280" w:firstLineChars="400"/>
        <w:jc w:val="both"/>
        <w:rPr>
          <w:rFonts w:hint="eastAsia" w:ascii="宋体" w:hAnsi="宋体" w:eastAsia="宋体" w:cs="宋体"/>
          <w:sz w:val="32"/>
          <w:szCs w:val="32"/>
        </w:rPr>
      </w:pPr>
      <w:r>
        <w:rPr>
          <w:rFonts w:hint="eastAsia" w:ascii="宋体" w:hAnsi="宋体" w:eastAsia="宋体" w:cs="宋体"/>
          <w:sz w:val="32"/>
          <w:szCs w:val="32"/>
        </w:rPr>
        <w:t>备案单位：杭州市临安区政府采购办公室</w:t>
      </w:r>
    </w:p>
    <w:p>
      <w:pPr>
        <w:snapToGrid w:val="0"/>
        <w:spacing w:line="360" w:lineRule="auto"/>
        <w:ind w:firstLine="2560" w:firstLineChars="800"/>
        <w:jc w:val="both"/>
        <w:rPr>
          <w:rFonts w:hint="eastAsia" w:ascii="宋体" w:hAnsi="宋体" w:eastAsia="宋体" w:cs="宋体"/>
          <w:bCs/>
          <w:sz w:val="32"/>
          <w:szCs w:val="32"/>
        </w:rPr>
      </w:pPr>
      <w:r>
        <w:rPr>
          <w:rFonts w:hint="eastAsia" w:ascii="宋体" w:hAnsi="宋体" w:eastAsia="宋体" w:cs="宋体"/>
          <w:bCs/>
          <w:sz w:val="32"/>
          <w:szCs w:val="32"/>
        </w:rPr>
        <w:t>二〇二</w:t>
      </w:r>
      <w:r>
        <w:rPr>
          <w:rFonts w:hint="eastAsia" w:ascii="宋体" w:hAnsi="宋体" w:eastAsia="宋体" w:cs="宋体"/>
          <w:bCs/>
          <w:sz w:val="32"/>
          <w:szCs w:val="32"/>
          <w:lang w:eastAsia="zh-CN"/>
        </w:rPr>
        <w:t>一</w:t>
      </w:r>
      <w:r>
        <w:rPr>
          <w:rFonts w:hint="eastAsia" w:ascii="宋体" w:hAnsi="宋体" w:eastAsia="宋体" w:cs="宋体"/>
          <w:bCs/>
          <w:sz w:val="32"/>
          <w:szCs w:val="32"/>
        </w:rPr>
        <w:t>年</w:t>
      </w:r>
      <w:r>
        <w:rPr>
          <w:rFonts w:hint="eastAsia" w:ascii="宋体" w:hAnsi="宋体" w:cs="宋体"/>
          <w:bCs/>
          <w:sz w:val="32"/>
          <w:szCs w:val="32"/>
          <w:lang w:eastAsia="zh-CN"/>
        </w:rPr>
        <w:t>五</w:t>
      </w:r>
      <w:r>
        <w:rPr>
          <w:rFonts w:hint="eastAsia" w:ascii="宋体" w:hAnsi="宋体" w:eastAsia="宋体" w:cs="宋体"/>
          <w:bCs/>
          <w:sz w:val="32"/>
          <w:szCs w:val="32"/>
        </w:rPr>
        <w:t>月</w:t>
      </w:r>
      <w:r>
        <w:rPr>
          <w:rFonts w:hint="eastAsia" w:ascii="宋体" w:hAnsi="宋体" w:cs="宋体"/>
          <w:bCs/>
          <w:sz w:val="32"/>
          <w:szCs w:val="32"/>
          <w:lang w:eastAsia="zh-CN"/>
        </w:rPr>
        <w:t>五</w:t>
      </w:r>
      <w:r>
        <w:rPr>
          <w:rFonts w:hint="eastAsia" w:ascii="宋体" w:hAnsi="宋体" w:eastAsia="宋体" w:cs="宋体"/>
          <w:bCs/>
          <w:sz w:val="32"/>
          <w:szCs w:val="32"/>
        </w:rPr>
        <w:t>日</w:t>
      </w:r>
    </w:p>
    <w:p>
      <w:pPr>
        <w:spacing w:line="360" w:lineRule="auto"/>
        <w:jc w:val="center"/>
        <w:rPr>
          <w:rFonts w:hint="eastAsia" w:ascii="宋体" w:hAnsi="宋体" w:eastAsia="宋体" w:cs="宋体"/>
          <w:sz w:val="24"/>
        </w:rPr>
      </w:pPr>
      <w:r>
        <w:rPr>
          <w:rFonts w:hint="eastAsia" w:ascii="宋体" w:hAnsi="宋体" w:eastAsia="宋体" w:cs="宋体"/>
          <w:sz w:val="24"/>
        </w:rPr>
        <w:br w:type="page"/>
      </w:r>
      <w:bookmarkStart w:id="0" w:name="_Hlt67893495"/>
      <w:bookmarkEnd w:id="0"/>
    </w:p>
    <w:p>
      <w:pPr>
        <w:spacing w:line="360" w:lineRule="auto"/>
        <w:jc w:val="center"/>
        <w:rPr>
          <w:rFonts w:hint="eastAsia" w:ascii="宋体" w:hAnsi="宋体" w:eastAsia="宋体" w:cs="宋体"/>
          <w:sz w:val="24"/>
        </w:rPr>
      </w:pPr>
    </w:p>
    <w:p>
      <w:pPr>
        <w:spacing w:line="360" w:lineRule="auto"/>
        <w:jc w:val="center"/>
        <w:rPr>
          <w:rFonts w:hint="eastAsia" w:ascii="宋体" w:hAnsi="宋体" w:eastAsia="宋体" w:cs="宋体"/>
          <w:b/>
          <w:sz w:val="48"/>
          <w:szCs w:val="48"/>
        </w:rPr>
      </w:pPr>
      <w:r>
        <w:rPr>
          <w:rFonts w:hint="eastAsia" w:ascii="宋体" w:hAnsi="宋体" w:eastAsia="宋体" w:cs="宋体"/>
          <w:b/>
          <w:sz w:val="48"/>
          <w:szCs w:val="48"/>
        </w:rPr>
        <w:t>目  录</w:t>
      </w:r>
    </w:p>
    <w:p>
      <w:pPr>
        <w:spacing w:line="360" w:lineRule="auto"/>
        <w:rPr>
          <w:rFonts w:hint="eastAsia" w:ascii="宋体" w:hAnsi="宋体" w:eastAsia="宋体" w:cs="宋体"/>
          <w:sz w:val="32"/>
          <w:szCs w:val="32"/>
        </w:rPr>
      </w:pPr>
    </w:p>
    <w:p>
      <w:pPr>
        <w:spacing w:line="360" w:lineRule="auto"/>
        <w:ind w:firstLine="1280" w:firstLineChars="400"/>
        <w:rPr>
          <w:rFonts w:hint="default" w:ascii="宋体" w:hAnsi="宋体" w:eastAsia="宋体" w:cs="宋体"/>
          <w:sz w:val="32"/>
          <w:szCs w:val="32"/>
          <w:lang w:val="en-US" w:eastAsia="zh-CN"/>
        </w:rPr>
      </w:pPr>
      <w:r>
        <w:rPr>
          <w:rFonts w:hint="eastAsia" w:ascii="宋体" w:hAnsi="宋体" w:eastAsia="宋体" w:cs="宋体"/>
          <w:sz w:val="32"/>
          <w:szCs w:val="32"/>
        </w:rPr>
        <w:t xml:space="preserve">第一部分  </w:t>
      </w:r>
      <w:r>
        <w:rPr>
          <w:rFonts w:hint="eastAsia" w:ascii="宋体" w:hAnsi="宋体" w:cs="宋体"/>
          <w:sz w:val="32"/>
          <w:szCs w:val="32"/>
          <w:lang w:val="en-US" w:eastAsia="zh-CN"/>
        </w:rPr>
        <w:t xml:space="preserve">    </w:t>
      </w:r>
      <w:r>
        <w:rPr>
          <w:rFonts w:hint="eastAsia" w:ascii="宋体" w:hAnsi="宋体" w:eastAsia="宋体" w:cs="宋体"/>
          <w:sz w:val="32"/>
          <w:szCs w:val="32"/>
        </w:rPr>
        <w:t>招标公告</w:t>
      </w:r>
    </w:p>
    <w:p>
      <w:pPr>
        <w:spacing w:line="360" w:lineRule="auto"/>
        <w:ind w:firstLine="1280" w:firstLineChars="400"/>
        <w:rPr>
          <w:rFonts w:hint="eastAsia" w:ascii="宋体" w:hAnsi="宋体" w:eastAsia="宋体" w:cs="宋体"/>
          <w:sz w:val="32"/>
          <w:szCs w:val="32"/>
        </w:rPr>
      </w:pPr>
      <w:r>
        <w:rPr>
          <w:rFonts w:hint="eastAsia" w:ascii="宋体" w:hAnsi="宋体" w:eastAsia="宋体" w:cs="宋体"/>
          <w:sz w:val="32"/>
          <w:szCs w:val="32"/>
        </w:rPr>
        <w:t xml:space="preserve">第二部分  </w:t>
      </w:r>
      <w:r>
        <w:rPr>
          <w:rFonts w:hint="eastAsia" w:ascii="宋体" w:hAnsi="宋体" w:cs="宋体"/>
          <w:sz w:val="32"/>
          <w:szCs w:val="32"/>
          <w:lang w:val="en-US" w:eastAsia="zh-CN"/>
        </w:rPr>
        <w:t xml:space="preserve">    </w:t>
      </w:r>
      <w:r>
        <w:rPr>
          <w:rFonts w:hint="eastAsia" w:ascii="宋体" w:hAnsi="宋体" w:eastAsia="宋体" w:cs="宋体"/>
          <w:sz w:val="32"/>
          <w:szCs w:val="32"/>
        </w:rPr>
        <w:t>投标人须知</w:t>
      </w:r>
    </w:p>
    <w:p>
      <w:pPr>
        <w:spacing w:line="360" w:lineRule="auto"/>
        <w:ind w:firstLine="1280" w:firstLineChars="400"/>
        <w:rPr>
          <w:rFonts w:hint="eastAsia" w:ascii="宋体" w:hAnsi="宋体" w:eastAsia="宋体" w:cs="宋体"/>
          <w:sz w:val="32"/>
          <w:szCs w:val="32"/>
        </w:rPr>
      </w:pPr>
      <w:r>
        <w:rPr>
          <w:rFonts w:hint="eastAsia" w:ascii="宋体" w:hAnsi="宋体" w:eastAsia="宋体" w:cs="宋体"/>
          <w:sz w:val="32"/>
          <w:szCs w:val="32"/>
        </w:rPr>
        <w:t xml:space="preserve">第三部分  </w:t>
      </w:r>
      <w:r>
        <w:rPr>
          <w:rFonts w:hint="eastAsia" w:ascii="宋体" w:hAnsi="宋体" w:cs="宋体"/>
          <w:sz w:val="32"/>
          <w:szCs w:val="32"/>
          <w:lang w:val="en-US" w:eastAsia="zh-CN"/>
        </w:rPr>
        <w:t xml:space="preserve">    </w:t>
      </w:r>
      <w:r>
        <w:rPr>
          <w:rFonts w:hint="eastAsia" w:ascii="宋体" w:hAnsi="宋体" w:eastAsia="宋体" w:cs="宋体"/>
          <w:sz w:val="32"/>
          <w:szCs w:val="32"/>
        </w:rPr>
        <w:t>采购需求</w:t>
      </w:r>
    </w:p>
    <w:p>
      <w:pPr>
        <w:spacing w:line="360" w:lineRule="auto"/>
        <w:ind w:firstLine="1280" w:firstLineChars="400"/>
        <w:rPr>
          <w:rFonts w:hint="eastAsia" w:ascii="宋体" w:hAnsi="宋体" w:eastAsia="宋体" w:cs="宋体"/>
          <w:sz w:val="32"/>
          <w:szCs w:val="32"/>
        </w:rPr>
      </w:pPr>
      <w:r>
        <w:rPr>
          <w:rFonts w:hint="eastAsia" w:ascii="宋体" w:hAnsi="宋体" w:eastAsia="宋体" w:cs="宋体"/>
          <w:sz w:val="32"/>
          <w:szCs w:val="32"/>
        </w:rPr>
        <w:t xml:space="preserve">第四部分  </w:t>
      </w:r>
      <w:r>
        <w:rPr>
          <w:rFonts w:hint="eastAsia" w:ascii="宋体" w:hAnsi="宋体" w:cs="宋体"/>
          <w:sz w:val="32"/>
          <w:szCs w:val="32"/>
          <w:lang w:val="en-US" w:eastAsia="zh-CN"/>
        </w:rPr>
        <w:t xml:space="preserve">    </w:t>
      </w:r>
      <w:r>
        <w:rPr>
          <w:rFonts w:hint="eastAsia" w:ascii="宋体" w:hAnsi="宋体" w:eastAsia="宋体" w:cs="宋体"/>
          <w:sz w:val="32"/>
          <w:szCs w:val="32"/>
        </w:rPr>
        <w:t>评标办法</w:t>
      </w:r>
    </w:p>
    <w:p>
      <w:pPr>
        <w:spacing w:line="360" w:lineRule="auto"/>
        <w:ind w:firstLine="1280" w:firstLineChars="400"/>
        <w:rPr>
          <w:rFonts w:hint="eastAsia" w:ascii="宋体" w:hAnsi="宋体" w:eastAsia="宋体" w:cs="宋体"/>
          <w:sz w:val="32"/>
          <w:szCs w:val="32"/>
          <w:lang w:val="en-US" w:eastAsia="zh-CN"/>
        </w:rPr>
      </w:pPr>
      <w:r>
        <w:rPr>
          <w:rFonts w:hint="eastAsia" w:ascii="宋体" w:hAnsi="宋体" w:eastAsia="宋体" w:cs="宋体"/>
          <w:sz w:val="32"/>
          <w:szCs w:val="32"/>
        </w:rPr>
        <w:t xml:space="preserve">第五部分 </w:t>
      </w:r>
      <w:r>
        <w:rPr>
          <w:rFonts w:hint="eastAsia" w:ascii="宋体" w:hAnsi="宋体" w:cs="宋体"/>
          <w:sz w:val="32"/>
          <w:szCs w:val="32"/>
          <w:lang w:val="en-US" w:eastAsia="zh-CN"/>
        </w:rPr>
        <w:t xml:space="preserve">    </w:t>
      </w:r>
      <w:r>
        <w:rPr>
          <w:rFonts w:hint="eastAsia" w:ascii="宋体" w:hAnsi="宋体" w:eastAsia="宋体" w:cs="宋体"/>
          <w:sz w:val="32"/>
          <w:szCs w:val="32"/>
        </w:rPr>
        <w:t xml:space="preserve"> 拟签订的合同文本</w:t>
      </w:r>
    </w:p>
    <w:p>
      <w:pPr>
        <w:spacing w:line="360" w:lineRule="auto"/>
        <w:ind w:firstLine="1280" w:firstLineChars="400"/>
        <w:rPr>
          <w:rFonts w:hint="default" w:ascii="宋体" w:hAnsi="宋体" w:eastAsia="宋体" w:cs="宋体"/>
          <w:sz w:val="32"/>
          <w:szCs w:val="32"/>
          <w:lang w:val="en-US" w:eastAsia="zh-CN"/>
        </w:rPr>
      </w:pPr>
      <w:r>
        <w:rPr>
          <w:rFonts w:hint="eastAsia" w:ascii="宋体" w:hAnsi="宋体" w:eastAsia="宋体" w:cs="宋体"/>
          <w:sz w:val="32"/>
          <w:szCs w:val="32"/>
        </w:rPr>
        <w:t xml:space="preserve">第六部分  </w:t>
      </w:r>
      <w:r>
        <w:rPr>
          <w:rFonts w:hint="eastAsia" w:ascii="宋体" w:hAnsi="宋体" w:cs="宋体"/>
          <w:sz w:val="32"/>
          <w:szCs w:val="32"/>
          <w:lang w:val="en-US" w:eastAsia="zh-CN"/>
        </w:rPr>
        <w:t xml:space="preserve">    </w:t>
      </w:r>
      <w:r>
        <w:rPr>
          <w:rFonts w:hint="eastAsia" w:ascii="宋体" w:hAnsi="宋体" w:eastAsia="宋体" w:cs="宋体"/>
          <w:sz w:val="32"/>
          <w:szCs w:val="32"/>
        </w:rPr>
        <w:t>应提交的有关格式范例</w:t>
      </w:r>
    </w:p>
    <w:p>
      <w:pPr>
        <w:spacing w:line="360" w:lineRule="auto"/>
        <w:ind w:firstLine="549" w:firstLineChars="229"/>
        <w:rPr>
          <w:rFonts w:hint="eastAsia" w:ascii="宋体" w:hAnsi="宋体" w:eastAsia="宋体" w:cs="宋体"/>
          <w:sz w:val="24"/>
        </w:rPr>
      </w:pPr>
      <w:bookmarkStart w:id="1" w:name="_Hlt91233176"/>
      <w:bookmarkEnd w:id="1"/>
      <w:bookmarkStart w:id="2" w:name="_Toc91899869"/>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rPr>
          <w:rFonts w:hint="eastAsia" w:ascii="宋体" w:hAnsi="宋体" w:eastAsia="宋体" w:cs="宋体"/>
          <w:sz w:val="24"/>
        </w:rPr>
      </w:pPr>
    </w:p>
    <w:p>
      <w:pPr>
        <w:adjustRightInd/>
        <w:spacing w:line="360" w:lineRule="auto"/>
        <w:jc w:val="center"/>
        <w:outlineLvl w:val="0"/>
        <w:rPr>
          <w:rFonts w:hint="eastAsia" w:ascii="宋体" w:hAnsi="宋体" w:eastAsia="宋体" w:cs="宋体"/>
          <w:b/>
          <w:sz w:val="36"/>
          <w:szCs w:val="20"/>
        </w:rPr>
      </w:pPr>
      <w:bookmarkStart w:id="3" w:name="第一部分"/>
      <w:r>
        <w:rPr>
          <w:rFonts w:hint="eastAsia" w:ascii="宋体" w:hAnsi="宋体" w:eastAsia="宋体" w:cs="宋体"/>
          <w:b/>
          <w:sz w:val="36"/>
          <w:szCs w:val="36"/>
        </w:rPr>
        <w:br w:type="page"/>
      </w:r>
      <w:bookmarkEnd w:id="2"/>
      <w:bookmarkEnd w:id="3"/>
      <w:bookmarkStart w:id="4" w:name="_Hlt74728647"/>
      <w:bookmarkEnd w:id="4"/>
      <w:bookmarkStart w:id="5" w:name="_Hlt74649545"/>
      <w:bookmarkEnd w:id="5"/>
      <w:bookmarkStart w:id="6" w:name="_Hlt74729822"/>
      <w:bookmarkEnd w:id="6"/>
      <w:bookmarkStart w:id="7" w:name="_Hlt74707423"/>
      <w:bookmarkEnd w:id="7"/>
      <w:bookmarkStart w:id="8" w:name="第二部分"/>
      <w:bookmarkStart w:id="9" w:name="_Toc91899870"/>
      <w:bookmarkStart w:id="10" w:name="_Toc91899871"/>
      <w:r>
        <w:rPr>
          <w:rFonts w:hint="eastAsia" w:ascii="宋体" w:hAnsi="宋体" w:eastAsia="宋体" w:cs="宋体"/>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sz w:val="24"/>
        </w:rPr>
      </w:pPr>
      <w:r>
        <w:rPr>
          <w:rFonts w:hint="eastAsia" w:ascii="宋体" w:hAnsi="宋体" w:eastAsia="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sz w:val="24"/>
          <w:u w:val="single"/>
        </w:rPr>
      </w:pPr>
      <w:r>
        <w:rPr>
          <w:rFonts w:hint="eastAsia" w:ascii="宋体" w:hAnsi="宋体" w:eastAsia="宋体" w:cs="宋体"/>
          <w:sz w:val="24"/>
          <w:u w:val="single"/>
        </w:rPr>
        <w:t>龙岗污水处理厂提标改造工程——设备工程</w:t>
      </w:r>
      <w:r>
        <w:rPr>
          <w:rFonts w:hint="eastAsia" w:ascii="宋体" w:hAnsi="宋体" w:eastAsia="宋体" w:cs="宋体"/>
          <w:sz w:val="24"/>
        </w:rPr>
        <w:t>招标项目的潜在投标人应在政采云平台（</w:t>
      </w:r>
      <w:r>
        <w:rPr>
          <w:rFonts w:hint="eastAsia" w:ascii="宋体" w:hAnsi="宋体" w:eastAsia="宋体" w:cs="宋体"/>
        </w:rPr>
        <w:fldChar w:fldCharType="begin"/>
      </w:r>
      <w:r>
        <w:rPr>
          <w:rFonts w:hint="eastAsia" w:ascii="宋体" w:hAnsi="宋体" w:eastAsia="宋体" w:cs="宋体"/>
        </w:rPr>
        <w:instrText xml:space="preserve"> HYPERLINK "https://www.zcygov.cn/）获取（下载）招标文件，并于2021年" </w:instrText>
      </w:r>
      <w:r>
        <w:rPr>
          <w:rFonts w:hint="eastAsia" w:ascii="宋体" w:hAnsi="宋体" w:eastAsia="宋体" w:cs="宋体"/>
        </w:rPr>
        <w:fldChar w:fldCharType="separate"/>
      </w:r>
      <w:r>
        <w:rPr>
          <w:rStyle w:val="76"/>
          <w:rFonts w:hint="eastAsia" w:ascii="宋体" w:hAnsi="宋体" w:eastAsia="宋体" w:cs="宋体"/>
          <w:snapToGrid/>
          <w:color w:val="auto"/>
          <w:kern w:val="2"/>
          <w:sz w:val="24"/>
          <w:szCs w:val="24"/>
        </w:rPr>
        <w:t>https://www.zcygov.cn/）获取（下载）招标文件，并于</w:t>
      </w:r>
      <w:r>
        <w:rPr>
          <w:rFonts w:hint="eastAsia" w:ascii="宋体" w:hAnsi="宋体" w:eastAsia="宋体" w:cs="宋体"/>
          <w:sz w:val="24"/>
          <w:u w:val="single"/>
        </w:rPr>
        <w:t>202</w:t>
      </w:r>
      <w:r>
        <w:rPr>
          <w:rFonts w:hint="eastAsia" w:ascii="宋体" w:hAnsi="宋体" w:cs="宋体"/>
          <w:sz w:val="24"/>
          <w:u w:val="single"/>
          <w:lang w:val="en-US" w:eastAsia="zh-CN"/>
        </w:rPr>
        <w:t>2</w:t>
      </w:r>
      <w:r>
        <w:rPr>
          <w:rFonts w:hint="eastAsia" w:ascii="宋体" w:hAnsi="宋体" w:eastAsia="宋体" w:cs="宋体"/>
          <w:sz w:val="24"/>
          <w:u w:val="single"/>
        </w:rPr>
        <w:t xml:space="preserve">年 </w:t>
      </w:r>
      <w:r>
        <w:rPr>
          <w:rFonts w:hint="eastAsia" w:ascii="宋体" w:hAnsi="宋体" w:cs="宋体"/>
          <w:sz w:val="24"/>
          <w:u w:val="single"/>
          <w:lang w:val="en-US" w:eastAsia="zh-CN"/>
        </w:rPr>
        <w:t>4</w:t>
      </w:r>
      <w:r>
        <w:rPr>
          <w:rFonts w:hint="eastAsia" w:ascii="宋体" w:hAnsi="宋体" w:eastAsia="宋体" w:cs="宋体"/>
          <w:sz w:val="24"/>
          <w:u w:val="single"/>
        </w:rPr>
        <w:t xml:space="preserve">月 </w:t>
      </w:r>
      <w:r>
        <w:rPr>
          <w:rFonts w:hint="eastAsia" w:ascii="宋体" w:hAnsi="宋体" w:cs="宋体"/>
          <w:sz w:val="24"/>
          <w:u w:val="single"/>
          <w:lang w:val="en-US" w:eastAsia="zh-CN"/>
        </w:rPr>
        <w:t xml:space="preserve">26 </w:t>
      </w:r>
      <w:r>
        <w:rPr>
          <w:rFonts w:hint="eastAsia" w:ascii="宋体" w:hAnsi="宋体" w:eastAsia="宋体" w:cs="宋体"/>
          <w:sz w:val="24"/>
          <w:u w:val="single"/>
        </w:rPr>
        <w:t>日</w:t>
      </w:r>
      <w:r>
        <w:rPr>
          <w:rFonts w:hint="eastAsia" w:ascii="宋体" w:hAnsi="宋体" w:cs="宋体"/>
          <w:sz w:val="24"/>
          <w:u w:val="single"/>
          <w:lang w:val="en-US" w:eastAsia="zh-CN"/>
        </w:rPr>
        <w:t xml:space="preserve"> 14</w:t>
      </w:r>
      <w:r>
        <w:rPr>
          <w:rFonts w:hint="eastAsia" w:ascii="宋体" w:hAnsi="宋体" w:eastAsia="宋体" w:cs="宋体"/>
          <w:sz w:val="24"/>
          <w:u w:val="single"/>
        </w:rPr>
        <w:t xml:space="preserve"> 点 </w:t>
      </w:r>
      <w:r>
        <w:rPr>
          <w:rFonts w:hint="eastAsia" w:ascii="宋体" w:hAnsi="宋体" w:cs="宋体"/>
          <w:sz w:val="24"/>
          <w:u w:val="single"/>
          <w:lang w:val="en-US" w:eastAsia="zh-CN"/>
        </w:rPr>
        <w:t xml:space="preserve">00 </w:t>
      </w:r>
      <w:r>
        <w:rPr>
          <w:rFonts w:hint="eastAsia" w:ascii="宋体" w:hAnsi="宋体" w:eastAsia="宋体" w:cs="宋体"/>
          <w:sz w:val="24"/>
          <w:u w:val="single"/>
        </w:rPr>
        <w:t>分</w:t>
      </w:r>
      <w:r>
        <w:rPr>
          <w:rFonts w:hint="eastAsia" w:ascii="宋体" w:hAnsi="宋体" w:eastAsia="宋体" w:cs="宋体"/>
          <w:bCs/>
          <w:sz w:val="24"/>
          <w:u w:val="single"/>
        </w:rPr>
        <w:t>00秒</w:t>
      </w:r>
      <w:r>
        <w:rPr>
          <w:rFonts w:hint="eastAsia" w:ascii="宋体" w:hAnsi="宋体" w:eastAsia="宋体" w:cs="宋体"/>
          <w:bCs/>
          <w:sz w:val="24"/>
          <w:u w:val="single"/>
        </w:rPr>
        <w:fldChar w:fldCharType="end"/>
      </w:r>
      <w:r>
        <w:rPr>
          <w:rFonts w:hint="eastAsia" w:ascii="宋体" w:hAnsi="宋体" w:eastAsia="宋体" w:cs="宋体"/>
          <w:bCs/>
          <w:sz w:val="24"/>
        </w:rPr>
        <w:t>（北京时间）前</w:t>
      </w:r>
      <w:r>
        <w:rPr>
          <w:rFonts w:hint="eastAsia" w:ascii="宋体" w:hAnsi="宋体" w:eastAsia="宋体" w:cs="宋体"/>
          <w:sz w:val="24"/>
        </w:rPr>
        <w:t>递交（上传）投标文件。</w:t>
      </w:r>
    </w:p>
    <w:p>
      <w:pPr>
        <w:spacing w:line="360" w:lineRule="auto"/>
        <w:rPr>
          <w:rFonts w:hint="eastAsia" w:ascii="宋体" w:hAnsi="宋体" w:eastAsia="宋体" w:cs="宋体"/>
          <w:b/>
          <w:sz w:val="24"/>
        </w:rPr>
      </w:pPr>
      <w:r>
        <w:rPr>
          <w:rFonts w:hint="eastAsia" w:ascii="宋体" w:hAnsi="宋体" w:eastAsia="宋体" w:cs="宋体"/>
          <w:b/>
          <w:sz w:val="24"/>
        </w:rPr>
        <w:t>一、项目基本情况</w:t>
      </w:r>
    </w:p>
    <w:p>
      <w:pPr>
        <w:spacing w:line="360" w:lineRule="auto"/>
        <w:rPr>
          <w:rFonts w:hint="eastAsia"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b/>
          <w:sz w:val="24"/>
        </w:rPr>
        <w:t>项目编号：</w:t>
      </w:r>
      <w:r>
        <w:rPr>
          <w:rFonts w:hint="eastAsia" w:ascii="宋体" w:hAnsi="宋体" w:cs="宋体"/>
          <w:b w:val="0"/>
          <w:bCs/>
          <w:sz w:val="24"/>
          <w:lang w:val="en-US" w:eastAsia="zh-CN"/>
        </w:rPr>
        <w:t>ZD</w:t>
      </w:r>
      <w:r>
        <w:rPr>
          <w:rFonts w:hint="eastAsia" w:ascii="宋体" w:hAnsi="宋体" w:eastAsia="宋体" w:cs="宋体"/>
          <w:b w:val="0"/>
          <w:bCs/>
          <w:sz w:val="24"/>
        </w:rPr>
        <w:t>LA</w:t>
      </w:r>
      <w:r>
        <w:rPr>
          <w:rFonts w:hint="eastAsia" w:ascii="宋体" w:hAnsi="宋体" w:eastAsia="宋体" w:cs="宋体"/>
          <w:sz w:val="24"/>
        </w:rPr>
        <w:t>（2022）005号</w:t>
      </w:r>
    </w:p>
    <w:p>
      <w:pPr>
        <w:spacing w:line="360" w:lineRule="auto"/>
        <w:rPr>
          <w:rFonts w:hint="eastAsia"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b/>
          <w:sz w:val="24"/>
        </w:rPr>
        <w:t xml:space="preserve"> 项目名称：</w:t>
      </w:r>
      <w:r>
        <w:rPr>
          <w:rFonts w:hint="eastAsia" w:ascii="宋体" w:hAnsi="宋体" w:eastAsia="宋体" w:cs="宋体"/>
          <w:sz w:val="24"/>
        </w:rPr>
        <w:t>龙岗污水处理厂提标改造工程——设备工程</w:t>
      </w:r>
    </w:p>
    <w:p>
      <w:pPr>
        <w:spacing w:line="360" w:lineRule="auto"/>
        <w:rPr>
          <w:rFonts w:hint="default" w:ascii="宋体" w:hAnsi="宋体" w:eastAsia="宋体" w:cs="宋体"/>
          <w:sz w:val="24"/>
          <w:highlight w:val="green"/>
          <w:lang w:val="en-US" w:eastAsia="zh-CN"/>
        </w:rPr>
      </w:pPr>
      <w:r>
        <w:rPr>
          <w:rFonts w:hint="eastAsia" w:ascii="宋体" w:hAnsi="宋体" w:eastAsia="宋体" w:cs="宋体"/>
          <w:sz w:val="24"/>
        </w:rPr>
        <w:t xml:space="preserve">   </w:t>
      </w:r>
      <w:r>
        <w:rPr>
          <w:rFonts w:hint="eastAsia" w:ascii="宋体" w:hAnsi="宋体" w:eastAsia="宋体" w:cs="宋体"/>
          <w:b/>
          <w:sz w:val="24"/>
        </w:rPr>
        <w:t xml:space="preserve"> </w:t>
      </w:r>
      <w:r>
        <w:rPr>
          <w:rFonts w:hint="eastAsia" w:ascii="宋体" w:hAnsi="宋体" w:eastAsia="宋体" w:cs="宋体"/>
          <w:b/>
          <w:sz w:val="24"/>
          <w:highlight w:val="none"/>
        </w:rPr>
        <w:t>预算金额（</w:t>
      </w:r>
      <w:r>
        <w:rPr>
          <w:rFonts w:hint="eastAsia" w:ascii="宋体" w:hAnsi="宋体" w:cs="宋体"/>
          <w:b/>
          <w:sz w:val="24"/>
          <w:highlight w:val="none"/>
          <w:lang w:eastAsia="zh-CN"/>
        </w:rPr>
        <w:t>万</w:t>
      </w:r>
      <w:r>
        <w:rPr>
          <w:rFonts w:hint="eastAsia" w:ascii="宋体" w:hAnsi="宋体" w:eastAsia="宋体" w:cs="宋体"/>
          <w:b/>
          <w:sz w:val="24"/>
          <w:highlight w:val="none"/>
        </w:rPr>
        <w:t>元）：</w:t>
      </w:r>
      <w:r>
        <w:rPr>
          <w:rFonts w:hint="eastAsia" w:ascii="宋体" w:hAnsi="宋体" w:cs="宋体"/>
          <w:sz w:val="24"/>
          <w:highlight w:val="none"/>
          <w:lang w:val="en-US" w:eastAsia="zh-CN"/>
        </w:rPr>
        <w:t>898.8257</w:t>
      </w:r>
    </w:p>
    <w:p>
      <w:pPr>
        <w:spacing w:line="360" w:lineRule="auto"/>
        <w:ind w:firstLine="480"/>
        <w:rPr>
          <w:rFonts w:hint="eastAsia" w:ascii="宋体" w:hAnsi="宋体" w:eastAsia="宋体" w:cs="宋体"/>
          <w:sz w:val="24"/>
          <w:highlight w:val="none"/>
        </w:rPr>
      </w:pPr>
      <w:r>
        <w:rPr>
          <w:rFonts w:hint="eastAsia" w:ascii="宋体" w:hAnsi="宋体" w:eastAsia="宋体" w:cs="宋体"/>
          <w:b/>
          <w:sz w:val="24"/>
          <w:highlight w:val="none"/>
        </w:rPr>
        <w:t>最高限价（</w:t>
      </w:r>
      <w:r>
        <w:rPr>
          <w:rFonts w:hint="eastAsia" w:ascii="宋体" w:hAnsi="宋体" w:cs="宋体"/>
          <w:b/>
          <w:sz w:val="24"/>
          <w:highlight w:val="none"/>
          <w:lang w:eastAsia="zh-CN"/>
        </w:rPr>
        <w:t>万</w:t>
      </w:r>
      <w:r>
        <w:rPr>
          <w:rFonts w:hint="eastAsia" w:ascii="宋体" w:hAnsi="宋体" w:eastAsia="宋体" w:cs="宋体"/>
          <w:b/>
          <w:sz w:val="24"/>
          <w:highlight w:val="none"/>
        </w:rPr>
        <w:t>元）：</w:t>
      </w:r>
      <w:r>
        <w:rPr>
          <w:rFonts w:hint="eastAsia" w:ascii="宋体" w:hAnsi="宋体" w:eastAsia="宋体" w:cs="宋体"/>
          <w:sz w:val="24"/>
          <w:highlight w:val="none"/>
        </w:rPr>
        <w:t>898.8257</w:t>
      </w:r>
    </w:p>
    <w:p>
      <w:pPr>
        <w:pStyle w:val="18"/>
        <w:spacing w:line="360" w:lineRule="auto"/>
        <w:ind w:firstLine="480"/>
        <w:rPr>
          <w:rFonts w:hint="eastAsia" w:ascii="宋体" w:hAnsi="宋体" w:eastAsia="宋体" w:cs="宋体"/>
          <w:bCs/>
          <w:snapToGrid/>
          <w:color w:val="auto"/>
          <w:kern w:val="2"/>
          <w:sz w:val="24"/>
          <w:szCs w:val="24"/>
        </w:rPr>
      </w:pPr>
      <w:r>
        <w:rPr>
          <w:rFonts w:hint="eastAsia" w:ascii="宋体" w:hAnsi="宋体" w:eastAsia="宋体" w:cs="宋体"/>
          <w:b/>
          <w:color w:val="auto"/>
          <w:sz w:val="24"/>
        </w:rPr>
        <w:t>采购需求：</w:t>
      </w:r>
      <w:r>
        <w:rPr>
          <w:rFonts w:hint="eastAsia" w:ascii="宋体" w:hAnsi="宋体" w:eastAsia="宋体" w:cs="宋体"/>
          <w:bCs/>
          <w:snapToGrid/>
          <w:color w:val="auto"/>
          <w:kern w:val="2"/>
          <w:sz w:val="24"/>
          <w:szCs w:val="24"/>
        </w:rPr>
        <w:t>龙岗污水处理厂提标改造工程——设备工程主要内容：龙岗污水处理厂提标改造工程——设备工程位于临安区龙岗镇兴龙村，本工程主要工程内容是对原有池体、设备或管材进行更换或维护，新增和原有建构筑物的配套设备、电气、自控安装工程。详见招标文件第三部分采购需求。</w:t>
      </w:r>
    </w:p>
    <w:p>
      <w:pPr>
        <w:pStyle w:val="128"/>
        <w:ind w:firstLine="482"/>
        <w:outlineLvl w:val="2"/>
        <w:rPr>
          <w:rFonts w:hint="default" w:ascii="宋体" w:hAnsi="宋体" w:eastAsia="宋体" w:cs="宋体"/>
          <w:lang w:val="en-US" w:eastAsia="zh-CN"/>
        </w:rPr>
      </w:pPr>
      <w:r>
        <w:rPr>
          <w:rFonts w:hint="eastAsia" w:ascii="宋体" w:hAnsi="宋体" w:eastAsia="宋体" w:cs="宋体"/>
          <w:b/>
        </w:rPr>
        <w:t>合同履约期限：</w:t>
      </w:r>
      <w:r>
        <w:rPr>
          <w:rFonts w:hint="eastAsia" w:ascii="宋体" w:hAnsi="宋体" w:cs="宋体"/>
          <w:b/>
          <w:lang w:val="en-US" w:eastAsia="zh-CN"/>
        </w:rPr>
        <w:t>150日历天</w:t>
      </w:r>
      <w:bookmarkStart w:id="923" w:name="_GoBack"/>
      <w:bookmarkEnd w:id="923"/>
    </w:p>
    <w:p>
      <w:pPr>
        <w:pStyle w:val="18"/>
        <w:spacing w:line="360" w:lineRule="auto"/>
        <w:ind w:firstLine="480"/>
        <w:rPr>
          <w:rFonts w:hint="eastAsia" w:ascii="宋体" w:hAnsi="宋体" w:eastAsia="宋体" w:cs="宋体"/>
          <w:b/>
          <w:sz w:val="24"/>
        </w:rPr>
      </w:pPr>
      <w:r>
        <w:rPr>
          <w:rFonts w:hint="eastAsia" w:ascii="宋体" w:hAnsi="宋体" w:eastAsia="宋体" w:cs="宋体"/>
          <w:b/>
          <w:color w:val="auto"/>
          <w:sz w:val="24"/>
        </w:rPr>
        <w:t>本项目</w:t>
      </w:r>
      <w:r>
        <w:rPr>
          <w:rFonts w:hint="eastAsia" w:hAnsi="宋体" w:cs="宋体"/>
          <w:b/>
          <w:color w:val="auto"/>
          <w:sz w:val="24"/>
          <w:lang w:eastAsia="zh-CN"/>
        </w:rPr>
        <w:t>不</w:t>
      </w:r>
      <w:r>
        <w:rPr>
          <w:rFonts w:hint="eastAsia" w:ascii="宋体" w:hAnsi="宋体" w:eastAsia="宋体" w:cs="宋体"/>
          <w:b/>
          <w:color w:val="auto"/>
          <w:sz w:val="24"/>
        </w:rPr>
        <w:t>接受联合体投标</w:t>
      </w:r>
      <w:r>
        <w:rPr>
          <w:rFonts w:hint="eastAsia" w:ascii="宋体" w:hAnsi="宋体" w:eastAsia="宋体" w:cs="宋体"/>
          <w:color w:val="auto"/>
          <w:kern w:val="0"/>
          <w:sz w:val="24"/>
        </w:rPr>
        <w:t>。</w:t>
      </w:r>
    </w:p>
    <w:p>
      <w:pPr>
        <w:spacing w:line="360" w:lineRule="auto"/>
        <w:rPr>
          <w:rFonts w:hint="eastAsia" w:ascii="宋体" w:hAnsi="宋体" w:eastAsia="宋体" w:cs="宋体"/>
          <w:b/>
          <w:sz w:val="24"/>
        </w:rPr>
      </w:pPr>
      <w:r>
        <w:rPr>
          <w:rFonts w:hint="eastAsia" w:ascii="宋体" w:hAnsi="宋体" w:eastAsia="宋体" w:cs="宋体"/>
          <w:b/>
          <w:sz w:val="24"/>
        </w:rPr>
        <w:t>二、申请人的资格要求：</w:t>
      </w:r>
    </w:p>
    <w:p>
      <w:pPr>
        <w:spacing w:line="360" w:lineRule="auto"/>
        <w:ind w:firstLine="480"/>
        <w:rPr>
          <w:rFonts w:hint="eastAsia" w:ascii="宋体" w:hAnsi="宋体" w:eastAsia="宋体" w:cs="宋体"/>
          <w:snapToGrid w:val="0"/>
          <w:kern w:val="28"/>
          <w:sz w:val="24"/>
          <w:szCs w:val="20"/>
        </w:rPr>
      </w:pPr>
      <w:r>
        <w:rPr>
          <w:rFonts w:hint="eastAsia" w:ascii="宋体" w:hAnsi="宋体" w:eastAsia="宋体" w:cs="宋体"/>
          <w:snapToGrid w:val="0"/>
          <w:kern w:val="28"/>
          <w:sz w:val="24"/>
          <w:szCs w:val="20"/>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宋体" w:hAnsi="宋体" w:eastAsia="宋体" w:cs="宋体"/>
          <w:snapToGrid w:val="0"/>
          <w:kern w:val="28"/>
          <w:sz w:val="24"/>
          <w:szCs w:val="20"/>
          <w:lang w:eastAsia="zh-CN"/>
        </w:rPr>
      </w:pPr>
      <w:r>
        <w:rPr>
          <w:rFonts w:hint="eastAsia" w:ascii="宋体" w:hAnsi="宋体" w:eastAsia="宋体" w:cs="宋体"/>
          <w:snapToGrid w:val="0"/>
          <w:kern w:val="28"/>
          <w:sz w:val="24"/>
          <w:szCs w:val="20"/>
        </w:rPr>
        <w:t xml:space="preserve">   </w:t>
      </w:r>
      <w:r>
        <w:rPr>
          <w:rFonts w:hint="eastAsia" w:ascii="宋体" w:hAnsi="宋体" w:eastAsia="宋体" w:cs="宋体"/>
          <w:snapToGrid w:val="0"/>
          <w:kern w:val="28"/>
          <w:sz w:val="24"/>
          <w:szCs w:val="20"/>
          <w:highlight w:val="none"/>
        </w:rPr>
        <w:t xml:space="preserve"> 2.落实政府采购政策需满足的资格要求：</w:t>
      </w:r>
      <w:r>
        <w:rPr>
          <w:rFonts w:hint="eastAsia" w:ascii="宋体" w:hAnsi="宋体" w:cs="宋体"/>
          <w:snapToGrid w:val="0"/>
          <w:kern w:val="28"/>
          <w:sz w:val="24"/>
          <w:szCs w:val="20"/>
          <w:highlight w:val="none"/>
          <w:lang w:eastAsia="zh-CN"/>
        </w:rPr>
        <w:t>无</w:t>
      </w:r>
    </w:p>
    <w:p>
      <w:pPr>
        <w:spacing w:line="360" w:lineRule="auto"/>
        <w:ind w:firstLine="480"/>
        <w:rPr>
          <w:rFonts w:hint="eastAsia" w:ascii="宋体" w:hAnsi="宋体" w:eastAsia="宋体" w:cs="宋体"/>
          <w:snapToGrid w:val="0"/>
          <w:kern w:val="28"/>
          <w:sz w:val="24"/>
          <w:szCs w:val="20"/>
        </w:rPr>
      </w:pPr>
      <w:r>
        <w:rPr>
          <w:rFonts w:hint="eastAsia" w:ascii="宋体" w:hAnsi="宋体" w:eastAsia="宋体" w:cs="宋体"/>
          <w:snapToGrid w:val="0"/>
          <w:kern w:val="28"/>
          <w:sz w:val="24"/>
          <w:szCs w:val="20"/>
        </w:rPr>
        <w:t>3.本项目的特定资格要求：</w:t>
      </w:r>
    </w:p>
    <w:p>
      <w:pPr>
        <w:spacing w:line="360" w:lineRule="auto"/>
        <w:ind w:firstLine="480"/>
        <w:rPr>
          <w:rFonts w:hint="eastAsia" w:ascii="宋体" w:hAnsi="宋体" w:eastAsia="宋体" w:cs="宋体"/>
          <w:snapToGrid w:val="0"/>
          <w:kern w:val="28"/>
          <w:sz w:val="24"/>
          <w:szCs w:val="20"/>
          <w:lang w:val="en-US" w:eastAsia="zh-CN"/>
        </w:rPr>
      </w:pPr>
      <w:r>
        <w:rPr>
          <w:rFonts w:hint="eastAsia" w:ascii="宋体" w:hAnsi="宋体" w:eastAsia="宋体" w:cs="宋体"/>
          <w:snapToGrid w:val="0"/>
          <w:kern w:val="28"/>
          <w:sz w:val="24"/>
          <w:szCs w:val="20"/>
          <w:lang w:val="en-US" w:eastAsia="zh-CN"/>
        </w:rPr>
        <w:t>1、具有独立法人资格；</w:t>
      </w:r>
    </w:p>
    <w:p>
      <w:pPr>
        <w:spacing w:line="360" w:lineRule="auto"/>
        <w:ind w:firstLine="480"/>
        <w:rPr>
          <w:rFonts w:hint="eastAsia" w:ascii="宋体" w:hAnsi="宋体" w:eastAsia="宋体" w:cs="宋体"/>
          <w:snapToGrid w:val="0"/>
          <w:kern w:val="28"/>
          <w:sz w:val="24"/>
          <w:szCs w:val="20"/>
          <w:lang w:val="en-US" w:eastAsia="zh-CN"/>
        </w:rPr>
      </w:pPr>
      <w:r>
        <w:rPr>
          <w:rFonts w:hint="eastAsia" w:ascii="宋体" w:hAnsi="宋体" w:eastAsia="宋体" w:cs="宋体"/>
          <w:snapToGrid w:val="0"/>
          <w:kern w:val="28"/>
          <w:sz w:val="24"/>
          <w:szCs w:val="20"/>
          <w:lang w:val="en-US" w:eastAsia="zh-CN"/>
        </w:rPr>
        <w:t>2、供应商</w:t>
      </w:r>
      <w:r>
        <w:rPr>
          <w:rFonts w:hint="eastAsia" w:ascii="宋体" w:hAnsi="宋体" w:cs="宋体"/>
          <w:snapToGrid w:val="0"/>
          <w:kern w:val="28"/>
          <w:sz w:val="24"/>
          <w:szCs w:val="20"/>
          <w:lang w:val="en-US" w:eastAsia="zh-CN"/>
        </w:rPr>
        <w:t>应同时</w:t>
      </w:r>
      <w:r>
        <w:rPr>
          <w:rFonts w:hint="eastAsia" w:ascii="宋体" w:hAnsi="宋体" w:eastAsia="宋体" w:cs="宋体"/>
          <w:snapToGrid w:val="0"/>
          <w:kern w:val="28"/>
          <w:sz w:val="24"/>
          <w:szCs w:val="20"/>
          <w:lang w:val="en-US" w:eastAsia="zh-CN"/>
        </w:rPr>
        <w:t>具</w:t>
      </w:r>
      <w:r>
        <w:rPr>
          <w:rFonts w:hint="eastAsia" w:ascii="宋体" w:hAnsi="宋体" w:cs="宋体"/>
          <w:snapToGrid w:val="0"/>
          <w:kern w:val="28"/>
          <w:sz w:val="24"/>
          <w:szCs w:val="20"/>
          <w:lang w:val="en-US" w:eastAsia="zh-CN"/>
        </w:rPr>
        <w:t>备市政公用工程施工总承包三级及以上和环保工程专业承包三级及以上</w:t>
      </w:r>
      <w:r>
        <w:rPr>
          <w:rFonts w:hint="eastAsia" w:ascii="宋体" w:hAnsi="宋体" w:eastAsia="宋体" w:cs="宋体"/>
          <w:snapToGrid w:val="0"/>
          <w:kern w:val="28"/>
          <w:sz w:val="24"/>
          <w:szCs w:val="20"/>
          <w:lang w:val="en-US" w:eastAsia="zh-CN"/>
        </w:rPr>
        <w:t>资质的企业，并在人员、设备、资金等方面具有相应的施工能力</w:t>
      </w:r>
      <w:r>
        <w:rPr>
          <w:rFonts w:hint="eastAsia" w:ascii="宋体" w:hAnsi="宋体" w:cs="宋体"/>
          <w:snapToGrid w:val="0"/>
          <w:kern w:val="28"/>
          <w:sz w:val="24"/>
          <w:szCs w:val="20"/>
          <w:lang w:val="en-US" w:eastAsia="zh-CN"/>
        </w:rPr>
        <w:t>；</w:t>
      </w:r>
    </w:p>
    <w:p>
      <w:pPr>
        <w:spacing w:line="360" w:lineRule="auto"/>
        <w:ind w:firstLine="480"/>
        <w:rPr>
          <w:rFonts w:hint="default" w:ascii="宋体" w:hAnsi="宋体" w:eastAsia="宋体" w:cs="宋体"/>
          <w:snapToGrid w:val="0"/>
          <w:kern w:val="28"/>
          <w:sz w:val="24"/>
          <w:szCs w:val="20"/>
          <w:lang w:val="en-US" w:eastAsia="zh-CN"/>
        </w:rPr>
      </w:pPr>
      <w:r>
        <w:rPr>
          <w:rFonts w:hint="eastAsia" w:ascii="宋体" w:hAnsi="宋体" w:cs="宋体"/>
          <w:snapToGrid w:val="0"/>
          <w:kern w:val="28"/>
          <w:sz w:val="24"/>
          <w:szCs w:val="20"/>
          <w:lang w:val="en-US" w:eastAsia="zh-CN"/>
        </w:rPr>
        <w:t>3、</w:t>
      </w:r>
      <w:r>
        <w:rPr>
          <w:rFonts w:hint="eastAsia" w:ascii="宋体" w:hAnsi="宋体" w:eastAsia="宋体" w:cs="宋体"/>
          <w:snapToGrid w:val="0"/>
          <w:kern w:val="28"/>
          <w:sz w:val="24"/>
          <w:szCs w:val="20"/>
          <w:lang w:val="en-US" w:eastAsia="zh-CN"/>
        </w:rPr>
        <w:t>具有有效的</w:t>
      </w:r>
      <w:r>
        <w:rPr>
          <w:rFonts w:hint="eastAsia" w:ascii="宋体" w:hAnsi="宋体" w:cs="宋体"/>
          <w:snapToGrid w:val="0"/>
          <w:kern w:val="28"/>
          <w:sz w:val="24"/>
          <w:szCs w:val="20"/>
          <w:lang w:val="en-US" w:eastAsia="zh-CN"/>
        </w:rPr>
        <w:t>企业</w:t>
      </w:r>
      <w:r>
        <w:rPr>
          <w:rFonts w:hint="eastAsia" w:ascii="宋体" w:hAnsi="宋体" w:eastAsia="宋体" w:cs="宋体"/>
          <w:snapToGrid w:val="0"/>
          <w:kern w:val="28"/>
          <w:sz w:val="24"/>
          <w:szCs w:val="20"/>
          <w:lang w:val="en-US" w:eastAsia="zh-CN"/>
        </w:rPr>
        <w:t>安全生产许可证；</w:t>
      </w:r>
    </w:p>
    <w:p>
      <w:pPr>
        <w:spacing w:line="360" w:lineRule="auto"/>
        <w:ind w:firstLine="480"/>
        <w:rPr>
          <w:rFonts w:hint="eastAsia" w:ascii="宋体" w:hAnsi="宋体" w:eastAsia="宋体" w:cs="宋体"/>
          <w:snapToGrid w:val="0"/>
          <w:kern w:val="28"/>
          <w:sz w:val="24"/>
          <w:szCs w:val="20"/>
        </w:rPr>
      </w:pPr>
      <w:r>
        <w:rPr>
          <w:rFonts w:hint="eastAsia" w:ascii="宋体" w:hAnsi="宋体" w:eastAsia="宋体" w:cs="宋体"/>
          <w:snapToGrid w:val="0"/>
          <w:kern w:val="28"/>
          <w:sz w:val="24"/>
          <w:szCs w:val="20"/>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ind w:firstLine="480"/>
        <w:rPr>
          <w:rFonts w:hint="eastAsia" w:ascii="宋体" w:hAnsi="宋体" w:eastAsia="宋体" w:cs="宋体"/>
          <w:snapToGrid w:val="0"/>
          <w:kern w:val="28"/>
          <w:sz w:val="24"/>
          <w:szCs w:val="20"/>
        </w:rPr>
      </w:pPr>
      <w:r>
        <w:rPr>
          <w:rFonts w:hint="eastAsia" w:ascii="宋体" w:hAnsi="宋体" w:eastAsia="宋体" w:cs="宋体"/>
          <w:snapToGrid w:val="0"/>
          <w:kern w:val="28"/>
          <w:sz w:val="24"/>
          <w:szCs w:val="20"/>
        </w:rPr>
        <w:t xml:space="preserve">三、获取招标文件 </w:t>
      </w:r>
    </w:p>
    <w:p>
      <w:pPr>
        <w:spacing w:line="360" w:lineRule="auto"/>
        <w:ind w:firstLine="482" w:firstLineChars="200"/>
        <w:rPr>
          <w:rFonts w:hint="eastAsia" w:ascii="宋体" w:hAnsi="宋体" w:eastAsia="宋体" w:cs="宋体"/>
          <w:sz w:val="24"/>
        </w:rPr>
      </w:pPr>
      <w:r>
        <w:rPr>
          <w:rFonts w:hint="eastAsia" w:ascii="宋体" w:hAnsi="宋体" w:eastAsia="宋体" w:cs="宋体"/>
          <w:b/>
          <w:sz w:val="24"/>
        </w:rPr>
        <w:t>时间：</w:t>
      </w:r>
      <w:r>
        <w:rPr>
          <w:rFonts w:hint="eastAsia" w:ascii="宋体" w:hAnsi="宋体" w:eastAsia="宋体" w:cs="宋体"/>
          <w:sz w:val="24"/>
        </w:rPr>
        <w:t>/至</w:t>
      </w:r>
      <w:r>
        <w:rPr>
          <w:rFonts w:hint="eastAsia" w:ascii="宋体" w:hAnsi="宋体" w:eastAsia="宋体" w:cs="宋体"/>
          <w:sz w:val="24"/>
          <w:u w:val="single"/>
        </w:rPr>
        <w:t>202</w:t>
      </w:r>
      <w:r>
        <w:rPr>
          <w:rFonts w:hint="eastAsia" w:ascii="宋体" w:hAnsi="宋体" w:cs="宋体"/>
          <w:sz w:val="24"/>
          <w:u w:val="single"/>
          <w:lang w:val="en-US" w:eastAsia="zh-CN"/>
        </w:rPr>
        <w:t>2</w:t>
      </w:r>
      <w:r>
        <w:rPr>
          <w:rFonts w:hint="eastAsia" w:ascii="宋体" w:hAnsi="宋体" w:eastAsia="宋体" w:cs="宋体"/>
          <w:sz w:val="24"/>
          <w:u w:val="single"/>
        </w:rPr>
        <w:t xml:space="preserve"> 年</w:t>
      </w:r>
      <w:r>
        <w:rPr>
          <w:rFonts w:hint="eastAsia" w:ascii="宋体" w:hAnsi="宋体" w:cs="宋体"/>
          <w:sz w:val="24"/>
          <w:u w:val="single"/>
          <w:lang w:val="en-US" w:eastAsia="zh-CN"/>
        </w:rPr>
        <w:t>5</w:t>
      </w:r>
      <w:r>
        <w:rPr>
          <w:rFonts w:hint="eastAsia" w:ascii="宋体" w:hAnsi="宋体" w:eastAsia="宋体" w:cs="宋体"/>
          <w:sz w:val="24"/>
          <w:u w:val="single"/>
        </w:rPr>
        <w:t xml:space="preserve"> 月</w:t>
      </w:r>
      <w:r>
        <w:rPr>
          <w:rFonts w:hint="eastAsia" w:ascii="宋体" w:hAnsi="宋体" w:cs="宋体"/>
          <w:sz w:val="24"/>
          <w:u w:val="single"/>
          <w:lang w:val="en-US" w:eastAsia="zh-CN"/>
        </w:rPr>
        <w:t>26</w:t>
      </w:r>
      <w:r>
        <w:rPr>
          <w:rFonts w:hint="eastAsia" w:ascii="宋体" w:hAnsi="宋体" w:eastAsia="宋体" w:cs="宋体"/>
          <w:sz w:val="24"/>
          <w:u w:val="single"/>
        </w:rPr>
        <w:t xml:space="preserve"> 日</w:t>
      </w:r>
      <w:r>
        <w:rPr>
          <w:rFonts w:hint="eastAsia" w:ascii="宋体" w:hAnsi="宋体" w:eastAsia="宋体" w:cs="宋体"/>
          <w:sz w:val="24"/>
        </w:rPr>
        <w:t>，每天上午00:00至12:00 ，下午12:00至23:59（北京时间，线上获取法定节假日均可，线下获取文件法定节假日除外）</w:t>
      </w:r>
    </w:p>
    <w:p>
      <w:pPr>
        <w:spacing w:line="360" w:lineRule="auto"/>
        <w:ind w:firstLine="482" w:firstLineChars="200"/>
        <w:rPr>
          <w:rFonts w:hint="eastAsia" w:ascii="宋体" w:hAnsi="宋体" w:eastAsia="宋体" w:cs="宋体"/>
          <w:sz w:val="24"/>
        </w:rPr>
      </w:pPr>
      <w:r>
        <w:rPr>
          <w:rFonts w:hint="eastAsia" w:ascii="宋体" w:hAnsi="宋体" w:eastAsia="宋体" w:cs="宋体"/>
          <w:b/>
          <w:sz w:val="24"/>
        </w:rPr>
        <w:t>地点（网址）：</w:t>
      </w:r>
      <w:r>
        <w:rPr>
          <w:rFonts w:hint="eastAsia" w:ascii="宋体" w:hAnsi="宋体" w:eastAsia="宋体" w:cs="宋体"/>
          <w:sz w:val="24"/>
        </w:rPr>
        <w:t xml:space="preserve">政采云平台（https://www.zcygov.cn/） </w:t>
      </w:r>
    </w:p>
    <w:p>
      <w:pPr>
        <w:spacing w:line="360" w:lineRule="auto"/>
        <w:ind w:firstLine="482" w:firstLineChars="200"/>
        <w:rPr>
          <w:rFonts w:hint="eastAsia" w:ascii="宋体" w:hAnsi="宋体" w:eastAsia="宋体" w:cs="宋体"/>
          <w:sz w:val="24"/>
        </w:rPr>
      </w:pPr>
      <w:r>
        <w:rPr>
          <w:rFonts w:hint="eastAsia" w:ascii="宋体" w:hAnsi="宋体" w:eastAsia="宋体" w:cs="宋体"/>
          <w:b/>
          <w:sz w:val="24"/>
        </w:rPr>
        <w:t>方式：</w:t>
      </w:r>
      <w:r>
        <w:rPr>
          <w:rFonts w:hint="eastAsia" w:ascii="宋体" w:hAnsi="宋体" w:eastAsia="宋体" w:cs="宋体"/>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宋体" w:hAnsi="宋体" w:eastAsia="宋体" w:cs="宋体"/>
          <w:sz w:val="24"/>
        </w:rPr>
      </w:pPr>
      <w:r>
        <w:rPr>
          <w:rFonts w:hint="eastAsia" w:ascii="宋体" w:hAnsi="宋体" w:eastAsia="宋体" w:cs="宋体"/>
          <w:b/>
          <w:sz w:val="24"/>
        </w:rPr>
        <w:t>售价（元）：</w:t>
      </w:r>
      <w:r>
        <w:rPr>
          <w:rFonts w:hint="eastAsia" w:ascii="宋体" w:hAnsi="宋体" w:eastAsia="宋体" w:cs="宋体"/>
          <w:sz w:val="24"/>
        </w:rPr>
        <w:t xml:space="preserve">0 </w:t>
      </w:r>
    </w:p>
    <w:p>
      <w:pPr>
        <w:spacing w:line="360" w:lineRule="auto"/>
        <w:rPr>
          <w:rFonts w:hint="eastAsia" w:ascii="宋体" w:hAnsi="宋体" w:eastAsia="宋体" w:cs="宋体"/>
          <w:b/>
          <w:sz w:val="24"/>
        </w:rPr>
      </w:pPr>
      <w:r>
        <w:rPr>
          <w:rFonts w:hint="eastAsia" w:ascii="宋体" w:hAnsi="宋体" w:eastAsia="宋体" w:cs="宋体"/>
          <w:b/>
          <w:sz w:val="24"/>
        </w:rPr>
        <w:t>四、提交投标文件截止时间、开标时间和地点</w:t>
      </w:r>
    </w:p>
    <w:p>
      <w:pPr>
        <w:spacing w:line="360" w:lineRule="auto"/>
        <w:ind w:firstLine="482" w:firstLineChars="200"/>
        <w:rPr>
          <w:rFonts w:hint="eastAsia" w:ascii="宋体" w:hAnsi="宋体" w:eastAsia="宋体" w:cs="宋体"/>
          <w:sz w:val="24"/>
        </w:rPr>
      </w:pPr>
      <w:r>
        <w:rPr>
          <w:rFonts w:hint="eastAsia" w:ascii="宋体" w:hAnsi="宋体" w:eastAsia="宋体" w:cs="宋体"/>
          <w:b/>
          <w:sz w:val="24"/>
        </w:rPr>
        <w:t>提交投标文件截止时间：</w:t>
      </w:r>
      <w:r>
        <w:rPr>
          <w:rFonts w:hint="eastAsia" w:ascii="宋体" w:hAnsi="宋体" w:eastAsia="宋体" w:cs="宋体"/>
          <w:sz w:val="24"/>
          <w:u w:val="single"/>
        </w:rPr>
        <w:t xml:space="preserve"> 202</w:t>
      </w:r>
      <w:r>
        <w:rPr>
          <w:rFonts w:hint="eastAsia" w:ascii="宋体" w:hAnsi="宋体" w:cs="宋体"/>
          <w:sz w:val="24"/>
          <w:u w:val="single"/>
          <w:lang w:val="en-US" w:eastAsia="zh-CN"/>
        </w:rPr>
        <w:t>2</w:t>
      </w:r>
      <w:r>
        <w:rPr>
          <w:rFonts w:hint="eastAsia" w:ascii="宋体" w:hAnsi="宋体" w:eastAsia="宋体" w:cs="宋体"/>
          <w:sz w:val="24"/>
          <w:u w:val="single"/>
        </w:rPr>
        <w:t xml:space="preserve"> 年</w:t>
      </w:r>
      <w:r>
        <w:rPr>
          <w:rFonts w:hint="eastAsia" w:ascii="宋体" w:hAnsi="宋体" w:cs="宋体"/>
          <w:sz w:val="24"/>
          <w:u w:val="single"/>
          <w:lang w:val="en-US" w:eastAsia="zh-CN"/>
        </w:rPr>
        <w:t>5</w:t>
      </w:r>
      <w:r>
        <w:rPr>
          <w:rFonts w:hint="eastAsia" w:ascii="宋体" w:hAnsi="宋体" w:eastAsia="宋体" w:cs="宋体"/>
          <w:sz w:val="24"/>
          <w:u w:val="single"/>
        </w:rPr>
        <w:t xml:space="preserve"> 月</w:t>
      </w:r>
      <w:r>
        <w:rPr>
          <w:rFonts w:hint="eastAsia" w:ascii="宋体" w:hAnsi="宋体" w:cs="宋体"/>
          <w:sz w:val="24"/>
          <w:u w:val="single"/>
          <w:lang w:val="en-US" w:eastAsia="zh-CN"/>
        </w:rPr>
        <w:t>26</w:t>
      </w:r>
      <w:r>
        <w:rPr>
          <w:rFonts w:hint="eastAsia" w:ascii="宋体" w:hAnsi="宋体" w:eastAsia="宋体" w:cs="宋体"/>
          <w:sz w:val="24"/>
          <w:u w:val="single"/>
        </w:rPr>
        <w:t xml:space="preserve"> 日</w:t>
      </w:r>
      <w:r>
        <w:rPr>
          <w:rFonts w:hint="eastAsia" w:ascii="宋体" w:hAnsi="宋体" w:cs="宋体"/>
          <w:sz w:val="24"/>
          <w:u w:val="single"/>
          <w:lang w:val="en-US" w:eastAsia="zh-CN"/>
        </w:rPr>
        <w:t>14</w:t>
      </w:r>
      <w:r>
        <w:rPr>
          <w:rFonts w:hint="eastAsia" w:ascii="宋体" w:hAnsi="宋体" w:eastAsia="宋体" w:cs="宋体"/>
          <w:sz w:val="24"/>
          <w:u w:val="single"/>
        </w:rPr>
        <w:t xml:space="preserve"> 点 </w:t>
      </w:r>
      <w:r>
        <w:rPr>
          <w:rFonts w:hint="eastAsia" w:ascii="宋体" w:hAnsi="宋体" w:cs="宋体"/>
          <w:sz w:val="24"/>
          <w:u w:val="single"/>
          <w:lang w:val="en-US" w:eastAsia="zh-CN"/>
        </w:rPr>
        <w:t>00</w:t>
      </w:r>
      <w:r>
        <w:rPr>
          <w:rFonts w:hint="eastAsia" w:ascii="宋体" w:hAnsi="宋体" w:eastAsia="宋体" w:cs="宋体"/>
          <w:sz w:val="24"/>
          <w:u w:val="single"/>
        </w:rPr>
        <w:t>分</w:t>
      </w:r>
      <w:r>
        <w:rPr>
          <w:rFonts w:hint="eastAsia" w:ascii="宋体" w:hAnsi="宋体" w:eastAsia="宋体" w:cs="宋体"/>
          <w:bCs/>
          <w:sz w:val="24"/>
          <w:u w:val="single"/>
        </w:rPr>
        <w:t xml:space="preserve"> </w:t>
      </w:r>
      <w:r>
        <w:rPr>
          <w:rFonts w:hint="eastAsia" w:ascii="宋体" w:hAnsi="宋体" w:eastAsia="宋体" w:cs="宋体"/>
          <w:sz w:val="24"/>
        </w:rPr>
        <w:t>（北京时间）</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投标地点（网址）：</w:t>
      </w:r>
      <w:r>
        <w:rPr>
          <w:rFonts w:hint="eastAsia" w:ascii="宋体" w:hAnsi="宋体" w:eastAsia="宋体" w:cs="宋体"/>
          <w:sz w:val="24"/>
        </w:rPr>
        <w:t xml:space="preserve">政采云平台（https://www.zcygov.cn/） </w:t>
      </w:r>
    </w:p>
    <w:p>
      <w:pPr>
        <w:spacing w:line="360" w:lineRule="auto"/>
        <w:ind w:firstLine="482" w:firstLineChars="200"/>
        <w:rPr>
          <w:rFonts w:hint="eastAsia" w:ascii="宋体" w:hAnsi="宋体" w:eastAsia="宋体" w:cs="宋体"/>
          <w:bCs/>
          <w:sz w:val="24"/>
          <w:u w:val="single"/>
        </w:rPr>
      </w:pPr>
      <w:r>
        <w:rPr>
          <w:rFonts w:hint="eastAsia" w:ascii="宋体" w:hAnsi="宋体" w:eastAsia="宋体" w:cs="宋体"/>
          <w:b/>
          <w:sz w:val="24"/>
        </w:rPr>
        <w:t>开标时间：</w:t>
      </w:r>
      <w:r>
        <w:rPr>
          <w:rFonts w:hint="eastAsia" w:ascii="宋体" w:hAnsi="宋体" w:eastAsia="宋体" w:cs="宋体"/>
          <w:sz w:val="24"/>
          <w:u w:val="single"/>
        </w:rPr>
        <w:t>202</w:t>
      </w:r>
      <w:r>
        <w:rPr>
          <w:rFonts w:hint="eastAsia" w:ascii="宋体" w:hAnsi="宋体" w:cs="宋体"/>
          <w:sz w:val="24"/>
          <w:u w:val="single"/>
          <w:lang w:val="en-US" w:eastAsia="zh-CN"/>
        </w:rPr>
        <w:t>2</w:t>
      </w:r>
      <w:r>
        <w:rPr>
          <w:rFonts w:hint="eastAsia" w:ascii="宋体" w:hAnsi="宋体" w:eastAsia="宋体" w:cs="宋体"/>
          <w:sz w:val="24"/>
          <w:u w:val="single"/>
        </w:rPr>
        <w:t xml:space="preserve"> 年</w:t>
      </w:r>
      <w:r>
        <w:rPr>
          <w:rFonts w:hint="eastAsia" w:ascii="宋体" w:hAnsi="宋体" w:cs="宋体"/>
          <w:sz w:val="24"/>
          <w:u w:val="single"/>
          <w:lang w:val="en-US" w:eastAsia="zh-CN"/>
        </w:rPr>
        <w:t>5</w:t>
      </w:r>
      <w:r>
        <w:rPr>
          <w:rFonts w:hint="eastAsia" w:ascii="宋体" w:hAnsi="宋体" w:eastAsia="宋体" w:cs="宋体"/>
          <w:sz w:val="24"/>
          <w:u w:val="single"/>
        </w:rPr>
        <w:t xml:space="preserve"> 月 </w:t>
      </w:r>
      <w:r>
        <w:rPr>
          <w:rFonts w:hint="eastAsia" w:ascii="宋体" w:hAnsi="宋体" w:cs="宋体"/>
          <w:sz w:val="24"/>
          <w:u w:val="single"/>
          <w:lang w:val="en-US" w:eastAsia="zh-CN"/>
        </w:rPr>
        <w:t>26</w:t>
      </w:r>
      <w:r>
        <w:rPr>
          <w:rFonts w:hint="eastAsia" w:ascii="宋体" w:hAnsi="宋体" w:eastAsia="宋体" w:cs="宋体"/>
          <w:sz w:val="24"/>
          <w:u w:val="single"/>
        </w:rPr>
        <w:t>日</w:t>
      </w:r>
      <w:r>
        <w:rPr>
          <w:rFonts w:hint="eastAsia" w:ascii="宋体" w:hAnsi="宋体" w:cs="宋体"/>
          <w:sz w:val="24"/>
          <w:u w:val="single"/>
          <w:lang w:val="en-US" w:eastAsia="zh-CN"/>
        </w:rPr>
        <w:t>14</w:t>
      </w:r>
      <w:r>
        <w:rPr>
          <w:rFonts w:hint="eastAsia" w:ascii="宋体" w:hAnsi="宋体" w:eastAsia="宋体" w:cs="宋体"/>
          <w:sz w:val="24"/>
          <w:u w:val="single"/>
        </w:rPr>
        <w:t xml:space="preserve"> 点</w:t>
      </w:r>
      <w:r>
        <w:rPr>
          <w:rFonts w:hint="eastAsia" w:ascii="宋体" w:hAnsi="宋体" w:cs="宋体"/>
          <w:sz w:val="24"/>
          <w:u w:val="single"/>
          <w:lang w:val="en-US" w:eastAsia="zh-CN"/>
        </w:rPr>
        <w:t>00</w:t>
      </w:r>
      <w:r>
        <w:rPr>
          <w:rFonts w:hint="eastAsia" w:ascii="宋体" w:hAnsi="宋体" w:eastAsia="宋体" w:cs="宋体"/>
          <w:sz w:val="24"/>
          <w:u w:val="single"/>
        </w:rPr>
        <w:t xml:space="preserve"> 分</w:t>
      </w:r>
      <w:r>
        <w:rPr>
          <w:rFonts w:hint="eastAsia" w:ascii="宋体" w:hAnsi="宋体" w:eastAsia="宋体" w:cs="宋体"/>
          <w:bCs/>
          <w:sz w:val="24"/>
          <w:u w:val="single"/>
        </w:rPr>
        <w:t xml:space="preserve"> </w:t>
      </w:r>
    </w:p>
    <w:p>
      <w:pPr>
        <w:spacing w:line="360" w:lineRule="auto"/>
        <w:ind w:firstLine="482" w:firstLineChars="200"/>
        <w:rPr>
          <w:rFonts w:hint="eastAsia" w:ascii="宋体" w:hAnsi="宋体" w:eastAsia="宋体" w:cs="宋体"/>
          <w:sz w:val="24"/>
        </w:rPr>
      </w:pPr>
      <w:r>
        <w:rPr>
          <w:rFonts w:hint="eastAsia" w:ascii="宋体" w:hAnsi="宋体" w:eastAsia="宋体" w:cs="宋体"/>
          <w:b/>
          <w:sz w:val="24"/>
        </w:rPr>
        <w:t>开标地点（网址）：</w:t>
      </w:r>
      <w:r>
        <w:rPr>
          <w:rFonts w:hint="eastAsia" w:ascii="宋体" w:hAnsi="宋体" w:cs="宋体"/>
          <w:b/>
          <w:sz w:val="24"/>
          <w:lang w:eastAsia="zh-CN"/>
        </w:rPr>
        <w:t>浙江中达工程造价事务所有限公司临安分公司开标室</w:t>
      </w:r>
      <w:r>
        <w:rPr>
          <w:rFonts w:hint="eastAsia" w:ascii="宋体" w:hAnsi="宋体" w:cs="宋体"/>
          <w:b/>
          <w:sz w:val="24"/>
          <w:lang w:val="en-US" w:eastAsia="zh-CN"/>
        </w:rPr>
        <w:t>(杭州市临安区临天路大华文锦商厦3楼）</w:t>
      </w:r>
      <w:r>
        <w:rPr>
          <w:rFonts w:hint="eastAsia" w:ascii="宋体" w:hAnsi="宋体" w:eastAsia="宋体" w:cs="宋体"/>
          <w:sz w:val="24"/>
        </w:rPr>
        <w:t>政采云平台（https://www.zcygov.cn/）</w:t>
      </w:r>
    </w:p>
    <w:p>
      <w:pPr>
        <w:spacing w:line="360" w:lineRule="auto"/>
        <w:rPr>
          <w:rFonts w:hint="eastAsia" w:ascii="宋体" w:hAnsi="宋体" w:eastAsia="宋体" w:cs="宋体"/>
          <w:sz w:val="24"/>
        </w:rPr>
      </w:pPr>
      <w:r>
        <w:rPr>
          <w:rFonts w:hint="eastAsia" w:ascii="宋体" w:hAnsi="宋体" w:eastAsia="宋体" w:cs="宋体"/>
          <w:b/>
          <w:sz w:val="24"/>
        </w:rPr>
        <w:t xml:space="preserve">五、公告期限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自本公告发布之日起5个工作日。</w:t>
      </w:r>
    </w:p>
    <w:p>
      <w:pPr>
        <w:spacing w:line="360" w:lineRule="auto"/>
        <w:rPr>
          <w:rFonts w:hint="eastAsia" w:ascii="宋体" w:hAnsi="宋体" w:eastAsia="宋体" w:cs="宋体"/>
          <w:b/>
          <w:sz w:val="24"/>
        </w:rPr>
      </w:pPr>
      <w:r>
        <w:rPr>
          <w:rFonts w:hint="eastAsia" w:ascii="宋体" w:hAnsi="宋体" w:eastAsia="宋体" w:cs="宋体"/>
          <w:b/>
          <w:sz w:val="24"/>
        </w:rPr>
        <w:t>六、其他补充事宜</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w:t>
      </w:r>
      <w:r>
        <w:rPr>
          <w:rFonts w:hint="eastAsia" w:ascii="宋体" w:hAnsi="宋体" w:eastAsia="宋体" w:cs="宋体"/>
          <w:b/>
          <w:bCs/>
          <w:sz w:val="24"/>
        </w:rPr>
        <w:t>投标人仅提交备份投标文件，没有在电子交易平台传输递交投标文件的，投标无效；</w:t>
      </w:r>
      <w:r>
        <w:rPr>
          <w:rFonts w:hint="eastAsia" w:ascii="宋体" w:hAnsi="宋体" w:eastAsia="宋体" w:cs="宋体"/>
          <w:sz w:val="24"/>
        </w:rPr>
        <w:t>⑩具体操作指南：详见政采云平台“服务中心-帮助文档-项目采购-操作流程-电子招投标-政府采购项目电子交易管理操作指南-供应商”。</w:t>
      </w:r>
    </w:p>
    <w:p>
      <w:pPr>
        <w:spacing w:line="360" w:lineRule="auto"/>
        <w:rPr>
          <w:rFonts w:hint="eastAsia" w:ascii="宋体" w:hAnsi="宋体" w:eastAsia="宋体" w:cs="宋体"/>
          <w:b/>
          <w:sz w:val="24"/>
        </w:rPr>
      </w:pPr>
      <w:r>
        <w:rPr>
          <w:rFonts w:hint="eastAsia" w:ascii="宋体" w:hAnsi="宋体" w:eastAsia="宋体" w:cs="宋体"/>
          <w:b/>
          <w:sz w:val="24"/>
        </w:rPr>
        <w:t>七、对本次采购提出询问、质疑、投诉，请按以下方式联系</w:t>
      </w:r>
    </w:p>
    <w:p>
      <w:pPr>
        <w:spacing w:line="360" w:lineRule="auto"/>
        <w:rPr>
          <w:rFonts w:hint="eastAsia" w:ascii="宋体" w:hAnsi="宋体" w:eastAsia="宋体" w:cs="宋体"/>
          <w:sz w:val="24"/>
        </w:rPr>
      </w:pPr>
      <w:r>
        <w:rPr>
          <w:rFonts w:hint="eastAsia" w:ascii="宋体" w:hAnsi="宋体" w:eastAsia="宋体" w:cs="宋体"/>
          <w:sz w:val="24"/>
        </w:rPr>
        <w:t xml:space="preserve">    1.采购人信息</w:t>
      </w:r>
    </w:p>
    <w:p>
      <w:pPr>
        <w:spacing w:line="360" w:lineRule="auto"/>
        <w:rPr>
          <w:rFonts w:hint="eastAsia" w:ascii="宋体" w:hAnsi="宋体" w:eastAsia="宋体" w:cs="宋体"/>
          <w:sz w:val="24"/>
        </w:rPr>
      </w:pPr>
      <w:r>
        <w:rPr>
          <w:rFonts w:hint="eastAsia" w:ascii="宋体" w:hAnsi="宋体" w:eastAsia="宋体" w:cs="宋体"/>
          <w:sz w:val="24"/>
        </w:rPr>
        <w:t xml:space="preserve">    名    称：杭州市临安区龙岗镇人民政府</w:t>
      </w:r>
    </w:p>
    <w:p>
      <w:pPr>
        <w:spacing w:line="360" w:lineRule="auto"/>
        <w:rPr>
          <w:rFonts w:hint="default" w:ascii="宋体" w:hAnsi="宋体" w:eastAsia="宋体" w:cs="宋体"/>
          <w:sz w:val="24"/>
          <w:lang w:val="en-US" w:eastAsia="zh-CN"/>
        </w:rPr>
      </w:pPr>
      <w:r>
        <w:rPr>
          <w:rFonts w:hint="eastAsia" w:ascii="宋体" w:hAnsi="宋体" w:eastAsia="宋体" w:cs="宋体"/>
          <w:sz w:val="24"/>
        </w:rPr>
        <w:t xml:space="preserve">    地    址：杭州市临安区龙岗镇</w:t>
      </w:r>
      <w:r>
        <w:rPr>
          <w:rFonts w:hint="eastAsia" w:ascii="宋体" w:hAnsi="宋体" w:cs="宋体"/>
          <w:sz w:val="24"/>
          <w:lang w:eastAsia="zh-CN"/>
        </w:rPr>
        <w:t>龙岗街</w:t>
      </w:r>
      <w:r>
        <w:rPr>
          <w:rFonts w:hint="eastAsia" w:ascii="宋体" w:hAnsi="宋体" w:cs="宋体"/>
          <w:sz w:val="24"/>
          <w:lang w:val="en-US" w:eastAsia="zh-CN"/>
        </w:rPr>
        <w:t>127号</w:t>
      </w:r>
    </w:p>
    <w:p>
      <w:pPr>
        <w:spacing w:line="360" w:lineRule="auto"/>
        <w:ind w:firstLine="480"/>
        <w:rPr>
          <w:rFonts w:hint="eastAsia" w:ascii="宋体" w:hAnsi="宋体" w:eastAsia="宋体" w:cs="宋体"/>
          <w:sz w:val="24"/>
        </w:rPr>
      </w:pPr>
      <w:r>
        <w:rPr>
          <w:rFonts w:hint="eastAsia" w:ascii="宋体" w:hAnsi="宋体" w:eastAsia="宋体" w:cs="宋体"/>
          <w:sz w:val="24"/>
        </w:rPr>
        <w:t>传    真： /</w:t>
      </w:r>
    </w:p>
    <w:p>
      <w:pPr>
        <w:spacing w:line="360" w:lineRule="auto"/>
        <w:ind w:firstLine="480"/>
        <w:rPr>
          <w:rFonts w:hint="eastAsia" w:ascii="宋体" w:hAnsi="宋体" w:eastAsia="宋体" w:cs="宋体"/>
          <w:sz w:val="24"/>
          <w:lang w:eastAsia="zh-CN"/>
        </w:rPr>
      </w:pPr>
      <w:r>
        <w:rPr>
          <w:rFonts w:hint="eastAsia" w:ascii="宋体" w:hAnsi="宋体" w:eastAsia="宋体" w:cs="宋体"/>
          <w:sz w:val="24"/>
        </w:rPr>
        <w:t>项目联系人（询问）：</w:t>
      </w:r>
      <w:r>
        <w:rPr>
          <w:rFonts w:hint="eastAsia" w:ascii="宋体" w:hAnsi="宋体" w:cs="宋体"/>
          <w:sz w:val="24"/>
          <w:lang w:eastAsia="zh-CN"/>
        </w:rPr>
        <w:t>朱胜</w:t>
      </w:r>
    </w:p>
    <w:p>
      <w:pPr>
        <w:spacing w:line="360" w:lineRule="auto"/>
        <w:rPr>
          <w:rFonts w:hint="eastAsia" w:ascii="宋体" w:hAnsi="宋体" w:eastAsia="宋体" w:cs="宋体"/>
          <w:sz w:val="24"/>
        </w:rPr>
      </w:pPr>
      <w:r>
        <w:rPr>
          <w:rFonts w:hint="eastAsia" w:ascii="宋体" w:hAnsi="宋体" w:eastAsia="宋体" w:cs="宋体"/>
          <w:sz w:val="24"/>
        </w:rPr>
        <w:t xml:space="preserve">    项目联系方式（询问）：0571-63633296</w:t>
      </w:r>
    </w:p>
    <w:p>
      <w:pPr>
        <w:spacing w:line="360" w:lineRule="auto"/>
        <w:rPr>
          <w:rFonts w:hint="eastAsia" w:ascii="宋体" w:hAnsi="宋体" w:eastAsia="宋体" w:cs="宋体"/>
          <w:sz w:val="24"/>
          <w:lang w:eastAsia="zh-CN"/>
        </w:rPr>
      </w:pPr>
      <w:r>
        <w:rPr>
          <w:rFonts w:hint="eastAsia" w:ascii="宋体" w:hAnsi="宋体" w:eastAsia="宋体" w:cs="宋体"/>
          <w:sz w:val="24"/>
        </w:rPr>
        <w:t xml:space="preserve">    质疑联系人：</w:t>
      </w:r>
      <w:r>
        <w:rPr>
          <w:rFonts w:hint="eastAsia" w:ascii="宋体" w:hAnsi="宋体" w:cs="宋体"/>
          <w:sz w:val="24"/>
          <w:lang w:eastAsia="zh-CN"/>
        </w:rPr>
        <w:t>赵胜云</w:t>
      </w:r>
    </w:p>
    <w:p>
      <w:pPr>
        <w:spacing w:line="360" w:lineRule="auto"/>
        <w:rPr>
          <w:rFonts w:hint="eastAsia" w:ascii="宋体" w:hAnsi="宋体" w:eastAsia="宋体" w:cs="宋体"/>
          <w:sz w:val="24"/>
        </w:rPr>
      </w:pPr>
      <w:r>
        <w:rPr>
          <w:rFonts w:hint="eastAsia" w:ascii="宋体" w:hAnsi="宋体" w:eastAsia="宋体" w:cs="宋体"/>
          <w:sz w:val="24"/>
        </w:rPr>
        <w:t xml:space="preserve">    质疑联系方式：13116719872</w:t>
      </w:r>
    </w:p>
    <w:p>
      <w:pPr>
        <w:spacing w:line="360" w:lineRule="auto"/>
        <w:rPr>
          <w:rFonts w:hint="eastAsia" w:ascii="宋体" w:hAnsi="宋体" w:eastAsia="宋体" w:cs="宋体"/>
          <w:sz w:val="24"/>
        </w:rPr>
      </w:pPr>
      <w:r>
        <w:rPr>
          <w:rFonts w:hint="eastAsia" w:ascii="宋体" w:hAnsi="宋体" w:eastAsia="宋体" w:cs="宋体"/>
          <w:sz w:val="24"/>
        </w:rPr>
        <w:t xml:space="preserve">    2.采购代理机构信息</w:t>
      </w:r>
    </w:p>
    <w:p>
      <w:pPr>
        <w:spacing w:line="360" w:lineRule="auto"/>
        <w:ind w:firstLine="480"/>
        <w:rPr>
          <w:rFonts w:hint="eastAsia" w:ascii="宋体" w:hAnsi="宋体" w:eastAsia="宋体" w:cs="宋体"/>
          <w:sz w:val="24"/>
          <w:lang w:eastAsia="zh-CN"/>
        </w:rPr>
      </w:pPr>
      <w:r>
        <w:rPr>
          <w:rFonts w:hint="eastAsia" w:ascii="宋体" w:hAnsi="宋体" w:eastAsia="宋体" w:cs="宋体"/>
          <w:sz w:val="24"/>
        </w:rPr>
        <w:t>名    称：</w:t>
      </w:r>
      <w:r>
        <w:rPr>
          <w:rFonts w:hint="eastAsia" w:ascii="宋体" w:hAnsi="宋体" w:cs="宋体"/>
          <w:sz w:val="24"/>
          <w:lang w:eastAsia="zh-CN"/>
        </w:rPr>
        <w:t>浙江中达工程造价事务所有限公司</w:t>
      </w:r>
    </w:p>
    <w:p>
      <w:pPr>
        <w:spacing w:line="360" w:lineRule="auto"/>
        <w:ind w:firstLine="480"/>
        <w:rPr>
          <w:rFonts w:hint="default" w:ascii="宋体" w:hAnsi="宋体" w:eastAsia="宋体" w:cs="宋体"/>
          <w:sz w:val="24"/>
          <w:lang w:val="en-US" w:eastAsia="zh-CN"/>
        </w:rPr>
      </w:pPr>
      <w:r>
        <w:rPr>
          <w:rFonts w:hint="eastAsia" w:ascii="宋体" w:hAnsi="宋体" w:eastAsia="宋体" w:cs="宋体"/>
          <w:sz w:val="24"/>
        </w:rPr>
        <w:t>地    址：</w:t>
      </w:r>
      <w:r>
        <w:rPr>
          <w:rFonts w:hint="eastAsia" w:ascii="宋体" w:hAnsi="宋体" w:cs="宋体"/>
          <w:sz w:val="24"/>
          <w:lang w:eastAsia="zh-CN"/>
        </w:rPr>
        <w:t>杭州市临安区临天路</w:t>
      </w:r>
      <w:r>
        <w:rPr>
          <w:rFonts w:hint="eastAsia" w:ascii="宋体" w:hAnsi="宋体" w:cs="宋体"/>
          <w:sz w:val="24"/>
          <w:lang w:val="en-US" w:eastAsia="zh-CN"/>
        </w:rPr>
        <w:t>1884号大华文锦商厦3楼</w:t>
      </w:r>
    </w:p>
    <w:p>
      <w:pPr>
        <w:spacing w:line="360" w:lineRule="auto"/>
        <w:rPr>
          <w:rFonts w:hint="eastAsia" w:ascii="宋体" w:hAnsi="宋体" w:eastAsia="宋体" w:cs="宋体"/>
          <w:sz w:val="24"/>
        </w:rPr>
      </w:pPr>
      <w:r>
        <w:rPr>
          <w:rFonts w:hint="eastAsia" w:ascii="宋体" w:hAnsi="宋体" w:eastAsia="宋体" w:cs="宋体"/>
          <w:sz w:val="24"/>
        </w:rPr>
        <w:t xml:space="preserve">    传    真：/             </w:t>
      </w:r>
    </w:p>
    <w:p>
      <w:pPr>
        <w:spacing w:line="360" w:lineRule="auto"/>
        <w:rPr>
          <w:rFonts w:hint="eastAsia" w:ascii="宋体" w:hAnsi="宋体" w:eastAsia="宋体" w:cs="宋体"/>
          <w:sz w:val="24"/>
          <w:lang w:eastAsia="zh-CN"/>
        </w:rPr>
      </w:pPr>
      <w:r>
        <w:rPr>
          <w:rFonts w:hint="eastAsia" w:ascii="宋体" w:hAnsi="宋体" w:eastAsia="宋体" w:cs="宋体"/>
          <w:sz w:val="24"/>
        </w:rPr>
        <w:t xml:space="preserve">    项目联系人（询问）：</w:t>
      </w:r>
      <w:r>
        <w:rPr>
          <w:rFonts w:hint="eastAsia" w:ascii="宋体" w:hAnsi="宋体" w:cs="宋体"/>
          <w:sz w:val="24"/>
          <w:lang w:eastAsia="zh-CN"/>
        </w:rPr>
        <w:t>林圆圆</w:t>
      </w:r>
    </w:p>
    <w:p>
      <w:pPr>
        <w:spacing w:line="360" w:lineRule="auto"/>
        <w:rPr>
          <w:rFonts w:hint="default" w:ascii="宋体" w:hAnsi="宋体" w:eastAsia="宋体" w:cs="宋体"/>
          <w:sz w:val="24"/>
          <w:lang w:val="en-US" w:eastAsia="zh-CN"/>
        </w:rPr>
      </w:pPr>
      <w:r>
        <w:rPr>
          <w:rFonts w:hint="eastAsia" w:ascii="宋体" w:hAnsi="宋体" w:eastAsia="宋体" w:cs="宋体"/>
          <w:sz w:val="24"/>
        </w:rPr>
        <w:t xml:space="preserve">    项目联系方式（询问）：</w:t>
      </w:r>
      <w:r>
        <w:rPr>
          <w:rFonts w:hint="eastAsia" w:ascii="宋体" w:hAnsi="宋体" w:cs="宋体"/>
          <w:sz w:val="24"/>
          <w:lang w:val="en-US" w:eastAsia="zh-CN"/>
        </w:rPr>
        <w:t>0571-61076256</w:t>
      </w:r>
    </w:p>
    <w:p>
      <w:pPr>
        <w:spacing w:line="360" w:lineRule="auto"/>
        <w:rPr>
          <w:rFonts w:hint="eastAsia" w:ascii="宋体" w:hAnsi="宋体" w:eastAsia="宋体" w:cs="宋体"/>
          <w:sz w:val="24"/>
          <w:lang w:eastAsia="zh-CN"/>
        </w:rPr>
      </w:pPr>
      <w:r>
        <w:rPr>
          <w:rFonts w:hint="eastAsia" w:ascii="宋体" w:hAnsi="宋体" w:eastAsia="宋体" w:cs="宋体"/>
          <w:sz w:val="24"/>
        </w:rPr>
        <w:t xml:space="preserve">    质疑联系人：</w:t>
      </w:r>
      <w:r>
        <w:rPr>
          <w:rFonts w:hint="eastAsia" w:ascii="宋体" w:hAnsi="宋体" w:cs="宋体"/>
          <w:sz w:val="24"/>
          <w:lang w:eastAsia="zh-CN"/>
        </w:rPr>
        <w:t>邵一卿</w:t>
      </w:r>
    </w:p>
    <w:p>
      <w:pPr>
        <w:spacing w:line="360" w:lineRule="auto"/>
        <w:rPr>
          <w:rFonts w:hint="default" w:ascii="宋体" w:hAnsi="宋体" w:eastAsia="宋体" w:cs="宋体"/>
          <w:sz w:val="24"/>
          <w:lang w:val="en-US" w:eastAsia="zh-CN"/>
        </w:rPr>
      </w:pPr>
      <w:r>
        <w:rPr>
          <w:rFonts w:hint="eastAsia" w:ascii="宋体" w:hAnsi="宋体" w:eastAsia="宋体" w:cs="宋体"/>
          <w:sz w:val="24"/>
        </w:rPr>
        <w:t xml:space="preserve">    质疑联系方式：</w:t>
      </w:r>
      <w:r>
        <w:rPr>
          <w:rFonts w:hint="eastAsia" w:ascii="宋体" w:hAnsi="宋体" w:cs="宋体"/>
          <w:sz w:val="24"/>
          <w:lang w:val="en-US" w:eastAsia="zh-CN"/>
        </w:rPr>
        <w:t>18405815232</w:t>
      </w:r>
    </w:p>
    <w:p>
      <w:pPr>
        <w:spacing w:line="360" w:lineRule="auto"/>
        <w:rPr>
          <w:rFonts w:hint="eastAsia" w:ascii="宋体" w:hAnsi="宋体" w:eastAsia="宋体" w:cs="宋体"/>
          <w:sz w:val="24"/>
        </w:rPr>
      </w:pPr>
      <w:r>
        <w:rPr>
          <w:rFonts w:hint="eastAsia" w:ascii="宋体" w:hAnsi="宋体" w:eastAsia="宋体" w:cs="宋体"/>
          <w:sz w:val="24"/>
        </w:rPr>
        <w:t xml:space="preserve">    3.同级政府采购监督管理部门</w:t>
      </w:r>
    </w:p>
    <w:p>
      <w:pPr>
        <w:spacing w:line="360" w:lineRule="auto"/>
        <w:rPr>
          <w:rFonts w:hint="eastAsia" w:ascii="宋体" w:hAnsi="宋体" w:eastAsia="宋体" w:cs="宋体"/>
          <w:sz w:val="24"/>
        </w:rPr>
      </w:pPr>
      <w:r>
        <w:rPr>
          <w:rFonts w:hint="eastAsia" w:ascii="宋体" w:hAnsi="宋体" w:eastAsia="宋体" w:cs="宋体"/>
          <w:sz w:val="24"/>
        </w:rPr>
        <w:t xml:space="preserve">    名    称：杭州市临安区财政局政府采购监管科 </w:t>
      </w:r>
    </w:p>
    <w:p>
      <w:pPr>
        <w:spacing w:line="360" w:lineRule="auto"/>
        <w:rPr>
          <w:rFonts w:hint="eastAsia" w:ascii="宋体" w:hAnsi="宋体" w:eastAsia="宋体" w:cs="宋体"/>
          <w:sz w:val="24"/>
        </w:rPr>
      </w:pPr>
      <w:r>
        <w:rPr>
          <w:rFonts w:hint="eastAsia" w:ascii="宋体" w:hAnsi="宋体" w:eastAsia="宋体" w:cs="宋体"/>
          <w:sz w:val="24"/>
        </w:rPr>
        <w:t xml:space="preserve">    地    址：杭州市临安区锦北街道科技大道4398号市民中心4号楼B座1129</w:t>
      </w:r>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 xml:space="preserve">  传    真：0571-63722886</w:t>
      </w:r>
    </w:p>
    <w:p>
      <w:pPr>
        <w:spacing w:line="360" w:lineRule="auto"/>
        <w:rPr>
          <w:rFonts w:hint="eastAsia" w:ascii="宋体" w:hAnsi="宋体" w:eastAsia="宋体" w:cs="宋体"/>
          <w:sz w:val="24"/>
          <w:lang w:eastAsia="zh-CN"/>
        </w:rPr>
      </w:pPr>
      <w:r>
        <w:rPr>
          <w:rFonts w:hint="eastAsia" w:ascii="宋体" w:hAnsi="宋体" w:eastAsia="宋体" w:cs="宋体"/>
          <w:sz w:val="24"/>
        </w:rPr>
        <w:t xml:space="preserve">    联系人 ：喻</w:t>
      </w:r>
      <w:r>
        <w:rPr>
          <w:rFonts w:hint="eastAsia" w:ascii="宋体" w:hAnsi="宋体" w:cs="宋体"/>
          <w:sz w:val="24"/>
          <w:lang w:eastAsia="zh-CN"/>
        </w:rPr>
        <w:t>先生</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监督投诉电话：0571-61073953</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CA问题联系电话（人工）：汇信CA 400-888-4636；天谷CA 400-087-8198。</w:t>
      </w:r>
    </w:p>
    <w:p>
      <w:pPr>
        <w:adjustRightInd/>
        <w:spacing w:line="360" w:lineRule="auto"/>
        <w:jc w:val="center"/>
        <w:outlineLvl w:val="0"/>
        <w:rPr>
          <w:rFonts w:hint="eastAsia" w:ascii="宋体" w:hAnsi="宋体" w:eastAsia="宋体" w:cs="宋体"/>
          <w:b/>
          <w:sz w:val="36"/>
          <w:szCs w:val="20"/>
        </w:rPr>
      </w:pPr>
      <w:r>
        <w:rPr>
          <w:rFonts w:hint="eastAsia" w:ascii="宋体" w:hAnsi="宋体" w:eastAsia="宋体" w:cs="宋体"/>
          <w:b/>
          <w:sz w:val="36"/>
          <w:szCs w:val="20"/>
        </w:rPr>
        <w:br w:type="page"/>
      </w:r>
      <w:r>
        <w:rPr>
          <w:rFonts w:hint="eastAsia" w:ascii="宋体" w:hAnsi="宋体" w:eastAsia="宋体" w:cs="宋体"/>
          <w:b/>
          <w:sz w:val="36"/>
          <w:szCs w:val="20"/>
        </w:rPr>
        <w:t>第二部分</w:t>
      </w:r>
      <w:bookmarkEnd w:id="8"/>
      <w:r>
        <w:rPr>
          <w:rFonts w:hint="eastAsia" w:ascii="宋体" w:hAnsi="宋体" w:eastAsia="宋体" w:cs="宋体"/>
          <w:b/>
          <w:sz w:val="36"/>
          <w:szCs w:val="20"/>
        </w:rPr>
        <w:t xml:space="preserve"> 投标人须知</w:t>
      </w:r>
      <w:bookmarkEnd w:id="9"/>
    </w:p>
    <w:p>
      <w:pPr>
        <w:snapToGrid w:val="0"/>
        <w:spacing w:line="360" w:lineRule="auto"/>
        <w:jc w:val="center"/>
        <w:rPr>
          <w:rFonts w:hint="eastAsia" w:ascii="宋体" w:hAnsi="宋体" w:eastAsia="宋体" w:cs="宋体"/>
          <w:b/>
          <w:sz w:val="32"/>
          <w:szCs w:val="20"/>
        </w:rPr>
      </w:pPr>
      <w:r>
        <w:rPr>
          <w:rFonts w:hint="eastAsia" w:ascii="宋体" w:hAnsi="宋体" w:eastAsia="宋体" w:cs="宋体"/>
          <w:b/>
          <w:sz w:val="32"/>
          <w:szCs w:val="20"/>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727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事项</w:t>
            </w:r>
          </w:p>
        </w:tc>
        <w:tc>
          <w:tcPr>
            <w:tcW w:w="7274"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04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报价要求</w:t>
            </w:r>
          </w:p>
        </w:tc>
        <w:tc>
          <w:tcPr>
            <w:tcW w:w="7274"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宋体" w:hAnsi="宋体" w:eastAsia="宋体" w:cs="宋体"/>
                <w:b/>
                <w:kern w:val="0"/>
                <w:sz w:val="24"/>
                <w:lang w:val="zh-CN"/>
              </w:rPr>
            </w:pPr>
            <w:r>
              <w:rPr>
                <w:rFonts w:hint="eastAsia" w:ascii="宋体" w:hAnsi="宋体" w:eastAsia="宋体" w:cs="宋体"/>
                <w:kern w:val="0"/>
                <w:sz w:val="24"/>
                <w:lang w:val="zh-CN"/>
              </w:rPr>
              <w:t>有关本项目实施所需的所有费用（含税费）均计入报价。</w:t>
            </w:r>
            <w:r>
              <w:rPr>
                <w:rFonts w:hint="eastAsia" w:ascii="宋体" w:hAnsi="宋体" w:eastAsia="宋体" w:cs="宋体"/>
                <w:sz w:val="24"/>
              </w:rPr>
              <w:t>开标一览表（报价表）是报价的唯一载体</w:t>
            </w:r>
            <w:r>
              <w:rPr>
                <w:rFonts w:hint="eastAsia" w:ascii="宋体" w:hAnsi="宋体" w:eastAsia="宋体" w:cs="宋体"/>
                <w:kern w:val="0"/>
                <w:sz w:val="24"/>
                <w:lang w:val="zh-CN"/>
              </w:rPr>
              <w:t>。投标文件中价格全部采用人民币报价。招标文件未列明，而投标人认为必需的费用也需列入报价。</w:t>
            </w:r>
            <w:r>
              <w:rPr>
                <w:rFonts w:hint="eastAsia" w:ascii="宋体" w:hAnsi="宋体" w:eastAsia="宋体" w:cs="宋体"/>
                <w:b/>
                <w:kern w:val="0"/>
                <w:sz w:val="24"/>
                <w:lang w:val="zh-CN"/>
              </w:rPr>
              <w:t>提醒：验收时检测费用由采购人承担，不包含在投标总价中。</w:t>
            </w:r>
          </w:p>
          <w:p>
            <w:pPr>
              <w:snapToGrid w:val="0"/>
              <w:spacing w:line="360" w:lineRule="auto"/>
              <w:jc w:val="left"/>
              <w:rPr>
                <w:rFonts w:hint="eastAsia" w:ascii="宋体" w:hAnsi="宋体" w:eastAsia="宋体" w:cs="宋体"/>
                <w:b/>
                <w:kern w:val="0"/>
                <w:sz w:val="24"/>
                <w:lang w:val="zh-CN"/>
              </w:rPr>
            </w:pPr>
            <w:r>
              <w:rPr>
                <w:rFonts w:hint="eastAsia" w:ascii="宋体" w:hAnsi="宋体" w:eastAsia="宋体" w:cs="宋体"/>
                <w:b/>
                <w:kern w:val="0"/>
                <w:sz w:val="24"/>
                <w:lang w:val="zh-CN"/>
              </w:rPr>
              <w:t>投标报价出现下列情形的，投标无效：</w:t>
            </w:r>
          </w:p>
          <w:p>
            <w:pPr>
              <w:snapToGrid w:val="0"/>
              <w:spacing w:line="360" w:lineRule="auto"/>
              <w:ind w:firstLine="241" w:firstLineChars="100"/>
              <w:jc w:val="left"/>
              <w:rPr>
                <w:rFonts w:hint="eastAsia" w:ascii="宋体" w:hAnsi="宋体" w:eastAsia="宋体" w:cs="宋体"/>
                <w:b/>
                <w:kern w:val="0"/>
                <w:sz w:val="24"/>
                <w:lang w:val="zh-CN"/>
              </w:rPr>
            </w:pPr>
            <w:r>
              <w:rPr>
                <w:rFonts w:hint="eastAsia" w:ascii="宋体" w:hAnsi="宋体" w:eastAsia="宋体" w:cs="宋体"/>
                <w:b/>
                <w:kern w:val="0"/>
                <w:sz w:val="24"/>
                <w:lang w:val="zh-CN"/>
              </w:rPr>
              <w:t>投标文件出现不是唯一的、有选择性投标报价的；</w:t>
            </w:r>
          </w:p>
          <w:p>
            <w:pPr>
              <w:snapToGrid w:val="0"/>
              <w:spacing w:line="360" w:lineRule="auto"/>
              <w:ind w:firstLine="241" w:firstLineChars="100"/>
              <w:jc w:val="left"/>
              <w:rPr>
                <w:rFonts w:hint="eastAsia" w:ascii="宋体" w:hAnsi="宋体" w:eastAsia="宋体" w:cs="宋体"/>
                <w:kern w:val="0"/>
                <w:sz w:val="24"/>
                <w:lang w:val="zh-CN"/>
              </w:rPr>
            </w:pPr>
            <w:r>
              <w:rPr>
                <w:rFonts w:hint="eastAsia" w:ascii="宋体" w:hAnsi="宋体" w:eastAsia="宋体" w:cs="宋体"/>
                <w:b/>
                <w:kern w:val="0"/>
                <w:sz w:val="24"/>
                <w:lang w:val="zh-CN"/>
              </w:rPr>
              <w:t>投标报价超过招标文件中规定的预算金额或者最高限价的;</w:t>
            </w:r>
          </w:p>
          <w:p>
            <w:pPr>
              <w:spacing w:line="360" w:lineRule="auto"/>
              <w:ind w:firstLine="241" w:firstLineChars="100"/>
              <w:rPr>
                <w:rFonts w:hint="eastAsia" w:ascii="宋体" w:hAnsi="宋体" w:eastAsia="宋体" w:cs="宋体"/>
                <w:b/>
                <w:sz w:val="24"/>
              </w:rPr>
            </w:pPr>
            <w:r>
              <w:rPr>
                <w:rFonts w:hint="eastAsia" w:ascii="宋体" w:hAnsi="宋体" w:eastAsia="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eastAsia="宋体" w:cs="宋体"/>
                <w:b/>
                <w:sz w:val="24"/>
                <w:szCs w:val="21"/>
              </w:rPr>
              <w:t>;</w:t>
            </w:r>
          </w:p>
          <w:p>
            <w:pPr>
              <w:spacing w:line="360" w:lineRule="auto"/>
              <w:ind w:firstLine="241" w:firstLineChars="100"/>
              <w:rPr>
                <w:rFonts w:hint="eastAsia" w:ascii="宋体" w:hAnsi="宋体" w:eastAsia="宋体" w:cs="宋体"/>
                <w:sz w:val="24"/>
              </w:rPr>
            </w:pPr>
            <w:r>
              <w:rPr>
                <w:rFonts w:hint="eastAsia" w:ascii="宋体" w:hAnsi="宋体" w:eastAsia="宋体" w:cs="宋体"/>
                <w:b/>
                <w:kern w:val="0"/>
                <w:sz w:val="24"/>
              </w:rPr>
              <w:t>投标人对根据修正原则修正后的报价不确认的</w:t>
            </w:r>
            <w:r>
              <w:rPr>
                <w:rFonts w:hint="eastAsia" w:ascii="宋体" w:hAnsi="宋体" w:eastAsia="宋体" w:cs="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4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hint="eastAsia" w:ascii="宋体" w:hAnsi="宋体" w:eastAsia="宋体" w:cs="宋体"/>
                <w:b/>
                <w:sz w:val="24"/>
              </w:rPr>
            </w:pPr>
            <w:r>
              <w:rPr>
                <w:rFonts w:hint="eastAsia" w:ascii="宋体" w:hAnsi="宋体" w:eastAsia="宋体" w:cs="宋体"/>
                <w:b/>
                <w:sz w:val="24"/>
              </w:rPr>
              <w:t>分包</w:t>
            </w:r>
          </w:p>
        </w:tc>
        <w:tc>
          <w:tcPr>
            <w:tcW w:w="7274"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20"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240" w:lineRule="auto"/>
              <w:jc w:val="center"/>
              <w:rPr>
                <w:rFonts w:hint="eastAsia" w:ascii="宋体" w:hAnsi="宋体" w:eastAsia="宋体" w:cs="宋体"/>
                <w:b/>
                <w:sz w:val="24"/>
              </w:rPr>
            </w:pPr>
            <w:r>
              <w:rPr>
                <w:rFonts w:hint="eastAsia" w:ascii="宋体" w:hAnsi="宋体" w:eastAsia="宋体" w:cs="宋体"/>
                <w:b/>
                <w:sz w:val="24"/>
              </w:rPr>
              <w:t>投标人应当提供的资格、资信证明文件</w:t>
            </w:r>
          </w:p>
        </w:tc>
        <w:tc>
          <w:tcPr>
            <w:tcW w:w="7274"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（1）资格证明文件：见招标文件第二部分11.1。</w:t>
            </w:r>
          </w:p>
          <w:p>
            <w:pPr>
              <w:spacing w:line="360" w:lineRule="auto"/>
              <w:rPr>
                <w:rFonts w:hint="eastAsia" w:ascii="宋体" w:hAnsi="宋体" w:eastAsia="宋体" w:cs="宋体"/>
                <w:snapToGrid w:val="0"/>
                <w:kern w:val="0"/>
                <w:szCs w:val="21"/>
              </w:rPr>
            </w:pPr>
            <w:r>
              <w:rPr>
                <w:rFonts w:hint="eastAsia" w:ascii="宋体" w:hAnsi="宋体" w:eastAsia="宋体" w:cs="宋体"/>
                <w:b/>
                <w:bCs/>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51"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p>
        </w:tc>
        <w:tc>
          <w:tcPr>
            <w:tcW w:w="7274"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6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240" w:lineRule="auto"/>
              <w:jc w:val="center"/>
              <w:rPr>
                <w:rFonts w:hint="eastAsia" w:ascii="宋体" w:hAnsi="宋体" w:eastAsia="宋体" w:cs="宋体"/>
                <w:b/>
                <w:sz w:val="24"/>
              </w:rPr>
            </w:pPr>
            <w:r>
              <w:rPr>
                <w:rFonts w:hint="eastAsia" w:ascii="宋体" w:hAnsi="宋体" w:eastAsia="宋体" w:cs="宋体"/>
                <w:b/>
                <w:sz w:val="24"/>
              </w:rPr>
              <w:t>开标前答疑会或现场考察</w:t>
            </w:r>
          </w:p>
        </w:tc>
        <w:tc>
          <w:tcPr>
            <w:tcW w:w="7274" w:type="dxa"/>
            <w:tcBorders>
              <w:top w:val="single" w:color="000000" w:sz="8" w:space="0"/>
              <w:left w:val="single" w:color="000000" w:sz="2" w:space="0"/>
              <w:bottom w:val="single" w:color="000000" w:sz="8" w:space="0"/>
              <w:right w:val="single" w:color="000000" w:sz="8" w:space="0"/>
            </w:tcBorders>
            <w:vAlign w:val="center"/>
          </w:tcPr>
          <w:p>
            <w:pPr>
              <w:spacing w:line="360" w:lineRule="auto"/>
              <w:jc w:val="both"/>
              <w:rPr>
                <w:rFonts w:hint="eastAsia" w:ascii="宋体" w:hAnsi="宋体" w:eastAsia="宋体" w:cs="宋体"/>
                <w:sz w:val="24"/>
                <w:szCs w:val="20"/>
              </w:rPr>
            </w:pPr>
            <w:r>
              <w:rPr>
                <w:rFonts w:hint="eastAsia" w:ascii="宋体" w:hAnsi="宋体" w:eastAsia="宋体" w:cs="宋体"/>
                <w:sz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31"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样品提供</w:t>
            </w:r>
          </w:p>
        </w:tc>
        <w:tc>
          <w:tcPr>
            <w:tcW w:w="7274" w:type="dxa"/>
            <w:tcBorders>
              <w:top w:val="single" w:color="000000" w:sz="8" w:space="0"/>
              <w:left w:val="single" w:color="000000" w:sz="2" w:space="0"/>
              <w:bottom w:val="single" w:color="000000" w:sz="8" w:space="0"/>
              <w:right w:val="single" w:color="000000" w:sz="8" w:space="0"/>
            </w:tcBorders>
            <w:vAlign w:val="center"/>
          </w:tcPr>
          <w:p>
            <w:pPr>
              <w:spacing w:line="360" w:lineRule="auto"/>
              <w:jc w:val="both"/>
              <w:rPr>
                <w:rFonts w:hint="eastAsia" w:ascii="宋体" w:hAnsi="宋体" w:eastAsia="宋体" w:cs="宋体"/>
                <w:b/>
                <w:sz w:val="24"/>
              </w:rPr>
            </w:pPr>
            <w:r>
              <w:rPr>
                <w:rFonts w:hint="eastAsia" w:ascii="宋体" w:hAnsi="宋体" w:eastAsia="宋体" w:cs="宋体"/>
                <w:sz w:val="24"/>
              </w:rPr>
              <w:t>不要求提供。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41"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Cs/>
                <w:sz w:val="24"/>
              </w:rPr>
            </w:pPr>
            <w:r>
              <w:rPr>
                <w:rFonts w:hint="eastAsia" w:ascii="宋体" w:hAnsi="宋体" w:eastAsia="宋体" w:cs="宋体"/>
                <w:b/>
                <w:sz w:val="24"/>
              </w:rPr>
              <w:t>方案讲解演示</w:t>
            </w:r>
          </w:p>
        </w:tc>
        <w:tc>
          <w:tcPr>
            <w:tcW w:w="7274" w:type="dxa"/>
            <w:tcBorders>
              <w:top w:val="single" w:color="000000" w:sz="8" w:space="0"/>
              <w:left w:val="single" w:color="000000" w:sz="2" w:space="0"/>
              <w:bottom w:val="single" w:color="000000" w:sz="8" w:space="0"/>
              <w:right w:val="single" w:color="000000" w:sz="8" w:space="0"/>
            </w:tcBorders>
            <w:vAlign w:val="center"/>
          </w:tcPr>
          <w:p>
            <w:pPr>
              <w:spacing w:line="360" w:lineRule="auto"/>
              <w:jc w:val="both"/>
              <w:rPr>
                <w:rFonts w:hint="eastAsia" w:ascii="宋体" w:hAnsi="宋体" w:eastAsia="宋体" w:cs="宋体"/>
                <w:b/>
                <w:kern w:val="0"/>
                <w:sz w:val="24"/>
                <w:lang w:val="zh-CN"/>
              </w:rPr>
            </w:pPr>
            <w:r>
              <w:rPr>
                <w:rFonts w:hint="eastAsia" w:ascii="宋体" w:hAnsi="宋体" w:eastAsia="宋体" w:cs="宋体"/>
                <w:sz w:val="24"/>
                <w:highlight w:val="none"/>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240" w:lineRule="auto"/>
              <w:jc w:val="center"/>
              <w:rPr>
                <w:rFonts w:hint="eastAsia" w:ascii="宋体" w:hAnsi="宋体" w:eastAsia="宋体" w:cs="宋体"/>
                <w:b/>
                <w:sz w:val="24"/>
              </w:rPr>
            </w:pPr>
            <w:r>
              <w:rPr>
                <w:rFonts w:hint="eastAsia" w:ascii="宋体" w:hAnsi="宋体" w:eastAsia="宋体" w:cs="宋体"/>
                <w:b/>
                <w:sz w:val="24"/>
              </w:rPr>
              <w:t>是否允许采购进口产品</w:t>
            </w:r>
          </w:p>
        </w:tc>
        <w:tc>
          <w:tcPr>
            <w:tcW w:w="7274" w:type="dxa"/>
            <w:tcBorders>
              <w:top w:val="single" w:color="000000" w:sz="8" w:space="0"/>
              <w:left w:val="single" w:color="000000" w:sz="2" w:space="0"/>
              <w:bottom w:val="single" w:color="000000" w:sz="8" w:space="0"/>
              <w:right w:val="single" w:color="000000" w:sz="8" w:space="0"/>
            </w:tcBorders>
            <w:vAlign w:val="center"/>
          </w:tcPr>
          <w:p>
            <w:pPr>
              <w:spacing w:line="360" w:lineRule="auto"/>
              <w:jc w:val="both"/>
              <w:rPr>
                <w:rFonts w:hint="eastAsia"/>
              </w:rPr>
            </w:pPr>
            <w:r>
              <w:rPr>
                <w:rFonts w:hint="eastAsia" w:ascii="宋体" w:hAnsi="宋体" w:eastAsia="宋体" w:cs="宋体"/>
                <w:kern w:val="0"/>
                <w:sz w:val="24"/>
              </w:rPr>
              <w:t>本项目不允许采购进口产品。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240" w:lineRule="auto"/>
              <w:jc w:val="center"/>
              <w:rPr>
                <w:rFonts w:hint="eastAsia" w:ascii="宋体" w:hAnsi="宋体" w:eastAsia="宋体" w:cs="宋体"/>
                <w:b/>
                <w:sz w:val="24"/>
              </w:rPr>
            </w:pPr>
            <w:r>
              <w:rPr>
                <w:rFonts w:hint="eastAsia" w:ascii="宋体" w:hAnsi="宋体" w:eastAsia="宋体" w:cs="宋体"/>
                <w:b/>
                <w:sz w:val="24"/>
              </w:rPr>
              <w:t>项目属性与核心产品</w:t>
            </w:r>
          </w:p>
        </w:tc>
        <w:tc>
          <w:tcPr>
            <w:tcW w:w="7274" w:type="dxa"/>
            <w:tcBorders>
              <w:top w:val="single" w:color="000000" w:sz="8" w:space="0"/>
              <w:left w:val="single" w:color="000000" w:sz="2" w:space="0"/>
              <w:bottom w:val="single" w:color="000000" w:sz="8" w:space="0"/>
              <w:right w:val="single" w:color="000000" w:sz="8" w:space="0"/>
            </w:tcBorders>
            <w:vAlign w:val="center"/>
          </w:tcPr>
          <w:p>
            <w:pPr>
              <w:spacing w:line="360" w:lineRule="auto"/>
              <w:jc w:val="both"/>
              <w:rPr>
                <w:rFonts w:hint="eastAsia" w:ascii="宋体" w:hAnsi="宋体" w:eastAsia="宋体" w:cs="宋体"/>
                <w:sz w:val="24"/>
                <w:lang w:eastAsia="zh-CN"/>
              </w:rPr>
            </w:pPr>
            <w:r>
              <w:rPr>
                <w:rFonts w:hint="eastAsia" w:ascii="宋体" w:hAnsi="宋体" w:cs="宋体"/>
                <w:kern w:val="0"/>
                <w:sz w:val="24"/>
                <w:lang w:eastAsia="zh-CN"/>
              </w:rPr>
              <w:t>工程类。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0"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240" w:lineRule="auto"/>
              <w:jc w:val="center"/>
              <w:rPr>
                <w:rFonts w:hint="eastAsia" w:ascii="宋体" w:hAnsi="宋体" w:eastAsia="宋体" w:cs="宋体"/>
                <w:b/>
                <w:sz w:val="24"/>
              </w:rPr>
            </w:pPr>
            <w:r>
              <w:rPr>
                <w:rFonts w:hint="eastAsia" w:ascii="宋体" w:hAnsi="宋体" w:eastAsia="宋体" w:cs="宋体"/>
                <w:b/>
                <w:sz w:val="24"/>
              </w:rPr>
              <w:t>采购标的对应的中小企业划分标准所属行业</w:t>
            </w:r>
          </w:p>
        </w:tc>
        <w:tc>
          <w:tcPr>
            <w:tcW w:w="7274"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宋体" w:hAnsi="宋体" w:eastAsia="宋体" w:cs="宋体"/>
                <w:lang w:val="en-US"/>
              </w:rPr>
            </w:pPr>
            <w:r>
              <w:rPr>
                <w:rFonts w:hint="eastAsia" w:ascii="宋体" w:hAnsi="宋体" w:eastAsia="宋体" w:cs="宋体"/>
                <w:kern w:val="0"/>
                <w:sz w:val="24"/>
              </w:rPr>
              <w:t>（1）标的：</w:t>
            </w:r>
            <w:r>
              <w:rPr>
                <w:rFonts w:hint="eastAsia" w:ascii="宋体" w:hAnsi="宋体" w:eastAsia="宋体" w:cs="宋体"/>
                <w:kern w:val="0"/>
                <w:sz w:val="24"/>
                <w:u w:val="single"/>
              </w:rPr>
              <w:t>龙岗污水处理厂提标改造工程——设备工程</w:t>
            </w:r>
            <w:r>
              <w:rPr>
                <w:rFonts w:hint="eastAsia" w:ascii="宋体" w:hAnsi="宋体" w:eastAsia="宋体" w:cs="宋体"/>
                <w:kern w:val="0"/>
                <w:sz w:val="24"/>
              </w:rPr>
              <w:t>，属于</w:t>
            </w:r>
            <w:r>
              <w:rPr>
                <w:rFonts w:hint="eastAsia" w:ascii="宋体" w:hAnsi="宋体" w:cs="宋体"/>
                <w:kern w:val="0"/>
                <w:sz w:val="24"/>
                <w:u w:val="single"/>
                <w:lang w:eastAsia="zh-CN"/>
              </w:rPr>
              <w:t>建筑</w:t>
            </w:r>
            <w:r>
              <w:rPr>
                <w:rFonts w:hint="eastAsia" w:ascii="宋体" w:hAnsi="宋体" w:eastAsia="宋体" w:cs="宋体"/>
                <w:kern w:val="0"/>
                <w:sz w:val="24"/>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62"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240" w:lineRule="auto"/>
              <w:jc w:val="center"/>
              <w:rPr>
                <w:rFonts w:hint="eastAsia" w:ascii="宋体" w:hAnsi="宋体" w:eastAsia="宋体" w:cs="宋体"/>
                <w:b/>
                <w:sz w:val="24"/>
              </w:rPr>
            </w:pPr>
            <w:r>
              <w:rPr>
                <w:rFonts w:hint="eastAsia" w:ascii="宋体" w:hAnsi="宋体" w:eastAsia="宋体" w:cs="宋体"/>
                <w:b/>
                <w:sz w:val="24"/>
              </w:rPr>
              <w:t>节能产品、环境标志产品</w:t>
            </w:r>
          </w:p>
        </w:tc>
        <w:tc>
          <w:tcPr>
            <w:tcW w:w="7274"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宋体" w:hAnsi="宋体" w:eastAsia="宋体" w:cs="宋体"/>
              </w:rPr>
            </w:pPr>
            <w:r>
              <w:rPr>
                <w:rFonts w:hint="eastAsia" w:ascii="宋体" w:hAnsi="宋体" w:eastAsia="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691"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中小企业信用融资</w:t>
            </w:r>
          </w:p>
        </w:tc>
        <w:tc>
          <w:tcPr>
            <w:tcW w:w="7274"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宋体" w:hAnsi="宋体" w:eastAsia="宋体" w:cs="宋体"/>
                <w:sz w:val="24"/>
              </w:rPr>
            </w:pPr>
            <w:r>
              <w:rPr>
                <w:rFonts w:hint="eastAsia" w:ascii="宋体" w:hAnsi="宋体" w:eastAsia="宋体" w:cs="宋体"/>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857" w:hRule="atLeast"/>
          <w:tblHeader/>
        </w:trPr>
        <w:tc>
          <w:tcPr>
            <w:tcW w:w="629" w:type="dxa"/>
            <w:vMerge w:val="continue"/>
            <w:tcBorders>
              <w:left w:val="single" w:color="000000" w:sz="8" w:space="0"/>
              <w:right w:val="single" w:color="000000" w:sz="2" w:space="0"/>
            </w:tcBorders>
            <w:vAlign w:val="center"/>
          </w:tcPr>
          <w:p>
            <w:pPr>
              <w:spacing w:line="360" w:lineRule="auto"/>
              <w:ind w:firstLine="420" w:firstLineChars="200"/>
              <w:jc w:val="center"/>
              <w:rPr>
                <w:rFonts w:hint="eastAsia" w:ascii="宋体" w:hAnsi="宋体" w:eastAsia="宋体" w:cs="宋体"/>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hint="eastAsia" w:ascii="宋体" w:hAnsi="宋体" w:eastAsia="宋体" w:cs="宋体"/>
              </w:rPr>
            </w:pPr>
          </w:p>
        </w:tc>
        <w:tc>
          <w:tcPr>
            <w:tcW w:w="7274"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宋体" w:hAnsi="宋体" w:eastAsia="宋体" w:cs="宋体"/>
                <w:snapToGrid w:val="0"/>
                <w:kern w:val="28"/>
                <w:sz w:val="24"/>
              </w:rPr>
            </w:pPr>
            <w:r>
              <w:rPr>
                <w:rFonts w:hint="eastAsia" w:ascii="宋体" w:hAnsi="宋体" w:eastAsia="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240" w:lineRule="auto"/>
              <w:jc w:val="center"/>
              <w:rPr>
                <w:rFonts w:hint="eastAsia" w:ascii="宋体" w:hAnsi="宋体" w:eastAsia="宋体" w:cs="宋体"/>
                <w:b/>
                <w:sz w:val="24"/>
              </w:rPr>
            </w:pPr>
            <w:r>
              <w:rPr>
                <w:rFonts w:hint="eastAsia" w:ascii="宋体" w:hAnsi="宋体" w:eastAsia="宋体" w:cs="宋体"/>
                <w:b/>
                <w:sz w:val="24"/>
              </w:rPr>
              <w:t xml:space="preserve">备份投标文件送达地点和签收人员 </w:t>
            </w:r>
          </w:p>
        </w:tc>
        <w:tc>
          <w:tcPr>
            <w:tcW w:w="7274"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hint="eastAsia" w:ascii="宋体" w:hAnsi="宋体" w:eastAsia="宋体" w:cs="宋体"/>
                <w:kern w:val="28"/>
                <w:sz w:val="24"/>
              </w:rPr>
            </w:pPr>
            <w:r>
              <w:rPr>
                <w:rFonts w:hint="eastAsia" w:ascii="宋体" w:hAnsi="宋体" w:eastAsia="宋体" w:cs="宋体"/>
                <w:kern w:val="28"/>
                <w:sz w:val="24"/>
                <w:szCs w:val="24"/>
              </w:rPr>
              <w:t>备份投标文件送达地点：</w:t>
            </w:r>
            <w:r>
              <w:rPr>
                <w:rFonts w:hint="eastAsia" w:ascii="宋体" w:hAnsi="宋体" w:eastAsia="宋体" w:cs="宋体"/>
                <w:sz w:val="24"/>
                <w:u w:val="single"/>
              </w:rPr>
              <w:t>杭州市临安区临天路1884号大华文锦商厦3楼</w:t>
            </w:r>
            <w:r>
              <w:rPr>
                <w:rFonts w:hint="eastAsia" w:ascii="宋体" w:hAnsi="宋体" w:eastAsia="宋体" w:cs="宋体"/>
                <w:kern w:val="28"/>
                <w:sz w:val="24"/>
                <w:szCs w:val="24"/>
              </w:rPr>
              <w:t>；备份投标文件签收人员联系电话：</w:t>
            </w:r>
            <w:r>
              <w:rPr>
                <w:rFonts w:hint="eastAsia" w:ascii="宋体" w:hAnsi="宋体" w:eastAsia="宋体" w:cs="宋体"/>
                <w:sz w:val="24"/>
                <w:u w:val="single"/>
              </w:rPr>
              <w:t>0571-61076256</w:t>
            </w:r>
            <w:r>
              <w:rPr>
                <w:rFonts w:hint="eastAsia" w:ascii="宋体" w:hAnsi="宋体" w:eastAsia="宋体" w:cs="宋体"/>
                <w:sz w:val="24"/>
                <w:szCs w:val="24"/>
              </w:rPr>
              <w:t>。</w:t>
            </w:r>
            <w:r>
              <w:rPr>
                <w:rFonts w:hint="eastAsia" w:ascii="宋体" w:hAnsi="宋体" w:eastAsia="宋体" w:cs="宋体"/>
                <w:b/>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lang w:eastAsia="zh-CN"/>
              </w:rPr>
            </w:pPr>
            <w:r>
              <w:rPr>
                <w:rFonts w:hint="eastAsia" w:ascii="宋体" w:hAnsi="宋体" w:cs="宋体"/>
                <w:b/>
                <w:sz w:val="24"/>
                <w:lang w:eastAsia="zh-CN"/>
              </w:rPr>
              <w:t>采购代理费</w:t>
            </w:r>
          </w:p>
        </w:tc>
        <w:tc>
          <w:tcPr>
            <w:tcW w:w="7274"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napToGrid w:val="0"/>
                <w:kern w:val="28"/>
                <w:sz w:val="24"/>
              </w:rPr>
            </w:pPr>
            <w:r>
              <w:rPr>
                <w:rFonts w:hint="eastAsia" w:ascii="宋体" w:hAnsi="宋体" w:eastAsia="宋体" w:cs="宋体"/>
                <w:b/>
                <w:bCs/>
                <w:snapToGrid w:val="0"/>
                <w:kern w:val="28"/>
                <w:sz w:val="24"/>
              </w:rPr>
              <w:t>采购代理服务费</w:t>
            </w:r>
            <w:r>
              <w:rPr>
                <w:rFonts w:hint="eastAsia" w:ascii="宋体" w:hAnsi="宋体" w:cs="宋体"/>
                <w:b/>
                <w:bCs/>
                <w:snapToGrid w:val="0"/>
                <w:kern w:val="28"/>
                <w:sz w:val="24"/>
                <w:lang w:eastAsia="zh-CN"/>
              </w:rPr>
              <w:t>及</w:t>
            </w:r>
            <w:r>
              <w:rPr>
                <w:rFonts w:hint="eastAsia" w:ascii="宋体" w:hAnsi="宋体" w:eastAsia="宋体" w:cs="宋体"/>
                <w:b/>
                <w:bCs/>
                <w:snapToGrid w:val="0"/>
                <w:kern w:val="28"/>
                <w:sz w:val="24"/>
              </w:rPr>
              <w:t>评审专家费由</w:t>
            </w:r>
            <w:r>
              <w:rPr>
                <w:rFonts w:hint="eastAsia" w:ascii="宋体" w:hAnsi="宋体" w:cs="宋体"/>
                <w:b/>
                <w:bCs/>
                <w:snapToGrid w:val="0"/>
                <w:kern w:val="28"/>
                <w:sz w:val="24"/>
                <w:lang w:eastAsia="zh-CN"/>
              </w:rPr>
              <w:t>中标人</w:t>
            </w:r>
            <w:r>
              <w:rPr>
                <w:rFonts w:hint="eastAsia" w:ascii="宋体" w:hAnsi="宋体" w:eastAsia="宋体" w:cs="宋体"/>
                <w:b/>
                <w:bCs/>
                <w:snapToGrid w:val="0"/>
                <w:kern w:val="28"/>
                <w:sz w:val="24"/>
              </w:rPr>
              <w:t>支付，按照发改价格〔2011〕534号文件规定收费标准的80%收取（最低4000元，不含评审专家费）。费用在发出成交通知书前付清。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sz w:val="24"/>
                <w:lang w:val="en-US" w:eastAsia="zh-CN"/>
              </w:rPr>
            </w:pPr>
            <w:r>
              <w:rPr>
                <w:rFonts w:hint="eastAsia" w:ascii="宋体" w:hAnsi="宋体" w:eastAsia="宋体" w:cs="宋体"/>
                <w:sz w:val="24"/>
              </w:rPr>
              <w:t>1</w:t>
            </w:r>
            <w:r>
              <w:rPr>
                <w:rFonts w:hint="eastAsia" w:ascii="宋体" w:hAnsi="宋体" w:cs="宋体"/>
                <w:sz w:val="24"/>
                <w:lang w:val="en-US" w:eastAsia="zh-CN"/>
              </w:rPr>
              <w:t>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特别说明</w:t>
            </w:r>
          </w:p>
        </w:tc>
        <w:tc>
          <w:tcPr>
            <w:tcW w:w="7274"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napToGrid w:val="0"/>
                <w:kern w:val="28"/>
                <w:sz w:val="24"/>
              </w:rPr>
            </w:pPr>
            <w:r>
              <w:rPr>
                <w:rFonts w:hint="eastAsia" w:ascii="宋体" w:hAnsi="宋体" w:eastAsia="宋体" w:cs="宋体"/>
                <w:snapToGrid w:val="0"/>
                <w:kern w:val="28"/>
                <w:sz w:val="24"/>
              </w:rPr>
              <w:t>为保证项目质量，防止投标人恶意低价竞争行为损害项目建设，本项目对报价过低的供应商将提高履约保证金，即投标人的投标报价如低于投标最高限价的80%</w:t>
            </w:r>
            <w:r>
              <w:rPr>
                <w:rFonts w:hint="eastAsia" w:ascii="宋体" w:hAnsi="宋体" w:eastAsia="宋体" w:cs="宋体"/>
                <w:snapToGrid w:val="0"/>
                <w:kern w:val="28"/>
                <w:sz w:val="24"/>
                <w:highlight w:val="none"/>
              </w:rPr>
              <w:t>（</w:t>
            </w:r>
            <w:r>
              <w:rPr>
                <w:rFonts w:hint="eastAsia" w:ascii="宋体" w:hAnsi="宋体" w:cs="宋体"/>
                <w:snapToGrid w:val="0"/>
                <w:kern w:val="28"/>
                <w:sz w:val="24"/>
                <w:highlight w:val="none"/>
                <w:lang w:val="en-US" w:eastAsia="zh-CN"/>
              </w:rPr>
              <w:t>719.0606</w:t>
            </w:r>
            <w:r>
              <w:rPr>
                <w:rFonts w:hint="eastAsia" w:ascii="宋体" w:hAnsi="宋体" w:eastAsia="宋体" w:cs="宋体"/>
                <w:snapToGrid w:val="0"/>
                <w:kern w:val="28"/>
                <w:sz w:val="24"/>
                <w:highlight w:val="none"/>
              </w:rPr>
              <w:t>万元</w:t>
            </w:r>
            <w:r>
              <w:rPr>
                <w:rFonts w:hint="eastAsia" w:ascii="宋体" w:hAnsi="宋体" w:eastAsia="宋体" w:cs="宋体"/>
                <w:snapToGrid w:val="0"/>
                <w:kern w:val="28"/>
                <w:sz w:val="24"/>
              </w:rPr>
              <w:t>）并成为第一中标候选人的，投标人须在原有</w:t>
            </w:r>
            <w:r>
              <w:rPr>
                <w:rFonts w:hint="eastAsia" w:ascii="宋体" w:hAnsi="宋体" w:cs="宋体"/>
                <w:snapToGrid w:val="0"/>
                <w:kern w:val="28"/>
                <w:sz w:val="24"/>
                <w:u w:val="single"/>
                <w:lang w:val="en-US" w:eastAsia="zh-CN"/>
              </w:rPr>
              <w:t xml:space="preserve"> </w:t>
            </w:r>
            <w:r>
              <w:rPr>
                <w:rFonts w:hint="eastAsia" w:ascii="宋体" w:hAnsi="宋体" w:eastAsia="宋体" w:cs="宋体"/>
                <w:snapToGrid w:val="0"/>
                <w:kern w:val="28"/>
                <w:sz w:val="24"/>
                <w:u w:val="single"/>
              </w:rPr>
              <w:t>2%</w:t>
            </w:r>
            <w:r>
              <w:rPr>
                <w:rFonts w:hint="eastAsia" w:ascii="宋体" w:hAnsi="宋体" w:cs="宋体"/>
                <w:snapToGrid w:val="0"/>
                <w:kern w:val="28"/>
                <w:sz w:val="24"/>
                <w:u w:val="single"/>
                <w:lang w:val="en-US" w:eastAsia="zh-CN"/>
              </w:rPr>
              <w:t xml:space="preserve"> </w:t>
            </w:r>
            <w:r>
              <w:rPr>
                <w:rFonts w:hint="eastAsia" w:ascii="宋体" w:hAnsi="宋体" w:eastAsia="宋体" w:cs="宋体"/>
                <w:snapToGrid w:val="0"/>
                <w:kern w:val="28"/>
                <w:sz w:val="24"/>
              </w:rPr>
              <w:t>履约保证金的基础上追加保证金，金额为投标最高限价的80%与中标价之间的差额，所追加缴纳的保证金于项目竣工验收完成后无息返还。</w:t>
            </w:r>
          </w:p>
        </w:tc>
      </w:tr>
      <w:bookmarkEnd w:id="10"/>
    </w:tbl>
    <w:p>
      <w:pPr>
        <w:adjustRightInd/>
        <w:spacing w:line="360" w:lineRule="auto"/>
        <w:jc w:val="center"/>
        <w:outlineLvl w:val="0"/>
        <w:rPr>
          <w:rFonts w:hint="eastAsia" w:ascii="宋体" w:hAnsi="宋体" w:eastAsia="宋体" w:cs="宋体"/>
          <w:b/>
          <w:sz w:val="32"/>
          <w:szCs w:val="20"/>
        </w:rPr>
      </w:pPr>
      <w:bookmarkStart w:id="11" w:name="_Toc164416483"/>
      <w:bookmarkStart w:id="12" w:name="第三部分"/>
    </w:p>
    <w:p>
      <w:pPr>
        <w:adjustRightInd/>
        <w:spacing w:line="360" w:lineRule="auto"/>
        <w:jc w:val="center"/>
        <w:outlineLvl w:val="0"/>
        <w:rPr>
          <w:rFonts w:hint="eastAsia" w:ascii="宋体" w:hAnsi="宋体" w:eastAsia="宋体" w:cs="宋体"/>
          <w:b/>
          <w:sz w:val="32"/>
          <w:szCs w:val="20"/>
        </w:rPr>
      </w:pPr>
    </w:p>
    <w:p>
      <w:pPr>
        <w:adjustRightInd/>
        <w:spacing w:line="360" w:lineRule="auto"/>
        <w:jc w:val="center"/>
        <w:outlineLvl w:val="0"/>
        <w:rPr>
          <w:rFonts w:hint="eastAsia" w:ascii="宋体" w:hAnsi="宋体" w:eastAsia="宋体" w:cs="宋体"/>
          <w:b/>
          <w:sz w:val="32"/>
          <w:szCs w:val="20"/>
        </w:rPr>
      </w:pPr>
    </w:p>
    <w:p>
      <w:pPr>
        <w:adjustRightInd/>
        <w:spacing w:line="360" w:lineRule="auto"/>
        <w:jc w:val="center"/>
        <w:outlineLvl w:val="0"/>
        <w:rPr>
          <w:rFonts w:hint="eastAsia" w:ascii="宋体" w:hAnsi="宋体" w:eastAsia="宋体" w:cs="宋体"/>
          <w:b/>
          <w:sz w:val="32"/>
          <w:szCs w:val="20"/>
        </w:rPr>
      </w:pPr>
      <w:r>
        <w:rPr>
          <w:rFonts w:hint="eastAsia" w:ascii="宋体" w:hAnsi="宋体" w:eastAsia="宋体" w:cs="宋体"/>
          <w:b/>
          <w:sz w:val="32"/>
          <w:szCs w:val="20"/>
        </w:rPr>
        <w:t>一、总则</w:t>
      </w:r>
    </w:p>
    <w:p>
      <w:pPr>
        <w:snapToGrid w:val="0"/>
        <w:spacing w:line="360" w:lineRule="auto"/>
        <w:ind w:firstLine="361" w:firstLineChars="150"/>
        <w:jc w:val="left"/>
        <w:outlineLvl w:val="1"/>
        <w:rPr>
          <w:rFonts w:hint="eastAsia" w:ascii="宋体" w:hAnsi="宋体" w:eastAsia="宋体" w:cs="宋体"/>
          <w:b/>
          <w:sz w:val="24"/>
        </w:rPr>
      </w:pPr>
      <w:r>
        <w:rPr>
          <w:rFonts w:hint="eastAsia" w:ascii="宋体" w:hAnsi="宋体" w:eastAsia="宋体" w:cs="宋体"/>
          <w:b/>
          <w:sz w:val="24"/>
        </w:rPr>
        <w:t>1. 适用范围</w:t>
      </w:r>
    </w:p>
    <w:p>
      <w:pPr>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宋体" w:hAnsi="宋体" w:eastAsia="宋体" w:cs="宋体"/>
          <w:b/>
          <w:sz w:val="24"/>
        </w:rPr>
      </w:pPr>
      <w:r>
        <w:rPr>
          <w:rFonts w:hint="eastAsia" w:ascii="宋体" w:hAnsi="宋体" w:eastAsia="宋体" w:cs="宋体"/>
          <w:b/>
          <w:sz w:val="24"/>
        </w:rPr>
        <w:t xml:space="preserve">   2.定义</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2.1 “采购人”系指招标公告中载明的本项目的采购人。</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2.2 “采购机构”系指招标公告中载明的本项目的采购机构。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2.3 “投标人”系指是指响应招标、参加投标竞争的法人、其他组织或者自然人。</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2.6“电子交易平台”是指本项目政府采购活动所依托的政府采购云平台（https://www.zcygov.cn/）。</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2.7 “▲” 系指实质性要求条款，“★”系产品采购项目中单一产品或核心产品，“</w:t>
      </w:r>
      <w:sdt>
        <w:sdtPr>
          <w:rPr>
            <w:rFonts w:hint="eastAsia" w:ascii="宋体" w:hAnsi="宋体" w:eastAsia="宋体" w:cs="宋体"/>
            <w:kern w:val="0"/>
            <w:sz w:val="24"/>
          </w:rPr>
          <w:id w:val="512970236"/>
          <w14:checkbox>
            <w14:checked w14:val="1"/>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宋体" w:hAnsi="宋体" w:eastAsia="宋体" w:cs="宋体"/>
              <w:kern w:val="0"/>
              <w:sz w:val="24"/>
            </w:rPr>
            <w:t></w:t>
          </w:r>
        </w:sdtContent>
      </w:sdt>
      <w:r>
        <w:rPr>
          <w:rFonts w:hint="eastAsia" w:ascii="宋体" w:hAnsi="宋体" w:eastAsia="宋体" w:cs="宋体"/>
          <w:sz w:val="24"/>
        </w:rPr>
        <w:t>” 系指适用本项目的要求，“</w:t>
      </w:r>
      <w:sdt>
        <w:sdtPr>
          <w:rPr>
            <w:rFonts w:hint="eastAsia" w:ascii="宋体" w:hAnsi="宋体" w:eastAsia="宋体" w:cs="宋体"/>
            <w:kern w:val="0"/>
            <w:sz w:val="24"/>
          </w:rPr>
          <w:id w:val="404888855"/>
          <w14:checkbox>
            <w14:checked w14:val="0"/>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宋体" w:hAnsi="宋体" w:eastAsia="宋体" w:cs="宋体"/>
              <w:kern w:val="0"/>
              <w:sz w:val="24"/>
            </w:rPr>
            <w:t>☐</w:t>
          </w:r>
        </w:sdtContent>
      </w:sdt>
      <w:r>
        <w:rPr>
          <w:rFonts w:hint="eastAsia" w:ascii="宋体" w:hAnsi="宋体" w:eastAsia="宋体" w:cs="宋体"/>
          <w:sz w:val="24"/>
        </w:rPr>
        <w:t>” 系指不适用本项目的要求。</w:t>
      </w:r>
    </w:p>
    <w:p>
      <w:pPr>
        <w:spacing w:line="360" w:lineRule="auto"/>
        <w:ind w:firstLine="241" w:firstLineChars="100"/>
        <w:rPr>
          <w:rFonts w:hint="eastAsia" w:ascii="宋体" w:hAnsi="宋体" w:eastAsia="宋体" w:cs="宋体"/>
          <w:b/>
          <w:sz w:val="24"/>
        </w:rPr>
      </w:pPr>
      <w:r>
        <w:rPr>
          <w:rFonts w:hint="eastAsia" w:ascii="宋体" w:hAnsi="宋体" w:eastAsia="宋体" w:cs="宋体"/>
          <w:b/>
          <w:sz w:val="24"/>
        </w:rPr>
        <w:t>3.</w:t>
      </w:r>
      <w:r>
        <w:rPr>
          <w:rFonts w:hint="eastAsia" w:ascii="宋体" w:hAnsi="宋体" w:eastAsia="宋体" w:cs="宋体"/>
        </w:rPr>
        <w:t xml:space="preserve"> </w:t>
      </w:r>
      <w:r>
        <w:rPr>
          <w:rFonts w:hint="eastAsia" w:ascii="宋体" w:hAnsi="宋体" w:eastAsia="宋体" w:cs="宋体"/>
          <w:b/>
          <w:sz w:val="24"/>
        </w:rPr>
        <w:t>采购项目需要落实的政府采购政策</w:t>
      </w:r>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3.2 支持绿色发展</w:t>
      </w:r>
    </w:p>
    <w:p>
      <w:pPr>
        <w:spacing w:line="360" w:lineRule="auto"/>
        <w:ind w:firstLine="480" w:firstLineChars="200"/>
        <w:rPr>
          <w:rFonts w:hint="eastAsia" w:ascii="宋体" w:hAnsi="宋体" w:eastAsia="宋体" w:cs="宋体"/>
          <w:b/>
          <w:sz w:val="24"/>
        </w:rPr>
      </w:pPr>
      <w:r>
        <w:rPr>
          <w:rFonts w:hint="eastAsia" w:ascii="宋体" w:hAnsi="宋体" w:eastAsia="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eastAsia="宋体" w:cs="宋体"/>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3.2.2 修缮、装修类项目采购建材的，采购人应将绿色建筑和绿色建材性能、指标等作为实质性条件纳入招标文件和合同。</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3.3支持中小企业发展</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符合中小企业划分标准的个体工商户，在政府采购活动中视同中小企业。</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bCs/>
          <w:sz w:val="24"/>
        </w:rPr>
        <w:t>3.3.2</w:t>
      </w:r>
      <w:r>
        <w:rPr>
          <w:rFonts w:hint="eastAsia" w:ascii="宋体" w:hAnsi="宋体" w:eastAsia="宋体" w:cs="宋体"/>
          <w:kern w:val="0"/>
          <w:sz w:val="24"/>
        </w:rPr>
        <w:t>在政府采购活动中，投标人提供的货物、工程或者服务符合下列情形的，享受中小企业扶持政策：</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3.3.2.2在工程采购项目中，工程由中小企业承建，即工程施工单位为中小企业；</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3.3.3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3.4</w:t>
      </w:r>
      <w:r>
        <w:rPr>
          <w:rFonts w:hint="eastAsia" w:ascii="宋体" w:hAnsi="宋体" w:eastAsia="宋体" w:cs="宋体"/>
          <w:bCs/>
          <w:sz w:val="24"/>
        </w:rPr>
        <w:t>支持创新发展</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3.4.1 采购人优先采购被认定为首台套产品和“制造精品”的自主创新产品。</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rPr>
          <w:rFonts w:hint="eastAsia" w:ascii="宋体" w:hAnsi="宋体" w:eastAsia="宋体" w:cs="宋体"/>
          <w:b/>
          <w:sz w:val="24"/>
        </w:rPr>
      </w:pPr>
      <w:r>
        <w:rPr>
          <w:rFonts w:hint="eastAsia" w:ascii="宋体" w:hAnsi="宋体" w:eastAsia="宋体" w:cs="宋体"/>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hint="eastAsia" w:ascii="宋体" w:hAnsi="宋体" w:eastAsia="宋体" w:cs="宋体"/>
          <w:sz w:val="24"/>
        </w:rPr>
        <w:cr/>
      </w:r>
      <w:r>
        <w:rPr>
          <w:rFonts w:hint="eastAsia" w:ascii="宋体" w:hAnsi="宋体" w:eastAsia="宋体" w:cs="宋体"/>
          <w:b/>
          <w:sz w:val="24"/>
        </w:rPr>
        <w:t>4. 询问、质疑、投诉</w:t>
      </w:r>
    </w:p>
    <w:p>
      <w:pPr>
        <w:autoSpaceDE w:val="0"/>
        <w:autoSpaceDN w:val="0"/>
        <w:spacing w:line="360" w:lineRule="auto"/>
        <w:ind w:firstLine="240" w:firstLineChars="100"/>
        <w:jc w:val="left"/>
        <w:rPr>
          <w:rFonts w:hint="eastAsia" w:ascii="宋体" w:hAnsi="宋体" w:eastAsia="宋体" w:cs="宋体"/>
          <w:kern w:val="0"/>
          <w:sz w:val="24"/>
          <w:lang w:val="zh-CN"/>
        </w:rPr>
      </w:pPr>
      <w:r>
        <w:rPr>
          <w:rFonts w:hint="eastAsia" w:ascii="宋体" w:hAnsi="宋体" w:eastAsia="宋体" w:cs="宋体"/>
          <w:kern w:val="0"/>
          <w:sz w:val="24"/>
          <w:lang w:val="zh-CN"/>
        </w:rPr>
        <w:t>4.1供应商询问</w:t>
      </w:r>
    </w:p>
    <w:p>
      <w:pPr>
        <w:autoSpaceDE w:val="0"/>
        <w:autoSpaceDN w:val="0"/>
        <w:spacing w:line="360" w:lineRule="auto"/>
        <w:ind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宋体" w:hAnsi="宋体" w:eastAsia="宋体" w:cs="宋体"/>
          <w:kern w:val="0"/>
          <w:sz w:val="24"/>
          <w:lang w:val="zh-CN"/>
        </w:rPr>
      </w:pPr>
      <w:r>
        <w:rPr>
          <w:rFonts w:hint="eastAsia" w:ascii="宋体" w:hAnsi="宋体" w:eastAsia="宋体" w:cs="宋体"/>
          <w:kern w:val="0"/>
          <w:sz w:val="24"/>
          <w:lang w:val="zh-CN"/>
        </w:rPr>
        <w:t>4.2供应商质疑</w:t>
      </w:r>
    </w:p>
    <w:p>
      <w:pPr>
        <w:pStyle w:val="34"/>
        <w:spacing w:line="360" w:lineRule="auto"/>
        <w:ind w:firstLine="480" w:firstLineChars="200"/>
        <w:rPr>
          <w:rFonts w:hint="eastAsia" w:ascii="宋体" w:hAnsi="宋体" w:eastAsia="宋体" w:cs="宋体"/>
          <w:sz w:val="24"/>
        </w:rPr>
      </w:pPr>
      <w:r>
        <w:rPr>
          <w:rFonts w:hint="eastAsia" w:ascii="宋体" w:hAnsi="宋体" w:eastAsia="宋体" w:cs="宋体"/>
          <w:kern w:val="0"/>
          <w:sz w:val="24"/>
          <w:lang w:val="zh-CN"/>
        </w:rPr>
        <w:t>4.2</w:t>
      </w:r>
      <w:r>
        <w:rPr>
          <w:rFonts w:hint="eastAsia" w:ascii="宋体" w:hAnsi="宋体" w:eastAsia="宋体" w:cs="宋体"/>
          <w:sz w:val="24"/>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hint="eastAsia" w:ascii="宋体" w:hAnsi="宋体" w:eastAsia="宋体" w:cs="宋体"/>
          <w:sz w:val="24"/>
        </w:rPr>
      </w:pPr>
      <w:r>
        <w:rPr>
          <w:rFonts w:hint="eastAsia" w:ascii="宋体" w:hAnsi="宋体" w:eastAsia="宋体" w:cs="宋体"/>
          <w:kern w:val="0"/>
          <w:sz w:val="24"/>
          <w:lang w:val="zh-CN"/>
        </w:rPr>
        <w:t>4.2</w:t>
      </w:r>
      <w:r>
        <w:rPr>
          <w:rFonts w:hint="eastAsia" w:ascii="宋体" w:hAnsi="宋体" w:eastAsia="宋体" w:cs="宋体"/>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8"/>
        <w:spacing w:line="360" w:lineRule="auto"/>
        <w:ind w:firstLine="480" w:firstLineChars="200"/>
        <w:rPr>
          <w:rFonts w:hint="eastAsia" w:ascii="宋体" w:hAnsi="宋体" w:eastAsia="宋体" w:cs="宋体"/>
          <w:snapToGrid/>
          <w:color w:val="auto"/>
          <w:kern w:val="2"/>
          <w:sz w:val="24"/>
        </w:rPr>
      </w:pPr>
      <w:r>
        <w:rPr>
          <w:rFonts w:hint="eastAsia" w:ascii="宋体" w:hAnsi="宋体" w:eastAsia="宋体" w:cs="宋体"/>
          <w:snapToGrid/>
          <w:color w:val="auto"/>
          <w:kern w:val="2"/>
          <w:sz w:val="24"/>
        </w:rPr>
        <w:t>4.2.2.1对招标文件提出质疑的，质疑期限为供应商获得招标文件之日或者招标文件公告期限届满之日起计算。</w:t>
      </w:r>
    </w:p>
    <w:p>
      <w:pPr>
        <w:pStyle w:val="34"/>
        <w:spacing w:line="360" w:lineRule="auto"/>
        <w:ind w:firstLine="480" w:firstLineChars="200"/>
        <w:rPr>
          <w:rFonts w:hint="eastAsia" w:ascii="宋体" w:hAnsi="宋体" w:eastAsia="宋体" w:cs="宋体"/>
          <w:sz w:val="24"/>
        </w:rPr>
      </w:pPr>
      <w:r>
        <w:rPr>
          <w:rFonts w:hint="eastAsia" w:ascii="宋体" w:hAnsi="宋体" w:eastAsia="宋体" w:cs="宋体"/>
          <w:sz w:val="24"/>
        </w:rPr>
        <w:t>4.2.2.2对采购过程提出质疑的，质疑期限为各采购程序环节结束之日起计算。对同一采购程序环节的质疑，供应商须一次性提出。</w:t>
      </w:r>
    </w:p>
    <w:p>
      <w:pPr>
        <w:pStyle w:val="34"/>
        <w:spacing w:line="360" w:lineRule="auto"/>
        <w:ind w:firstLine="480" w:firstLineChars="200"/>
        <w:rPr>
          <w:rFonts w:hint="eastAsia" w:ascii="宋体" w:hAnsi="宋体" w:eastAsia="宋体" w:cs="宋体"/>
          <w:sz w:val="24"/>
        </w:rPr>
      </w:pPr>
      <w:r>
        <w:rPr>
          <w:rFonts w:hint="eastAsia" w:ascii="宋体" w:hAnsi="宋体" w:eastAsia="宋体" w:cs="宋体"/>
          <w:sz w:val="24"/>
        </w:rPr>
        <w:t>4.2.2.3对采购结果提出质疑的，质疑期限自采购结果公告期限届满之日起计算。</w:t>
      </w:r>
    </w:p>
    <w:p>
      <w:pPr>
        <w:pStyle w:val="34"/>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4.2.3</w:t>
      </w:r>
      <w:r>
        <w:rPr>
          <w:rFonts w:hint="eastAsia" w:ascii="宋体" w:hAnsi="宋体" w:eastAsia="宋体" w:cs="宋体"/>
          <w:sz w:val="24"/>
        </w:rPr>
        <w:t>供应商提出质疑应当提交质疑函和必要的证明材料。质疑函应当包括下列内容：</w:t>
      </w:r>
    </w:p>
    <w:p>
      <w:pPr>
        <w:pStyle w:val="34"/>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　　4.2.3.1供应商的姓名或者名称、地址、邮编、联系人及联系电话；</w:t>
      </w:r>
    </w:p>
    <w:p>
      <w:pPr>
        <w:pStyle w:val="34"/>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　　4.2.3.2质疑项目的名称、编号；</w:t>
      </w:r>
    </w:p>
    <w:p>
      <w:pPr>
        <w:pStyle w:val="34"/>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　　4.2.3.3具体、明确的质疑事项和与质疑事项相关的请求；</w:t>
      </w:r>
    </w:p>
    <w:p>
      <w:pPr>
        <w:pStyle w:val="34"/>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　　4.2.3.4事实依据；</w:t>
      </w:r>
    </w:p>
    <w:p>
      <w:pPr>
        <w:pStyle w:val="34"/>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　　4.2.3.5必要的法律依据；</w:t>
      </w:r>
    </w:p>
    <w:p>
      <w:pPr>
        <w:pStyle w:val="34"/>
        <w:spacing w:line="360" w:lineRule="auto"/>
        <w:ind w:firstLine="960" w:firstLineChars="400"/>
        <w:rPr>
          <w:rFonts w:hint="eastAsia" w:ascii="宋体" w:hAnsi="宋体" w:eastAsia="宋体" w:cs="宋体"/>
          <w:kern w:val="0"/>
          <w:sz w:val="24"/>
          <w:lang w:val="zh-CN"/>
        </w:rPr>
      </w:pPr>
      <w:r>
        <w:rPr>
          <w:rFonts w:hint="eastAsia" w:ascii="宋体" w:hAnsi="宋体" w:eastAsia="宋体" w:cs="宋体"/>
          <w:kern w:val="0"/>
          <w:sz w:val="24"/>
          <w:lang w:val="zh-CN"/>
        </w:rPr>
        <w:t>4.2.3.6提出质疑的日期。</w:t>
      </w:r>
    </w:p>
    <w:p>
      <w:pPr>
        <w:pStyle w:val="886"/>
        <w:shd w:val="clear" w:color="auto" w:fill="FFFFFF"/>
        <w:snapToGrid w:val="0"/>
        <w:spacing w:after="240" w:afterAutospacing="0" w:line="360" w:lineRule="auto"/>
        <w:ind w:firstLine="400"/>
        <w:contextualSpacing/>
        <w:rPr>
          <w:rFonts w:hint="eastAsia" w:ascii="宋体" w:hAnsi="宋体" w:eastAsia="宋体" w:cs="宋体"/>
        </w:rPr>
      </w:pPr>
      <w:r>
        <w:rPr>
          <w:rFonts w:hint="eastAsia" w:ascii="宋体" w:hAnsi="宋体" w:eastAsia="宋体" w:cs="宋体"/>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rPr>
          <w:rFonts w:hint="eastAsia" w:ascii="宋体" w:hAnsi="宋体" w:eastAsia="宋体" w:cs="宋体"/>
        </w:rPr>
      </w:pPr>
      <w:r>
        <w:rPr>
          <w:rFonts w:hint="eastAsia" w:ascii="宋体" w:hAnsi="宋体" w:eastAsia="宋体" w:cs="宋体"/>
        </w:rPr>
        <w:t>质疑函范本及制作说明详见附件2。</w:t>
      </w:r>
    </w:p>
    <w:p>
      <w:pPr>
        <w:pStyle w:val="886"/>
        <w:shd w:val="clear" w:color="auto" w:fill="FFFFFF"/>
        <w:snapToGrid w:val="0"/>
        <w:spacing w:after="240" w:afterAutospacing="0" w:line="360" w:lineRule="auto"/>
        <w:ind w:firstLine="400"/>
        <w:contextualSpacing/>
        <w:rPr>
          <w:rFonts w:hint="eastAsia" w:ascii="宋体" w:hAnsi="宋体" w:eastAsia="宋体" w:cs="宋体"/>
        </w:rPr>
      </w:pPr>
      <w:r>
        <w:rPr>
          <w:rFonts w:hint="eastAsia" w:ascii="宋体" w:hAnsi="宋体" w:eastAsia="宋体" w:cs="宋体"/>
          <w:lang w:val="zh-CN"/>
        </w:rPr>
        <w:t>4.2</w:t>
      </w:r>
      <w:r>
        <w:rPr>
          <w:rFonts w:hint="eastAsia" w:ascii="宋体" w:hAnsi="宋体" w:eastAsia="宋体" w:cs="宋体"/>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rPr>
          <w:rFonts w:hint="eastAsia" w:ascii="宋体" w:hAnsi="宋体" w:eastAsia="宋体" w:cs="宋体"/>
        </w:rPr>
      </w:pPr>
      <w:r>
        <w:rPr>
          <w:rFonts w:hint="eastAsia" w:ascii="宋体" w:hAnsi="宋体" w:eastAsia="宋体" w:cs="宋体"/>
          <w:lang w:val="zh-CN"/>
        </w:rPr>
        <w:t>4.2</w:t>
      </w:r>
      <w:r>
        <w:rPr>
          <w:rFonts w:hint="eastAsia" w:ascii="宋体" w:hAnsi="宋体" w:eastAsia="宋体" w:cs="宋体"/>
        </w:rPr>
        <w:t>.5询问或者质疑事项可能影响采购结果的，采购人应当暂停签订合同，已经签订合同的，应当中止履行合同。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rFonts w:hint="eastAsia" w:ascii="宋体" w:hAnsi="宋体" w:eastAsia="宋体" w:cs="宋体"/>
          <w:lang w:val="zh-CN"/>
        </w:rPr>
      </w:pPr>
      <w:r>
        <w:rPr>
          <w:rFonts w:hint="eastAsia" w:ascii="宋体" w:hAnsi="宋体" w:eastAsia="宋体" w:cs="宋体"/>
          <w:lang w:val="zh-CN"/>
        </w:rPr>
        <w:t>4.3供应商投诉</w:t>
      </w:r>
    </w:p>
    <w:p>
      <w:pPr>
        <w:pStyle w:val="886"/>
        <w:shd w:val="clear" w:color="auto" w:fill="FFFFFF"/>
        <w:snapToGrid w:val="0"/>
        <w:spacing w:after="240" w:afterAutospacing="0" w:line="360" w:lineRule="auto"/>
        <w:ind w:firstLine="400"/>
        <w:contextualSpacing/>
        <w:rPr>
          <w:rFonts w:hint="eastAsia" w:ascii="宋体" w:hAnsi="宋体" w:eastAsia="宋体" w:cs="宋体"/>
        </w:rPr>
      </w:pPr>
      <w:r>
        <w:rPr>
          <w:rFonts w:hint="eastAsia" w:ascii="宋体" w:hAnsi="宋体" w:eastAsia="宋体" w:cs="宋体"/>
        </w:rPr>
        <w:t>4.3.1质疑供应商对采购人、采购机构的答复不满意或者采购人、采购机构未在规定的时间内作出答复的，可以在答复期满后十五个工作日内向同级政府采购监督管理部门提出投诉。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rPr>
          <w:rFonts w:hint="eastAsia" w:ascii="宋体" w:hAnsi="宋体" w:eastAsia="宋体" w:cs="宋体"/>
        </w:rPr>
      </w:pPr>
      <w:r>
        <w:rPr>
          <w:rFonts w:hint="eastAsia" w:ascii="宋体" w:hAnsi="宋体" w:eastAsia="宋体" w:cs="宋体"/>
        </w:rPr>
        <w:t>4.3.</w:t>
      </w:r>
      <w:r>
        <w:rPr>
          <w:rFonts w:hint="eastAsia" w:ascii="宋体" w:hAnsi="宋体" w:eastAsia="宋体" w:cs="宋体"/>
          <w:lang w:val="zh-CN"/>
        </w:rPr>
        <w:t>2</w:t>
      </w:r>
      <w:r>
        <w:rPr>
          <w:rFonts w:hint="eastAsia" w:ascii="宋体" w:hAnsi="宋体" w:eastAsia="宋体" w:cs="宋体"/>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rPr>
          <w:rFonts w:hint="eastAsia" w:ascii="宋体" w:hAnsi="宋体" w:eastAsia="宋体" w:cs="宋体"/>
        </w:rPr>
      </w:pPr>
      <w:r>
        <w:rPr>
          <w:rFonts w:hint="eastAsia" w:ascii="宋体" w:hAnsi="宋体" w:eastAsia="宋体" w:cs="宋体"/>
        </w:rPr>
        <w:t>4.3.3供应商投诉应当有明确的请求和必要的证明材料。</w:t>
      </w:r>
    </w:p>
    <w:p>
      <w:pPr>
        <w:pStyle w:val="886"/>
        <w:shd w:val="clear" w:color="auto" w:fill="FFFFFF"/>
        <w:snapToGrid w:val="0"/>
        <w:spacing w:after="240" w:afterAutospacing="0" w:line="360" w:lineRule="auto"/>
        <w:ind w:firstLine="400"/>
        <w:contextualSpacing/>
        <w:rPr>
          <w:rFonts w:hint="eastAsia" w:ascii="宋体" w:hAnsi="宋体" w:eastAsia="宋体" w:cs="宋体"/>
        </w:rPr>
      </w:pPr>
      <w:r>
        <w:rPr>
          <w:rFonts w:hint="eastAsia" w:ascii="宋体" w:hAnsi="宋体" w:eastAsia="宋体" w:cs="宋体"/>
        </w:rPr>
        <w:t>4.3.5 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rPr>
          <w:rFonts w:hint="eastAsia" w:ascii="宋体" w:hAnsi="宋体" w:eastAsia="宋体" w:cs="宋体"/>
        </w:rPr>
      </w:pPr>
      <w:r>
        <w:rPr>
          <w:rFonts w:hint="eastAsia" w:ascii="宋体" w:hAnsi="宋体" w:eastAsia="宋体" w:cs="宋体"/>
        </w:rPr>
        <w:t>投诉书范本及制作说明详见附件3。</w:t>
      </w:r>
    </w:p>
    <w:p>
      <w:pPr>
        <w:pStyle w:val="128"/>
        <w:snapToGrid w:val="0"/>
        <w:spacing w:before="0"/>
        <w:ind w:firstLine="360"/>
        <w:rPr>
          <w:rFonts w:hint="eastAsia" w:ascii="宋体" w:hAnsi="宋体" w:eastAsia="宋体" w:cs="宋体"/>
          <w:sz w:val="18"/>
          <w:szCs w:val="18"/>
        </w:rPr>
      </w:pPr>
    </w:p>
    <w:p>
      <w:pPr>
        <w:adjustRightInd/>
        <w:spacing w:line="360" w:lineRule="auto"/>
        <w:jc w:val="center"/>
        <w:outlineLvl w:val="0"/>
        <w:rPr>
          <w:rFonts w:hint="eastAsia" w:ascii="宋体" w:hAnsi="宋体" w:eastAsia="宋体" w:cs="宋体"/>
          <w:b/>
          <w:sz w:val="32"/>
          <w:szCs w:val="20"/>
        </w:rPr>
      </w:pPr>
      <w:r>
        <w:rPr>
          <w:rFonts w:hint="eastAsia" w:ascii="宋体" w:hAnsi="宋体" w:eastAsia="宋体" w:cs="宋体"/>
          <w:b/>
          <w:sz w:val="32"/>
          <w:szCs w:val="20"/>
        </w:rPr>
        <w:t xml:space="preserve">     </w:t>
      </w:r>
    </w:p>
    <w:p>
      <w:pPr>
        <w:adjustRightInd/>
        <w:spacing w:line="360" w:lineRule="auto"/>
        <w:jc w:val="center"/>
        <w:outlineLvl w:val="0"/>
        <w:rPr>
          <w:rFonts w:hint="eastAsia" w:ascii="宋体" w:hAnsi="宋体" w:eastAsia="宋体" w:cs="宋体"/>
          <w:b/>
          <w:sz w:val="30"/>
          <w:szCs w:val="30"/>
        </w:rPr>
      </w:pPr>
      <w:r>
        <w:rPr>
          <w:rFonts w:hint="eastAsia" w:ascii="宋体" w:hAnsi="宋体" w:eastAsia="宋体" w:cs="宋体"/>
          <w:b/>
          <w:sz w:val="30"/>
          <w:szCs w:val="30"/>
        </w:rPr>
        <w:t xml:space="preserve"> 二、招标文件的构成、澄清、修改</w:t>
      </w:r>
    </w:p>
    <w:p>
      <w:pPr>
        <w:pStyle w:val="34"/>
        <w:spacing w:line="360" w:lineRule="auto"/>
        <w:rPr>
          <w:rFonts w:hint="eastAsia" w:ascii="宋体" w:hAnsi="宋体" w:eastAsia="宋体" w:cs="宋体"/>
          <w:b/>
          <w:sz w:val="24"/>
          <w:szCs w:val="24"/>
        </w:rPr>
      </w:pPr>
      <w:r>
        <w:rPr>
          <w:rFonts w:hint="eastAsia" w:ascii="宋体" w:hAnsi="宋体" w:eastAsia="宋体" w:cs="宋体"/>
          <w:b/>
          <w:sz w:val="24"/>
          <w:szCs w:val="24"/>
        </w:rPr>
        <w:t>5．招标文件的构成</w:t>
      </w:r>
    </w:p>
    <w:p>
      <w:pPr>
        <w:pStyle w:val="34"/>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5.1 招标文件包括下列文件及附件：</w:t>
      </w:r>
    </w:p>
    <w:p>
      <w:pPr>
        <w:pStyle w:val="34"/>
        <w:tabs>
          <w:tab w:val="left" w:pos="840"/>
        </w:tabs>
        <w:spacing w:line="360" w:lineRule="auto"/>
        <w:ind w:firstLine="960" w:firstLineChars="400"/>
        <w:rPr>
          <w:rFonts w:hint="eastAsia" w:ascii="宋体" w:hAnsi="宋体" w:eastAsia="宋体" w:cs="宋体"/>
          <w:sz w:val="24"/>
          <w:szCs w:val="24"/>
        </w:rPr>
      </w:pPr>
      <w:r>
        <w:rPr>
          <w:rFonts w:hint="eastAsia" w:ascii="宋体" w:hAnsi="宋体" w:eastAsia="宋体" w:cs="宋体"/>
          <w:sz w:val="24"/>
          <w:szCs w:val="24"/>
        </w:rPr>
        <w:t>5.1.1招标公告；</w:t>
      </w:r>
    </w:p>
    <w:p>
      <w:pPr>
        <w:pStyle w:val="34"/>
        <w:tabs>
          <w:tab w:val="left" w:pos="840"/>
        </w:tabs>
        <w:spacing w:line="360" w:lineRule="auto"/>
        <w:ind w:firstLine="960" w:firstLineChars="400"/>
        <w:rPr>
          <w:rFonts w:hint="eastAsia" w:ascii="宋体" w:hAnsi="宋体" w:eastAsia="宋体" w:cs="宋体"/>
          <w:sz w:val="24"/>
          <w:szCs w:val="24"/>
        </w:rPr>
      </w:pPr>
      <w:r>
        <w:rPr>
          <w:rFonts w:hint="eastAsia" w:ascii="宋体" w:hAnsi="宋体" w:eastAsia="宋体" w:cs="宋体"/>
          <w:sz w:val="24"/>
          <w:szCs w:val="24"/>
        </w:rPr>
        <w:t>5.1.2投标人须知；</w:t>
      </w:r>
    </w:p>
    <w:p>
      <w:pPr>
        <w:pStyle w:val="34"/>
        <w:tabs>
          <w:tab w:val="left" w:pos="840"/>
        </w:tabs>
        <w:spacing w:line="360" w:lineRule="auto"/>
        <w:ind w:firstLine="960" w:firstLineChars="400"/>
        <w:rPr>
          <w:rFonts w:hint="eastAsia" w:ascii="宋体" w:hAnsi="宋体" w:eastAsia="宋体" w:cs="宋体"/>
          <w:sz w:val="24"/>
          <w:szCs w:val="24"/>
        </w:rPr>
      </w:pPr>
      <w:r>
        <w:rPr>
          <w:rFonts w:hint="eastAsia" w:ascii="宋体" w:hAnsi="宋体" w:eastAsia="宋体" w:cs="宋体"/>
          <w:sz w:val="24"/>
          <w:szCs w:val="24"/>
        </w:rPr>
        <w:t>5.1.3采购需求；</w:t>
      </w:r>
    </w:p>
    <w:p>
      <w:pPr>
        <w:pStyle w:val="34"/>
        <w:tabs>
          <w:tab w:val="left" w:pos="840"/>
        </w:tabs>
        <w:spacing w:line="360" w:lineRule="auto"/>
        <w:ind w:firstLine="960" w:firstLineChars="400"/>
        <w:rPr>
          <w:rFonts w:hint="eastAsia" w:ascii="宋体" w:hAnsi="宋体" w:eastAsia="宋体" w:cs="宋体"/>
          <w:sz w:val="24"/>
          <w:szCs w:val="24"/>
        </w:rPr>
      </w:pPr>
      <w:r>
        <w:rPr>
          <w:rFonts w:hint="eastAsia" w:ascii="宋体" w:hAnsi="宋体" w:eastAsia="宋体" w:cs="宋体"/>
          <w:sz w:val="24"/>
          <w:szCs w:val="24"/>
        </w:rPr>
        <w:t>5.1.4评标办法；</w:t>
      </w:r>
    </w:p>
    <w:p>
      <w:pPr>
        <w:pStyle w:val="34"/>
        <w:tabs>
          <w:tab w:val="left" w:pos="840"/>
        </w:tabs>
        <w:spacing w:line="360" w:lineRule="auto"/>
        <w:ind w:firstLine="960" w:firstLineChars="400"/>
        <w:rPr>
          <w:rFonts w:hint="eastAsia" w:ascii="宋体" w:hAnsi="宋体" w:eastAsia="宋体" w:cs="宋体"/>
          <w:sz w:val="24"/>
          <w:szCs w:val="24"/>
        </w:rPr>
      </w:pPr>
      <w:r>
        <w:rPr>
          <w:rFonts w:hint="eastAsia" w:ascii="宋体" w:hAnsi="宋体" w:eastAsia="宋体" w:cs="宋体"/>
          <w:sz w:val="24"/>
          <w:szCs w:val="24"/>
        </w:rPr>
        <w:t>5.1.5拟签订的合同文本；</w:t>
      </w:r>
    </w:p>
    <w:p>
      <w:pPr>
        <w:pStyle w:val="34"/>
        <w:tabs>
          <w:tab w:val="left" w:pos="840"/>
        </w:tabs>
        <w:spacing w:line="360" w:lineRule="auto"/>
        <w:ind w:firstLine="960" w:firstLineChars="400"/>
        <w:rPr>
          <w:rFonts w:hint="eastAsia" w:ascii="宋体" w:hAnsi="宋体" w:eastAsia="宋体" w:cs="宋体"/>
          <w:sz w:val="24"/>
          <w:szCs w:val="24"/>
        </w:rPr>
      </w:pPr>
      <w:r>
        <w:rPr>
          <w:rFonts w:hint="eastAsia" w:ascii="宋体" w:hAnsi="宋体" w:eastAsia="宋体" w:cs="宋体"/>
          <w:sz w:val="24"/>
        </w:rPr>
        <w:t>5.1.6</w:t>
      </w:r>
      <w:r>
        <w:rPr>
          <w:rFonts w:hint="eastAsia" w:ascii="宋体" w:hAnsi="宋体" w:eastAsia="宋体" w:cs="宋体"/>
          <w:sz w:val="24"/>
          <w:szCs w:val="24"/>
        </w:rPr>
        <w:t>应提交的有关格式范例。</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5.2与本项目有关的</w:t>
      </w:r>
      <w:r>
        <w:rPr>
          <w:rFonts w:hint="eastAsia" w:ascii="宋体" w:hAnsi="宋体" w:eastAsia="宋体" w:cs="宋体"/>
          <w:bCs/>
          <w:sz w:val="24"/>
        </w:rPr>
        <w:t>澄清或者修改的内容为招标文件的组成部分</w:t>
      </w:r>
      <w:r>
        <w:rPr>
          <w:rFonts w:hint="eastAsia" w:ascii="宋体" w:hAnsi="宋体" w:eastAsia="宋体" w:cs="宋体"/>
          <w:sz w:val="24"/>
        </w:rPr>
        <w:t>。</w:t>
      </w:r>
    </w:p>
    <w:p>
      <w:pPr>
        <w:pStyle w:val="34"/>
        <w:spacing w:line="360" w:lineRule="auto"/>
        <w:rPr>
          <w:rFonts w:hint="eastAsia" w:ascii="宋体" w:hAnsi="宋体" w:eastAsia="宋体" w:cs="宋体"/>
          <w:b/>
          <w:sz w:val="24"/>
          <w:szCs w:val="24"/>
        </w:rPr>
      </w:pPr>
      <w:r>
        <w:rPr>
          <w:rFonts w:hint="eastAsia" w:ascii="宋体" w:hAnsi="宋体" w:eastAsia="宋体" w:cs="宋体"/>
          <w:b/>
          <w:sz w:val="24"/>
          <w:szCs w:val="24"/>
        </w:rPr>
        <w:t>6. 招标文件的澄清、修改</w:t>
      </w:r>
    </w:p>
    <w:p>
      <w:pPr>
        <w:pStyle w:val="128"/>
        <w:snapToGrid w:val="0"/>
        <w:spacing w:before="0"/>
        <w:ind w:firstLine="480"/>
        <w:rPr>
          <w:rFonts w:hint="eastAsia" w:ascii="宋体" w:hAnsi="宋体" w:eastAsia="宋体" w:cs="宋体"/>
        </w:rPr>
      </w:pPr>
      <w:r>
        <w:rPr>
          <w:rFonts w:hint="eastAsia" w:ascii="宋体" w:hAnsi="宋体" w:eastAsia="宋体" w:cs="宋体"/>
        </w:rPr>
        <w:t>6.1已获取招标文件的潜在投标人，若有问题需要澄清，应于投标截止时间前，以书面形式向采购机构提出。</w:t>
      </w:r>
    </w:p>
    <w:p>
      <w:pPr>
        <w:pStyle w:val="128"/>
        <w:snapToGrid w:val="0"/>
        <w:spacing w:before="0"/>
        <w:ind w:firstLine="480"/>
        <w:rPr>
          <w:rFonts w:hint="eastAsia" w:ascii="宋体" w:hAnsi="宋体" w:eastAsia="宋体" w:cs="宋体"/>
        </w:rPr>
      </w:pPr>
      <w:r>
        <w:rPr>
          <w:rFonts w:hint="eastAsia" w:ascii="宋体" w:hAnsi="宋体" w:eastAsia="宋体" w:cs="宋体"/>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6"/>
        <w:rPr>
          <w:rFonts w:hint="eastAsia" w:ascii="宋体" w:hAnsi="宋体" w:eastAsia="宋体" w:cs="宋体"/>
          <w:sz w:val="18"/>
          <w:szCs w:val="18"/>
          <w:lang w:val="en-US"/>
        </w:rPr>
      </w:pPr>
      <w:r>
        <w:rPr>
          <w:rFonts w:hint="eastAsia" w:ascii="宋体" w:hAnsi="宋体" w:eastAsia="宋体" w:cs="宋体"/>
          <w:szCs w:val="24"/>
          <w:lang w:val="en-US"/>
        </w:rPr>
        <w:t xml:space="preserve">    </w:t>
      </w:r>
    </w:p>
    <w:p>
      <w:pPr>
        <w:adjustRightInd/>
        <w:spacing w:line="360" w:lineRule="auto"/>
        <w:jc w:val="center"/>
        <w:outlineLvl w:val="0"/>
        <w:rPr>
          <w:rFonts w:hint="eastAsia" w:ascii="宋体" w:hAnsi="宋体" w:eastAsia="宋体" w:cs="宋体"/>
          <w:b/>
          <w:sz w:val="30"/>
          <w:szCs w:val="20"/>
        </w:rPr>
      </w:pPr>
      <w:r>
        <w:rPr>
          <w:rFonts w:hint="eastAsia" w:ascii="宋体" w:hAnsi="宋体" w:eastAsia="宋体" w:cs="宋体"/>
          <w:b/>
          <w:sz w:val="30"/>
          <w:szCs w:val="20"/>
        </w:rPr>
        <w:t>三、投标</w:t>
      </w:r>
    </w:p>
    <w:p>
      <w:pPr>
        <w:pStyle w:val="34"/>
        <w:spacing w:line="360" w:lineRule="auto"/>
        <w:rPr>
          <w:rFonts w:hint="eastAsia" w:ascii="宋体" w:hAnsi="宋体" w:eastAsia="宋体" w:cs="宋体"/>
          <w:b/>
          <w:sz w:val="24"/>
          <w:szCs w:val="24"/>
        </w:rPr>
      </w:pPr>
      <w:r>
        <w:rPr>
          <w:rFonts w:hint="eastAsia" w:ascii="宋体" w:hAnsi="宋体" w:eastAsia="宋体" w:cs="宋体"/>
          <w:b/>
          <w:sz w:val="24"/>
          <w:szCs w:val="24"/>
        </w:rPr>
        <w:t>7. 招标文件的获取</w:t>
      </w:r>
    </w:p>
    <w:p>
      <w:pPr>
        <w:spacing w:line="360" w:lineRule="auto"/>
        <w:ind w:firstLine="480" w:firstLineChars="200"/>
        <w:rPr>
          <w:rFonts w:hint="eastAsia" w:ascii="宋体" w:hAnsi="宋体" w:eastAsia="宋体" w:cs="宋体"/>
          <w:snapToGrid w:val="0"/>
          <w:kern w:val="28"/>
          <w:sz w:val="24"/>
        </w:rPr>
      </w:pPr>
      <w:r>
        <w:rPr>
          <w:rFonts w:hint="eastAsia" w:ascii="宋体" w:hAnsi="宋体" w:eastAsia="宋体" w:cs="宋体"/>
          <w:snapToGrid w:val="0"/>
          <w:kern w:val="28"/>
          <w:sz w:val="24"/>
        </w:rPr>
        <w:t>详见招标公告中获取招标文件的时间期限、地点、方式及招标文件售价。</w:t>
      </w:r>
    </w:p>
    <w:p>
      <w:pPr>
        <w:pStyle w:val="34"/>
        <w:spacing w:line="360" w:lineRule="auto"/>
        <w:rPr>
          <w:rFonts w:hint="eastAsia" w:ascii="宋体" w:hAnsi="宋体" w:eastAsia="宋体" w:cs="宋体"/>
          <w:b/>
          <w:sz w:val="24"/>
          <w:szCs w:val="24"/>
        </w:rPr>
      </w:pPr>
      <w:r>
        <w:rPr>
          <w:rFonts w:hint="eastAsia" w:ascii="宋体" w:hAnsi="宋体" w:eastAsia="宋体" w:cs="宋体"/>
          <w:b/>
          <w:sz w:val="24"/>
          <w:szCs w:val="24"/>
        </w:rPr>
        <w:t>8.开标前答疑会或现场考察</w:t>
      </w:r>
    </w:p>
    <w:p>
      <w:pPr>
        <w:pStyle w:val="34"/>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采购人组织潜在投标人现场考察或者召开开标前答疑会的，潜在投标人按第二部分投标人须知前附表的规定参加现场考察或者开标前答疑会。</w:t>
      </w:r>
    </w:p>
    <w:p>
      <w:pPr>
        <w:pStyle w:val="34"/>
        <w:spacing w:line="360" w:lineRule="auto"/>
        <w:rPr>
          <w:rFonts w:hint="eastAsia" w:ascii="宋体" w:hAnsi="宋体" w:eastAsia="宋体" w:cs="宋体"/>
          <w:b/>
          <w:szCs w:val="24"/>
        </w:rPr>
      </w:pPr>
      <w:r>
        <w:rPr>
          <w:rFonts w:hint="eastAsia" w:ascii="宋体" w:hAnsi="宋体" w:eastAsia="宋体" w:cs="宋体"/>
          <w:b/>
          <w:kern w:val="28"/>
          <w:sz w:val="24"/>
          <w:szCs w:val="24"/>
        </w:rPr>
        <w:t>9.投标保证金</w:t>
      </w:r>
    </w:p>
    <w:p>
      <w:pPr>
        <w:pStyle w:val="18"/>
        <w:spacing w:line="360" w:lineRule="auto"/>
        <w:ind w:firstLine="470" w:firstLineChars="196"/>
        <w:rPr>
          <w:rFonts w:hint="eastAsia" w:ascii="宋体" w:hAnsi="宋体" w:eastAsia="宋体" w:cs="宋体"/>
          <w:color w:val="auto"/>
          <w:sz w:val="24"/>
        </w:rPr>
      </w:pPr>
      <w:r>
        <w:rPr>
          <w:rFonts w:hint="eastAsia" w:ascii="宋体" w:hAnsi="宋体" w:eastAsia="宋体" w:cs="宋体"/>
          <w:color w:val="auto"/>
          <w:sz w:val="24"/>
        </w:rPr>
        <w:t>本项目不需缴纳投标保证金。</w:t>
      </w:r>
    </w:p>
    <w:p>
      <w:pPr>
        <w:pStyle w:val="34"/>
        <w:spacing w:line="360" w:lineRule="auto"/>
        <w:rPr>
          <w:rFonts w:hint="eastAsia" w:ascii="宋体" w:hAnsi="宋体" w:eastAsia="宋体" w:cs="宋体"/>
          <w:b/>
          <w:sz w:val="24"/>
          <w:szCs w:val="24"/>
        </w:rPr>
      </w:pPr>
      <w:r>
        <w:rPr>
          <w:rFonts w:hint="eastAsia" w:ascii="宋体" w:hAnsi="宋体" w:eastAsia="宋体" w:cs="宋体"/>
          <w:b/>
          <w:sz w:val="24"/>
          <w:szCs w:val="24"/>
        </w:rPr>
        <w:t>10. 投标文件的语言</w:t>
      </w:r>
    </w:p>
    <w:p>
      <w:pPr>
        <w:autoSpaceDE w:val="0"/>
        <w:autoSpaceDN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rPr>
        <w:t>投标文件及投标人与采购有关的来往通知、函件和文件均应使用中文。</w:t>
      </w:r>
    </w:p>
    <w:p>
      <w:pPr>
        <w:pStyle w:val="34"/>
        <w:spacing w:line="360" w:lineRule="auto"/>
        <w:rPr>
          <w:rFonts w:hint="eastAsia" w:ascii="宋体" w:hAnsi="宋体" w:eastAsia="宋体" w:cs="宋体"/>
          <w:b/>
          <w:sz w:val="24"/>
          <w:szCs w:val="24"/>
        </w:rPr>
      </w:pPr>
      <w:r>
        <w:rPr>
          <w:rFonts w:hint="eastAsia" w:ascii="宋体" w:hAnsi="宋体" w:eastAsia="宋体" w:cs="宋体"/>
          <w:b/>
          <w:sz w:val="24"/>
          <w:szCs w:val="24"/>
        </w:rPr>
        <w:t>11. 投标文件的组成</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11.1</w:t>
      </w:r>
      <w:r>
        <w:rPr>
          <w:rFonts w:hint="eastAsia" w:ascii="宋体" w:hAnsi="宋体" w:eastAsia="宋体" w:cs="宋体"/>
          <w:b/>
          <w:sz w:val="24"/>
        </w:rPr>
        <w:t>资格文件</w:t>
      </w:r>
      <w:r>
        <w:rPr>
          <w:rFonts w:hint="eastAsia" w:ascii="宋体" w:hAnsi="宋体" w:eastAsia="宋体" w:cs="宋体"/>
          <w:sz w:val="24"/>
        </w:rPr>
        <w:t>：</w:t>
      </w:r>
    </w:p>
    <w:p>
      <w:pPr>
        <w:snapToGrid w:val="0"/>
        <w:spacing w:line="360" w:lineRule="auto"/>
        <w:ind w:firstLine="960" w:firstLineChars="400"/>
        <w:rPr>
          <w:rFonts w:hint="eastAsia" w:ascii="宋体" w:hAnsi="宋体" w:eastAsia="宋体" w:cs="宋体"/>
          <w:sz w:val="24"/>
        </w:rPr>
      </w:pPr>
      <w:r>
        <w:rPr>
          <w:rFonts w:hint="eastAsia" w:ascii="宋体" w:hAnsi="宋体" w:eastAsia="宋体" w:cs="宋体"/>
          <w:sz w:val="24"/>
        </w:rPr>
        <w:t>11.1.1符合参加政府采购活动应当具备的一般条件的承诺函；</w:t>
      </w:r>
    </w:p>
    <w:p>
      <w:pPr>
        <w:snapToGrid w:val="0"/>
        <w:spacing w:line="360" w:lineRule="auto"/>
        <w:ind w:firstLine="960" w:firstLineChars="400"/>
        <w:rPr>
          <w:rFonts w:hint="eastAsia" w:ascii="宋体" w:hAnsi="宋体" w:eastAsia="宋体" w:cs="宋体"/>
          <w:sz w:val="24"/>
        </w:rPr>
      </w:pPr>
      <w:r>
        <w:rPr>
          <w:rFonts w:hint="eastAsia" w:ascii="宋体" w:hAnsi="宋体" w:eastAsia="宋体" w:cs="宋体"/>
          <w:sz w:val="24"/>
        </w:rPr>
        <w:t>11.1.2落实政府采购政策需满足的资格要求；</w:t>
      </w:r>
    </w:p>
    <w:p>
      <w:pPr>
        <w:snapToGrid w:val="0"/>
        <w:spacing w:line="360" w:lineRule="auto"/>
        <w:ind w:firstLine="960" w:firstLineChars="400"/>
        <w:rPr>
          <w:rFonts w:hint="eastAsia" w:ascii="宋体" w:hAnsi="宋体" w:eastAsia="宋体" w:cs="宋体"/>
          <w:sz w:val="24"/>
        </w:rPr>
      </w:pPr>
      <w:r>
        <w:rPr>
          <w:rFonts w:hint="eastAsia" w:ascii="宋体" w:hAnsi="宋体" w:eastAsia="宋体" w:cs="宋体"/>
          <w:sz w:val="24"/>
        </w:rPr>
        <w:t>11.1.3本项目的特定资格要求。</w:t>
      </w:r>
    </w:p>
    <w:p>
      <w:pPr>
        <w:snapToGrid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11.</w:t>
      </w:r>
      <w:r>
        <w:rPr>
          <w:rFonts w:hint="eastAsia" w:ascii="宋体" w:hAnsi="宋体" w:eastAsia="宋体" w:cs="宋体"/>
          <w:sz w:val="24"/>
        </w:rPr>
        <w:t>2</w:t>
      </w:r>
      <w:r>
        <w:rPr>
          <w:rFonts w:hint="eastAsia" w:ascii="宋体" w:hAnsi="宋体" w:eastAsia="宋体" w:cs="宋体"/>
          <w:sz w:val="24"/>
          <w:lang w:val="zh-CN"/>
        </w:rPr>
        <w:t xml:space="preserve">  </w:t>
      </w:r>
      <w:r>
        <w:rPr>
          <w:rFonts w:hint="eastAsia" w:ascii="宋体" w:hAnsi="宋体" w:eastAsia="宋体" w:cs="宋体"/>
          <w:sz w:val="24"/>
        </w:rPr>
        <w:t>商务技术</w:t>
      </w:r>
      <w:r>
        <w:rPr>
          <w:rFonts w:hint="eastAsia" w:ascii="宋体" w:hAnsi="宋体" w:eastAsia="宋体" w:cs="宋体"/>
          <w:sz w:val="24"/>
          <w:lang w:val="zh-CN"/>
        </w:rPr>
        <w:t>文件：</w:t>
      </w:r>
    </w:p>
    <w:p>
      <w:pPr>
        <w:snapToGrid w:val="0"/>
        <w:spacing w:line="360" w:lineRule="auto"/>
        <w:ind w:firstLine="960" w:firstLineChars="400"/>
        <w:rPr>
          <w:rFonts w:hint="eastAsia" w:ascii="宋体" w:hAnsi="宋体" w:eastAsia="宋体" w:cs="宋体"/>
          <w:sz w:val="24"/>
        </w:rPr>
      </w:pPr>
      <w:r>
        <w:rPr>
          <w:rFonts w:hint="eastAsia" w:ascii="宋体" w:hAnsi="宋体" w:eastAsia="宋体" w:cs="宋体"/>
          <w:sz w:val="24"/>
        </w:rPr>
        <w:t>11.2.1投标函；</w:t>
      </w:r>
      <w:r>
        <w:rPr>
          <w:rFonts w:hint="eastAsia" w:ascii="宋体" w:hAnsi="宋体" w:eastAsia="宋体" w:cs="宋体"/>
          <w:sz w:val="24"/>
          <w:lang w:val="zh-CN"/>
        </w:rPr>
        <w:t xml:space="preserve"> </w:t>
      </w:r>
    </w:p>
    <w:p>
      <w:pPr>
        <w:snapToGrid w:val="0"/>
        <w:spacing w:line="360" w:lineRule="auto"/>
        <w:ind w:firstLine="960" w:firstLineChars="400"/>
        <w:rPr>
          <w:rFonts w:hint="eastAsia" w:ascii="宋体" w:hAnsi="宋体" w:eastAsia="宋体" w:cs="宋体"/>
          <w:sz w:val="24"/>
        </w:rPr>
      </w:pPr>
      <w:r>
        <w:rPr>
          <w:rFonts w:hint="eastAsia" w:ascii="宋体" w:hAnsi="宋体" w:eastAsia="宋体" w:cs="宋体"/>
          <w:sz w:val="24"/>
        </w:rPr>
        <w:t>11.2.2授权委托书或法定代表人（单位负责人、自然人本人）身份证明；</w:t>
      </w:r>
    </w:p>
    <w:p>
      <w:pPr>
        <w:snapToGrid w:val="0"/>
        <w:spacing w:line="360" w:lineRule="auto"/>
        <w:ind w:firstLine="960" w:firstLineChars="400"/>
        <w:rPr>
          <w:rFonts w:hint="eastAsia" w:ascii="宋体" w:hAnsi="宋体" w:eastAsia="宋体" w:cs="宋体"/>
          <w:sz w:val="24"/>
        </w:rPr>
      </w:pPr>
      <w:r>
        <w:rPr>
          <w:rFonts w:hint="eastAsia" w:ascii="宋体" w:hAnsi="宋体" w:eastAsia="宋体" w:cs="宋体"/>
          <w:sz w:val="24"/>
        </w:rPr>
        <w:t>11.2.</w:t>
      </w:r>
      <w:r>
        <w:rPr>
          <w:rFonts w:hint="eastAsia" w:ascii="宋体" w:hAnsi="宋体" w:cs="宋体"/>
          <w:sz w:val="24"/>
          <w:lang w:val="en-US" w:eastAsia="zh-CN"/>
        </w:rPr>
        <w:t>3</w:t>
      </w:r>
      <w:r>
        <w:rPr>
          <w:rFonts w:hint="eastAsia" w:ascii="宋体" w:hAnsi="宋体" w:eastAsia="宋体" w:cs="宋体"/>
          <w:sz w:val="24"/>
        </w:rPr>
        <w:t>符合性审查资料；</w:t>
      </w:r>
    </w:p>
    <w:p>
      <w:pPr>
        <w:snapToGrid w:val="0"/>
        <w:spacing w:line="360" w:lineRule="auto"/>
        <w:ind w:firstLine="960" w:firstLineChars="400"/>
        <w:rPr>
          <w:rFonts w:hint="eastAsia" w:ascii="宋体" w:hAnsi="宋体" w:eastAsia="宋体" w:cs="宋体"/>
          <w:sz w:val="24"/>
        </w:rPr>
      </w:pPr>
      <w:r>
        <w:rPr>
          <w:rFonts w:hint="eastAsia" w:ascii="宋体" w:hAnsi="宋体" w:eastAsia="宋体" w:cs="宋体"/>
          <w:sz w:val="24"/>
        </w:rPr>
        <w:t>11.2.</w:t>
      </w:r>
      <w:r>
        <w:rPr>
          <w:rFonts w:hint="eastAsia" w:ascii="宋体" w:hAnsi="宋体" w:cs="宋体"/>
          <w:sz w:val="24"/>
          <w:lang w:val="en-US" w:eastAsia="zh-CN"/>
        </w:rPr>
        <w:t>4</w:t>
      </w:r>
      <w:r>
        <w:rPr>
          <w:rFonts w:hint="eastAsia" w:ascii="宋体" w:hAnsi="宋体" w:eastAsia="宋体" w:cs="宋体"/>
          <w:sz w:val="24"/>
        </w:rPr>
        <w:t>评标标准相应的商务技术资料；</w:t>
      </w:r>
    </w:p>
    <w:p>
      <w:pPr>
        <w:snapToGrid w:val="0"/>
        <w:spacing w:line="360" w:lineRule="auto"/>
        <w:ind w:firstLine="960" w:firstLineChars="400"/>
        <w:rPr>
          <w:rFonts w:hint="eastAsia" w:ascii="宋体" w:hAnsi="宋体" w:eastAsia="宋体" w:cs="宋体"/>
          <w:sz w:val="24"/>
        </w:rPr>
      </w:pPr>
      <w:r>
        <w:rPr>
          <w:rFonts w:hint="eastAsia" w:ascii="宋体" w:hAnsi="宋体" w:eastAsia="宋体" w:cs="宋体"/>
          <w:sz w:val="24"/>
        </w:rPr>
        <w:t>11.2.</w:t>
      </w:r>
      <w:r>
        <w:rPr>
          <w:rFonts w:hint="eastAsia" w:ascii="宋体" w:hAnsi="宋体" w:cs="宋体"/>
          <w:sz w:val="24"/>
          <w:lang w:val="en-US" w:eastAsia="zh-CN"/>
        </w:rPr>
        <w:t>5</w:t>
      </w:r>
      <w:r>
        <w:rPr>
          <w:rFonts w:hint="eastAsia" w:ascii="宋体" w:hAnsi="宋体" w:eastAsia="宋体" w:cs="宋体"/>
          <w:sz w:val="24"/>
        </w:rPr>
        <w:t>商务技术偏离表；</w:t>
      </w:r>
    </w:p>
    <w:p>
      <w:pPr>
        <w:snapToGrid w:val="0"/>
        <w:spacing w:line="360" w:lineRule="auto"/>
        <w:ind w:firstLine="960" w:firstLineChars="400"/>
        <w:rPr>
          <w:rFonts w:hint="eastAsia" w:ascii="宋体" w:hAnsi="宋体" w:eastAsia="宋体" w:cs="宋体"/>
          <w:sz w:val="24"/>
          <w:lang w:val="zh-CN"/>
        </w:rPr>
      </w:pPr>
      <w:r>
        <w:rPr>
          <w:rFonts w:hint="eastAsia" w:ascii="宋体" w:hAnsi="宋体" w:eastAsia="宋体" w:cs="宋体"/>
          <w:sz w:val="24"/>
          <w:lang w:val="zh-CN"/>
        </w:rPr>
        <w:t>11.</w:t>
      </w:r>
      <w:r>
        <w:rPr>
          <w:rFonts w:hint="eastAsia" w:ascii="宋体" w:hAnsi="宋体" w:eastAsia="宋体" w:cs="宋体"/>
          <w:sz w:val="24"/>
        </w:rPr>
        <w:t>2</w:t>
      </w:r>
      <w:r>
        <w:rPr>
          <w:rFonts w:hint="eastAsia" w:ascii="宋体" w:hAnsi="宋体" w:eastAsia="宋体" w:cs="宋体"/>
          <w:sz w:val="24"/>
          <w:lang w:val="zh-CN"/>
        </w:rPr>
        <w:t>.</w:t>
      </w:r>
      <w:r>
        <w:rPr>
          <w:rFonts w:hint="eastAsia" w:ascii="宋体" w:hAnsi="宋体" w:cs="宋体"/>
          <w:sz w:val="24"/>
          <w:lang w:val="en-US" w:eastAsia="zh-CN"/>
        </w:rPr>
        <w:t>6</w:t>
      </w:r>
      <w:r>
        <w:rPr>
          <w:rFonts w:hint="eastAsia" w:ascii="宋体" w:hAnsi="宋体" w:eastAsia="宋体" w:cs="宋体"/>
          <w:sz w:val="24"/>
          <w:lang w:val="zh-CN"/>
        </w:rPr>
        <w:t>政府采购供应商廉洁自律承诺书；</w:t>
      </w:r>
    </w:p>
    <w:p>
      <w:pPr>
        <w:snapToGrid w:val="0"/>
        <w:spacing w:line="360" w:lineRule="auto"/>
        <w:ind w:firstLine="480" w:firstLineChars="200"/>
        <w:rPr>
          <w:rFonts w:hint="eastAsia" w:ascii="宋体" w:hAnsi="宋体" w:eastAsia="宋体" w:cs="宋体"/>
          <w:sz w:val="24"/>
          <w:u w:val="single"/>
          <w:lang w:val="zh-CN"/>
        </w:rPr>
      </w:pPr>
      <w:r>
        <w:rPr>
          <w:rFonts w:hint="eastAsia" w:ascii="宋体" w:hAnsi="宋体" w:eastAsia="宋体" w:cs="宋体"/>
          <w:kern w:val="0"/>
          <w:sz w:val="24"/>
          <w:lang w:val="zh-CN"/>
        </w:rPr>
        <w:t>11.</w:t>
      </w:r>
      <w:r>
        <w:rPr>
          <w:rFonts w:hint="eastAsia" w:ascii="宋体" w:hAnsi="宋体" w:eastAsia="宋体" w:cs="宋体"/>
          <w:kern w:val="0"/>
          <w:sz w:val="24"/>
        </w:rPr>
        <w:t>3</w:t>
      </w:r>
      <w:r>
        <w:rPr>
          <w:rFonts w:hint="eastAsia" w:ascii="宋体" w:hAnsi="宋体" w:eastAsia="宋体" w:cs="宋体"/>
          <w:b/>
          <w:sz w:val="24"/>
        </w:rPr>
        <w:t>报价文件：</w:t>
      </w:r>
      <w:r>
        <w:rPr>
          <w:rFonts w:hint="eastAsia" w:ascii="宋体" w:hAnsi="宋体" w:eastAsia="宋体" w:cs="宋体"/>
          <w:sz w:val="24"/>
        </w:rPr>
        <w:t xml:space="preserve"> </w:t>
      </w:r>
    </w:p>
    <w:p>
      <w:pPr>
        <w:snapToGrid w:val="0"/>
        <w:spacing w:line="360" w:lineRule="auto"/>
        <w:ind w:firstLine="960" w:firstLineChars="400"/>
        <w:rPr>
          <w:rFonts w:hint="eastAsia" w:ascii="宋体" w:hAnsi="宋体" w:eastAsia="宋体" w:cs="宋体"/>
          <w:sz w:val="24"/>
        </w:rPr>
      </w:pPr>
      <w:r>
        <w:rPr>
          <w:rFonts w:hint="eastAsia" w:ascii="宋体" w:hAnsi="宋体" w:eastAsia="宋体" w:cs="宋体"/>
          <w:sz w:val="24"/>
        </w:rPr>
        <w:t>11.3.1开标一览表（报价表）；</w:t>
      </w:r>
    </w:p>
    <w:p>
      <w:pPr>
        <w:snapToGrid w:val="0"/>
        <w:spacing w:line="360" w:lineRule="auto"/>
        <w:ind w:firstLine="960" w:firstLineChars="400"/>
        <w:rPr>
          <w:rFonts w:hint="eastAsia"/>
        </w:rPr>
      </w:pPr>
      <w:r>
        <w:rPr>
          <w:rFonts w:hint="eastAsia" w:ascii="宋体" w:hAnsi="宋体" w:eastAsia="宋体" w:cs="宋体"/>
          <w:sz w:val="24"/>
        </w:rPr>
        <w:t>11.3.2报价明细表（工程量清单编制严格按《杭州市建设工程工程量清单计价实施细则（2018年修订）》实施，具体清单报价表详见格式部分。）</w:t>
      </w:r>
    </w:p>
    <w:p>
      <w:pPr>
        <w:snapToGrid w:val="0"/>
        <w:spacing w:line="360" w:lineRule="auto"/>
        <w:ind w:firstLine="960" w:firstLineChars="400"/>
        <w:rPr>
          <w:rFonts w:hint="eastAsia"/>
        </w:rPr>
      </w:pPr>
      <w:r>
        <w:rPr>
          <w:rFonts w:hint="eastAsia" w:ascii="宋体" w:hAnsi="宋体" w:eastAsia="宋体" w:cs="宋体"/>
          <w:sz w:val="24"/>
        </w:rPr>
        <w:t>11.3.</w:t>
      </w:r>
      <w:r>
        <w:rPr>
          <w:rFonts w:hint="eastAsia" w:ascii="宋体" w:hAnsi="宋体" w:cs="宋体"/>
          <w:sz w:val="24"/>
          <w:lang w:val="en-US" w:eastAsia="zh-CN"/>
        </w:rPr>
        <w:t>3</w:t>
      </w:r>
      <w:r>
        <w:rPr>
          <w:rFonts w:hint="eastAsia" w:ascii="宋体" w:hAnsi="宋体" w:eastAsia="宋体" w:cs="宋体"/>
          <w:sz w:val="24"/>
        </w:rPr>
        <w:t>中小企业声明函。</w:t>
      </w:r>
    </w:p>
    <w:p>
      <w:pPr>
        <w:spacing w:line="360" w:lineRule="auto"/>
        <w:ind w:firstLine="723" w:firstLineChars="300"/>
        <w:rPr>
          <w:rFonts w:hint="eastAsia" w:ascii="宋体" w:hAnsi="宋体" w:eastAsia="宋体" w:cs="宋体"/>
          <w:b/>
          <w:sz w:val="24"/>
        </w:rPr>
      </w:pPr>
      <w:r>
        <w:rPr>
          <w:rFonts w:hint="eastAsia" w:ascii="宋体" w:hAnsi="宋体" w:eastAsia="宋体" w:cs="宋体"/>
          <w:b/>
          <w:sz w:val="24"/>
        </w:rPr>
        <w:t>投标文件含有采购人不能接受的附加条件的，投标无效；</w:t>
      </w:r>
    </w:p>
    <w:p>
      <w:pPr>
        <w:spacing w:line="360" w:lineRule="auto"/>
        <w:ind w:firstLine="723" w:firstLineChars="300"/>
        <w:rPr>
          <w:rFonts w:hint="eastAsia" w:ascii="宋体" w:hAnsi="宋体" w:eastAsia="宋体" w:cs="宋体"/>
          <w:b/>
          <w:sz w:val="24"/>
          <w:szCs w:val="21"/>
        </w:rPr>
      </w:pPr>
      <w:r>
        <w:rPr>
          <w:rFonts w:hint="eastAsia" w:ascii="宋体" w:hAnsi="宋体" w:eastAsia="宋体" w:cs="宋体"/>
          <w:b/>
          <w:sz w:val="24"/>
        </w:rPr>
        <w:t>投标人提供虚假材料投标的，投标无效。</w:t>
      </w:r>
    </w:p>
    <w:p>
      <w:pPr>
        <w:pStyle w:val="128"/>
        <w:snapToGrid w:val="0"/>
        <w:spacing w:before="0"/>
        <w:ind w:firstLine="0" w:firstLineChars="0"/>
        <w:outlineLvl w:val="0"/>
        <w:rPr>
          <w:rFonts w:hint="eastAsia" w:ascii="宋体" w:hAnsi="宋体" w:eastAsia="宋体" w:cs="宋体"/>
          <w:b/>
          <w:szCs w:val="24"/>
        </w:rPr>
      </w:pPr>
      <w:r>
        <w:rPr>
          <w:rFonts w:hint="eastAsia" w:ascii="宋体" w:hAnsi="宋体" w:eastAsia="宋体" w:cs="宋体"/>
          <w:b/>
          <w:szCs w:val="24"/>
        </w:rPr>
        <w:t>12</w:t>
      </w:r>
      <w:r>
        <w:rPr>
          <w:rFonts w:hint="eastAsia" w:ascii="宋体" w:hAnsi="宋体" w:eastAsia="宋体" w:cs="宋体"/>
          <w:b/>
          <w:kern w:val="0"/>
          <w:szCs w:val="24"/>
          <w:lang w:val="zh-CN"/>
        </w:rPr>
        <w:t xml:space="preserve">. </w:t>
      </w:r>
      <w:r>
        <w:rPr>
          <w:rFonts w:hint="eastAsia" w:ascii="宋体" w:hAnsi="宋体" w:eastAsia="宋体" w:cs="宋体"/>
          <w:b/>
          <w:szCs w:val="24"/>
        </w:rPr>
        <w:t>投标文件的编制</w:t>
      </w:r>
    </w:p>
    <w:p>
      <w:pPr>
        <w:spacing w:line="360" w:lineRule="auto"/>
        <w:ind w:firstLine="480" w:firstLineChars="200"/>
        <w:rPr>
          <w:rFonts w:hint="eastAsia" w:ascii="宋体" w:hAnsi="宋体" w:eastAsia="宋体" w:cs="宋体"/>
          <w:b/>
          <w:sz w:val="24"/>
        </w:rPr>
      </w:pPr>
      <w:r>
        <w:rPr>
          <w:rFonts w:hint="eastAsia" w:ascii="宋体" w:hAnsi="宋体" w:eastAsia="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宋体" w:hAnsi="宋体" w:eastAsia="宋体" w:cs="宋体"/>
          <w:b/>
          <w:sz w:val="24"/>
        </w:rPr>
      </w:pPr>
      <w:r>
        <w:rPr>
          <w:rFonts w:hint="eastAsia" w:ascii="宋体" w:hAnsi="宋体" w:eastAsia="宋体" w:cs="宋体"/>
          <w:b/>
          <w:sz w:val="24"/>
        </w:rPr>
        <w:t>13.投标文件的签署、盖章</w:t>
      </w:r>
    </w:p>
    <w:p>
      <w:pPr>
        <w:pStyle w:val="128"/>
        <w:snapToGrid w:val="0"/>
        <w:spacing w:before="0"/>
        <w:ind w:firstLine="480"/>
        <w:rPr>
          <w:rFonts w:hint="eastAsia" w:ascii="宋体" w:hAnsi="宋体" w:eastAsia="宋体" w:cs="宋体"/>
          <w:b/>
        </w:rPr>
      </w:pPr>
      <w:r>
        <w:rPr>
          <w:rFonts w:hint="eastAsia" w:ascii="宋体" w:hAnsi="宋体" w:eastAsia="宋体" w:cs="宋体"/>
          <w:szCs w:val="24"/>
        </w:rPr>
        <w:t>13.1投标文件按照招标文件第六部分格式要</w:t>
      </w:r>
      <w:r>
        <w:rPr>
          <w:rFonts w:hint="eastAsia" w:ascii="宋体" w:hAnsi="宋体" w:eastAsia="宋体" w:cs="宋体"/>
        </w:rPr>
        <w:t>求进行签署、盖章。</w:t>
      </w:r>
      <w:r>
        <w:rPr>
          <w:rFonts w:hint="eastAsia" w:ascii="宋体" w:hAnsi="宋体" w:eastAsia="宋体" w:cs="宋体"/>
          <w:b/>
        </w:rPr>
        <w:t>▲投标人的投标文件未按照招标文件要求签署、盖章的，其投标无效</w:t>
      </w:r>
      <w:r>
        <w:rPr>
          <w:rFonts w:hint="eastAsia" w:ascii="宋体" w:hAnsi="宋体" w:eastAsia="宋体" w:cs="宋体"/>
          <w:szCs w:val="24"/>
        </w:rPr>
        <w:t>。</w:t>
      </w:r>
    </w:p>
    <w:p>
      <w:pPr>
        <w:pStyle w:val="128"/>
        <w:snapToGrid w:val="0"/>
        <w:spacing w:before="0"/>
        <w:ind w:firstLine="480"/>
        <w:rPr>
          <w:rFonts w:hint="eastAsia" w:ascii="宋体" w:hAnsi="宋体" w:eastAsia="宋体" w:cs="宋体"/>
        </w:rPr>
      </w:pPr>
      <w:r>
        <w:rPr>
          <w:rFonts w:hint="eastAsia" w:ascii="宋体" w:hAnsi="宋体" w:eastAsia="宋体" w:cs="宋体"/>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hint="eastAsia" w:ascii="宋体" w:hAnsi="宋体" w:eastAsia="宋体" w:cs="宋体"/>
          <w:szCs w:val="24"/>
        </w:rPr>
      </w:pPr>
      <w:r>
        <w:rPr>
          <w:rFonts w:hint="eastAsia" w:ascii="宋体" w:hAnsi="宋体" w:eastAsia="宋体" w:cs="宋体"/>
        </w:rPr>
        <w:t>13.3招标文件对投标文件签署、盖章的要求适用于电子签名。</w:t>
      </w:r>
    </w:p>
    <w:p>
      <w:pPr>
        <w:pStyle w:val="128"/>
        <w:spacing w:before="0"/>
        <w:ind w:firstLine="0" w:firstLineChars="0"/>
        <w:rPr>
          <w:rFonts w:hint="eastAsia" w:ascii="宋体" w:hAnsi="宋体" w:eastAsia="宋体" w:cs="宋体"/>
          <w:b/>
          <w:szCs w:val="24"/>
        </w:rPr>
      </w:pPr>
      <w:r>
        <w:rPr>
          <w:rFonts w:hint="eastAsia" w:ascii="宋体" w:hAnsi="宋体" w:eastAsia="宋体" w:cs="宋体"/>
          <w:b/>
          <w:szCs w:val="24"/>
        </w:rPr>
        <w:t>14. 投标文件的提交、补充、修改、撤回</w:t>
      </w:r>
    </w:p>
    <w:p>
      <w:pPr>
        <w:pStyle w:val="128"/>
        <w:ind w:firstLine="480"/>
        <w:rPr>
          <w:rFonts w:hint="eastAsia" w:ascii="宋体" w:hAnsi="宋体" w:eastAsia="宋体" w:cs="宋体"/>
          <w:szCs w:val="24"/>
        </w:rPr>
      </w:pPr>
      <w:r>
        <w:rPr>
          <w:rFonts w:hint="eastAsia" w:ascii="宋体" w:hAnsi="宋体" w:eastAsia="宋体"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pacing w:before="0"/>
        <w:ind w:firstLine="480"/>
        <w:rPr>
          <w:rFonts w:hint="eastAsia" w:ascii="宋体" w:hAnsi="宋体" w:eastAsia="宋体" w:cs="宋体"/>
          <w:szCs w:val="24"/>
        </w:rPr>
      </w:pPr>
      <w:r>
        <w:rPr>
          <w:rFonts w:hint="eastAsia" w:ascii="宋体" w:hAnsi="宋体" w:eastAsia="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hint="eastAsia" w:ascii="宋体" w:hAnsi="宋体" w:eastAsia="宋体" w:cs="宋体"/>
          <w:szCs w:val="24"/>
        </w:rPr>
      </w:pPr>
      <w:r>
        <w:rPr>
          <w:rFonts w:hint="eastAsia" w:ascii="宋体" w:hAnsi="宋体" w:eastAsia="宋体" w:cs="宋体"/>
          <w:szCs w:val="24"/>
        </w:rPr>
        <w:t>14.3采购人、采购机构可以视情况延长投标文件提交的截止时间。在上述情况下，采购机构与投标人以前在投标截止期方面的全部权利、责任和义务，将适用于延长至新的投标截止期。</w:t>
      </w:r>
    </w:p>
    <w:p>
      <w:pPr>
        <w:pStyle w:val="34"/>
        <w:spacing w:line="360" w:lineRule="auto"/>
        <w:rPr>
          <w:rFonts w:hint="eastAsia" w:ascii="宋体" w:hAnsi="宋体" w:eastAsia="宋体" w:cs="宋体"/>
          <w:b/>
          <w:sz w:val="24"/>
          <w:szCs w:val="24"/>
        </w:rPr>
      </w:pPr>
      <w:r>
        <w:rPr>
          <w:rFonts w:hint="eastAsia" w:ascii="宋体" w:hAnsi="宋体" w:eastAsia="宋体" w:cs="宋体"/>
          <w:b/>
          <w:sz w:val="24"/>
          <w:szCs w:val="24"/>
        </w:rPr>
        <w:t>15.备份投标文件</w:t>
      </w:r>
    </w:p>
    <w:p>
      <w:pPr>
        <w:pStyle w:val="34"/>
        <w:spacing w:line="360" w:lineRule="auto"/>
        <w:ind w:firstLine="360" w:firstLineChars="150"/>
        <w:rPr>
          <w:rFonts w:hint="eastAsia" w:ascii="宋体" w:hAnsi="宋体" w:eastAsia="宋体" w:cs="宋体"/>
          <w:b/>
          <w:sz w:val="24"/>
          <w:szCs w:val="24"/>
        </w:rPr>
      </w:pPr>
      <w:r>
        <w:rPr>
          <w:rFonts w:hint="eastAsia" w:ascii="宋体" w:hAnsi="宋体" w:eastAsia="宋体" w:cs="宋体"/>
          <w:sz w:val="24"/>
          <w:szCs w:val="24"/>
        </w:rPr>
        <w:t xml:space="preserve"> 15.1投标人在电子交易平台传输递交投标文件后，还可以在投标截止时间前直接提交或者以邮政快递方式递交备份投标文件1份，</w:t>
      </w:r>
      <w:r>
        <w:rPr>
          <w:rFonts w:hint="eastAsia" w:ascii="宋体" w:hAnsi="宋体" w:eastAsia="宋体" w:cs="宋体"/>
          <w:b/>
          <w:sz w:val="24"/>
          <w:szCs w:val="24"/>
        </w:rPr>
        <w:t>但采购人、采购机构不强制或变相强制投标人提交备份投标文件。</w:t>
      </w:r>
    </w:p>
    <w:p>
      <w:pPr>
        <w:pStyle w:val="34"/>
        <w:spacing w:line="360" w:lineRule="auto"/>
        <w:ind w:firstLine="480" w:firstLineChars="200"/>
        <w:rPr>
          <w:rFonts w:hint="eastAsia" w:ascii="宋体" w:hAnsi="宋体" w:eastAsia="宋体" w:cs="宋体"/>
          <w:b/>
          <w:sz w:val="24"/>
          <w:szCs w:val="24"/>
        </w:rPr>
      </w:pPr>
      <w:r>
        <w:rPr>
          <w:rFonts w:hint="eastAsia" w:ascii="宋体" w:hAnsi="宋体" w:eastAsia="宋体" w:cs="宋体"/>
          <w:sz w:val="24"/>
          <w:szCs w:val="24"/>
        </w:rPr>
        <w:t>15.2备份投标文件须在“政采云投标客户端”制作生成，并储存在</w:t>
      </w:r>
      <w:r>
        <w:rPr>
          <w:rFonts w:hint="eastAsia" w:ascii="宋体" w:hAnsi="宋体" w:eastAsia="宋体" w:cs="宋体"/>
          <w:sz w:val="24"/>
        </w:rPr>
        <w:t>DVD光盘</w:t>
      </w:r>
      <w:r>
        <w:rPr>
          <w:rFonts w:hint="eastAsia" w:ascii="宋体" w:hAnsi="宋体" w:eastAsia="宋体"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宋体" w:hAnsi="宋体" w:eastAsia="宋体" w:cs="宋体"/>
          <w:b/>
          <w:sz w:val="24"/>
        </w:rPr>
        <w:t>不符合上述制作、</w:t>
      </w:r>
      <w:r>
        <w:rPr>
          <w:rFonts w:hint="eastAsia" w:ascii="宋体" w:hAnsi="宋体" w:eastAsia="宋体" w:cs="宋体"/>
          <w:b/>
          <w:sz w:val="24"/>
          <w:szCs w:val="24"/>
        </w:rPr>
        <w:t>存储、密封规定的备份投标文件将被视为无效或者被拒绝接收。</w:t>
      </w:r>
    </w:p>
    <w:p>
      <w:pPr>
        <w:pStyle w:val="34"/>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15.3直接提交备份投标文件的，投标人应于投标截止时间前在招标公告中载明的开标地点将备份投标文件提交给采购机构，采购机构将拒绝接受逾期送达的备份投标文件。</w:t>
      </w:r>
    </w:p>
    <w:p>
      <w:pPr>
        <w:pStyle w:val="34"/>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15.4以邮政快递方式递交备份投标文件的，投标人应先将备份投标文件按要求密封和标记，再进行邮政快递包装后邮寄。备份投标文件须在投标截止时间之前送达</w:t>
      </w:r>
      <w:r>
        <w:rPr>
          <w:rFonts w:hint="eastAsia" w:ascii="宋体" w:hAnsi="宋体" w:eastAsia="宋体" w:cs="宋体"/>
          <w:snapToGrid/>
          <w:sz w:val="24"/>
          <w:szCs w:val="24"/>
        </w:rPr>
        <w:t>招标文件第二部分投标人须知前附表规定的备份投标文件送达地点；</w:t>
      </w:r>
      <w:r>
        <w:rPr>
          <w:rFonts w:hint="eastAsia" w:ascii="宋体" w:hAnsi="宋体" w:eastAsia="宋体" w:cs="宋体"/>
          <w:sz w:val="24"/>
          <w:szCs w:val="24"/>
        </w:rPr>
        <w:t>送达时间以签收人签收时间为准。采购机构将拒绝接受逾期送达的备份投标文件。邮寄过程中，电子备份投标文件发生泄露、遗失、损坏或延期送达等情况的，由投标人自行负责。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hint="eastAsia" w:ascii="宋体" w:hAnsi="宋体" w:eastAsia="宋体" w:cs="宋体"/>
          <w:b/>
          <w:sz w:val="24"/>
          <w:szCs w:val="24"/>
        </w:rPr>
      </w:pPr>
      <w:r>
        <w:rPr>
          <w:rFonts w:hint="eastAsia" w:ascii="宋体" w:hAnsi="宋体" w:eastAsia="宋体" w:cs="宋体"/>
          <w:b/>
          <w:sz w:val="24"/>
          <w:szCs w:val="24"/>
        </w:rPr>
        <w:t>15.5投标人仅提交备份投标文件，没有在电子交易平台传输递交投标文件的，投标无效。</w:t>
      </w:r>
    </w:p>
    <w:p>
      <w:pPr>
        <w:pStyle w:val="128"/>
        <w:spacing w:before="0"/>
        <w:ind w:firstLine="0" w:firstLineChars="0"/>
        <w:rPr>
          <w:rFonts w:hint="eastAsia" w:ascii="宋体" w:hAnsi="宋体" w:eastAsia="宋体" w:cs="宋体"/>
          <w:b/>
          <w:szCs w:val="24"/>
        </w:rPr>
      </w:pPr>
      <w:r>
        <w:rPr>
          <w:rFonts w:hint="eastAsia" w:ascii="宋体" w:hAnsi="宋体" w:eastAsia="宋体" w:cs="宋体"/>
          <w:b/>
          <w:szCs w:val="24"/>
        </w:rPr>
        <w:t>16.投标文件的无效处理</w:t>
      </w:r>
    </w:p>
    <w:p>
      <w:pPr>
        <w:pStyle w:val="2"/>
        <w:spacing w:line="360" w:lineRule="auto"/>
        <w:ind w:firstLine="360" w:firstLineChars="150"/>
        <w:rPr>
          <w:rFonts w:hint="eastAsia" w:ascii="宋体" w:hAnsi="宋体" w:eastAsia="宋体" w:cs="宋体"/>
          <w:szCs w:val="21"/>
        </w:rPr>
      </w:pPr>
      <w:r>
        <w:rPr>
          <w:rFonts w:hint="eastAsia" w:ascii="宋体" w:hAnsi="宋体" w:eastAsia="宋体" w:cs="宋体"/>
          <w:szCs w:val="21"/>
        </w:rPr>
        <w:t>有招标文件第四部分</w:t>
      </w:r>
      <w:r>
        <w:rPr>
          <w:rFonts w:hint="eastAsia" w:ascii="宋体" w:hAnsi="宋体" w:eastAsia="宋体" w:cs="宋体"/>
        </w:rPr>
        <w:t>第13项规定</w:t>
      </w:r>
      <w:r>
        <w:rPr>
          <w:rFonts w:hint="eastAsia" w:ascii="宋体" w:hAnsi="宋体" w:eastAsia="宋体" w:cs="宋体"/>
          <w:szCs w:val="21"/>
        </w:rPr>
        <w:t>的情形之一的，投标无效：</w:t>
      </w:r>
    </w:p>
    <w:p>
      <w:pPr>
        <w:pStyle w:val="128"/>
        <w:spacing w:before="0"/>
        <w:ind w:firstLine="0" w:firstLineChars="0"/>
        <w:rPr>
          <w:rFonts w:hint="eastAsia" w:ascii="宋体" w:hAnsi="宋体" w:eastAsia="宋体" w:cs="宋体"/>
          <w:b/>
          <w:szCs w:val="24"/>
        </w:rPr>
      </w:pPr>
      <w:r>
        <w:rPr>
          <w:rFonts w:hint="eastAsia" w:ascii="宋体" w:hAnsi="宋体" w:eastAsia="宋体" w:cs="宋体"/>
          <w:b/>
          <w:szCs w:val="24"/>
        </w:rPr>
        <w:t>17.投标有效期</w:t>
      </w:r>
    </w:p>
    <w:p>
      <w:pPr>
        <w:spacing w:line="360" w:lineRule="auto"/>
        <w:ind w:firstLine="480" w:firstLineChars="200"/>
        <w:rPr>
          <w:rFonts w:hint="eastAsia" w:ascii="宋体" w:hAnsi="宋体" w:eastAsia="宋体" w:cs="宋体"/>
          <w:b/>
          <w:sz w:val="24"/>
          <w:szCs w:val="21"/>
        </w:rPr>
      </w:pPr>
      <w:r>
        <w:rPr>
          <w:rFonts w:hint="eastAsia" w:ascii="宋体" w:hAnsi="宋体" w:eastAsia="宋体" w:cs="宋体"/>
          <w:sz w:val="24"/>
          <w:szCs w:val="20"/>
        </w:rPr>
        <w:t>17.1投标有效期为从提交投标文件的截止之日起90天。▲</w:t>
      </w:r>
      <w:r>
        <w:rPr>
          <w:rFonts w:hint="eastAsia" w:ascii="宋体" w:hAnsi="宋体" w:eastAsia="宋体" w:cs="宋体"/>
          <w:b/>
          <w:sz w:val="24"/>
          <w:szCs w:val="20"/>
        </w:rPr>
        <w:t>投标人的投标文件中承</w:t>
      </w:r>
      <w:r>
        <w:rPr>
          <w:rFonts w:hint="eastAsia" w:ascii="宋体" w:hAnsi="宋体" w:eastAsia="宋体" w:cs="宋体"/>
          <w:b/>
          <w:sz w:val="24"/>
          <w:szCs w:val="21"/>
        </w:rPr>
        <w:t>诺的投标有效期少于招标文件中载明的投标有效期的，投标无效。</w:t>
      </w:r>
    </w:p>
    <w:p>
      <w:pPr>
        <w:pStyle w:val="128"/>
        <w:spacing w:before="0"/>
        <w:ind w:firstLine="480"/>
        <w:rPr>
          <w:rFonts w:hint="eastAsia" w:ascii="宋体" w:hAnsi="宋体" w:eastAsia="宋体" w:cs="宋体"/>
        </w:rPr>
      </w:pPr>
      <w:r>
        <w:rPr>
          <w:rFonts w:hint="eastAsia" w:ascii="宋体" w:hAnsi="宋体" w:eastAsia="宋体" w:cs="宋体"/>
        </w:rPr>
        <w:t>17.2投标文件合格投递后，自投标截止日期起，在投标有效期内有效。</w:t>
      </w:r>
    </w:p>
    <w:p>
      <w:pPr>
        <w:pStyle w:val="128"/>
        <w:spacing w:before="0"/>
        <w:ind w:firstLine="480"/>
        <w:rPr>
          <w:rFonts w:hint="eastAsia" w:ascii="宋体" w:hAnsi="宋体" w:eastAsia="宋体" w:cs="宋体"/>
        </w:rPr>
      </w:pPr>
      <w:r>
        <w:rPr>
          <w:rFonts w:hint="eastAsia" w:ascii="宋体" w:hAnsi="宋体" w:eastAsia="宋体" w:cs="宋体"/>
        </w:rPr>
        <w:t>17.3在原定投标有效期满之前，如果出现特殊情况，采购机构可以以书面形式通知投标人延长投标有效期。投标人同意延长的，不得要求或被允许修改其投标文件，投标人拒绝延长的，其投标无效。</w:t>
      </w:r>
    </w:p>
    <w:p>
      <w:pPr>
        <w:pStyle w:val="128"/>
        <w:spacing w:before="0"/>
        <w:ind w:firstLine="643"/>
        <w:rPr>
          <w:rFonts w:hint="eastAsia" w:ascii="宋体" w:hAnsi="宋体" w:eastAsia="宋体" w:cs="宋体"/>
          <w:b/>
          <w:sz w:val="32"/>
        </w:rPr>
      </w:pPr>
    </w:p>
    <w:p>
      <w:pPr>
        <w:pStyle w:val="128"/>
        <w:spacing w:before="0"/>
        <w:ind w:firstLine="1807" w:firstLineChars="600"/>
        <w:rPr>
          <w:rFonts w:hint="eastAsia" w:ascii="宋体" w:hAnsi="宋体" w:eastAsia="宋体" w:cs="宋体"/>
          <w:b/>
          <w:sz w:val="30"/>
          <w:szCs w:val="30"/>
        </w:rPr>
      </w:pPr>
      <w:r>
        <w:rPr>
          <w:rFonts w:hint="eastAsia" w:ascii="宋体" w:hAnsi="宋体" w:eastAsia="宋体" w:cs="宋体"/>
          <w:b/>
          <w:sz w:val="30"/>
          <w:szCs w:val="30"/>
        </w:rPr>
        <w:t>四、开标、资格审查与信用信息查询</w:t>
      </w:r>
    </w:p>
    <w:p>
      <w:pPr>
        <w:pStyle w:val="554"/>
        <w:spacing w:before="0" w:line="360" w:lineRule="auto"/>
        <w:ind w:left="0" w:firstLine="241" w:firstLineChars="100"/>
        <w:contextualSpacing/>
        <w:rPr>
          <w:rFonts w:hint="eastAsia" w:ascii="宋体" w:hAnsi="宋体" w:eastAsia="宋体" w:cs="宋体"/>
          <w:sz w:val="24"/>
        </w:rPr>
      </w:pPr>
      <w:r>
        <w:rPr>
          <w:rFonts w:hint="eastAsia" w:ascii="宋体" w:hAnsi="宋体" w:eastAsia="宋体" w:cs="宋体"/>
          <w:b/>
          <w:sz w:val="24"/>
          <w:szCs w:val="24"/>
        </w:rPr>
        <w:t>18.开标</w:t>
      </w:r>
      <w:r>
        <w:rPr>
          <w:rFonts w:hint="eastAsia" w:ascii="宋体" w:hAnsi="宋体" w:eastAsia="宋体" w:cs="宋体"/>
          <w:sz w:val="24"/>
        </w:rPr>
        <w:t xml:space="preserve"> </w:t>
      </w:r>
    </w:p>
    <w:p>
      <w:pPr>
        <w:pStyle w:val="554"/>
        <w:spacing w:before="0" w:line="360" w:lineRule="auto"/>
        <w:ind w:left="0" w:firstLine="480" w:firstLineChars="200"/>
        <w:contextualSpacing/>
        <w:rPr>
          <w:rFonts w:hint="eastAsia" w:ascii="宋体" w:hAnsi="宋体" w:eastAsia="宋体" w:cs="宋体"/>
          <w:sz w:val="24"/>
        </w:rPr>
      </w:pPr>
      <w:r>
        <w:rPr>
          <w:rFonts w:hint="eastAsia" w:ascii="宋体" w:hAnsi="宋体" w:eastAsia="宋体" w:cs="宋体"/>
          <w:sz w:val="24"/>
        </w:rPr>
        <w:t>18.1采购机构按照招标文件规定的时间通过电子交易平台组织开标，所有投标人均应当准时在线参加。投标人不足3家的，不得开标。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hint="eastAsia" w:ascii="宋体" w:hAnsi="宋体" w:eastAsia="宋体" w:cs="宋体"/>
          <w:sz w:val="24"/>
        </w:rPr>
      </w:pPr>
      <w:r>
        <w:rPr>
          <w:rFonts w:hint="eastAsia" w:ascii="宋体" w:hAnsi="宋体" w:eastAsia="宋体" w:cs="宋体"/>
          <w:sz w:val="24"/>
        </w:rPr>
        <w:t>　18.2开标时，电子交易平台按开标时间自动提取所有投标文件。采购机构依托电子交易平台发起开始解密指令，投标人按照平台提示和招标文件的规定在半小时内完成在线解密。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hint="eastAsia" w:ascii="宋体" w:hAnsi="宋体" w:eastAsia="宋体" w:cs="宋体"/>
          <w:b/>
          <w:sz w:val="24"/>
        </w:rPr>
      </w:pPr>
      <w:r>
        <w:rPr>
          <w:rFonts w:hint="eastAsia" w:ascii="宋体" w:hAnsi="宋体" w:eastAsia="宋体" w:cs="宋体"/>
          <w:sz w:val="24"/>
        </w:rPr>
        <w:t>　18.3</w:t>
      </w:r>
      <w:r>
        <w:rPr>
          <w:rFonts w:hint="eastAsia" w:ascii="宋体" w:hAnsi="宋体" w:eastAsia="宋体" w:cs="宋体"/>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宋体" w:hAnsi="宋体" w:eastAsia="宋体" w:cs="宋体"/>
          <w:b/>
          <w:sz w:val="24"/>
          <w:szCs w:val="20"/>
        </w:rPr>
      </w:pPr>
      <w:r>
        <w:rPr>
          <w:rFonts w:hint="eastAsia" w:ascii="宋体" w:hAnsi="宋体" w:eastAsia="宋体" w:cs="宋体"/>
          <w:b/>
          <w:sz w:val="24"/>
          <w:szCs w:val="20"/>
        </w:rPr>
        <w:t>　19、资格审查</w:t>
      </w:r>
    </w:p>
    <w:p>
      <w:pPr>
        <w:pStyle w:val="128"/>
        <w:spacing w:before="0"/>
        <w:ind w:firstLine="480"/>
        <w:rPr>
          <w:rFonts w:hint="eastAsia" w:ascii="宋体" w:hAnsi="宋体" w:eastAsia="宋体" w:cs="宋体"/>
          <w:kern w:val="0"/>
          <w:szCs w:val="24"/>
        </w:rPr>
      </w:pPr>
      <w:r>
        <w:rPr>
          <w:rFonts w:hint="eastAsia" w:ascii="宋体" w:hAnsi="宋体" w:eastAsia="宋体" w:cs="宋体"/>
          <w:kern w:val="0"/>
          <w:szCs w:val="24"/>
        </w:rPr>
        <w:t>19.1开标后，采购人或采购机构将依法对投标人的资格进行审查。</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kern w:val="0"/>
          <w:sz w:val="24"/>
        </w:rPr>
        <w:t>19.2</w:t>
      </w:r>
      <w:r>
        <w:rPr>
          <w:rFonts w:hint="eastAsia" w:ascii="宋体" w:hAnsi="宋体" w:eastAsia="宋体" w:cs="宋体"/>
          <w:sz w:val="24"/>
        </w:rPr>
        <w:t>采购人或采购机构依据法律法规和招标文件的规定，对投标人的基本资格条件、特定资格条件进行审查。</w:t>
      </w:r>
    </w:p>
    <w:p>
      <w:pPr>
        <w:pStyle w:val="128"/>
        <w:spacing w:before="0"/>
        <w:ind w:firstLine="480"/>
        <w:rPr>
          <w:rFonts w:hint="eastAsia" w:ascii="宋体" w:hAnsi="宋体" w:eastAsia="宋体" w:cs="宋体"/>
        </w:rPr>
      </w:pPr>
      <w:r>
        <w:rPr>
          <w:rFonts w:hint="eastAsia" w:ascii="宋体" w:hAnsi="宋体" w:eastAsia="宋体" w:cs="宋体"/>
          <w:kern w:val="0"/>
          <w:szCs w:val="24"/>
        </w:rPr>
        <w:t>19.3投标人未按照招标文件要求提供与</w:t>
      </w:r>
      <w:r>
        <w:rPr>
          <w:rFonts w:hint="eastAsia" w:ascii="宋体" w:hAnsi="宋体" w:eastAsia="宋体" w:cs="宋体"/>
        </w:rPr>
        <w:t>基本资格条件、特定资格条件相应的</w:t>
      </w:r>
      <w:r>
        <w:rPr>
          <w:rFonts w:hint="eastAsia" w:ascii="宋体" w:hAnsi="宋体" w:eastAsia="宋体" w:cs="宋体"/>
          <w:kern w:val="0"/>
          <w:szCs w:val="24"/>
        </w:rPr>
        <w:t>有效资格证明材料的，视为</w:t>
      </w:r>
      <w:r>
        <w:rPr>
          <w:rFonts w:hint="eastAsia" w:ascii="宋体" w:hAnsi="宋体" w:eastAsia="宋体" w:cs="宋体"/>
        </w:rPr>
        <w:t>投标人不具备招标文件中规定的资格要求，其投标无效。</w:t>
      </w:r>
    </w:p>
    <w:p>
      <w:pPr>
        <w:pStyle w:val="128"/>
        <w:spacing w:before="0"/>
        <w:ind w:firstLine="480"/>
        <w:rPr>
          <w:rFonts w:hint="eastAsia" w:ascii="宋体" w:hAnsi="宋体" w:eastAsia="宋体" w:cs="宋体"/>
        </w:rPr>
      </w:pPr>
      <w:r>
        <w:rPr>
          <w:rFonts w:hint="eastAsia" w:ascii="宋体" w:hAnsi="宋体" w:eastAsia="宋体" w:cs="宋体"/>
          <w:kern w:val="0"/>
          <w:szCs w:val="24"/>
        </w:rPr>
        <w:t>19.</w:t>
      </w:r>
      <w:r>
        <w:rPr>
          <w:rFonts w:hint="eastAsia" w:ascii="宋体" w:hAnsi="宋体" w:eastAsia="宋体" w:cs="宋体"/>
        </w:rPr>
        <w:t>4对未通过资格审查的投标人，采购人或采购机构告知其未通过的原因。</w:t>
      </w:r>
    </w:p>
    <w:p>
      <w:pPr>
        <w:pStyle w:val="128"/>
        <w:spacing w:before="0"/>
        <w:ind w:firstLine="480"/>
        <w:rPr>
          <w:rFonts w:hint="eastAsia" w:ascii="宋体" w:hAnsi="宋体" w:eastAsia="宋体" w:cs="宋体"/>
        </w:rPr>
      </w:pPr>
      <w:r>
        <w:rPr>
          <w:rFonts w:hint="eastAsia" w:ascii="宋体" w:hAnsi="宋体" w:eastAsia="宋体" w:cs="宋体"/>
          <w:kern w:val="0"/>
          <w:szCs w:val="24"/>
        </w:rPr>
        <w:t>19.</w:t>
      </w:r>
      <w:r>
        <w:rPr>
          <w:rFonts w:hint="eastAsia" w:ascii="宋体" w:hAnsi="宋体" w:eastAsia="宋体" w:cs="宋体"/>
        </w:rPr>
        <w:t>5合格投标人不足3家的，不再评标。</w:t>
      </w:r>
    </w:p>
    <w:p>
      <w:pPr>
        <w:pStyle w:val="128"/>
        <w:spacing w:before="0"/>
        <w:ind w:firstLine="0" w:firstLineChars="0"/>
        <w:rPr>
          <w:rFonts w:hint="eastAsia" w:ascii="宋体" w:hAnsi="宋体" w:eastAsia="宋体" w:cs="宋体"/>
          <w:b/>
          <w:szCs w:val="24"/>
        </w:rPr>
      </w:pPr>
      <w:r>
        <w:rPr>
          <w:rFonts w:hint="eastAsia" w:ascii="宋体" w:hAnsi="宋体" w:eastAsia="宋体" w:cs="宋体"/>
          <w:b/>
          <w:szCs w:val="24"/>
        </w:rPr>
        <w:t>20、信用信息查询</w:t>
      </w:r>
    </w:p>
    <w:p>
      <w:pPr>
        <w:pStyle w:val="128"/>
        <w:spacing w:before="0"/>
        <w:ind w:firstLine="495" w:firstLineChars="0"/>
        <w:rPr>
          <w:rFonts w:hint="eastAsia" w:ascii="宋体" w:hAnsi="宋体" w:eastAsia="宋体" w:cs="宋体"/>
          <w:kern w:val="0"/>
          <w:szCs w:val="24"/>
        </w:rPr>
      </w:pPr>
      <w:r>
        <w:rPr>
          <w:rFonts w:hint="eastAsia" w:ascii="宋体" w:hAnsi="宋体" w:eastAsia="宋体" w:cs="宋体"/>
          <w:kern w:val="0"/>
          <w:szCs w:val="24"/>
        </w:rPr>
        <w:t>20.1信用信息查询渠道及截止时间：采购机构将通过“信用中国”网站(www.creditchina.gov.cn)、中国政府采购网(www.ccgp.gov.cn)渠道查询投标人投标截止时间当天的信用记录。</w:t>
      </w:r>
    </w:p>
    <w:p>
      <w:pPr>
        <w:pStyle w:val="128"/>
        <w:spacing w:before="0"/>
        <w:ind w:firstLine="495" w:firstLineChars="0"/>
        <w:rPr>
          <w:rFonts w:hint="eastAsia" w:ascii="宋体" w:hAnsi="宋体" w:eastAsia="宋体" w:cs="宋体"/>
          <w:kern w:val="0"/>
          <w:szCs w:val="24"/>
        </w:rPr>
      </w:pPr>
      <w:r>
        <w:rPr>
          <w:rFonts w:hint="eastAsia" w:ascii="宋体" w:hAnsi="宋体" w:eastAsia="宋体" w:cs="宋体"/>
          <w:kern w:val="0"/>
          <w:szCs w:val="24"/>
        </w:rPr>
        <w:t>20.2信用信息查询记录和证据留存的具体方式：现场查询的投标人的信用记录、查询结果经确认后将与采购文件一起存档。</w:t>
      </w:r>
    </w:p>
    <w:p>
      <w:pPr>
        <w:pStyle w:val="128"/>
        <w:spacing w:before="0"/>
        <w:ind w:firstLine="495" w:firstLineChars="0"/>
        <w:rPr>
          <w:rFonts w:hint="eastAsia" w:ascii="宋体" w:hAnsi="宋体" w:eastAsia="宋体" w:cs="宋体"/>
          <w:kern w:val="0"/>
          <w:szCs w:val="24"/>
        </w:rPr>
      </w:pPr>
      <w:r>
        <w:rPr>
          <w:rFonts w:hint="eastAsia" w:ascii="宋体" w:hAnsi="宋体" w:eastAsia="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hint="eastAsia" w:ascii="宋体" w:hAnsi="宋体" w:eastAsia="宋体" w:cs="宋体"/>
        </w:rPr>
      </w:pPr>
      <w:r>
        <w:rPr>
          <w:rFonts w:hint="eastAsia" w:ascii="宋体" w:hAnsi="宋体" w:eastAsia="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eastAsia="宋体" w:cs="宋体"/>
        </w:rPr>
        <w:t>。</w:t>
      </w:r>
    </w:p>
    <w:p>
      <w:pPr>
        <w:pStyle w:val="128"/>
        <w:spacing w:before="0"/>
        <w:ind w:firstLine="0" w:firstLineChars="0"/>
        <w:rPr>
          <w:rFonts w:hint="eastAsia" w:ascii="宋体" w:hAnsi="宋体" w:eastAsia="宋体" w:cs="宋体"/>
          <w:kern w:val="0"/>
          <w:szCs w:val="24"/>
        </w:rPr>
      </w:pPr>
    </w:p>
    <w:p>
      <w:pPr>
        <w:snapToGrid w:val="0"/>
        <w:spacing w:line="360" w:lineRule="auto"/>
        <w:jc w:val="center"/>
        <w:outlineLvl w:val="0"/>
        <w:rPr>
          <w:rFonts w:hint="eastAsia" w:ascii="宋体" w:hAnsi="宋体" w:eastAsia="宋体" w:cs="宋体"/>
          <w:b/>
          <w:sz w:val="30"/>
          <w:szCs w:val="30"/>
        </w:rPr>
      </w:pPr>
      <w:r>
        <w:rPr>
          <w:rFonts w:hint="eastAsia" w:ascii="宋体" w:hAnsi="宋体" w:eastAsia="宋体" w:cs="宋体"/>
          <w:b/>
          <w:sz w:val="30"/>
          <w:szCs w:val="30"/>
        </w:rPr>
        <w:t>五、评标</w:t>
      </w:r>
    </w:p>
    <w:p>
      <w:pPr>
        <w:spacing w:line="360" w:lineRule="auto"/>
        <w:rPr>
          <w:rFonts w:hint="eastAsia" w:ascii="宋体" w:hAnsi="宋体" w:eastAsia="宋体" w:cs="宋体"/>
          <w:b/>
          <w:sz w:val="24"/>
        </w:rPr>
      </w:pPr>
      <w:bookmarkStart w:id="13" w:name="_Toc91899903"/>
      <w:r>
        <w:rPr>
          <w:rFonts w:hint="eastAsia" w:ascii="宋体" w:hAnsi="宋体" w:eastAsia="宋体" w:cs="宋体"/>
          <w:b/>
          <w:sz w:val="24"/>
        </w:rPr>
        <w:t>21.</w:t>
      </w:r>
      <w:r>
        <w:rPr>
          <w:rFonts w:hint="eastAsia" w:ascii="宋体" w:hAnsi="宋体" w:eastAsia="宋体" w:cs="宋体"/>
        </w:rPr>
        <w:t xml:space="preserve"> </w:t>
      </w:r>
      <w:r>
        <w:rPr>
          <w:rFonts w:hint="eastAsia" w:ascii="宋体" w:hAnsi="宋体" w:eastAsia="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eastAsia="宋体" w:cs="宋体"/>
          <w:b/>
          <w:sz w:val="24"/>
        </w:rPr>
        <w:t>详见招标文件第四部分评标办法。</w:t>
      </w:r>
    </w:p>
    <w:p>
      <w:pPr>
        <w:spacing w:line="360" w:lineRule="auto"/>
        <w:rPr>
          <w:rFonts w:hint="eastAsia" w:ascii="宋体" w:hAnsi="宋体" w:eastAsia="宋体" w:cs="宋体"/>
          <w:b/>
          <w:sz w:val="24"/>
        </w:rPr>
      </w:pPr>
    </w:p>
    <w:p>
      <w:pPr>
        <w:snapToGrid w:val="0"/>
        <w:spacing w:line="360" w:lineRule="auto"/>
        <w:jc w:val="center"/>
        <w:outlineLvl w:val="0"/>
        <w:rPr>
          <w:rFonts w:hint="eastAsia" w:ascii="宋体" w:hAnsi="宋体" w:eastAsia="宋体" w:cs="宋体"/>
          <w:b/>
          <w:sz w:val="30"/>
          <w:szCs w:val="30"/>
        </w:rPr>
      </w:pPr>
      <w:r>
        <w:rPr>
          <w:rFonts w:hint="eastAsia" w:ascii="宋体" w:hAnsi="宋体" w:eastAsia="宋体" w:cs="宋体"/>
          <w:b/>
          <w:sz w:val="30"/>
          <w:szCs w:val="30"/>
        </w:rPr>
        <w:t>六、定 标</w:t>
      </w:r>
    </w:p>
    <w:p>
      <w:pPr>
        <w:pStyle w:val="2"/>
        <w:spacing w:line="360" w:lineRule="auto"/>
        <w:ind w:left="479" w:hanging="479" w:hangingChars="199"/>
        <w:rPr>
          <w:rFonts w:hint="eastAsia" w:ascii="宋体" w:hAnsi="宋体" w:eastAsia="宋体" w:cs="宋体"/>
          <w:b/>
        </w:rPr>
      </w:pPr>
      <w:r>
        <w:rPr>
          <w:rFonts w:hint="eastAsia" w:ascii="宋体" w:hAnsi="宋体" w:eastAsia="宋体" w:cs="宋体"/>
          <w:b/>
        </w:rPr>
        <w:t>22. 确定中标供应商</w:t>
      </w:r>
    </w:p>
    <w:p>
      <w:pPr>
        <w:pStyle w:val="128"/>
        <w:snapToGrid w:val="0"/>
        <w:spacing w:before="0"/>
        <w:ind w:firstLine="480"/>
        <w:rPr>
          <w:rFonts w:hint="eastAsia" w:ascii="宋体" w:hAnsi="宋体" w:eastAsia="宋体" w:cs="宋体"/>
          <w:b/>
          <w:szCs w:val="24"/>
        </w:rPr>
      </w:pPr>
      <w:r>
        <w:rPr>
          <w:rFonts w:hint="eastAsia" w:ascii="宋体" w:hAnsi="宋体" w:eastAsia="宋体" w:cs="宋体"/>
          <w:szCs w:val="24"/>
        </w:rPr>
        <w:t>采购人将自收到评审报告之日起5个工作日内通过电子交易平台在评审报告推荐的中标候选人中按顺序确定中标供应商。</w:t>
      </w:r>
    </w:p>
    <w:p>
      <w:pPr>
        <w:pStyle w:val="128"/>
        <w:snapToGrid w:val="0"/>
        <w:spacing w:before="0"/>
        <w:ind w:firstLine="0" w:firstLineChars="0"/>
        <w:rPr>
          <w:rFonts w:hint="eastAsia" w:ascii="宋体" w:hAnsi="宋体" w:eastAsia="宋体" w:cs="宋体"/>
          <w:b/>
          <w:szCs w:val="24"/>
        </w:rPr>
      </w:pPr>
      <w:r>
        <w:rPr>
          <w:rFonts w:hint="eastAsia" w:ascii="宋体" w:hAnsi="宋体" w:eastAsia="宋体" w:cs="宋体"/>
          <w:b/>
          <w:szCs w:val="24"/>
        </w:rPr>
        <w:t>23. 中标通知与中标结果公告</w:t>
      </w:r>
    </w:p>
    <w:p>
      <w:pPr>
        <w:widowControl/>
        <w:shd w:val="clear" w:color="auto" w:fill="FFFFFF"/>
        <w:spacing w:line="360" w:lineRule="auto"/>
        <w:ind w:firstLine="480"/>
        <w:jc w:val="left"/>
        <w:rPr>
          <w:rFonts w:hint="eastAsia" w:ascii="宋体" w:hAnsi="宋体" w:eastAsia="宋体" w:cs="宋体"/>
          <w:sz w:val="24"/>
        </w:rPr>
      </w:pPr>
      <w:r>
        <w:rPr>
          <w:rFonts w:hint="eastAsia" w:ascii="宋体" w:hAnsi="宋体" w:eastAsia="宋体" w:cs="宋体"/>
          <w:sz w:val="24"/>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hint="eastAsia" w:ascii="宋体" w:hAnsi="宋体" w:eastAsia="宋体" w:cs="宋体"/>
          <w:sz w:val="24"/>
        </w:rPr>
      </w:pPr>
      <w:r>
        <w:rPr>
          <w:rFonts w:hint="eastAsia" w:ascii="宋体" w:hAnsi="宋体" w:eastAsia="宋体" w:cs="宋体"/>
          <w:sz w:val="24"/>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hint="eastAsia" w:ascii="宋体" w:hAnsi="宋体" w:eastAsia="宋体" w:cs="宋体"/>
          <w:sz w:val="24"/>
        </w:rPr>
      </w:pPr>
      <w:r>
        <w:rPr>
          <w:rFonts w:hint="eastAsia" w:ascii="宋体" w:hAnsi="宋体" w:eastAsia="宋体" w:cs="宋体"/>
          <w:sz w:val="24"/>
        </w:rPr>
        <w:t>23.3公告期限为1个工作日。</w:t>
      </w:r>
    </w:p>
    <w:p>
      <w:pPr>
        <w:snapToGrid w:val="0"/>
        <w:spacing w:line="360" w:lineRule="auto"/>
        <w:ind w:left="120" w:leftChars="57" w:firstLine="482" w:firstLineChars="150"/>
        <w:jc w:val="center"/>
        <w:rPr>
          <w:rFonts w:hint="eastAsia" w:ascii="宋体" w:hAnsi="宋体" w:eastAsia="宋体" w:cs="宋体"/>
          <w:b/>
          <w:sz w:val="32"/>
        </w:rPr>
      </w:pPr>
    </w:p>
    <w:p>
      <w:pPr>
        <w:snapToGrid w:val="0"/>
        <w:spacing w:line="360" w:lineRule="auto"/>
        <w:ind w:left="120" w:leftChars="57" w:firstLine="452" w:firstLineChars="150"/>
        <w:jc w:val="center"/>
        <w:rPr>
          <w:rFonts w:hint="eastAsia" w:ascii="宋体" w:hAnsi="宋体" w:eastAsia="宋体" w:cs="宋体"/>
          <w:b/>
          <w:sz w:val="30"/>
          <w:szCs w:val="30"/>
        </w:rPr>
      </w:pPr>
      <w:r>
        <w:rPr>
          <w:rFonts w:hint="eastAsia" w:ascii="宋体" w:hAnsi="宋体" w:eastAsia="宋体" w:cs="宋体"/>
          <w:b/>
          <w:sz w:val="30"/>
          <w:szCs w:val="30"/>
        </w:rPr>
        <w:t>七、合同授予</w:t>
      </w:r>
    </w:p>
    <w:p>
      <w:pPr>
        <w:pStyle w:val="2"/>
        <w:spacing w:line="360" w:lineRule="auto"/>
        <w:ind w:left="479" w:hanging="479" w:hangingChars="199"/>
        <w:rPr>
          <w:rFonts w:hint="eastAsia" w:ascii="宋体" w:hAnsi="宋体" w:eastAsia="宋体" w:cs="宋体"/>
          <w:b/>
        </w:rPr>
      </w:pPr>
      <w:r>
        <w:rPr>
          <w:rFonts w:hint="eastAsia" w:ascii="宋体" w:hAnsi="宋体" w:eastAsia="宋体" w:cs="宋体"/>
          <w:b/>
        </w:rPr>
        <w:t xml:space="preserve">24. </w:t>
      </w:r>
      <w:r>
        <w:rPr>
          <w:rFonts w:hint="eastAsia" w:ascii="宋体" w:hAnsi="宋体" w:eastAsia="宋体" w:cs="宋体"/>
        </w:rPr>
        <w:t>合同主要条款详见第五部分拟签订的合同文本。</w:t>
      </w:r>
    </w:p>
    <w:p>
      <w:pPr>
        <w:pStyle w:val="2"/>
        <w:spacing w:line="360" w:lineRule="auto"/>
        <w:ind w:left="479" w:hanging="479" w:hangingChars="199"/>
        <w:rPr>
          <w:rFonts w:hint="eastAsia" w:ascii="宋体" w:hAnsi="宋体" w:eastAsia="宋体" w:cs="宋体"/>
          <w:b/>
        </w:rPr>
      </w:pPr>
      <w:r>
        <w:rPr>
          <w:rFonts w:hint="eastAsia" w:ascii="宋体" w:hAnsi="宋体" w:eastAsia="宋体" w:cs="宋体"/>
          <w:b/>
        </w:rPr>
        <w:t>25. 合同的签订</w:t>
      </w:r>
    </w:p>
    <w:p>
      <w:pPr>
        <w:widowControl/>
        <w:shd w:val="clear" w:color="auto" w:fill="FFFFFF"/>
        <w:spacing w:line="360" w:lineRule="auto"/>
        <w:ind w:firstLine="480"/>
        <w:jc w:val="left"/>
        <w:rPr>
          <w:rFonts w:hint="eastAsia" w:ascii="宋体" w:hAnsi="宋体" w:eastAsia="宋体" w:cs="宋体"/>
          <w:kern w:val="0"/>
          <w:sz w:val="24"/>
        </w:rPr>
      </w:pPr>
      <w:r>
        <w:rPr>
          <w:rFonts w:hint="eastAsia" w:ascii="宋体" w:hAnsi="宋体" w:eastAsia="宋体" w:cs="宋体"/>
          <w:sz w:val="24"/>
        </w:rPr>
        <w:t>25.1</w:t>
      </w:r>
      <w:r>
        <w:rPr>
          <w:rFonts w:hint="eastAsia" w:ascii="宋体" w:hAnsi="宋体" w:eastAsia="宋体" w:cs="宋体"/>
          <w:kern w:val="0"/>
          <w:sz w:val="24"/>
        </w:rPr>
        <w:t xml:space="preserve"> 采购人与中标人应当通过电子交易平台在中标通知书发出之日起三十日内，按照招标文件确定的事项签订政府采购合同，并在合同签订之日起2个工作日内依法发布合同公告。</w:t>
      </w:r>
    </w:p>
    <w:p>
      <w:pPr>
        <w:pStyle w:val="128"/>
        <w:snapToGrid w:val="0"/>
        <w:spacing w:before="0"/>
        <w:ind w:firstLine="480"/>
        <w:rPr>
          <w:rFonts w:hint="eastAsia" w:ascii="宋体" w:hAnsi="宋体" w:eastAsia="宋体" w:cs="宋体"/>
          <w:kern w:val="0"/>
        </w:rPr>
      </w:pPr>
      <w:r>
        <w:rPr>
          <w:rFonts w:hint="eastAsia" w:ascii="宋体" w:hAnsi="宋体" w:eastAsia="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hint="eastAsia" w:ascii="宋体" w:hAnsi="宋体" w:eastAsia="宋体" w:cs="宋体"/>
        </w:rPr>
      </w:pPr>
      <w:r>
        <w:rPr>
          <w:rFonts w:hint="eastAsia" w:ascii="宋体" w:hAnsi="宋体" w:eastAsia="宋体" w:cs="宋体"/>
        </w:rPr>
        <w:t>25.3如签订合同并生效后，供应商无故拒绝或延期，除按照合同条款处理外，列入不良行为记录一次，并给予通报。</w:t>
      </w:r>
    </w:p>
    <w:p>
      <w:pPr>
        <w:pStyle w:val="128"/>
        <w:snapToGrid w:val="0"/>
        <w:spacing w:before="0"/>
        <w:ind w:firstLine="480"/>
        <w:rPr>
          <w:rFonts w:hint="eastAsia" w:ascii="宋体" w:hAnsi="宋体" w:eastAsia="宋体" w:cs="宋体"/>
        </w:rPr>
      </w:pPr>
      <w:r>
        <w:rPr>
          <w:rFonts w:hint="eastAsia" w:ascii="宋体" w:hAnsi="宋体" w:eastAsia="宋体" w:cs="宋体"/>
        </w:rPr>
        <w:t>25.4中标供应商拒绝与采购人签订合同的，采购人可以按照评审报告推荐的中标或者成交候选人名单排序，确定下一候选人为中标供应商，也可以重新开展政府采购活动。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hint="eastAsia" w:ascii="宋体" w:hAnsi="宋体" w:eastAsia="宋体" w:cs="宋体"/>
        </w:rPr>
      </w:pPr>
      <w:r>
        <w:rPr>
          <w:rFonts w:hint="eastAsia" w:ascii="宋体" w:hAnsi="宋体" w:eastAsia="宋体" w:cs="宋体"/>
        </w:rPr>
        <w:t>25.5采购合同由采购人与中标供应商根据招标文件、投标文件等内容通过政府采购电子交易平台在线签订，自动备案。</w:t>
      </w:r>
    </w:p>
    <w:p>
      <w:pPr>
        <w:pStyle w:val="2"/>
        <w:spacing w:line="360" w:lineRule="auto"/>
        <w:ind w:left="479" w:hanging="479" w:hangingChars="199"/>
        <w:rPr>
          <w:rFonts w:hint="eastAsia" w:ascii="宋体" w:hAnsi="宋体" w:eastAsia="宋体" w:cs="宋体"/>
          <w:b/>
        </w:rPr>
      </w:pPr>
      <w:r>
        <w:rPr>
          <w:rFonts w:hint="eastAsia" w:ascii="宋体" w:hAnsi="宋体" w:eastAsia="宋体" w:cs="宋体"/>
          <w:b/>
        </w:rPr>
        <w:t>26. 履约保证金</w:t>
      </w:r>
    </w:p>
    <w:p>
      <w:pPr>
        <w:tabs>
          <w:tab w:val="left" w:pos="0"/>
        </w:tabs>
        <w:spacing w:line="360" w:lineRule="auto"/>
        <w:ind w:firstLine="482"/>
        <w:rPr>
          <w:rFonts w:hint="eastAsia" w:ascii="宋体" w:hAnsi="宋体" w:eastAsia="宋体" w:cs="宋体"/>
          <w:b/>
          <w:sz w:val="24"/>
        </w:rPr>
      </w:pPr>
      <w:r>
        <w:rPr>
          <w:rFonts w:hint="eastAsia" w:ascii="宋体" w:hAnsi="宋体" w:eastAsia="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eastAsia="宋体" w:cs="宋体"/>
          <w:sz w:val="24"/>
        </w:rPr>
        <w:t>。履约保证金的数额不得超过政府采购合同金额的</w:t>
      </w:r>
      <w:r>
        <w:rPr>
          <w:rFonts w:hint="eastAsia" w:ascii="宋体" w:hAnsi="宋体" w:cs="宋体"/>
          <w:sz w:val="24"/>
          <w:lang w:val="en-US" w:eastAsia="zh-CN"/>
        </w:rPr>
        <w:t>2.</w:t>
      </w:r>
      <w:r>
        <w:rPr>
          <w:rFonts w:hint="eastAsia" w:ascii="宋体" w:hAnsi="宋体" w:eastAsia="宋体" w:cs="宋体"/>
          <w:sz w:val="24"/>
        </w:rPr>
        <w:t>5%。鼓励和支持供应商以银行、保险公司出具的保函形式提供履约保证金。</w:t>
      </w:r>
      <w:r>
        <w:rPr>
          <w:rFonts w:hint="eastAsia" w:ascii="宋体" w:hAnsi="宋体" w:eastAsia="宋体" w:cs="宋体"/>
          <w:b/>
          <w:sz w:val="24"/>
        </w:rPr>
        <w:t>采购人不得拒收履约保函。</w:t>
      </w:r>
    </w:p>
    <w:p>
      <w:pPr>
        <w:tabs>
          <w:tab w:val="left" w:pos="0"/>
        </w:tabs>
        <w:spacing w:line="360" w:lineRule="auto"/>
        <w:ind w:firstLine="482"/>
        <w:rPr>
          <w:rFonts w:hint="eastAsia" w:ascii="宋体" w:hAnsi="宋体" w:eastAsia="宋体" w:cs="宋体"/>
          <w:sz w:val="24"/>
          <w:szCs w:val="20"/>
        </w:rPr>
      </w:pPr>
      <w:r>
        <w:rPr>
          <w:rFonts w:hint="eastAsia" w:ascii="宋体" w:hAnsi="宋体" w:eastAsia="宋体" w:cs="宋体"/>
          <w:sz w:val="24"/>
          <w:szCs w:val="20"/>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2%；评价总分在90分以下或者暂无评分的，收取履约保证金不得高于合同金额</w:t>
      </w:r>
      <w:r>
        <w:rPr>
          <w:rFonts w:hint="eastAsia" w:ascii="宋体" w:hAnsi="宋体" w:cs="宋体"/>
          <w:sz w:val="24"/>
          <w:szCs w:val="20"/>
          <w:lang w:val="en-US" w:eastAsia="zh-CN"/>
        </w:rPr>
        <w:t>2.</w:t>
      </w:r>
      <w:r>
        <w:rPr>
          <w:rFonts w:hint="eastAsia" w:ascii="宋体" w:hAnsi="宋体" w:eastAsia="宋体" w:cs="宋体"/>
          <w:sz w:val="24"/>
          <w:szCs w:val="20"/>
        </w:rPr>
        <w:t>5%。</w:t>
      </w:r>
    </w:p>
    <w:p>
      <w:pPr>
        <w:pStyle w:val="7"/>
        <w:ind w:left="0" w:firstLine="480" w:firstLineChars="200"/>
        <w:rPr>
          <w:rFonts w:hint="eastAsia" w:ascii="宋体" w:hAnsi="宋体" w:eastAsia="宋体" w:cs="宋体"/>
          <w:lang w:val="en-US"/>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宋体" w:hAnsi="宋体" w:eastAsia="宋体" w:cs="宋体"/>
          <w:b/>
          <w:sz w:val="32"/>
        </w:rPr>
      </w:pPr>
    </w:p>
    <w:p>
      <w:pPr>
        <w:snapToGrid w:val="0"/>
        <w:spacing w:line="360" w:lineRule="auto"/>
        <w:ind w:firstLine="3147" w:firstLineChars="1045"/>
        <w:rPr>
          <w:rFonts w:hint="eastAsia" w:ascii="宋体" w:hAnsi="宋体" w:eastAsia="宋体" w:cs="宋体"/>
          <w:b/>
          <w:sz w:val="30"/>
          <w:szCs w:val="30"/>
        </w:rPr>
      </w:pPr>
      <w:r>
        <w:rPr>
          <w:rFonts w:hint="eastAsia" w:ascii="宋体" w:hAnsi="宋体" w:eastAsia="宋体" w:cs="宋体"/>
          <w:b/>
          <w:sz w:val="30"/>
          <w:szCs w:val="30"/>
        </w:rPr>
        <w:t>八、电子交易活动的中止</w:t>
      </w:r>
    </w:p>
    <w:p>
      <w:pPr>
        <w:pStyle w:val="128"/>
        <w:snapToGrid w:val="0"/>
        <w:spacing w:before="0"/>
        <w:ind w:firstLine="0" w:firstLineChars="0"/>
        <w:rPr>
          <w:rFonts w:hint="eastAsia" w:ascii="宋体" w:hAnsi="宋体" w:eastAsia="宋体" w:cs="宋体"/>
        </w:rPr>
      </w:pPr>
      <w:r>
        <w:rPr>
          <w:rFonts w:hint="eastAsia" w:ascii="宋体" w:hAnsi="宋体" w:eastAsia="宋体" w:cs="宋体"/>
        </w:rPr>
        <w:t>2</w:t>
      </w:r>
      <w:r>
        <w:rPr>
          <w:rFonts w:hint="eastAsia" w:ascii="宋体" w:hAnsi="宋体" w:eastAsia="宋体" w:cs="宋体"/>
          <w:b/>
          <w:szCs w:val="24"/>
        </w:rPr>
        <w:t>7. 电子交易活动的中止。</w:t>
      </w:r>
      <w:r>
        <w:rPr>
          <w:rFonts w:hint="eastAsia" w:ascii="宋体" w:hAnsi="宋体" w:eastAsia="宋体" w:cs="宋体"/>
        </w:rPr>
        <w:t>采购过程中出现以下情形，导致电子交易平台无法正常运行，或者无法保证电子交易的公平、公正和安全时，采购机构可中止电子交易活动：</w:t>
      </w:r>
    </w:p>
    <w:p>
      <w:pPr>
        <w:pStyle w:val="128"/>
        <w:snapToGrid w:val="0"/>
        <w:spacing w:before="0"/>
        <w:ind w:firstLine="480"/>
        <w:rPr>
          <w:rFonts w:hint="eastAsia" w:ascii="宋体" w:hAnsi="宋体" w:eastAsia="宋体" w:cs="宋体"/>
        </w:rPr>
      </w:pPr>
      <w:r>
        <w:rPr>
          <w:rFonts w:hint="eastAsia" w:ascii="宋体" w:hAnsi="宋体" w:eastAsia="宋体" w:cs="宋体"/>
        </w:rPr>
        <w:t xml:space="preserve">27.1电子交易平台发生故障而无法登录访问的； </w:t>
      </w:r>
    </w:p>
    <w:p>
      <w:pPr>
        <w:pStyle w:val="128"/>
        <w:snapToGrid w:val="0"/>
        <w:spacing w:before="0"/>
        <w:ind w:firstLine="480"/>
        <w:rPr>
          <w:rFonts w:hint="eastAsia" w:ascii="宋体" w:hAnsi="宋体" w:eastAsia="宋体" w:cs="宋体"/>
        </w:rPr>
      </w:pPr>
      <w:r>
        <w:rPr>
          <w:rFonts w:hint="eastAsia" w:ascii="宋体" w:hAnsi="宋体" w:eastAsia="宋体" w:cs="宋体"/>
        </w:rPr>
        <w:t>27.2电子交易平台应用或数据库出现错误，不能进行正常操作的；</w:t>
      </w:r>
    </w:p>
    <w:p>
      <w:pPr>
        <w:pStyle w:val="128"/>
        <w:snapToGrid w:val="0"/>
        <w:spacing w:before="0"/>
        <w:ind w:firstLine="480"/>
        <w:rPr>
          <w:rFonts w:hint="eastAsia" w:ascii="宋体" w:hAnsi="宋体" w:eastAsia="宋体" w:cs="宋体"/>
        </w:rPr>
      </w:pPr>
      <w:r>
        <w:rPr>
          <w:rFonts w:hint="eastAsia" w:ascii="宋体" w:hAnsi="宋体" w:eastAsia="宋体" w:cs="宋体"/>
        </w:rPr>
        <w:t>27.3电子交易平台发现严重安全漏洞，有潜在泄密危险的；</w:t>
      </w:r>
    </w:p>
    <w:p>
      <w:pPr>
        <w:pStyle w:val="128"/>
        <w:snapToGrid w:val="0"/>
        <w:spacing w:before="0"/>
        <w:ind w:firstLine="480"/>
        <w:rPr>
          <w:rFonts w:hint="eastAsia" w:ascii="宋体" w:hAnsi="宋体" w:eastAsia="宋体" w:cs="宋体"/>
        </w:rPr>
      </w:pPr>
      <w:r>
        <w:rPr>
          <w:rFonts w:hint="eastAsia" w:ascii="宋体" w:hAnsi="宋体" w:eastAsia="宋体" w:cs="宋体"/>
        </w:rPr>
        <w:t xml:space="preserve">27.4病毒发作导致不能进行正常操作的； </w:t>
      </w:r>
    </w:p>
    <w:p>
      <w:pPr>
        <w:pStyle w:val="128"/>
        <w:snapToGrid w:val="0"/>
        <w:spacing w:before="0"/>
        <w:ind w:firstLine="480"/>
        <w:rPr>
          <w:rFonts w:hint="eastAsia" w:ascii="宋体" w:hAnsi="宋体" w:eastAsia="宋体" w:cs="宋体"/>
        </w:rPr>
      </w:pPr>
      <w:r>
        <w:rPr>
          <w:rFonts w:hint="eastAsia" w:ascii="宋体" w:hAnsi="宋体" w:eastAsia="宋体" w:cs="宋体"/>
        </w:rPr>
        <w:t>27.5其他无法保证电子交易的公平、公正和安全的情况。</w:t>
      </w:r>
    </w:p>
    <w:p>
      <w:pPr>
        <w:pStyle w:val="128"/>
        <w:snapToGrid w:val="0"/>
        <w:spacing w:before="0"/>
        <w:ind w:firstLine="0" w:firstLineChars="0"/>
        <w:rPr>
          <w:rFonts w:hint="eastAsia" w:ascii="宋体" w:hAnsi="宋体" w:eastAsia="宋体" w:cs="宋体"/>
        </w:rPr>
      </w:pPr>
      <w:r>
        <w:rPr>
          <w:rFonts w:hint="eastAsia" w:ascii="宋体" w:hAnsi="宋体" w:eastAsia="宋体" w:cs="宋体"/>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宋体" w:hAnsi="宋体" w:eastAsia="宋体" w:cs="宋体"/>
          <w:sz w:val="24"/>
        </w:rPr>
      </w:pPr>
    </w:p>
    <w:p>
      <w:pPr>
        <w:snapToGrid w:val="0"/>
        <w:spacing w:line="360" w:lineRule="auto"/>
        <w:ind w:left="120" w:leftChars="57" w:firstLine="452" w:firstLineChars="150"/>
        <w:jc w:val="center"/>
        <w:rPr>
          <w:rFonts w:hint="eastAsia" w:ascii="宋体" w:hAnsi="宋体" w:eastAsia="宋体" w:cs="宋体"/>
          <w:b/>
          <w:sz w:val="30"/>
          <w:szCs w:val="30"/>
        </w:rPr>
      </w:pPr>
      <w:r>
        <w:rPr>
          <w:rFonts w:hint="eastAsia" w:ascii="宋体" w:hAnsi="宋体" w:eastAsia="宋体" w:cs="宋体"/>
          <w:b/>
          <w:sz w:val="30"/>
          <w:szCs w:val="30"/>
        </w:rPr>
        <w:t>九、验收</w:t>
      </w:r>
    </w:p>
    <w:p>
      <w:pPr>
        <w:pStyle w:val="2"/>
        <w:spacing w:line="360" w:lineRule="auto"/>
        <w:ind w:firstLine="0" w:firstLineChars="0"/>
        <w:rPr>
          <w:rFonts w:hint="eastAsia" w:ascii="宋体" w:hAnsi="宋体" w:eastAsia="宋体" w:cs="宋体"/>
          <w:b/>
        </w:rPr>
      </w:pPr>
      <w:r>
        <w:rPr>
          <w:rFonts w:hint="eastAsia" w:ascii="宋体" w:hAnsi="宋体" w:eastAsia="宋体" w:cs="宋体"/>
          <w:b/>
        </w:rPr>
        <w:t>29.验收</w:t>
      </w:r>
    </w:p>
    <w:p>
      <w:pPr>
        <w:tabs>
          <w:tab w:val="left" w:pos="0"/>
        </w:tabs>
        <w:spacing w:line="360" w:lineRule="auto"/>
        <w:ind w:firstLine="480"/>
        <w:rPr>
          <w:rFonts w:hint="eastAsia" w:ascii="宋体" w:hAnsi="宋体" w:eastAsia="宋体" w:cs="宋体"/>
          <w:kern w:val="0"/>
          <w:sz w:val="24"/>
        </w:rPr>
      </w:pPr>
      <w:r>
        <w:rPr>
          <w:rFonts w:hint="eastAsia" w:ascii="宋体" w:hAnsi="宋体" w:eastAsia="宋体" w:cs="宋体"/>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宋体" w:hAnsi="宋体" w:eastAsia="宋体" w:cs="宋体"/>
          <w:kern w:val="0"/>
          <w:sz w:val="24"/>
        </w:rPr>
      </w:pPr>
      <w:r>
        <w:rPr>
          <w:rFonts w:hint="eastAsia" w:ascii="宋体" w:hAnsi="宋体" w:eastAsia="宋体" w:cs="宋体"/>
          <w:kern w:val="0"/>
          <w:sz w:val="24"/>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宋体" w:hAnsi="宋体" w:eastAsia="宋体" w:cs="宋体"/>
          <w:kern w:val="0"/>
          <w:sz w:val="24"/>
        </w:rPr>
      </w:pPr>
      <w:r>
        <w:rPr>
          <w:rFonts w:hint="eastAsia" w:ascii="宋体" w:hAnsi="宋体" w:eastAsia="宋体" w:cs="宋体"/>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宋体" w:hAnsi="宋体" w:eastAsia="宋体" w:cs="宋体"/>
          <w:sz w:val="18"/>
          <w:szCs w:val="18"/>
        </w:rPr>
      </w:pPr>
      <w:r>
        <w:rPr>
          <w:rFonts w:hint="eastAsia" w:ascii="宋体" w:hAnsi="宋体" w:eastAsia="宋体" w:cs="宋体"/>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hint="eastAsia" w:ascii="宋体" w:hAnsi="宋体" w:eastAsia="宋体" w:cs="宋体"/>
          <w:kern w:val="0"/>
          <w:sz w:val="24"/>
        </w:rPr>
        <w:sectPr>
          <w:headerReference r:id="rId4" w:type="first"/>
          <w:footerReference r:id="rId7" w:type="first"/>
          <w:headerReference r:id="rId3" w:type="default"/>
          <w:footerReference r:id="rId5" w:type="default"/>
          <w:footerReference r:id="rId6" w:type="even"/>
          <w:pgSz w:w="11906" w:h="16838"/>
          <w:pgMar w:top="1077" w:right="1020" w:bottom="1077" w:left="1020" w:header="851" w:footer="992" w:gutter="0"/>
          <w:cols w:space="720" w:num="1"/>
          <w:titlePg/>
          <w:docGrid w:linePitch="312" w:charSpace="0"/>
        </w:sectPr>
      </w:pPr>
      <w:bookmarkStart w:id="14" w:name="_Hlt74729768"/>
      <w:bookmarkEnd w:id="14"/>
      <w:bookmarkStart w:id="15" w:name="_Hlt75236101"/>
      <w:bookmarkEnd w:id="15"/>
      <w:bookmarkStart w:id="16" w:name="_Hlt75236011"/>
      <w:bookmarkEnd w:id="16"/>
      <w:bookmarkStart w:id="17" w:name="_Hlt74707468"/>
      <w:bookmarkEnd w:id="17"/>
      <w:bookmarkStart w:id="18" w:name="_Hlt68072990"/>
      <w:bookmarkEnd w:id="18"/>
      <w:bookmarkStart w:id="19" w:name="_Hlt74730295"/>
      <w:bookmarkEnd w:id="19"/>
      <w:bookmarkStart w:id="20" w:name="_Hlt68073093"/>
      <w:bookmarkEnd w:id="20"/>
      <w:bookmarkStart w:id="21" w:name="_Hlt68403820"/>
      <w:bookmarkEnd w:id="21"/>
      <w:bookmarkStart w:id="22" w:name="_Hlt68072998"/>
      <w:bookmarkEnd w:id="22"/>
      <w:bookmarkStart w:id="23" w:name="_Hlt75236290"/>
      <w:bookmarkEnd w:id="23"/>
      <w:bookmarkStart w:id="24" w:name="_Hlt74714665"/>
      <w:bookmarkEnd w:id="24"/>
      <w:bookmarkStart w:id="25" w:name="_Hlt68057669"/>
      <w:bookmarkEnd w:id="25"/>
    </w:p>
    <w:bookmarkEnd w:id="11"/>
    <w:bookmarkEnd w:id="12"/>
    <w:p>
      <w:pPr>
        <w:spacing w:line="360" w:lineRule="auto"/>
        <w:jc w:val="center"/>
        <w:outlineLvl w:val="0"/>
        <w:rPr>
          <w:rFonts w:hint="eastAsia" w:ascii="宋体" w:hAnsi="宋体" w:eastAsia="宋体" w:cs="宋体"/>
          <w:b/>
          <w:sz w:val="36"/>
          <w:szCs w:val="36"/>
        </w:rPr>
      </w:pPr>
      <w:bookmarkStart w:id="26" w:name="第四部分"/>
      <w:r>
        <w:rPr>
          <w:rFonts w:hint="eastAsia" w:ascii="宋体" w:hAnsi="宋体" w:eastAsia="宋体" w:cs="宋体"/>
          <w:b/>
          <w:sz w:val="36"/>
          <w:szCs w:val="36"/>
        </w:rPr>
        <w:t>第三部分   采购需求</w:t>
      </w:r>
    </w:p>
    <w:p>
      <w:pPr>
        <w:jc w:val="center"/>
        <w:rPr>
          <w:rFonts w:hint="eastAsia" w:ascii="宋体" w:hAnsi="宋体" w:eastAsia="宋体" w:cs="宋体"/>
          <w:b/>
          <w:sz w:val="36"/>
          <w:szCs w:val="36"/>
        </w:rPr>
      </w:pPr>
      <w:r>
        <w:rPr>
          <w:rFonts w:hint="eastAsia" w:ascii="宋体" w:hAnsi="宋体" w:eastAsia="宋体" w:cs="宋体"/>
          <w:b/>
          <w:sz w:val="36"/>
          <w:szCs w:val="36"/>
        </w:rPr>
        <w:t>采购需求</w:t>
      </w:r>
    </w:p>
    <w:p>
      <w:pPr>
        <w:spacing w:line="500" w:lineRule="exact"/>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1、项目概述</w:t>
      </w:r>
    </w:p>
    <w:p>
      <w:pPr>
        <w:spacing w:line="500" w:lineRule="exact"/>
        <w:ind w:firstLine="482" w:firstLineChars="200"/>
        <w:rPr>
          <w:rFonts w:hint="eastAsia" w:ascii="宋体" w:hAnsi="宋体" w:eastAsia="宋体" w:cs="宋体"/>
          <w:bCs/>
          <w:color w:val="auto"/>
          <w:sz w:val="24"/>
          <w:highlight w:val="none"/>
          <w:lang w:eastAsia="zh-CN"/>
        </w:rPr>
      </w:pPr>
      <w:r>
        <w:rPr>
          <w:rFonts w:hint="eastAsia" w:ascii="宋体" w:hAnsi="宋体" w:eastAsia="宋体" w:cs="宋体"/>
          <w:b/>
          <w:bCs/>
          <w:color w:val="auto"/>
          <w:sz w:val="24"/>
          <w:highlight w:val="none"/>
        </w:rPr>
        <w:t>（1）项目名称：</w:t>
      </w:r>
      <w:r>
        <w:rPr>
          <w:rFonts w:hint="eastAsia" w:ascii="宋体" w:hAnsi="宋体" w:eastAsia="宋体" w:cs="宋体"/>
          <w:bCs/>
          <w:color w:val="auto"/>
          <w:sz w:val="24"/>
          <w:highlight w:val="none"/>
          <w:lang w:eastAsia="zh-CN"/>
        </w:rPr>
        <w:t>龙岗污水处理厂提标改造工程——设备工程</w:t>
      </w:r>
    </w:p>
    <w:p>
      <w:pPr>
        <w:spacing w:line="500" w:lineRule="exact"/>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（2）项目概况：</w:t>
      </w:r>
    </w:p>
    <w:p>
      <w:pPr>
        <w:spacing w:line="500" w:lineRule="exact"/>
        <w:ind w:firstLine="480" w:firstLineChars="200"/>
        <w:rPr>
          <w:rFonts w:hint="eastAsia" w:ascii="宋体" w:hAnsi="宋体" w:eastAsia="宋体" w:cs="宋体"/>
          <w:b w:val="0"/>
          <w:bCs/>
          <w:color w:val="auto"/>
          <w:sz w:val="24"/>
          <w:highlight w:val="none"/>
          <w:lang w:eastAsia="zh-CN"/>
        </w:rPr>
      </w:pPr>
      <w:r>
        <w:rPr>
          <w:rFonts w:hint="eastAsia" w:ascii="宋体" w:hAnsi="宋体" w:eastAsia="宋体" w:cs="宋体"/>
          <w:b w:val="0"/>
          <w:bCs/>
          <w:color w:val="auto"/>
          <w:sz w:val="24"/>
          <w:highlight w:val="none"/>
          <w:lang w:eastAsia="zh-CN"/>
        </w:rPr>
        <w:t>龙岗污水处理厂提标改造工程——设备工程位于临安区龙岗镇兴龙村，本工程主要工程内容是对原有池体、设备或管材进行更换或维护，新增和原有建构筑物的配套设备、电气、自控安装工程；项目地理位置、建设条件、施工环境条件等情况详见工程量清单及图纸，并自行踏勘现场。</w:t>
      </w:r>
    </w:p>
    <w:p>
      <w:pPr>
        <w:spacing w:line="500" w:lineRule="exact"/>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2、招标范围</w:t>
      </w:r>
    </w:p>
    <w:p>
      <w:pPr>
        <w:spacing w:line="500" w:lineRule="exact"/>
        <w:ind w:firstLine="480" w:firstLineChars="200"/>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rPr>
        <w:t>本次招标范围包括浙江省工业环保设计研究院有限公司设计的《龙岗污水处理厂提标改造工程》（2021.12.6）施工图设计范围。</w:t>
      </w:r>
    </w:p>
    <w:p>
      <w:pPr>
        <w:spacing w:line="460" w:lineRule="exact"/>
        <w:ind w:firstLine="482" w:firstLineChars="200"/>
        <w:rPr>
          <w:rFonts w:hint="eastAsia" w:ascii="宋体" w:hAnsi="宋体" w:eastAsia="宋体" w:cs="宋体"/>
          <w:b/>
          <w:color w:val="auto"/>
          <w:sz w:val="24"/>
          <w:highlight w:val="none"/>
        </w:rPr>
      </w:pPr>
      <w:r>
        <w:rPr>
          <w:rFonts w:hint="eastAsia" w:ascii="宋体" w:hAnsi="宋体" w:cs="宋体"/>
          <w:b/>
          <w:color w:val="auto"/>
          <w:sz w:val="24"/>
          <w:highlight w:val="none"/>
          <w:lang w:val="en-US" w:eastAsia="zh-CN"/>
        </w:rPr>
        <w:t>3</w:t>
      </w:r>
      <w:r>
        <w:rPr>
          <w:rFonts w:hint="eastAsia" w:ascii="宋体" w:hAnsi="宋体" w:eastAsia="宋体" w:cs="宋体"/>
          <w:b/>
          <w:color w:val="auto"/>
          <w:sz w:val="24"/>
          <w:highlight w:val="none"/>
        </w:rPr>
        <w:t>、其他</w:t>
      </w:r>
    </w:p>
    <w:p>
      <w:pPr>
        <w:spacing w:line="460" w:lineRule="exact"/>
        <w:ind w:firstLine="480" w:firstLineChars="200"/>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rPr>
        <w:t>.1、成交人需根据采购人、相关部门的评审意见修改、补充和完善方案，确保本项目方案通过相关审查。</w:t>
      </w:r>
    </w:p>
    <w:p>
      <w:pPr>
        <w:spacing w:line="460" w:lineRule="exact"/>
        <w:ind w:firstLine="480" w:firstLineChars="200"/>
        <w:rPr>
          <w:rFonts w:hint="eastAsia" w:ascii="宋体" w:hAnsi="宋体" w:eastAsia="宋体" w:cs="宋体"/>
          <w:bCs/>
          <w:color w:val="auto"/>
          <w:sz w:val="24"/>
          <w:highlight w:val="none"/>
        </w:rPr>
      </w:pPr>
      <w:r>
        <w:rPr>
          <w:rFonts w:hint="eastAsia" w:ascii="宋体" w:hAnsi="宋体" w:cs="宋体"/>
          <w:bCs/>
          <w:color w:val="auto"/>
          <w:sz w:val="24"/>
          <w:highlight w:val="none"/>
          <w:lang w:val="en-US" w:eastAsia="zh-CN"/>
        </w:rPr>
        <w:t>3</w:t>
      </w:r>
      <w:r>
        <w:rPr>
          <w:rFonts w:hint="eastAsia" w:ascii="宋体" w:hAnsi="宋体" w:eastAsia="宋体" w:cs="宋体"/>
          <w:bCs/>
          <w:color w:val="auto"/>
          <w:sz w:val="24"/>
          <w:highlight w:val="none"/>
        </w:rPr>
        <w:t>.2、</w:t>
      </w:r>
      <w:r>
        <w:rPr>
          <w:rFonts w:hint="eastAsia" w:ascii="宋体" w:hAnsi="宋体" w:eastAsia="宋体" w:cs="宋体"/>
          <w:color w:val="auto"/>
          <w:sz w:val="24"/>
          <w:highlight w:val="none"/>
        </w:rPr>
        <w:t>未经采购人同意，成交人不得私自将本项目转</w:t>
      </w:r>
      <w:r>
        <w:rPr>
          <w:rFonts w:hint="eastAsia" w:ascii="宋体" w:hAnsi="宋体" w:eastAsia="宋体" w:cs="宋体"/>
          <w:color w:val="auto"/>
          <w:sz w:val="24"/>
          <w:highlight w:val="none"/>
          <w:lang w:val="en-US" w:eastAsia="zh-CN"/>
        </w:rPr>
        <w:t>包</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分包</w:t>
      </w:r>
      <w:r>
        <w:rPr>
          <w:rFonts w:hint="eastAsia" w:ascii="宋体" w:hAnsi="宋体" w:eastAsia="宋体" w:cs="宋体"/>
          <w:color w:val="auto"/>
          <w:sz w:val="24"/>
          <w:highlight w:val="none"/>
        </w:rPr>
        <w:t>给第三方，否则将作违约处理，采购人有权撤销合同</w:t>
      </w:r>
      <w:r>
        <w:rPr>
          <w:rFonts w:hint="eastAsia" w:ascii="宋体" w:hAnsi="宋体" w:eastAsia="宋体" w:cs="宋体"/>
          <w:bCs/>
          <w:color w:val="auto"/>
          <w:sz w:val="24"/>
          <w:highlight w:val="none"/>
        </w:rPr>
        <w:t>拒付货款，且成交人还要承担给采购人造成的损失。</w:t>
      </w:r>
    </w:p>
    <w:p>
      <w:pPr>
        <w:spacing w:line="460" w:lineRule="exact"/>
        <w:ind w:firstLine="480" w:firstLineChars="200"/>
        <w:rPr>
          <w:rFonts w:hint="eastAsia" w:ascii="宋体" w:hAnsi="宋体" w:eastAsia="宋体" w:cs="宋体"/>
          <w:bCs/>
          <w:color w:val="auto"/>
          <w:sz w:val="24"/>
          <w:highlight w:val="none"/>
        </w:rPr>
      </w:pPr>
      <w:r>
        <w:rPr>
          <w:rFonts w:hint="eastAsia" w:ascii="宋体" w:hAnsi="宋体" w:cs="宋体"/>
          <w:bCs/>
          <w:color w:val="auto"/>
          <w:sz w:val="24"/>
          <w:highlight w:val="none"/>
          <w:lang w:val="en-US" w:eastAsia="zh-CN"/>
        </w:rPr>
        <w:t>3</w:t>
      </w:r>
      <w:r>
        <w:rPr>
          <w:rFonts w:hint="eastAsia" w:ascii="宋体" w:hAnsi="宋体" w:eastAsia="宋体" w:cs="宋体"/>
          <w:bCs/>
          <w:color w:val="auto"/>
          <w:sz w:val="24"/>
          <w:highlight w:val="none"/>
        </w:rPr>
        <w:t>.3、违反报价规定及在评审过程中违法违纪或以任何形式采取不正当竞争手段的一经查实，取消本次报价资格，已经成交的终止委托合同，一切后果由责任者自负。</w:t>
      </w:r>
    </w:p>
    <w:p>
      <w:pPr>
        <w:widowControl/>
        <w:spacing w:line="460" w:lineRule="exact"/>
        <w:ind w:firstLine="482"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b/>
          <w:color w:val="auto"/>
          <w:kern w:val="0"/>
          <w:sz w:val="24"/>
          <w:highlight w:val="none"/>
        </w:rPr>
        <w:t>本项目</w:t>
      </w:r>
      <w:r>
        <w:rPr>
          <w:rFonts w:hint="eastAsia" w:ascii="宋体" w:hAnsi="宋体" w:cs="宋体"/>
          <w:b/>
          <w:color w:val="auto"/>
          <w:kern w:val="0"/>
          <w:sz w:val="24"/>
          <w:highlight w:val="none"/>
          <w:lang w:eastAsia="zh-CN"/>
        </w:rPr>
        <w:t>投标</w:t>
      </w:r>
      <w:r>
        <w:rPr>
          <w:rFonts w:hint="eastAsia" w:ascii="宋体" w:hAnsi="宋体" w:eastAsia="宋体" w:cs="宋体"/>
          <w:b/>
          <w:color w:val="auto"/>
          <w:kern w:val="0"/>
          <w:sz w:val="24"/>
          <w:highlight w:val="none"/>
          <w:lang w:val="en-US" w:eastAsia="zh-CN"/>
        </w:rPr>
        <w:t>人</w:t>
      </w:r>
      <w:r>
        <w:rPr>
          <w:rFonts w:hint="eastAsia" w:ascii="宋体" w:hAnsi="宋体" w:eastAsia="宋体" w:cs="宋体"/>
          <w:b/>
          <w:color w:val="auto"/>
          <w:kern w:val="0"/>
          <w:sz w:val="24"/>
          <w:highlight w:val="none"/>
        </w:rPr>
        <w:t>具备的专业技术人员至少需：</w:t>
      </w:r>
      <w:r>
        <w:rPr>
          <w:rFonts w:hint="eastAsia" w:ascii="宋体" w:hAnsi="宋体" w:eastAsia="宋体" w:cs="宋体"/>
          <w:b/>
          <w:color w:val="auto"/>
          <w:kern w:val="0"/>
          <w:sz w:val="24"/>
          <w:highlight w:val="none"/>
          <w:lang w:val="en-US" w:eastAsia="zh-CN"/>
        </w:rPr>
        <w:t>项目负责人1人，</w:t>
      </w:r>
      <w:r>
        <w:rPr>
          <w:rFonts w:hint="eastAsia" w:ascii="宋体" w:hAnsi="宋体" w:eastAsia="宋体" w:cs="宋体"/>
          <w:b/>
          <w:color w:val="auto"/>
          <w:kern w:val="0"/>
          <w:sz w:val="24"/>
          <w:highlight w:val="none"/>
        </w:rPr>
        <w:t>技术负责人1人，安全员不少于1人，施工员不少于</w:t>
      </w:r>
      <w:r>
        <w:rPr>
          <w:rFonts w:hint="eastAsia" w:ascii="宋体" w:hAnsi="宋体" w:eastAsia="宋体" w:cs="宋体"/>
          <w:b/>
          <w:color w:val="auto"/>
          <w:kern w:val="0"/>
          <w:sz w:val="24"/>
          <w:highlight w:val="none"/>
          <w:lang w:val="en-US" w:eastAsia="zh-CN"/>
        </w:rPr>
        <w:t>1</w:t>
      </w:r>
      <w:r>
        <w:rPr>
          <w:rFonts w:hint="eastAsia" w:ascii="宋体" w:hAnsi="宋体" w:eastAsia="宋体" w:cs="宋体"/>
          <w:b/>
          <w:color w:val="auto"/>
          <w:kern w:val="0"/>
          <w:sz w:val="24"/>
          <w:highlight w:val="none"/>
        </w:rPr>
        <w:t>人，质量员不少于</w:t>
      </w:r>
      <w:r>
        <w:rPr>
          <w:rFonts w:hint="eastAsia" w:ascii="宋体" w:hAnsi="宋体" w:eastAsia="宋体" w:cs="宋体"/>
          <w:b/>
          <w:color w:val="auto"/>
          <w:kern w:val="0"/>
          <w:sz w:val="24"/>
          <w:highlight w:val="none"/>
          <w:lang w:val="en-US" w:eastAsia="zh-CN"/>
        </w:rPr>
        <w:t>1</w:t>
      </w:r>
      <w:r>
        <w:rPr>
          <w:rFonts w:hint="eastAsia" w:ascii="宋体" w:hAnsi="宋体" w:eastAsia="宋体" w:cs="宋体"/>
          <w:b/>
          <w:color w:val="auto"/>
          <w:kern w:val="0"/>
          <w:sz w:val="24"/>
          <w:highlight w:val="none"/>
        </w:rPr>
        <w:t>人、材料员不少于1人、资料员不少于1人。</w:t>
      </w:r>
    </w:p>
    <w:p>
      <w:pPr>
        <w:keepNext w:val="0"/>
        <w:keepLines w:val="0"/>
        <w:pageBreakBefore w:val="0"/>
        <w:widowControl w:val="0"/>
        <w:kinsoku/>
        <w:wordWrap/>
        <w:overflowPunct/>
        <w:topLinePunct w:val="0"/>
        <w:autoSpaceDE/>
        <w:autoSpaceDN/>
        <w:bidi w:val="0"/>
        <w:adjustRightInd/>
        <w:spacing w:beforeAutospacing="0" w:afterAutospacing="0" w:line="440" w:lineRule="exact"/>
        <w:ind w:firstLine="48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4</w:t>
      </w:r>
      <w:r>
        <w:rPr>
          <w:rFonts w:hint="eastAsia" w:ascii="宋体" w:hAnsi="宋体" w:eastAsia="宋体" w:cs="宋体"/>
          <w:b/>
          <w:bCs/>
          <w:color w:val="auto"/>
          <w:sz w:val="24"/>
          <w:szCs w:val="24"/>
          <w:highlight w:val="none"/>
          <w:lang w:val="en-US" w:eastAsia="zh-CN"/>
        </w:rPr>
        <w:t>、</w:t>
      </w:r>
      <w:r>
        <w:rPr>
          <w:rFonts w:hint="eastAsia" w:ascii="宋体" w:hAnsi="宋体" w:cs="宋体"/>
          <w:b/>
          <w:bCs/>
          <w:color w:val="auto"/>
          <w:sz w:val="24"/>
          <w:szCs w:val="24"/>
          <w:highlight w:val="none"/>
          <w:lang w:val="en-US" w:eastAsia="zh-CN"/>
        </w:rPr>
        <w:t>本工程最低质保期遵照保修书约定。</w:t>
      </w:r>
    </w:p>
    <w:p>
      <w:pPr>
        <w:keepNext w:val="0"/>
        <w:keepLines w:val="0"/>
        <w:pageBreakBefore w:val="0"/>
        <w:widowControl w:val="0"/>
        <w:kinsoku/>
        <w:wordWrap/>
        <w:overflowPunct/>
        <w:topLinePunct w:val="0"/>
        <w:autoSpaceDE/>
        <w:autoSpaceDN/>
        <w:bidi w:val="0"/>
        <w:adjustRightInd/>
        <w:spacing w:beforeAutospacing="0" w:afterAutospacing="0" w:line="440" w:lineRule="exact"/>
        <w:ind w:firstLine="48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5</w:t>
      </w:r>
      <w:r>
        <w:rPr>
          <w:rFonts w:hint="eastAsia" w:ascii="宋体" w:hAnsi="宋体" w:eastAsia="宋体" w:cs="宋体"/>
          <w:b/>
          <w:bCs/>
          <w:color w:val="auto"/>
          <w:sz w:val="24"/>
          <w:szCs w:val="24"/>
          <w:highlight w:val="none"/>
          <w:lang w:val="en-US" w:eastAsia="zh-CN"/>
        </w:rPr>
        <w:t>、附件：</w:t>
      </w:r>
    </w:p>
    <w:p>
      <w:pPr>
        <w:ind w:firstLine="480" w:firstLineChars="200"/>
        <w:rPr>
          <w:rFonts w:hint="eastAsia" w:ascii="宋体" w:hAnsi="宋体" w:eastAsia="宋体" w:cs="宋体"/>
          <w:snapToGrid w:val="0"/>
          <w:kern w:val="0"/>
          <w:sz w:val="24"/>
        </w:rPr>
      </w:pPr>
      <w:r>
        <w:rPr>
          <w:rFonts w:hint="eastAsia" w:ascii="宋体" w:hAnsi="宋体" w:eastAsia="宋体" w:cs="宋体"/>
          <w:snapToGrid w:val="0"/>
          <w:kern w:val="0"/>
          <w:sz w:val="24"/>
        </w:rPr>
        <w:t>1）、工程量清单编制说明</w:t>
      </w:r>
    </w:p>
    <w:p>
      <w:pPr>
        <w:spacing w:line="440" w:lineRule="exact"/>
        <w:ind w:firstLine="688" w:firstLineChars="246"/>
        <w:jc w:val="center"/>
        <w:rPr>
          <w:rFonts w:hint="eastAsia" w:ascii="宋体" w:hAnsi="宋体" w:eastAsia="宋体" w:cs="宋体"/>
          <w:snapToGrid w:val="0"/>
          <w:kern w:val="0"/>
          <w:sz w:val="28"/>
          <w:szCs w:val="28"/>
        </w:rPr>
      </w:pPr>
    </w:p>
    <w:p>
      <w:pPr>
        <w:spacing w:line="440" w:lineRule="exact"/>
        <w:ind w:firstLine="688" w:firstLineChars="246"/>
        <w:jc w:val="center"/>
        <w:rPr>
          <w:rFonts w:hint="eastAsia" w:ascii="宋体" w:hAnsi="宋体" w:eastAsia="宋体" w:cs="宋体"/>
          <w:snapToGrid w:val="0"/>
          <w:kern w:val="0"/>
          <w:sz w:val="28"/>
          <w:szCs w:val="28"/>
        </w:rPr>
      </w:pPr>
    </w:p>
    <w:p>
      <w:pPr>
        <w:spacing w:line="440" w:lineRule="exact"/>
        <w:ind w:firstLine="688" w:firstLineChars="246"/>
        <w:jc w:val="center"/>
        <w:rPr>
          <w:rFonts w:hint="eastAsia" w:ascii="宋体" w:hAnsi="宋体" w:eastAsia="宋体" w:cs="宋体"/>
          <w:snapToGrid w:val="0"/>
          <w:kern w:val="0"/>
          <w:sz w:val="28"/>
          <w:szCs w:val="28"/>
        </w:rPr>
      </w:pPr>
    </w:p>
    <w:p>
      <w:pPr>
        <w:spacing w:line="440" w:lineRule="exact"/>
        <w:ind w:firstLine="688" w:firstLineChars="246"/>
        <w:jc w:val="center"/>
        <w:rPr>
          <w:rFonts w:hint="eastAsia" w:ascii="宋体" w:hAnsi="宋体" w:eastAsia="宋体" w:cs="宋体"/>
          <w:snapToGrid w:val="0"/>
          <w:kern w:val="0"/>
          <w:sz w:val="28"/>
          <w:szCs w:val="28"/>
        </w:rPr>
      </w:pPr>
    </w:p>
    <w:p>
      <w:pPr>
        <w:spacing w:line="440" w:lineRule="exact"/>
        <w:ind w:firstLine="688" w:firstLineChars="246"/>
        <w:jc w:val="center"/>
        <w:rPr>
          <w:rFonts w:hint="eastAsia" w:ascii="宋体" w:hAnsi="宋体" w:eastAsia="宋体" w:cs="宋体"/>
          <w:snapToGrid w:val="0"/>
          <w:kern w:val="0"/>
          <w:sz w:val="28"/>
          <w:szCs w:val="28"/>
        </w:rPr>
      </w:pPr>
    </w:p>
    <w:p>
      <w:pPr>
        <w:spacing w:line="440" w:lineRule="exact"/>
        <w:ind w:firstLine="688" w:firstLineChars="246"/>
        <w:jc w:val="center"/>
        <w:rPr>
          <w:rFonts w:hint="eastAsia" w:ascii="宋体" w:hAnsi="宋体" w:eastAsia="宋体" w:cs="宋体"/>
          <w:snapToGrid w:val="0"/>
          <w:kern w:val="0"/>
          <w:sz w:val="28"/>
          <w:szCs w:val="28"/>
        </w:rPr>
      </w:pPr>
    </w:p>
    <w:p>
      <w:pPr>
        <w:spacing w:line="440" w:lineRule="exact"/>
        <w:ind w:firstLine="688" w:firstLineChars="246"/>
        <w:jc w:val="center"/>
        <w:rPr>
          <w:rFonts w:hint="eastAsia" w:ascii="宋体" w:hAnsi="宋体" w:eastAsia="宋体" w:cs="宋体"/>
          <w:snapToGrid w:val="0"/>
          <w:kern w:val="0"/>
          <w:sz w:val="28"/>
          <w:szCs w:val="28"/>
        </w:rPr>
      </w:pPr>
    </w:p>
    <w:p>
      <w:pPr>
        <w:spacing w:line="440" w:lineRule="exact"/>
        <w:jc w:val="center"/>
        <w:rPr>
          <w:rFonts w:hint="eastAsia" w:ascii="宋体" w:hAnsi="宋体"/>
          <w:b/>
          <w:bCs/>
          <w:color w:val="auto"/>
          <w:sz w:val="28"/>
          <w:szCs w:val="28"/>
        </w:rPr>
      </w:pPr>
      <w:r>
        <w:rPr>
          <w:rFonts w:hint="eastAsia" w:ascii="宋体" w:hAnsi="宋体" w:eastAsia="宋体" w:cs="宋体"/>
          <w:snapToGrid w:val="0"/>
          <w:kern w:val="0"/>
          <w:sz w:val="28"/>
          <w:szCs w:val="28"/>
        </w:rPr>
        <w:t>工程量清单编制说明</w:t>
      </w:r>
    </w:p>
    <w:p>
      <w:pPr>
        <w:keepNext w:val="0"/>
        <w:keepLines w:val="0"/>
        <w:pageBreakBefore w:val="0"/>
        <w:numPr>
          <w:ilvl w:val="0"/>
          <w:numId w:val="1"/>
        </w:numPr>
        <w:kinsoku/>
        <w:wordWrap/>
        <w:overflowPunct/>
        <w:topLinePunct w:val="0"/>
        <w:autoSpaceDE/>
        <w:autoSpaceDN/>
        <w:bidi w:val="0"/>
        <w:adjustRightInd/>
        <w:snapToGrid/>
        <w:spacing w:line="520" w:lineRule="exact"/>
        <w:ind w:firstLine="600" w:firstLineChars="249"/>
        <w:textAlignment w:val="auto"/>
        <w:rPr>
          <w:rFonts w:hint="eastAsia" w:ascii="宋体" w:hAnsi="宋体" w:cs="宋体"/>
          <w:color w:val="auto"/>
          <w:kern w:val="2"/>
          <w:sz w:val="24"/>
          <w:szCs w:val="24"/>
          <w:lang w:val="en-US" w:eastAsia="zh-CN" w:bidi="ar-SA"/>
        </w:rPr>
      </w:pPr>
      <w:r>
        <w:rPr>
          <w:rFonts w:hint="eastAsia" w:ascii="宋体" w:hAnsi="宋体"/>
          <w:b/>
          <w:bCs/>
          <w:color w:val="auto"/>
          <w:sz w:val="24"/>
          <w:szCs w:val="24"/>
        </w:rPr>
        <w:t>工程概况</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cs="宋体"/>
          <w:b w:val="0"/>
          <w:bCs/>
          <w:sz w:val="24"/>
          <w:szCs w:val="24"/>
          <w:lang w:eastAsia="zh-CN"/>
        </w:rPr>
      </w:pPr>
      <w:r>
        <w:rPr>
          <w:rFonts w:hint="eastAsia" w:ascii="宋体" w:hAnsi="宋体" w:cs="宋体"/>
          <w:b w:val="0"/>
          <w:bCs/>
          <w:sz w:val="24"/>
          <w:szCs w:val="24"/>
          <w:lang w:eastAsia="zh-CN"/>
        </w:rPr>
        <w:t>龙岗污水处理厂提标改造工程——设备工程位于临安区龙岗镇兴龙村，本工程主要工程内容是对原有池体、设备或管材进行更换或维护，新增和原有建构筑物的配套设备、电气、自控安装工程。</w:t>
      </w:r>
    </w:p>
    <w:p>
      <w:pPr>
        <w:keepNext w:val="0"/>
        <w:keepLines w:val="0"/>
        <w:pageBreakBefore w:val="0"/>
        <w:kinsoku/>
        <w:wordWrap/>
        <w:overflowPunct/>
        <w:topLinePunct w:val="0"/>
        <w:autoSpaceDE/>
        <w:autoSpaceDN/>
        <w:bidi w:val="0"/>
        <w:adjustRightInd/>
        <w:snapToGrid/>
        <w:spacing w:line="520" w:lineRule="exact"/>
        <w:ind w:firstLine="482" w:firstLineChars="200"/>
        <w:jc w:val="left"/>
        <w:textAlignment w:val="auto"/>
        <w:rPr>
          <w:rFonts w:hint="eastAsia" w:ascii="宋体" w:hAnsi="宋体" w:cs="宋体"/>
          <w:b/>
          <w:sz w:val="24"/>
          <w:szCs w:val="24"/>
        </w:rPr>
      </w:pPr>
      <w:r>
        <w:rPr>
          <w:rFonts w:hint="eastAsia" w:ascii="宋体" w:hAnsi="宋体" w:cs="宋体"/>
          <w:b/>
          <w:sz w:val="24"/>
          <w:szCs w:val="24"/>
        </w:rPr>
        <w:t>二、编制范围</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浙江省工业环保设计研究院有限公司设计的《龙岗污水处理厂提标改造工程》（2021.12.6）施工图设计范围。</w:t>
      </w:r>
    </w:p>
    <w:p>
      <w:pPr>
        <w:keepNext w:val="0"/>
        <w:keepLines w:val="0"/>
        <w:pageBreakBefore w:val="0"/>
        <w:kinsoku/>
        <w:wordWrap/>
        <w:overflowPunct/>
        <w:topLinePunct w:val="0"/>
        <w:autoSpaceDE/>
        <w:autoSpaceDN/>
        <w:bidi w:val="0"/>
        <w:adjustRightInd/>
        <w:snapToGrid/>
        <w:spacing w:line="520" w:lineRule="exact"/>
        <w:ind w:firstLine="482" w:firstLineChars="200"/>
        <w:jc w:val="left"/>
        <w:textAlignment w:val="auto"/>
        <w:rPr>
          <w:rFonts w:hint="eastAsia" w:ascii="宋体" w:hAnsi="宋体" w:cs="宋体"/>
          <w:color w:val="auto"/>
          <w:sz w:val="24"/>
          <w:szCs w:val="24"/>
          <w:highlight w:val="none"/>
          <w:lang w:val="en-US" w:eastAsia="zh-CN"/>
        </w:rPr>
      </w:pPr>
      <w:r>
        <w:rPr>
          <w:rFonts w:hint="eastAsia" w:ascii="宋体" w:hAnsi="宋体" w:cs="宋体"/>
          <w:b/>
          <w:sz w:val="24"/>
          <w:szCs w:val="24"/>
        </w:rPr>
        <w:t>三、编制依据</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eastAsia="zh-CN"/>
        </w:rPr>
        <w:t>1、根据浙江省工业环保设计研究院有限公司设计的《龙岗污水处理厂提标改造工程》施工图；</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eastAsia="zh-CN"/>
        </w:rPr>
        <w:t>2、《建设工程工程量清单计价规范》（GB50500-2013）、《通用安装工程工程量计算规范》（GB50856-2013）、《市政工程工程量计算规范》（GB50857-2013）、《关于印发建设工程工程量计算规范（2013）浙江省补充规定的通知》（浙建站计﹝2013﹞63号）、《浙江省建设工程工程量清单计价指引》（2013版）、《杭州市建设工程工程量清单计价实施细则》（2018年修订）。</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eastAsia="zh-CN"/>
        </w:rPr>
        <w:t>3、《浙江省通用安装工程预算定额定额》（2018版）、《浙江省市政工程预算定额》（2018版）、《浙江省建设工程施工机械台班费用定额》（2018版）、《浙江省建设工程计价规则》（2018版）。</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eastAsia="zh-CN"/>
        </w:rPr>
        <w:t>4、《关于颁发浙江省建设工程计价依据（2018版）的通知》（浙建建〔2018〕61号）、《关于贯彻执行浙江省建设工程计价依据（2018版）的通知》（杭建市〔2018〕164号）及其他相关文件、解释等。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b w:val="0"/>
          <w:bCs/>
          <w:sz w:val="24"/>
          <w:szCs w:val="24"/>
          <w:lang w:eastAsia="zh-CN"/>
        </w:rPr>
      </w:pPr>
      <w:r>
        <w:rPr>
          <w:rFonts w:hint="eastAsia" w:ascii="宋体" w:hAnsi="宋体" w:eastAsia="宋体" w:cs="宋体"/>
          <w:b w:val="0"/>
          <w:bCs/>
          <w:color w:val="auto"/>
          <w:sz w:val="24"/>
          <w:szCs w:val="24"/>
          <w:lang w:eastAsia="zh-CN"/>
        </w:rPr>
        <w:t>5、《关于增值税调整后我省建设工程计价依据增值税税率及有关计价调整的通知》（浙建建发【2019】92 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b w:val="0"/>
          <w:bCs/>
          <w:sz w:val="24"/>
          <w:szCs w:val="24"/>
          <w:lang w:eastAsia="zh-CN"/>
        </w:rPr>
      </w:pPr>
      <w:r>
        <w:rPr>
          <w:rFonts w:hint="eastAsia" w:ascii="宋体" w:hAnsi="宋体" w:eastAsia="宋体" w:cs="宋体"/>
          <w:b w:val="0"/>
          <w:bCs/>
          <w:sz w:val="24"/>
          <w:szCs w:val="24"/>
          <w:lang w:val="en-US" w:eastAsia="zh-CN"/>
        </w:rPr>
        <w:t>6</w:t>
      </w:r>
      <w:r>
        <w:rPr>
          <w:rFonts w:hint="eastAsia" w:ascii="宋体" w:hAnsi="宋体" w:eastAsia="宋体" w:cs="宋体"/>
          <w:b w:val="0"/>
          <w:bCs/>
          <w:sz w:val="24"/>
          <w:szCs w:val="24"/>
          <w:lang w:eastAsia="zh-CN"/>
        </w:rPr>
        <w:t>、现场施工条件及常规施工方案。</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cs="宋体"/>
          <w:kern w:val="0"/>
          <w:sz w:val="24"/>
          <w:szCs w:val="24"/>
        </w:rPr>
      </w:pPr>
      <w:r>
        <w:rPr>
          <w:rFonts w:hint="eastAsia" w:ascii="宋体" w:hAnsi="宋体" w:eastAsia="宋体" w:cs="宋体"/>
          <w:b w:val="0"/>
          <w:bCs/>
          <w:sz w:val="24"/>
          <w:szCs w:val="24"/>
          <w:lang w:val="en-US" w:eastAsia="zh-CN"/>
        </w:rPr>
        <w:t>7</w:t>
      </w:r>
      <w:r>
        <w:rPr>
          <w:rFonts w:hint="eastAsia" w:ascii="宋体" w:hAnsi="宋体" w:eastAsia="宋体" w:cs="宋体"/>
          <w:b w:val="0"/>
          <w:bCs/>
          <w:sz w:val="24"/>
          <w:szCs w:val="24"/>
          <w:lang w:eastAsia="zh-CN"/>
        </w:rPr>
        <w:t>、本工程施工招标文件。</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482" w:firstLineChars="200"/>
        <w:jc w:val="left"/>
        <w:textAlignment w:val="auto"/>
        <w:rPr>
          <w:rFonts w:hint="eastAsia" w:ascii="宋体" w:hAnsi="宋体" w:cs="宋体"/>
          <w:b/>
          <w:sz w:val="24"/>
          <w:szCs w:val="24"/>
        </w:rPr>
      </w:pPr>
      <w:r>
        <w:rPr>
          <w:rFonts w:hint="eastAsia" w:ascii="宋体" w:hAnsi="宋体" w:cs="宋体"/>
          <w:b/>
          <w:sz w:val="24"/>
          <w:szCs w:val="24"/>
        </w:rPr>
        <w:t xml:space="preserve">四、工程质量、工期、材料、施工等要求详见招标文件。 </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482" w:firstLineChars="200"/>
        <w:jc w:val="left"/>
        <w:textAlignment w:val="auto"/>
        <w:rPr>
          <w:rFonts w:hint="eastAsia" w:ascii="宋体" w:hAnsi="宋体" w:cs="宋体"/>
          <w:b/>
          <w:sz w:val="24"/>
          <w:szCs w:val="24"/>
          <w:highlight w:val="none"/>
          <w:lang w:eastAsia="zh-CN"/>
        </w:rPr>
      </w:pPr>
      <w:r>
        <w:rPr>
          <w:rFonts w:hint="eastAsia" w:ascii="宋体" w:hAnsi="宋体" w:cs="宋体"/>
          <w:b/>
          <w:sz w:val="24"/>
          <w:szCs w:val="24"/>
          <w:highlight w:val="none"/>
          <w:lang w:eastAsia="zh-CN"/>
        </w:rPr>
        <w:t>五、安全文明施工基本费费率、企业管理费费率按《浙江省建设工程计价规则（201</w:t>
      </w:r>
      <w:r>
        <w:rPr>
          <w:rFonts w:hint="eastAsia" w:ascii="宋体" w:hAnsi="宋体" w:cs="宋体"/>
          <w:b/>
          <w:sz w:val="24"/>
          <w:szCs w:val="24"/>
          <w:highlight w:val="none"/>
          <w:lang w:val="en-US" w:eastAsia="zh-CN"/>
        </w:rPr>
        <w:t>8</w:t>
      </w:r>
      <w:r>
        <w:rPr>
          <w:rFonts w:hint="eastAsia" w:ascii="宋体" w:hAnsi="宋体" w:cs="宋体"/>
          <w:b/>
          <w:sz w:val="24"/>
          <w:szCs w:val="24"/>
          <w:highlight w:val="none"/>
          <w:lang w:eastAsia="zh-CN"/>
        </w:rPr>
        <w:t>版）》中的相关规定计取。</w:t>
      </w:r>
      <w:r>
        <w:rPr>
          <w:rFonts w:hint="eastAsia" w:ascii="宋体" w:hAnsi="宋体" w:cs="宋体"/>
          <w:b/>
          <w:color w:val="auto"/>
          <w:sz w:val="24"/>
          <w:szCs w:val="24"/>
          <w:highlight w:val="none"/>
          <w:lang w:eastAsia="zh-CN"/>
        </w:rPr>
        <w:t>安全施工文明基本费具体要求详见招标文件，取费基数为“人工费+机械费”，本工程为非市区工程；</w:t>
      </w:r>
      <w:r>
        <w:rPr>
          <w:rFonts w:hint="eastAsia" w:ascii="宋体" w:hAnsi="宋体" w:cs="宋体"/>
          <w:b/>
          <w:color w:val="auto"/>
          <w:sz w:val="24"/>
          <w:szCs w:val="24"/>
          <w:highlight w:val="none"/>
          <w:lang w:val="en-US" w:eastAsia="zh-CN"/>
        </w:rPr>
        <w:t>设备安装</w:t>
      </w:r>
      <w:r>
        <w:rPr>
          <w:rFonts w:hint="eastAsia" w:ascii="宋体" w:hAnsi="宋体" w:cs="宋体"/>
          <w:b/>
          <w:color w:val="auto"/>
          <w:sz w:val="24"/>
          <w:szCs w:val="24"/>
          <w:highlight w:val="none"/>
          <w:lang w:eastAsia="zh-CN"/>
        </w:rPr>
        <w:t>工程下限费率为</w:t>
      </w:r>
      <w:r>
        <w:rPr>
          <w:rFonts w:hint="eastAsia" w:ascii="宋体" w:hAnsi="宋体" w:cs="宋体"/>
          <w:b/>
          <w:color w:val="auto"/>
          <w:sz w:val="24"/>
          <w:szCs w:val="24"/>
          <w:highlight w:val="none"/>
          <w:lang w:val="en-US" w:eastAsia="zh-CN"/>
        </w:rPr>
        <w:t>8.579%，通用安装</w:t>
      </w:r>
      <w:r>
        <w:rPr>
          <w:rFonts w:hint="eastAsia" w:ascii="宋体" w:hAnsi="宋体" w:cs="宋体"/>
          <w:b/>
          <w:color w:val="auto"/>
          <w:sz w:val="24"/>
          <w:szCs w:val="24"/>
          <w:highlight w:val="none"/>
          <w:lang w:eastAsia="zh-CN"/>
        </w:rPr>
        <w:t>工程下限费率为</w:t>
      </w:r>
      <w:r>
        <w:rPr>
          <w:rFonts w:hint="eastAsia" w:ascii="宋体" w:hAnsi="宋体" w:cs="宋体"/>
          <w:b/>
          <w:color w:val="auto"/>
          <w:sz w:val="24"/>
          <w:szCs w:val="24"/>
          <w:highlight w:val="none"/>
          <w:lang w:val="en-US" w:eastAsia="zh-CN"/>
        </w:rPr>
        <w:t>6.1295%</w:t>
      </w:r>
      <w:r>
        <w:rPr>
          <w:rFonts w:hint="eastAsia" w:ascii="宋体" w:hAnsi="宋体" w:cs="宋体"/>
          <w:b/>
          <w:color w:val="auto"/>
          <w:sz w:val="24"/>
          <w:szCs w:val="24"/>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482" w:firstLineChars="200"/>
        <w:jc w:val="left"/>
        <w:textAlignment w:val="auto"/>
        <w:rPr>
          <w:rFonts w:hint="eastAsia" w:ascii="宋体" w:hAnsi="宋体" w:cs="宋体"/>
          <w:b/>
          <w:color w:val="auto"/>
          <w:sz w:val="24"/>
          <w:szCs w:val="24"/>
          <w:highlight w:val="none"/>
          <w:lang w:val="en-US" w:eastAsia="zh-CN"/>
        </w:rPr>
      </w:pPr>
      <w:r>
        <w:rPr>
          <w:rFonts w:hint="eastAsia" w:ascii="宋体" w:hAnsi="宋体" w:cs="宋体"/>
          <w:b/>
          <w:color w:val="auto"/>
          <w:sz w:val="24"/>
          <w:szCs w:val="24"/>
          <w:highlight w:val="none"/>
          <w:lang w:val="en-US" w:eastAsia="zh-CN"/>
        </w:rPr>
        <w:t>六、投标报价时，企业管理费中应包括施工企业现场监控和现场临时宿舍取暖降温费用，以及施工企业对建筑以及材料、构件和建筑安装物进行一般鉴定、检查所发生的检验试验费等相关费用。同时，投标人必须对企业管理费中所包含的施工企业的现场监控、现场临时宿舍取暖降温费用，在相应的清单明细表中（表2-5）进行单独费用报价分析。为保障工程质量和安全，企业管理费报价不得低于省建设行政主管部门颁发的施工费用定额和相关取费计价文件规定的对应专业工程企业管理费弹性费率下限乘以20%（本工程下限费率：设备安装</w:t>
      </w:r>
      <w:r>
        <w:rPr>
          <w:rFonts w:hint="eastAsia" w:ascii="宋体" w:hAnsi="宋体" w:cs="宋体"/>
          <w:b/>
          <w:color w:val="auto"/>
          <w:sz w:val="24"/>
          <w:szCs w:val="24"/>
          <w:highlight w:val="none"/>
          <w:lang w:eastAsia="zh-CN"/>
        </w:rPr>
        <w:t>工程</w:t>
      </w:r>
      <w:r>
        <w:rPr>
          <w:rFonts w:hint="eastAsia" w:ascii="宋体" w:hAnsi="宋体" w:cs="宋体"/>
          <w:b/>
          <w:color w:val="auto"/>
          <w:sz w:val="24"/>
          <w:szCs w:val="24"/>
          <w:highlight w:val="none"/>
          <w:lang w:val="en-US" w:eastAsia="zh-CN"/>
        </w:rPr>
        <w:t>2.896%，通用安装</w:t>
      </w:r>
      <w:r>
        <w:rPr>
          <w:rFonts w:hint="eastAsia" w:ascii="宋体" w:hAnsi="宋体" w:cs="宋体"/>
          <w:b/>
          <w:color w:val="auto"/>
          <w:sz w:val="24"/>
          <w:szCs w:val="24"/>
          <w:highlight w:val="none"/>
          <w:lang w:eastAsia="zh-CN"/>
        </w:rPr>
        <w:t>工程</w:t>
      </w:r>
      <w:r>
        <w:rPr>
          <w:rFonts w:hint="eastAsia" w:ascii="宋体" w:hAnsi="宋体" w:cs="宋体"/>
          <w:b/>
          <w:color w:val="auto"/>
          <w:sz w:val="24"/>
          <w:szCs w:val="24"/>
          <w:highlight w:val="none"/>
          <w:lang w:val="en-US" w:eastAsia="zh-CN"/>
        </w:rPr>
        <w:t>3.258%）的计算值。企业管理费的取费基数为人工费+机械费。</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482" w:firstLineChars="200"/>
        <w:jc w:val="left"/>
        <w:textAlignment w:val="auto"/>
        <w:rPr>
          <w:rFonts w:hint="eastAsia" w:ascii="宋体" w:hAnsi="宋体"/>
          <w:b/>
          <w:color w:val="auto"/>
          <w:sz w:val="24"/>
          <w:szCs w:val="24"/>
        </w:rPr>
      </w:pPr>
      <w:r>
        <w:rPr>
          <w:rFonts w:hint="eastAsia" w:ascii="宋体" w:hAnsi="宋体" w:cs="宋体"/>
          <w:b/>
          <w:sz w:val="24"/>
          <w:szCs w:val="24"/>
          <w:highlight w:val="none"/>
          <w:lang w:val="en-US" w:eastAsia="zh-CN"/>
        </w:rPr>
        <w:t>七、</w:t>
      </w:r>
      <w:r>
        <w:rPr>
          <w:rFonts w:hint="eastAsia" w:ascii="宋体" w:hAnsi="宋体" w:cs="宋体"/>
          <w:b/>
          <w:color w:val="auto"/>
          <w:sz w:val="24"/>
          <w:szCs w:val="24"/>
          <w:highlight w:val="none"/>
          <w:lang w:eastAsia="zh-CN"/>
        </w:rPr>
        <w:t>规费费率</w:t>
      </w:r>
      <w:r>
        <w:rPr>
          <w:rFonts w:hint="eastAsia" w:ascii="宋体" w:hAnsi="宋体" w:cs="宋体"/>
          <w:b/>
          <w:color w:val="auto"/>
          <w:sz w:val="24"/>
          <w:szCs w:val="24"/>
          <w:highlight w:val="none"/>
          <w:lang w:val="en-US" w:eastAsia="zh-CN"/>
        </w:rPr>
        <w:t>设备安装</w:t>
      </w:r>
      <w:r>
        <w:rPr>
          <w:rFonts w:hint="eastAsia" w:ascii="宋体" w:hAnsi="宋体" w:cs="宋体"/>
          <w:b/>
          <w:color w:val="auto"/>
          <w:sz w:val="24"/>
          <w:szCs w:val="24"/>
          <w:highlight w:val="none"/>
          <w:lang w:eastAsia="zh-CN"/>
        </w:rPr>
        <w:t>工程</w:t>
      </w:r>
      <w:r>
        <w:rPr>
          <w:rFonts w:hint="eastAsia" w:ascii="宋体" w:hAnsi="宋体" w:cs="宋体"/>
          <w:b/>
          <w:color w:val="auto"/>
          <w:sz w:val="24"/>
          <w:szCs w:val="24"/>
          <w:highlight w:val="none"/>
          <w:lang w:val="en-US" w:eastAsia="zh-CN"/>
        </w:rPr>
        <w:t>27.66%，通用安装</w:t>
      </w:r>
      <w:r>
        <w:rPr>
          <w:rFonts w:hint="eastAsia" w:ascii="宋体" w:hAnsi="宋体" w:cs="宋体"/>
          <w:b/>
          <w:color w:val="auto"/>
          <w:sz w:val="24"/>
          <w:szCs w:val="24"/>
          <w:highlight w:val="none"/>
          <w:lang w:eastAsia="zh-CN"/>
        </w:rPr>
        <w:t>工程</w:t>
      </w:r>
      <w:r>
        <w:rPr>
          <w:rFonts w:hint="eastAsia" w:ascii="宋体" w:hAnsi="宋体" w:cs="宋体"/>
          <w:b/>
          <w:color w:val="auto"/>
          <w:sz w:val="24"/>
          <w:szCs w:val="24"/>
          <w:highlight w:val="none"/>
          <w:lang w:val="en-US" w:eastAsia="zh-CN"/>
        </w:rPr>
        <w:t>30.63%</w:t>
      </w:r>
      <w:r>
        <w:rPr>
          <w:rFonts w:hint="eastAsia" w:ascii="宋体" w:hAnsi="宋体" w:cs="宋体"/>
          <w:b/>
          <w:color w:val="auto"/>
          <w:sz w:val="24"/>
          <w:szCs w:val="24"/>
          <w:highlight w:val="none"/>
          <w:lang w:eastAsia="zh-CN"/>
        </w:rPr>
        <w:t>；投标不得低于标准费率的30%（</w:t>
      </w:r>
      <w:r>
        <w:rPr>
          <w:rFonts w:hint="eastAsia" w:ascii="宋体" w:hAnsi="宋体" w:cs="宋体"/>
          <w:b/>
          <w:color w:val="auto"/>
          <w:sz w:val="24"/>
          <w:szCs w:val="24"/>
          <w:highlight w:val="none"/>
          <w:lang w:val="en-US" w:eastAsia="zh-CN"/>
        </w:rPr>
        <w:t>设备安装</w:t>
      </w:r>
      <w:r>
        <w:rPr>
          <w:rFonts w:hint="eastAsia" w:ascii="宋体" w:hAnsi="宋体" w:cs="宋体"/>
          <w:b/>
          <w:color w:val="auto"/>
          <w:sz w:val="24"/>
          <w:szCs w:val="24"/>
          <w:highlight w:val="none"/>
          <w:lang w:eastAsia="zh-CN"/>
        </w:rPr>
        <w:t>工程</w:t>
      </w:r>
      <w:r>
        <w:rPr>
          <w:rFonts w:hint="eastAsia" w:ascii="宋体" w:hAnsi="宋体" w:cs="宋体"/>
          <w:b/>
          <w:color w:val="auto"/>
          <w:sz w:val="24"/>
          <w:szCs w:val="24"/>
          <w:highlight w:val="none"/>
          <w:lang w:val="en-US" w:eastAsia="zh-CN"/>
        </w:rPr>
        <w:t>9.53358%，通用安装</w:t>
      </w:r>
      <w:r>
        <w:rPr>
          <w:rFonts w:hint="eastAsia" w:ascii="宋体" w:hAnsi="宋体" w:cs="宋体"/>
          <w:b/>
          <w:color w:val="auto"/>
          <w:sz w:val="24"/>
          <w:szCs w:val="24"/>
          <w:highlight w:val="none"/>
          <w:lang w:eastAsia="zh-CN"/>
        </w:rPr>
        <w:t>工程</w:t>
      </w:r>
      <w:r>
        <w:rPr>
          <w:rFonts w:hint="eastAsia" w:ascii="宋体" w:hAnsi="宋体" w:cs="宋体"/>
          <w:b/>
          <w:color w:val="auto"/>
          <w:sz w:val="24"/>
          <w:szCs w:val="24"/>
          <w:highlight w:val="none"/>
          <w:lang w:val="en-US" w:eastAsia="zh-CN"/>
        </w:rPr>
        <w:t>9.189%</w:t>
      </w:r>
      <w:r>
        <w:rPr>
          <w:rFonts w:hint="eastAsia" w:ascii="宋体" w:hAnsi="宋体" w:cs="宋体"/>
          <w:b/>
          <w:color w:val="auto"/>
          <w:sz w:val="24"/>
          <w:szCs w:val="24"/>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482" w:firstLineChars="200"/>
        <w:jc w:val="left"/>
        <w:textAlignment w:val="auto"/>
        <w:rPr>
          <w:rFonts w:hint="eastAsia" w:ascii="宋体" w:hAnsi="宋体" w:cs="宋体"/>
          <w:b/>
          <w:sz w:val="24"/>
          <w:szCs w:val="24"/>
          <w:highlight w:val="none"/>
        </w:rPr>
      </w:pPr>
      <w:r>
        <w:rPr>
          <w:rFonts w:hint="eastAsia" w:ascii="宋体" w:hAnsi="宋体"/>
          <w:b/>
          <w:color w:val="auto"/>
          <w:sz w:val="24"/>
          <w:szCs w:val="24"/>
          <w:lang w:val="en-US" w:eastAsia="zh-CN"/>
        </w:rPr>
        <w:t>八</w:t>
      </w:r>
      <w:r>
        <w:rPr>
          <w:rFonts w:hint="eastAsia" w:ascii="宋体" w:hAnsi="宋体"/>
          <w:b/>
          <w:color w:val="auto"/>
          <w:sz w:val="24"/>
          <w:szCs w:val="24"/>
          <w:lang w:eastAsia="zh-CN"/>
        </w:rPr>
        <w:t>、</w:t>
      </w:r>
      <w:r>
        <w:rPr>
          <w:rFonts w:hint="eastAsia" w:ascii="宋体" w:hAnsi="宋体"/>
          <w:b/>
          <w:color w:val="auto"/>
          <w:sz w:val="24"/>
          <w:szCs w:val="24"/>
        </w:rPr>
        <w:t>税金包括增值税（销项税额）</w:t>
      </w:r>
      <w:r>
        <w:rPr>
          <w:rFonts w:hint="eastAsia" w:ascii="宋体" w:hAnsi="宋体"/>
          <w:b/>
          <w:color w:val="auto"/>
          <w:sz w:val="24"/>
          <w:szCs w:val="24"/>
          <w:lang w:eastAsia="zh-CN"/>
        </w:rPr>
        <w:t>：</w:t>
      </w:r>
      <w:r>
        <w:rPr>
          <w:rFonts w:hint="eastAsia" w:ascii="宋体" w:hAnsi="宋体" w:cs="宋体"/>
          <w:b/>
          <w:sz w:val="24"/>
          <w:szCs w:val="24"/>
          <w:highlight w:val="none"/>
        </w:rPr>
        <w:t>费率按</w:t>
      </w:r>
      <w:r>
        <w:rPr>
          <w:rFonts w:hint="eastAsia" w:ascii="宋体" w:hAnsi="宋体" w:cs="宋体"/>
          <w:b/>
          <w:sz w:val="24"/>
          <w:szCs w:val="24"/>
          <w:highlight w:val="none"/>
          <w:lang w:val="en-US" w:eastAsia="zh-CN"/>
        </w:rPr>
        <w:t>9</w:t>
      </w:r>
      <w:r>
        <w:rPr>
          <w:rFonts w:hint="eastAsia" w:ascii="宋体" w:hAnsi="宋体" w:cs="宋体"/>
          <w:b/>
          <w:sz w:val="24"/>
          <w:szCs w:val="24"/>
          <w:highlight w:val="none"/>
        </w:rPr>
        <w:t>%计取。</w:t>
      </w:r>
    </w:p>
    <w:p>
      <w:pPr>
        <w:keepNext w:val="0"/>
        <w:keepLines w:val="0"/>
        <w:pageBreakBefore w:val="0"/>
        <w:numPr>
          <w:ilvl w:val="0"/>
          <w:numId w:val="0"/>
        </w:numPr>
        <w:kinsoku/>
        <w:wordWrap/>
        <w:overflowPunct/>
        <w:topLinePunct w:val="0"/>
        <w:autoSpaceDE/>
        <w:autoSpaceDN/>
        <w:bidi w:val="0"/>
        <w:adjustRightInd/>
        <w:snapToGrid/>
        <w:spacing w:line="520" w:lineRule="exact"/>
        <w:ind w:leftChars="200"/>
        <w:jc w:val="left"/>
        <w:textAlignment w:val="auto"/>
        <w:rPr>
          <w:rFonts w:hint="eastAsia" w:ascii="宋体" w:hAnsi="宋体" w:cs="宋体"/>
          <w:b/>
          <w:sz w:val="24"/>
          <w:szCs w:val="24"/>
          <w:highlight w:val="none"/>
        </w:rPr>
      </w:pPr>
      <w:r>
        <w:rPr>
          <w:rFonts w:hint="eastAsia" w:ascii="宋体" w:hAnsi="宋体" w:cs="宋体"/>
          <w:b/>
          <w:sz w:val="24"/>
          <w:szCs w:val="24"/>
          <w:lang w:eastAsia="zh-CN"/>
        </w:rPr>
        <w:t>九、</w:t>
      </w:r>
      <w:r>
        <w:rPr>
          <w:rFonts w:hint="eastAsia" w:ascii="宋体" w:hAnsi="宋体" w:cs="宋体"/>
          <w:b/>
          <w:sz w:val="24"/>
          <w:szCs w:val="24"/>
        </w:rPr>
        <w:t>招标人自行采购材料名称、规格型号、数量，要求总承包人提供的服务内容详见招标</w:t>
      </w:r>
      <w:r>
        <w:rPr>
          <w:rFonts w:hint="eastAsia" w:ascii="宋体" w:hAnsi="宋体" w:cs="宋体"/>
          <w:b/>
          <w:sz w:val="24"/>
          <w:szCs w:val="24"/>
          <w:lang w:eastAsia="zh-CN"/>
        </w:rPr>
        <w:t>文</w:t>
      </w:r>
      <w:r>
        <w:rPr>
          <w:rFonts w:hint="eastAsia" w:ascii="宋体" w:hAnsi="宋体" w:cs="宋体"/>
          <w:b/>
          <w:sz w:val="24"/>
          <w:szCs w:val="24"/>
          <w:highlight w:val="none"/>
        </w:rPr>
        <w:t>件。</w:t>
      </w:r>
    </w:p>
    <w:p>
      <w:pPr>
        <w:keepNext w:val="0"/>
        <w:keepLines w:val="0"/>
        <w:pageBreakBefore w:val="0"/>
        <w:numPr>
          <w:ilvl w:val="0"/>
          <w:numId w:val="0"/>
        </w:numPr>
        <w:kinsoku/>
        <w:wordWrap/>
        <w:overflowPunct/>
        <w:topLinePunct w:val="0"/>
        <w:autoSpaceDE/>
        <w:autoSpaceDN/>
        <w:bidi w:val="0"/>
        <w:adjustRightInd/>
        <w:snapToGrid/>
        <w:spacing w:line="520" w:lineRule="exact"/>
        <w:ind w:leftChars="200"/>
        <w:jc w:val="left"/>
        <w:textAlignment w:val="auto"/>
        <w:rPr>
          <w:rFonts w:hint="eastAsia" w:ascii="宋体" w:hAnsi="宋体" w:eastAsia="宋体" w:cs="宋体"/>
          <w:b/>
          <w:sz w:val="24"/>
          <w:szCs w:val="24"/>
          <w:highlight w:val="none"/>
          <w:lang w:val="en-US" w:eastAsia="zh-CN"/>
        </w:rPr>
      </w:pPr>
      <w:r>
        <w:rPr>
          <w:rFonts w:hint="eastAsia" w:ascii="宋体" w:hAnsi="宋体" w:cs="宋体"/>
          <w:b/>
          <w:sz w:val="24"/>
          <w:szCs w:val="24"/>
          <w:highlight w:val="none"/>
          <w:lang w:val="en-US" w:eastAsia="zh-CN"/>
        </w:rPr>
        <w:t>十、</w:t>
      </w:r>
      <w:r>
        <w:rPr>
          <w:rFonts w:hint="eastAsia" w:ascii="宋体" w:hAnsi="宋体"/>
          <w:b/>
          <w:sz w:val="24"/>
          <w:szCs w:val="24"/>
          <w:lang w:val="en-US" w:eastAsia="zh-CN"/>
        </w:rPr>
        <w:t>材料要求：主要材料厂家及要求，详见附表。</w:t>
      </w:r>
    </w:p>
    <w:p>
      <w:pPr>
        <w:keepNext w:val="0"/>
        <w:keepLines w:val="0"/>
        <w:pageBreakBefore w:val="0"/>
        <w:numPr>
          <w:ilvl w:val="0"/>
          <w:numId w:val="0"/>
        </w:numPr>
        <w:kinsoku/>
        <w:wordWrap/>
        <w:overflowPunct/>
        <w:topLinePunct w:val="0"/>
        <w:autoSpaceDE/>
        <w:autoSpaceDN/>
        <w:bidi w:val="0"/>
        <w:adjustRightInd/>
        <w:snapToGrid/>
        <w:spacing w:line="408" w:lineRule="auto"/>
        <w:ind w:leftChars="200"/>
        <w:jc w:val="left"/>
        <w:textAlignment w:val="auto"/>
        <w:rPr>
          <w:rFonts w:hint="eastAsia" w:ascii="宋体" w:hAnsi="宋体" w:eastAsia="宋体" w:cs="宋体"/>
          <w:b/>
          <w:color w:val="auto"/>
          <w:sz w:val="24"/>
          <w:szCs w:val="24"/>
          <w:highlight w:val="none"/>
          <w:lang w:val="en-US" w:eastAsia="zh-CN"/>
        </w:rPr>
      </w:pPr>
      <w:r>
        <w:rPr>
          <w:rFonts w:hint="eastAsia" w:ascii="宋体" w:hAnsi="宋体" w:cs="宋体"/>
          <w:b/>
          <w:sz w:val="24"/>
          <w:szCs w:val="24"/>
          <w:lang w:val="en-US" w:eastAsia="zh-CN"/>
        </w:rPr>
        <w:t>十一、</w:t>
      </w:r>
      <w:r>
        <w:rPr>
          <w:rFonts w:hint="eastAsia" w:ascii="宋体" w:hAnsi="宋体" w:eastAsia="宋体" w:cs="宋体"/>
          <w:b/>
          <w:color w:val="auto"/>
          <w:sz w:val="24"/>
          <w:szCs w:val="24"/>
          <w:highlight w:val="none"/>
          <w:lang w:eastAsia="zh-CN"/>
        </w:rPr>
        <w:t>暂列金额：</w:t>
      </w:r>
      <w:r>
        <w:rPr>
          <w:rFonts w:hint="eastAsia" w:ascii="宋体" w:hAnsi="宋体" w:eastAsia="宋体" w:cs="宋体"/>
          <w:b/>
          <w:color w:val="auto"/>
          <w:sz w:val="24"/>
          <w:szCs w:val="24"/>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408" w:lineRule="auto"/>
        <w:ind w:leftChars="200"/>
        <w:jc w:val="left"/>
        <w:textAlignment w:val="auto"/>
        <w:rPr>
          <w:rFonts w:hint="eastAsia" w:ascii="宋体" w:hAnsi="宋体" w:eastAsia="宋体" w:cs="宋体"/>
          <w:b/>
          <w:color w:val="auto"/>
          <w:sz w:val="24"/>
          <w:szCs w:val="24"/>
          <w:highlight w:val="none"/>
          <w:lang w:val="en-US" w:eastAsia="zh-CN"/>
        </w:rPr>
      </w:pPr>
      <w:r>
        <w:rPr>
          <w:rFonts w:hint="eastAsia" w:ascii="宋体" w:hAnsi="宋体" w:cs="宋体"/>
          <w:b/>
          <w:sz w:val="24"/>
          <w:szCs w:val="24"/>
          <w:lang w:val="en-US" w:eastAsia="zh-CN"/>
        </w:rPr>
        <w:t>十二、</w:t>
      </w:r>
      <w:r>
        <w:rPr>
          <w:rFonts w:hint="eastAsia" w:ascii="宋体" w:hAnsi="宋体" w:eastAsia="宋体" w:cs="宋体"/>
          <w:b/>
          <w:color w:val="auto"/>
          <w:sz w:val="24"/>
          <w:szCs w:val="24"/>
          <w:highlight w:val="none"/>
          <w:lang w:val="en-US" w:eastAsia="zh-CN"/>
        </w:rPr>
        <w:t>暂定价部分：</w:t>
      </w:r>
    </w:p>
    <w:p>
      <w:pPr>
        <w:spacing w:line="440" w:lineRule="exact"/>
        <w:ind w:firstLine="480" w:firstLineChars="200"/>
        <w:rPr>
          <w:rFonts w:hint="default" w:ascii="宋体" w:hAnsi="宋体"/>
          <w:b w:val="0"/>
          <w:bCs/>
          <w:color w:val="auto"/>
          <w:sz w:val="24"/>
          <w:szCs w:val="24"/>
          <w:lang w:val="en-US" w:eastAsia="zh-CN"/>
        </w:rPr>
      </w:pPr>
      <w:r>
        <w:rPr>
          <w:rFonts w:hint="eastAsia" w:ascii="宋体" w:hAnsi="宋体"/>
          <w:b w:val="0"/>
          <w:bCs/>
          <w:color w:val="auto"/>
          <w:sz w:val="24"/>
          <w:szCs w:val="24"/>
          <w:lang w:val="en-US" w:eastAsia="zh-CN"/>
        </w:rPr>
        <w:t>1、拆除原有设备按暂定价60000元/项计入；</w:t>
      </w:r>
    </w:p>
    <w:p>
      <w:pPr>
        <w:spacing w:line="440" w:lineRule="exact"/>
        <w:ind w:firstLine="480" w:firstLineChars="200"/>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2、原部分阀门、管道更换按暂定价20000元/项计入；</w:t>
      </w:r>
    </w:p>
    <w:p>
      <w:pPr>
        <w:spacing w:line="440" w:lineRule="exact"/>
        <w:ind w:firstLine="480" w:firstLineChars="200"/>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3、1000*1000*1500电缆井按暂定价2000元/座计入；</w:t>
      </w:r>
    </w:p>
    <w:p>
      <w:pPr>
        <w:numPr>
          <w:ilvl w:val="0"/>
          <w:numId w:val="2"/>
        </w:numPr>
        <w:spacing w:line="440" w:lineRule="exact"/>
        <w:ind w:firstLine="480" w:firstLineChars="200"/>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φ1000*1600砖砌污水井按暂定价5000元/座计入；φ1000*1800砖砌污水井按暂定价5500元/座计入；φ1000*1900砖砌污水井按暂定价6000元/座计入；φ1000*2050砖砌污水井按暂定价6500元/座计入。</w:t>
      </w:r>
    </w:p>
    <w:p>
      <w:pPr>
        <w:numPr>
          <w:ilvl w:val="0"/>
          <w:numId w:val="2"/>
        </w:numPr>
        <w:spacing w:line="440" w:lineRule="exact"/>
        <w:ind w:firstLine="480" w:firstLineChars="200"/>
        <w:rPr>
          <w:rFonts w:hint="default" w:ascii="宋体" w:hAnsi="宋体"/>
          <w:b w:val="0"/>
          <w:bCs/>
          <w:color w:val="auto"/>
          <w:sz w:val="24"/>
          <w:szCs w:val="24"/>
          <w:lang w:val="en-US" w:eastAsia="zh-CN"/>
        </w:rPr>
      </w:pPr>
      <w:r>
        <w:rPr>
          <w:rFonts w:hint="eastAsia" w:ascii="宋体" w:hAnsi="宋体"/>
          <w:b w:val="0"/>
          <w:bCs/>
          <w:color w:val="auto"/>
          <w:sz w:val="24"/>
          <w:szCs w:val="24"/>
          <w:lang w:val="en-US" w:eastAsia="zh-CN"/>
        </w:rPr>
        <w:t>设备试运行按暂定价40000元/项计入；</w:t>
      </w:r>
    </w:p>
    <w:p>
      <w:pPr>
        <w:keepNext w:val="0"/>
        <w:keepLines w:val="0"/>
        <w:pageBreakBefore w:val="0"/>
        <w:numPr>
          <w:ilvl w:val="0"/>
          <w:numId w:val="0"/>
        </w:numPr>
        <w:kinsoku/>
        <w:wordWrap/>
        <w:overflowPunct/>
        <w:topLinePunct w:val="0"/>
        <w:autoSpaceDE/>
        <w:autoSpaceDN/>
        <w:bidi w:val="0"/>
        <w:adjustRightInd/>
        <w:snapToGrid/>
        <w:spacing w:line="520" w:lineRule="exact"/>
        <w:ind w:left="422" w:leftChars="0"/>
        <w:jc w:val="left"/>
        <w:textAlignment w:val="auto"/>
        <w:rPr>
          <w:rFonts w:hint="eastAsia" w:ascii="宋体" w:hAnsi="宋体" w:cs="宋体"/>
          <w:b/>
          <w:color w:val="auto"/>
          <w:sz w:val="24"/>
          <w:szCs w:val="24"/>
        </w:rPr>
      </w:pPr>
      <w:r>
        <w:rPr>
          <w:rFonts w:hint="eastAsia" w:ascii="宋体" w:hAnsi="宋体" w:cs="宋体"/>
          <w:b/>
          <w:color w:val="auto"/>
          <w:sz w:val="24"/>
          <w:szCs w:val="24"/>
          <w:lang w:val="en-US" w:eastAsia="zh-CN"/>
        </w:rPr>
        <w:t>十三、</w:t>
      </w:r>
      <w:r>
        <w:rPr>
          <w:rFonts w:hint="eastAsia" w:ascii="宋体" w:hAnsi="宋体" w:cs="宋体"/>
          <w:b/>
          <w:color w:val="auto"/>
          <w:sz w:val="24"/>
          <w:szCs w:val="24"/>
        </w:rPr>
        <w:t>其他需要说明的问题：</w:t>
      </w:r>
    </w:p>
    <w:p>
      <w:pPr>
        <w:spacing w:line="440" w:lineRule="exact"/>
        <w:ind w:firstLine="480" w:firstLineChars="200"/>
        <w:rPr>
          <w:rFonts w:hint="eastAsia" w:ascii="宋体" w:hAnsi="宋体"/>
          <w:bCs/>
          <w:sz w:val="24"/>
          <w:szCs w:val="24"/>
          <w:lang w:val="en-US" w:eastAsia="zh-CN"/>
        </w:rPr>
      </w:pPr>
      <w:r>
        <w:rPr>
          <w:rFonts w:hint="eastAsia" w:ascii="宋体" w:hAnsi="宋体"/>
          <w:bCs/>
          <w:sz w:val="24"/>
          <w:szCs w:val="24"/>
          <w:lang w:val="en-US" w:eastAsia="zh-CN"/>
        </w:rPr>
        <w:t>1、本次预算编制管道长度、管件、敷设电缆等工程量以施工图材料表为依据，结算时工程量按实结算；</w:t>
      </w:r>
    </w:p>
    <w:p>
      <w:pPr>
        <w:spacing w:line="440" w:lineRule="exact"/>
        <w:ind w:firstLine="480" w:firstLineChars="200"/>
        <w:rPr>
          <w:rFonts w:hint="eastAsia" w:ascii="宋体" w:hAnsi="宋体"/>
          <w:bCs/>
          <w:sz w:val="24"/>
          <w:szCs w:val="24"/>
          <w:lang w:val="en-US" w:eastAsia="zh-CN"/>
        </w:rPr>
      </w:pPr>
      <w:r>
        <w:rPr>
          <w:rFonts w:hint="eastAsia" w:ascii="宋体" w:hAnsi="宋体"/>
          <w:bCs/>
          <w:sz w:val="24"/>
          <w:szCs w:val="24"/>
          <w:lang w:val="en-US" w:eastAsia="zh-CN"/>
        </w:rPr>
        <w:t>2、经设计确认，设备工程量按表格《临安龙岗工艺设备表 20220105》中新增一栏的工程量计入；</w:t>
      </w:r>
    </w:p>
    <w:p>
      <w:pPr>
        <w:spacing w:line="440" w:lineRule="exact"/>
        <w:ind w:firstLine="480" w:firstLineChars="200"/>
        <w:rPr>
          <w:rFonts w:hint="eastAsia" w:ascii="宋体" w:hAnsi="宋体"/>
          <w:bCs/>
          <w:sz w:val="24"/>
          <w:szCs w:val="24"/>
          <w:lang w:val="en-US" w:eastAsia="zh-CN"/>
        </w:rPr>
      </w:pPr>
      <w:r>
        <w:rPr>
          <w:rFonts w:hint="eastAsia" w:ascii="宋体" w:hAnsi="宋体"/>
          <w:bCs/>
          <w:sz w:val="24"/>
          <w:szCs w:val="24"/>
          <w:lang w:val="en-US" w:eastAsia="zh-CN"/>
        </w:rPr>
        <w:t>3、经设计确认，全部钢管防腐都采用“一道环氧红丹防锈漆底漆 两道环氧富锌面漆”的制作工艺，原栏杆、管道涂防腐涂料前需除锈；</w:t>
      </w:r>
    </w:p>
    <w:p>
      <w:pPr>
        <w:spacing w:line="440" w:lineRule="exact"/>
        <w:ind w:firstLine="480" w:firstLineChars="200"/>
        <w:rPr>
          <w:rFonts w:hint="eastAsia" w:ascii="宋体" w:hAnsi="宋体"/>
          <w:bCs/>
          <w:sz w:val="24"/>
          <w:szCs w:val="24"/>
          <w:lang w:val="en-US" w:eastAsia="zh-CN"/>
        </w:rPr>
      </w:pPr>
      <w:r>
        <w:rPr>
          <w:rFonts w:hint="eastAsia" w:ascii="宋体" w:hAnsi="宋体"/>
          <w:bCs/>
          <w:sz w:val="24"/>
          <w:szCs w:val="24"/>
          <w:lang w:val="en-US" w:eastAsia="zh-CN"/>
        </w:rPr>
        <w:t>4、由厂家集成的自控系统通讯接口均要求为以太网接口。</w:t>
      </w:r>
    </w:p>
    <w:p>
      <w:pPr>
        <w:keepNext w:val="0"/>
        <w:keepLines w:val="0"/>
        <w:pageBreakBefore w:val="0"/>
        <w:kinsoku/>
        <w:wordWrap/>
        <w:overflowPunct/>
        <w:topLinePunct w:val="0"/>
        <w:autoSpaceDE/>
        <w:autoSpaceDN/>
        <w:bidi w:val="0"/>
        <w:adjustRightInd/>
        <w:snapToGrid/>
        <w:spacing w:line="520" w:lineRule="exact"/>
        <w:ind w:firstLine="482" w:firstLineChars="200"/>
        <w:textAlignment w:val="auto"/>
        <w:rPr>
          <w:rFonts w:hint="eastAsia" w:ascii="宋体" w:hAnsi="宋体"/>
          <w:b/>
          <w:bCs/>
          <w:sz w:val="24"/>
          <w:szCs w:val="24"/>
        </w:rPr>
      </w:pPr>
      <w:r>
        <w:rPr>
          <w:rFonts w:hint="eastAsia" w:ascii="宋体" w:hAnsi="宋体"/>
          <w:b/>
          <w:bCs/>
          <w:sz w:val="24"/>
          <w:szCs w:val="24"/>
        </w:rPr>
        <w:t>十</w:t>
      </w:r>
      <w:r>
        <w:rPr>
          <w:rFonts w:hint="eastAsia" w:ascii="宋体" w:hAnsi="宋体"/>
          <w:b/>
          <w:bCs/>
          <w:sz w:val="24"/>
          <w:szCs w:val="24"/>
          <w:lang w:val="en-US" w:eastAsia="zh-CN"/>
        </w:rPr>
        <w:t>三</w:t>
      </w:r>
      <w:r>
        <w:rPr>
          <w:rFonts w:hint="eastAsia" w:ascii="宋体" w:hAnsi="宋体"/>
          <w:b/>
          <w:bCs/>
          <w:sz w:val="24"/>
          <w:szCs w:val="24"/>
        </w:rPr>
        <w:t>、注意事项：</w:t>
      </w:r>
    </w:p>
    <w:p>
      <w:pPr>
        <w:keepNext w:val="0"/>
        <w:keepLines w:val="0"/>
        <w:pageBreakBefore w:val="0"/>
        <w:kinsoku/>
        <w:wordWrap/>
        <w:overflowPunct/>
        <w:topLinePunct w:val="0"/>
        <w:autoSpaceDE/>
        <w:autoSpaceDN/>
        <w:bidi w:val="0"/>
        <w:adjustRightInd/>
        <w:snapToGrid/>
        <w:spacing w:line="520" w:lineRule="exact"/>
        <w:ind w:firstLine="597" w:firstLineChars="249"/>
        <w:textAlignment w:val="auto"/>
        <w:rPr>
          <w:rFonts w:hint="eastAsia" w:ascii="宋体" w:hAnsi="宋体"/>
          <w:bCs/>
          <w:sz w:val="24"/>
          <w:szCs w:val="24"/>
        </w:rPr>
      </w:pPr>
      <w:r>
        <w:rPr>
          <w:rFonts w:hint="eastAsia" w:ascii="宋体" w:hAnsi="宋体"/>
          <w:bCs/>
          <w:sz w:val="24"/>
          <w:szCs w:val="24"/>
        </w:rPr>
        <w:t>1、清单中项目特征描述与图纸不符或不全的部分，投标人应仔细阅读图纸，根据《建设工程工程量清单计价规范》（GB50500-2013）中清单项目所包含的工作内容，按设计图纸及施工规范要求综合考虑在内。</w:t>
      </w:r>
    </w:p>
    <w:p>
      <w:pPr>
        <w:keepNext w:val="0"/>
        <w:keepLines w:val="0"/>
        <w:pageBreakBefore w:val="0"/>
        <w:kinsoku/>
        <w:wordWrap/>
        <w:overflowPunct/>
        <w:topLinePunct w:val="0"/>
        <w:autoSpaceDE/>
        <w:autoSpaceDN/>
        <w:bidi w:val="0"/>
        <w:adjustRightInd/>
        <w:snapToGrid/>
        <w:spacing w:line="520" w:lineRule="exact"/>
        <w:ind w:firstLine="597" w:firstLineChars="249"/>
        <w:textAlignment w:val="auto"/>
        <w:rPr>
          <w:rFonts w:hint="eastAsia" w:ascii="宋体" w:hAnsi="宋体"/>
          <w:bCs/>
          <w:sz w:val="24"/>
          <w:szCs w:val="24"/>
        </w:rPr>
      </w:pPr>
      <w:r>
        <w:rPr>
          <w:rFonts w:hint="eastAsia" w:ascii="宋体" w:hAnsi="宋体"/>
          <w:bCs/>
          <w:sz w:val="24"/>
          <w:szCs w:val="24"/>
        </w:rPr>
        <w:t>2、投标人在填写工程量清单的每一项综合单价和合价时均应结合招标文件、技术规范、设计施工图纸和现场勘察情况，谨慎仔细地进行报价。如发现清单中的表述与设计文件不符，请投标人提出书面意见以便答疑，如不提出则视为无异议。</w:t>
      </w:r>
    </w:p>
    <w:p>
      <w:pPr>
        <w:keepNext w:val="0"/>
        <w:keepLines w:val="0"/>
        <w:pageBreakBefore w:val="0"/>
        <w:kinsoku/>
        <w:wordWrap/>
        <w:overflowPunct/>
        <w:topLinePunct w:val="0"/>
        <w:autoSpaceDE/>
        <w:autoSpaceDN/>
        <w:bidi w:val="0"/>
        <w:adjustRightInd/>
        <w:snapToGrid/>
        <w:spacing w:line="520" w:lineRule="exact"/>
        <w:ind w:firstLine="597" w:firstLineChars="249"/>
        <w:textAlignment w:val="auto"/>
        <w:rPr>
          <w:rFonts w:hint="eastAsia" w:ascii="宋体" w:hAnsi="宋体"/>
          <w:bCs/>
          <w:sz w:val="24"/>
          <w:szCs w:val="24"/>
        </w:rPr>
      </w:pPr>
      <w:r>
        <w:rPr>
          <w:rFonts w:hint="eastAsia" w:ascii="宋体" w:hAnsi="宋体"/>
          <w:bCs/>
          <w:sz w:val="24"/>
          <w:szCs w:val="24"/>
        </w:rPr>
        <w:t>3、所有组织措施项目费和以“项”为计量单位的技术措施费一次性包干，请投标单位充分考虑本工程实际风险，结算时不作调整，措施项目部分编制要求详见招标文件，措施项目清单及计价表仅供参考，投标人应根据施工组织设计补充清单项目自行报价。</w:t>
      </w:r>
    </w:p>
    <w:p>
      <w:pPr>
        <w:keepNext w:val="0"/>
        <w:keepLines w:val="0"/>
        <w:pageBreakBefore w:val="0"/>
        <w:kinsoku/>
        <w:wordWrap/>
        <w:overflowPunct/>
        <w:topLinePunct w:val="0"/>
        <w:autoSpaceDE/>
        <w:autoSpaceDN/>
        <w:bidi w:val="0"/>
        <w:adjustRightInd/>
        <w:snapToGrid/>
        <w:spacing w:line="520" w:lineRule="exact"/>
        <w:ind w:firstLine="597" w:firstLineChars="249"/>
        <w:textAlignment w:val="auto"/>
        <w:rPr>
          <w:rFonts w:hint="eastAsia" w:ascii="宋体" w:hAnsi="宋体"/>
          <w:bCs/>
          <w:sz w:val="24"/>
          <w:szCs w:val="24"/>
        </w:rPr>
      </w:pPr>
      <w:r>
        <w:rPr>
          <w:rFonts w:hint="eastAsia" w:ascii="宋体" w:hAnsi="宋体"/>
          <w:bCs/>
          <w:sz w:val="24"/>
          <w:szCs w:val="24"/>
        </w:rPr>
        <w:t>4、施工过程中如需与其他部门或相关单位协商与配合所产生的费用请计入措施项目清单报价中，中标后一律不予调整。中标人不文明施工引起的诸如渣土管理、交通、治安、环保等罚款及管线抢修等费用均由中标人自行承担，招标人概不负责。</w:t>
      </w:r>
    </w:p>
    <w:p>
      <w:pPr>
        <w:keepNext w:val="0"/>
        <w:keepLines w:val="0"/>
        <w:pageBreakBefore w:val="0"/>
        <w:kinsoku/>
        <w:wordWrap/>
        <w:overflowPunct/>
        <w:topLinePunct w:val="0"/>
        <w:autoSpaceDE/>
        <w:autoSpaceDN/>
        <w:bidi w:val="0"/>
        <w:adjustRightInd/>
        <w:snapToGrid/>
        <w:spacing w:line="520" w:lineRule="exact"/>
        <w:ind w:firstLine="597" w:firstLineChars="249"/>
        <w:textAlignment w:val="auto"/>
        <w:rPr>
          <w:rFonts w:hint="eastAsia" w:ascii="宋体" w:hAnsi="宋体"/>
          <w:bCs/>
          <w:sz w:val="24"/>
          <w:szCs w:val="24"/>
        </w:rPr>
      </w:pPr>
      <w:r>
        <w:rPr>
          <w:rFonts w:hint="eastAsia" w:ascii="宋体" w:hAnsi="宋体"/>
          <w:bCs/>
          <w:sz w:val="24"/>
          <w:szCs w:val="24"/>
        </w:rPr>
        <w:t>5、工程施工时，投标人对周边建筑物、城市道路、树木、构筑物，电力设施、地下管线及各类成品等自行采取保护措施，并做好安全围护措施；由此所发生的一切费用均应计入相关项目的单价和总价中，招标人不另行支付。</w:t>
      </w:r>
    </w:p>
    <w:p>
      <w:pPr>
        <w:keepNext w:val="0"/>
        <w:keepLines w:val="0"/>
        <w:pageBreakBefore w:val="0"/>
        <w:kinsoku/>
        <w:wordWrap/>
        <w:overflowPunct/>
        <w:topLinePunct w:val="0"/>
        <w:autoSpaceDE/>
        <w:autoSpaceDN/>
        <w:bidi w:val="0"/>
        <w:adjustRightInd/>
        <w:snapToGrid/>
        <w:spacing w:line="520" w:lineRule="exact"/>
        <w:ind w:firstLine="597" w:firstLineChars="249"/>
        <w:textAlignment w:val="auto"/>
        <w:rPr>
          <w:rFonts w:hint="eastAsia" w:ascii="宋体" w:hAnsi="宋体"/>
          <w:bCs/>
          <w:sz w:val="24"/>
          <w:szCs w:val="24"/>
        </w:rPr>
      </w:pPr>
      <w:r>
        <w:rPr>
          <w:rFonts w:hint="eastAsia" w:ascii="宋体" w:hAnsi="宋体"/>
          <w:bCs/>
          <w:sz w:val="24"/>
          <w:szCs w:val="24"/>
        </w:rPr>
        <w:t>6、承包人施工时应做好与周边相关道路以及周边居民出行的交通组织、文明安全、交通设施等围护工作（包括设置临时交通标志、标牌等），满足交警等相关部门的管理要求。必须做到道路安全畅通，做好安全施工的宣传工作，确保工程顺利进行。投标单位根据业主对施工围护方案的要求并踏勘现场后自行报价，如未单独报价视为列入总价中，结算不因任何原因增加该费用。</w:t>
      </w:r>
    </w:p>
    <w:p>
      <w:pPr>
        <w:keepNext w:val="0"/>
        <w:keepLines w:val="0"/>
        <w:pageBreakBefore w:val="0"/>
        <w:kinsoku/>
        <w:wordWrap/>
        <w:overflowPunct/>
        <w:topLinePunct w:val="0"/>
        <w:autoSpaceDE/>
        <w:autoSpaceDN/>
        <w:bidi w:val="0"/>
        <w:adjustRightInd/>
        <w:snapToGrid/>
        <w:spacing w:line="408" w:lineRule="auto"/>
        <w:ind w:firstLine="597" w:firstLineChars="249"/>
        <w:textAlignment w:val="auto"/>
        <w:rPr>
          <w:rFonts w:hint="eastAsia" w:ascii="宋体" w:hAnsi="宋体"/>
          <w:bCs/>
          <w:sz w:val="24"/>
          <w:szCs w:val="24"/>
        </w:rPr>
      </w:pPr>
      <w:r>
        <w:rPr>
          <w:rFonts w:hint="eastAsia" w:ascii="宋体" w:hAnsi="宋体"/>
          <w:bCs/>
          <w:sz w:val="24"/>
          <w:szCs w:val="24"/>
          <w:lang w:val="en-US" w:eastAsia="zh-CN"/>
        </w:rPr>
        <w:t>7、</w:t>
      </w:r>
      <w:r>
        <w:rPr>
          <w:rFonts w:hint="eastAsia" w:ascii="宋体" w:hAnsi="宋体"/>
          <w:bCs/>
          <w:sz w:val="24"/>
          <w:szCs w:val="24"/>
        </w:rPr>
        <w:t>因施工图深度等原因，本清单工程量仅供投标报价使用，实际工程量待结算时按实调整。投标单价就综合工程量误差风险因素进行报价，结算时不因工程量增减变化而调整投标综合单价。</w:t>
      </w:r>
    </w:p>
    <w:p>
      <w:pPr>
        <w:spacing w:line="440" w:lineRule="exact"/>
        <w:rPr>
          <w:rFonts w:hint="default" w:ascii="宋体" w:hAnsi="宋体"/>
          <w:bCs/>
          <w:sz w:val="24"/>
          <w:szCs w:val="24"/>
          <w:lang w:val="en-US" w:eastAsia="zh-CN"/>
        </w:rPr>
      </w:pPr>
      <w:r>
        <w:rPr>
          <w:rFonts w:hint="eastAsia" w:ascii="宋体" w:hAnsi="宋体"/>
          <w:bCs/>
          <w:sz w:val="24"/>
          <w:szCs w:val="24"/>
          <w:lang w:val="en-US" w:eastAsia="zh-CN"/>
        </w:rPr>
        <w:t>8</w:t>
      </w:r>
      <w:r>
        <w:rPr>
          <w:rFonts w:hint="eastAsia" w:ascii="宋体" w:hAnsi="宋体"/>
          <w:bCs/>
          <w:sz w:val="24"/>
          <w:szCs w:val="24"/>
        </w:rPr>
        <w:t>、投标单位报价时需认真仔细现场调研、查看地形，了解周边状况综合考虑各种因素再投标报价 。对业主方提出的各项要求，报价中自行考虑，中标后不调整。</w:t>
      </w:r>
    </w:p>
    <w:tbl>
      <w:tblPr>
        <w:tblStyle w:val="62"/>
        <w:tblW w:w="989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50"/>
        <w:gridCol w:w="3315"/>
        <w:gridCol w:w="4560"/>
        <w:gridCol w:w="9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9897"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pStyle w:val="4"/>
              <w:rPr>
                <w:rFonts w:hint="eastAsia"/>
                <w:lang w:val="en-US" w:eastAsia="zh-CN"/>
              </w:rPr>
            </w:pPr>
          </w:p>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32"/>
                <w:szCs w:val="32"/>
                <w:u w:val="none"/>
                <w:lang w:val="en-US" w:eastAsia="zh-CN" w:bidi="ar"/>
              </w:rPr>
              <w:t>主要材料品牌响应表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名称</w:t>
            </w:r>
          </w:p>
        </w:tc>
        <w:tc>
          <w:tcPr>
            <w:tcW w:w="4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厂家</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不锈钢机械格栅</w:t>
            </w:r>
          </w:p>
        </w:tc>
        <w:tc>
          <w:tcPr>
            <w:tcW w:w="4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宜兴天之蓝、升蓝、无锡通用</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铸铁镶铜电动方闸门</w:t>
            </w:r>
          </w:p>
        </w:tc>
        <w:tc>
          <w:tcPr>
            <w:tcW w:w="4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宜兴天之蓝、升蓝、无锡通用</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悬挂起重机</w:t>
            </w:r>
          </w:p>
        </w:tc>
        <w:tc>
          <w:tcPr>
            <w:tcW w:w="4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腾力、河南矿山、山东泰龙</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直轴搅拌机</w:t>
            </w:r>
          </w:p>
        </w:tc>
        <w:tc>
          <w:tcPr>
            <w:tcW w:w="4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宜兴天之蓝、升蓝、无锡通用</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315" w:type="dxa"/>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刮泥机</w:t>
            </w:r>
          </w:p>
        </w:tc>
        <w:tc>
          <w:tcPr>
            <w:tcW w:w="4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宜兴天之蓝、升蓝、无锡通用</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电磁流量计</w:t>
            </w:r>
          </w:p>
        </w:tc>
        <w:tc>
          <w:tcPr>
            <w:tcW w:w="4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源牌、工考、振华</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3315" w:type="dxa"/>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工业在线PH计</w:t>
            </w:r>
          </w:p>
        </w:tc>
        <w:tc>
          <w:tcPr>
            <w:tcW w:w="4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E+H、哈希、AMER</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潜水排污泵</w:t>
            </w:r>
          </w:p>
        </w:tc>
        <w:tc>
          <w:tcPr>
            <w:tcW w:w="4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南方、上海汇业、凯泉</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立式排污泵</w:t>
            </w:r>
          </w:p>
        </w:tc>
        <w:tc>
          <w:tcPr>
            <w:tcW w:w="4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南方、上海汇业、凯泉</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自吸排污泵</w:t>
            </w:r>
          </w:p>
        </w:tc>
        <w:tc>
          <w:tcPr>
            <w:tcW w:w="4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南方、上海汇业、凯泉</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高压离心泵</w:t>
            </w:r>
          </w:p>
        </w:tc>
        <w:tc>
          <w:tcPr>
            <w:tcW w:w="4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南方、上海汇业、凯泉</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液压泥浆泵</w:t>
            </w:r>
          </w:p>
        </w:tc>
        <w:tc>
          <w:tcPr>
            <w:tcW w:w="4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耐驰（国产）、兴龙</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加药螺杆泵</w:t>
            </w:r>
          </w:p>
        </w:tc>
        <w:tc>
          <w:tcPr>
            <w:tcW w:w="4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宜兴天之蓝、仁祥、耐驰（国产）、兴龙</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清水离心泵</w:t>
            </w:r>
          </w:p>
        </w:tc>
        <w:tc>
          <w:tcPr>
            <w:tcW w:w="4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南方、上海汇业、凯泉</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无堵塞排污泵</w:t>
            </w:r>
          </w:p>
        </w:tc>
        <w:tc>
          <w:tcPr>
            <w:tcW w:w="4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南方、上海汇业、凯泉</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隔膜计量泵</w:t>
            </w:r>
          </w:p>
        </w:tc>
        <w:tc>
          <w:tcPr>
            <w:tcW w:w="4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南方、爱力浦、胜瑞兰</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潜水搅拌机</w:t>
            </w:r>
          </w:p>
        </w:tc>
        <w:tc>
          <w:tcPr>
            <w:tcW w:w="4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布鲁克林、天之蓝、蓝深、南蓝</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石英砂 </w:t>
            </w:r>
          </w:p>
        </w:tc>
        <w:tc>
          <w:tcPr>
            <w:tcW w:w="4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伟勤环保、福建海砂</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浓缩机</w:t>
            </w:r>
          </w:p>
        </w:tc>
        <w:tc>
          <w:tcPr>
            <w:tcW w:w="4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宜兴天之蓝、升蓝、无锡通用</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空压机</w:t>
            </w:r>
          </w:p>
        </w:tc>
        <w:tc>
          <w:tcPr>
            <w:tcW w:w="4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开山、上海汉钟、宁波欣达</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冷干机</w:t>
            </w:r>
          </w:p>
        </w:tc>
        <w:tc>
          <w:tcPr>
            <w:tcW w:w="4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开山、广州汉粤、嘉美净化</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钢制防腐活性炭罐</w:t>
            </w:r>
          </w:p>
        </w:tc>
        <w:tc>
          <w:tcPr>
            <w:tcW w:w="4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青岛双峰、青岛爱康、青岛国林</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吸附式干燥机</w:t>
            </w:r>
          </w:p>
        </w:tc>
        <w:tc>
          <w:tcPr>
            <w:tcW w:w="4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广州汉粤、青岛爱康、青岛国林</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制氧机</w:t>
            </w:r>
          </w:p>
        </w:tc>
        <w:tc>
          <w:tcPr>
            <w:tcW w:w="4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青岛爱康、青岛国林、新大陆、宜兴斐然环保</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臭氧发生器</w:t>
            </w:r>
          </w:p>
        </w:tc>
        <w:tc>
          <w:tcPr>
            <w:tcW w:w="4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青岛爱康、青岛国林、新大陆、宜兴斐然环保</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储气罐</w:t>
            </w:r>
          </w:p>
        </w:tc>
        <w:tc>
          <w:tcPr>
            <w:tcW w:w="4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开山、青岛双峰、申江</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板式换热器</w:t>
            </w:r>
          </w:p>
        </w:tc>
        <w:tc>
          <w:tcPr>
            <w:tcW w:w="4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美国传特、风凯、浙江银轮</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隔膜压滤机</w:t>
            </w:r>
          </w:p>
        </w:tc>
        <w:tc>
          <w:tcPr>
            <w:tcW w:w="4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兴源、升蓝、景津</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在线检测仪</w:t>
            </w:r>
          </w:p>
        </w:tc>
        <w:tc>
          <w:tcPr>
            <w:tcW w:w="4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聚光、上泰、博克斯</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超声波液位计</w:t>
            </w:r>
          </w:p>
        </w:tc>
        <w:tc>
          <w:tcPr>
            <w:tcW w:w="4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传智科技、工考、深圳计为</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微孔曝气器</w:t>
            </w:r>
          </w:p>
        </w:tc>
        <w:tc>
          <w:tcPr>
            <w:tcW w:w="4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恒信、升蓝、玉环振兴</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在线溶氧仪</w:t>
            </w:r>
          </w:p>
        </w:tc>
        <w:tc>
          <w:tcPr>
            <w:tcW w:w="4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E+H、哈希、AMER</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废气处理系统</w:t>
            </w:r>
          </w:p>
        </w:tc>
        <w:tc>
          <w:tcPr>
            <w:tcW w:w="4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东澜、江苏一环、升蓝</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9897"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32"/>
                <w:szCs w:val="32"/>
                <w:u w:val="none"/>
                <w:lang w:val="en-US" w:eastAsia="zh-CN" w:bidi="ar"/>
              </w:rPr>
              <w:t>主要材料品牌响应表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名称</w:t>
            </w:r>
          </w:p>
        </w:tc>
        <w:tc>
          <w:tcPr>
            <w:tcW w:w="4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厂家</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涡街流量计</w:t>
            </w:r>
          </w:p>
        </w:tc>
        <w:tc>
          <w:tcPr>
            <w:tcW w:w="4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斐然环保、工考、源牌</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PP斜管填料</w:t>
            </w:r>
          </w:p>
        </w:tc>
        <w:tc>
          <w:tcPr>
            <w:tcW w:w="4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恒信、升蓝、无锡通用</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标准滤板</w:t>
            </w:r>
          </w:p>
        </w:tc>
        <w:tc>
          <w:tcPr>
            <w:tcW w:w="4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斐然环保、升蓝、玉环振兴</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长柄滤头</w:t>
            </w:r>
          </w:p>
        </w:tc>
        <w:tc>
          <w:tcPr>
            <w:tcW w:w="4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斐然环保、天之蓝、升蓝、玉环振兴</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催化剂填料</w:t>
            </w:r>
          </w:p>
        </w:tc>
        <w:tc>
          <w:tcPr>
            <w:tcW w:w="4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斐然环保、浙大易泰、升蓝</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射流器</w:t>
            </w:r>
          </w:p>
        </w:tc>
        <w:tc>
          <w:tcPr>
            <w:tcW w:w="4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斐然环保、升蓝</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尾气破坏器</w:t>
            </w:r>
          </w:p>
        </w:tc>
        <w:tc>
          <w:tcPr>
            <w:tcW w:w="4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青岛爱康、青岛国林、斐然环保</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手自一体蝶阀</w:t>
            </w:r>
          </w:p>
        </w:tc>
        <w:tc>
          <w:tcPr>
            <w:tcW w:w="4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斐然环保、开维喜、宁波一机</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罗茨鼓风机</w:t>
            </w:r>
          </w:p>
        </w:tc>
        <w:tc>
          <w:tcPr>
            <w:tcW w:w="4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百事德、章鼓、济南力冠</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电缆</w:t>
            </w:r>
          </w:p>
        </w:tc>
        <w:tc>
          <w:tcPr>
            <w:tcW w:w="4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万马、中策、永通</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上位机组态软件</w:t>
            </w:r>
          </w:p>
        </w:tc>
        <w:tc>
          <w:tcPr>
            <w:tcW w:w="4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力控、组态王、世纪星、紫金桥</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超窄边液晶拼接屏、拼接屏处理器、显示系统控制软件等配件</w:t>
            </w:r>
          </w:p>
        </w:tc>
        <w:tc>
          <w:tcPr>
            <w:tcW w:w="4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大华、海康威视、皓丽</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高清网络枪机、NVR视频网络硬盘录像机、监控计算机</w:t>
            </w:r>
          </w:p>
        </w:tc>
        <w:tc>
          <w:tcPr>
            <w:tcW w:w="4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大华、海康威视、宇视</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0" w:hRule="atLeast"/>
        </w:trPr>
        <w:tc>
          <w:tcPr>
            <w:tcW w:w="9897"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after="220" w:afterAutospacing="0" w:line="240" w:lineRule="auto"/>
              <w:jc w:val="left"/>
              <w:textAlignment w:val="top"/>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注: 1、投标人在投标报价是，本工程主要设备、材料必须选用以上品牌中的一种或同等档次及以上品牌，并在投标书中注明。</w:t>
            </w:r>
          </w:p>
          <w:p>
            <w:pPr>
              <w:keepNext w:val="0"/>
              <w:keepLines w:val="0"/>
              <w:widowControl/>
              <w:suppressLineNumbers w:val="0"/>
              <w:spacing w:after="220" w:afterAutospacing="0" w:line="240" w:lineRule="auto"/>
              <w:jc w:val="left"/>
              <w:textAlignment w:val="top"/>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2、施工时如确实需要名录以外的供应方采购，必须经业主书面同意。</w:t>
            </w:r>
          </w:p>
          <w:p>
            <w:pPr>
              <w:keepNext w:val="0"/>
              <w:keepLines w:val="0"/>
              <w:widowControl/>
              <w:suppressLineNumbers w:val="0"/>
              <w:spacing w:after="220" w:afterAutospacing="0" w:line="240" w:lineRule="auto"/>
              <w:jc w:val="left"/>
              <w:textAlignment w:val="top"/>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3、以上设备具体参数及功能要求详见清单。</w:t>
            </w:r>
          </w:p>
          <w:p>
            <w:pPr>
              <w:keepNext w:val="0"/>
              <w:keepLines w:val="0"/>
              <w:widowControl/>
              <w:suppressLineNumbers w:val="0"/>
              <w:spacing w:after="220" w:afterAutospacing="0" w:line="240" w:lineRule="auto"/>
              <w:jc w:val="left"/>
              <w:textAlignment w:val="top"/>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4"/>
                <w:szCs w:val="24"/>
                <w:u w:val="none"/>
                <w:lang w:val="en-US" w:eastAsia="zh-CN" w:bidi="ar"/>
              </w:rPr>
              <w:t>4、投标单位报价是对主要设备的报价需满足清单描述中的设备功能要求；本工程清单描述中提供设备型号的，投标单位投标报价时该设备需满足或高于该型号的功能要求。</w:t>
            </w:r>
          </w:p>
        </w:tc>
      </w:tr>
    </w:tbl>
    <w:p>
      <w:pPr>
        <w:snapToGrid w:val="0"/>
        <w:spacing w:line="360" w:lineRule="auto"/>
        <w:jc w:val="both"/>
        <w:rPr>
          <w:rFonts w:hint="eastAsia" w:ascii="宋体" w:hAnsi="宋体" w:eastAsia="宋体" w:cs="宋体"/>
          <w:b/>
          <w:sz w:val="24"/>
        </w:rPr>
      </w:pPr>
    </w:p>
    <w:p>
      <w:pPr>
        <w:snapToGrid w:val="0"/>
        <w:spacing w:line="360" w:lineRule="auto"/>
        <w:jc w:val="both"/>
        <w:rPr>
          <w:rFonts w:hint="eastAsia" w:ascii="宋体" w:hAnsi="宋体" w:eastAsia="宋体" w:cs="宋体"/>
          <w:b/>
          <w:sz w:val="24"/>
        </w:rPr>
        <w:sectPr>
          <w:pgSz w:w="11907" w:h="16840"/>
          <w:pgMar w:top="1077" w:right="1020" w:bottom="1077" w:left="1020" w:header="851" w:footer="851" w:gutter="0"/>
          <w:cols w:space="720" w:num="1"/>
        </w:sectPr>
      </w:pPr>
      <w:r>
        <w:rPr>
          <w:rFonts w:hint="eastAsia" w:ascii="宋体" w:hAnsi="宋体" w:eastAsia="宋体" w:cs="宋体"/>
          <w:b/>
          <w:sz w:val="24"/>
        </w:rPr>
        <w:br w:type="page"/>
      </w:r>
    </w:p>
    <w:p>
      <w:pPr>
        <w:snapToGrid w:val="0"/>
        <w:spacing w:line="360" w:lineRule="auto"/>
        <w:jc w:val="center"/>
        <w:rPr>
          <w:rFonts w:hint="eastAsia" w:ascii="宋体" w:hAnsi="宋体" w:eastAsia="宋体" w:cs="宋体"/>
          <w:b/>
          <w:sz w:val="36"/>
          <w:szCs w:val="36"/>
        </w:rPr>
      </w:pPr>
      <w:r>
        <w:rPr>
          <w:rFonts w:hint="eastAsia" w:ascii="宋体" w:hAnsi="宋体" w:eastAsia="宋体" w:cs="宋体"/>
          <w:b/>
          <w:sz w:val="36"/>
          <w:szCs w:val="36"/>
        </w:rPr>
        <w:t xml:space="preserve">第四部分   </w:t>
      </w:r>
      <w:bookmarkStart w:id="27" w:name="_Toc184314410"/>
      <w:bookmarkEnd w:id="27"/>
      <w:bookmarkStart w:id="28" w:name="_Toc184310337"/>
      <w:bookmarkEnd w:id="28"/>
      <w:bookmarkStart w:id="29" w:name="_Toc184310327"/>
      <w:bookmarkEnd w:id="29"/>
      <w:bookmarkStart w:id="30" w:name="_Toc184308067"/>
      <w:bookmarkEnd w:id="30"/>
      <w:bookmarkStart w:id="31" w:name="_Toc184310333"/>
      <w:bookmarkEnd w:id="31"/>
      <w:bookmarkStart w:id="32" w:name="_Toc184314479"/>
      <w:bookmarkEnd w:id="32"/>
      <w:bookmarkStart w:id="33" w:name="_Toc184310326"/>
      <w:bookmarkEnd w:id="33"/>
      <w:bookmarkStart w:id="34" w:name="_Toc184313276"/>
      <w:bookmarkEnd w:id="34"/>
      <w:bookmarkStart w:id="35" w:name="_Toc184310284"/>
      <w:bookmarkEnd w:id="35"/>
      <w:bookmarkStart w:id="36" w:name="_Toc184310286"/>
      <w:bookmarkEnd w:id="36"/>
      <w:bookmarkStart w:id="37" w:name="_Toc184310328"/>
      <w:bookmarkEnd w:id="37"/>
      <w:bookmarkStart w:id="38" w:name="_Toc184312131"/>
      <w:bookmarkEnd w:id="38"/>
      <w:bookmarkStart w:id="39" w:name="_Toc184314461"/>
      <w:bookmarkEnd w:id="39"/>
      <w:bookmarkStart w:id="40" w:name="_Toc184313274"/>
      <w:bookmarkEnd w:id="40"/>
      <w:bookmarkStart w:id="41" w:name="_Toc184313295"/>
      <w:bookmarkEnd w:id="41"/>
      <w:bookmarkStart w:id="42" w:name="_Toc184310334"/>
      <w:bookmarkEnd w:id="42"/>
      <w:bookmarkStart w:id="43" w:name="_Toc184314462"/>
      <w:bookmarkEnd w:id="43"/>
      <w:bookmarkStart w:id="44" w:name="_Toc184308071"/>
      <w:bookmarkEnd w:id="44"/>
      <w:bookmarkStart w:id="45" w:name="_Toc184308077"/>
      <w:bookmarkEnd w:id="45"/>
      <w:bookmarkStart w:id="46" w:name="_Toc184308079"/>
      <w:bookmarkEnd w:id="46"/>
      <w:bookmarkStart w:id="47" w:name="_Toc184308063"/>
      <w:bookmarkEnd w:id="47"/>
      <w:bookmarkStart w:id="48" w:name="_Toc184308037"/>
      <w:bookmarkEnd w:id="48"/>
      <w:bookmarkStart w:id="49" w:name="_Toc184310332"/>
      <w:bookmarkEnd w:id="49"/>
      <w:bookmarkStart w:id="50" w:name="_Toc184314477"/>
      <w:bookmarkEnd w:id="50"/>
      <w:bookmarkStart w:id="51" w:name="_Toc184308107"/>
      <w:bookmarkEnd w:id="51"/>
      <w:bookmarkStart w:id="52" w:name="_Toc184313238"/>
      <w:bookmarkEnd w:id="52"/>
      <w:bookmarkStart w:id="53" w:name="_Toc184313248"/>
      <w:bookmarkEnd w:id="53"/>
      <w:bookmarkStart w:id="54" w:name="_Toc184310283"/>
      <w:bookmarkEnd w:id="54"/>
      <w:bookmarkStart w:id="55" w:name="_Toc184312071"/>
      <w:bookmarkEnd w:id="55"/>
      <w:bookmarkStart w:id="56" w:name="_Toc184313298"/>
      <w:bookmarkEnd w:id="56"/>
      <w:bookmarkStart w:id="57" w:name="_Toc184310323"/>
      <w:bookmarkEnd w:id="57"/>
      <w:bookmarkStart w:id="58" w:name="_Toc184312139"/>
      <w:bookmarkEnd w:id="58"/>
      <w:bookmarkStart w:id="59" w:name="_Toc184313294"/>
      <w:bookmarkEnd w:id="59"/>
      <w:bookmarkStart w:id="60" w:name="_Toc184310338"/>
      <w:bookmarkEnd w:id="60"/>
      <w:bookmarkStart w:id="61" w:name="_Toc184314423"/>
      <w:bookmarkEnd w:id="61"/>
      <w:bookmarkStart w:id="62" w:name="_Toc184313279"/>
      <w:bookmarkEnd w:id="62"/>
      <w:bookmarkStart w:id="63" w:name="_Toc184314457"/>
      <w:bookmarkEnd w:id="63"/>
      <w:bookmarkStart w:id="64" w:name="_Toc184308089"/>
      <w:bookmarkEnd w:id="64"/>
      <w:bookmarkStart w:id="65" w:name="_Toc184310287"/>
      <w:bookmarkEnd w:id="65"/>
      <w:bookmarkStart w:id="66" w:name="_Toc184313308"/>
      <w:bookmarkEnd w:id="66"/>
      <w:bookmarkStart w:id="67" w:name="_Toc184314444"/>
      <w:bookmarkEnd w:id="67"/>
      <w:bookmarkStart w:id="68" w:name="_Toc184308090"/>
      <w:bookmarkEnd w:id="68"/>
      <w:bookmarkStart w:id="69" w:name="_Toc184312102"/>
      <w:bookmarkEnd w:id="69"/>
      <w:bookmarkStart w:id="70" w:name="_Toc184314452"/>
      <w:bookmarkEnd w:id="70"/>
      <w:bookmarkStart w:id="71" w:name="_Toc184308048"/>
      <w:bookmarkEnd w:id="71"/>
      <w:bookmarkStart w:id="72" w:name="_Toc184314480"/>
      <w:bookmarkEnd w:id="72"/>
      <w:bookmarkStart w:id="73" w:name="_Toc184308069"/>
      <w:bookmarkEnd w:id="73"/>
      <w:bookmarkStart w:id="74" w:name="_Toc184312093"/>
      <w:bookmarkEnd w:id="74"/>
      <w:bookmarkStart w:id="75" w:name="_Toc184310307"/>
      <w:bookmarkEnd w:id="75"/>
      <w:bookmarkStart w:id="76" w:name="_Toc184310319"/>
      <w:bookmarkEnd w:id="76"/>
      <w:bookmarkStart w:id="77" w:name="_Toc184314482"/>
      <w:bookmarkEnd w:id="77"/>
      <w:bookmarkStart w:id="78" w:name="_Toc184310306"/>
      <w:bookmarkEnd w:id="78"/>
      <w:bookmarkStart w:id="79" w:name="_Toc184313286"/>
      <w:bookmarkEnd w:id="79"/>
      <w:bookmarkStart w:id="80" w:name="_Toc184308085"/>
      <w:bookmarkEnd w:id="80"/>
      <w:bookmarkStart w:id="81" w:name="_Toc184312138"/>
      <w:bookmarkEnd w:id="81"/>
      <w:bookmarkStart w:id="82" w:name="_Toc184310325"/>
      <w:bookmarkEnd w:id="82"/>
      <w:bookmarkStart w:id="83" w:name="_Toc184313310"/>
      <w:bookmarkEnd w:id="83"/>
      <w:bookmarkStart w:id="84" w:name="_Toc184308087"/>
      <w:bookmarkEnd w:id="84"/>
      <w:bookmarkStart w:id="85" w:name="_Toc184308093"/>
      <w:bookmarkEnd w:id="85"/>
      <w:bookmarkStart w:id="86" w:name="_Toc184310285"/>
      <w:bookmarkEnd w:id="86"/>
      <w:bookmarkStart w:id="87" w:name="_Toc184313275"/>
      <w:bookmarkEnd w:id="87"/>
      <w:bookmarkStart w:id="88" w:name="_Toc184313301"/>
      <w:bookmarkEnd w:id="88"/>
      <w:bookmarkStart w:id="89" w:name="_Toc184314451"/>
      <w:bookmarkEnd w:id="89"/>
      <w:bookmarkStart w:id="90" w:name="_Toc184312137"/>
      <w:bookmarkEnd w:id="90"/>
      <w:bookmarkStart w:id="91" w:name="_Toc184314464"/>
      <w:bookmarkEnd w:id="91"/>
      <w:bookmarkStart w:id="92" w:name="_Toc184312114"/>
      <w:bookmarkEnd w:id="92"/>
      <w:bookmarkStart w:id="93" w:name="_Toc184308088"/>
      <w:bookmarkEnd w:id="93"/>
      <w:bookmarkStart w:id="94" w:name="_Toc184312107"/>
      <w:bookmarkEnd w:id="94"/>
      <w:bookmarkStart w:id="95" w:name="_Toc184312099"/>
      <w:bookmarkEnd w:id="95"/>
      <w:bookmarkStart w:id="96" w:name="_Toc184314445"/>
      <w:bookmarkEnd w:id="96"/>
      <w:bookmarkStart w:id="97" w:name="_Toc184308051"/>
      <w:bookmarkEnd w:id="97"/>
      <w:bookmarkStart w:id="98" w:name="_Toc184313291"/>
      <w:bookmarkEnd w:id="98"/>
      <w:bookmarkStart w:id="99" w:name="_Toc184312079"/>
      <w:bookmarkEnd w:id="99"/>
      <w:bookmarkStart w:id="100" w:name="_Toc184308062"/>
      <w:bookmarkEnd w:id="100"/>
      <w:bookmarkStart w:id="101" w:name="_Toc184312104"/>
      <w:bookmarkEnd w:id="101"/>
      <w:bookmarkStart w:id="102" w:name="_Toc184308092"/>
      <w:bookmarkEnd w:id="102"/>
      <w:bookmarkStart w:id="103" w:name="_Toc184313293"/>
      <w:bookmarkEnd w:id="103"/>
      <w:bookmarkStart w:id="104" w:name="_Toc184313247"/>
      <w:bookmarkEnd w:id="104"/>
      <w:bookmarkStart w:id="105" w:name="_Toc184313239"/>
      <w:bookmarkEnd w:id="105"/>
      <w:bookmarkStart w:id="106" w:name="_Toc184312133"/>
      <w:bookmarkEnd w:id="106"/>
      <w:bookmarkStart w:id="107" w:name="_Toc184313288"/>
      <w:bookmarkEnd w:id="107"/>
      <w:bookmarkStart w:id="108" w:name="_Toc184308086"/>
      <w:bookmarkEnd w:id="108"/>
      <w:bookmarkStart w:id="109" w:name="_Toc184314460"/>
      <w:bookmarkEnd w:id="109"/>
      <w:bookmarkStart w:id="110" w:name="_Toc184312136"/>
      <w:bookmarkEnd w:id="110"/>
      <w:bookmarkStart w:id="111" w:name="_Toc184314466"/>
      <w:bookmarkEnd w:id="111"/>
      <w:bookmarkStart w:id="112" w:name="_Toc184312121"/>
      <w:bookmarkEnd w:id="112"/>
      <w:bookmarkStart w:id="113" w:name="_Toc184314463"/>
      <w:bookmarkEnd w:id="113"/>
      <w:bookmarkStart w:id="114" w:name="_Toc184314476"/>
      <w:bookmarkEnd w:id="114"/>
      <w:bookmarkStart w:id="115" w:name="_Toc184314442"/>
      <w:bookmarkEnd w:id="115"/>
      <w:bookmarkStart w:id="116" w:name="_Toc184312120"/>
      <w:bookmarkEnd w:id="116"/>
      <w:bookmarkStart w:id="117" w:name="_Toc184308091"/>
      <w:bookmarkEnd w:id="117"/>
      <w:bookmarkStart w:id="118" w:name="_Toc184312127"/>
      <w:bookmarkEnd w:id="118"/>
      <w:bookmarkStart w:id="119" w:name="_Toc184314422"/>
      <w:bookmarkEnd w:id="119"/>
      <w:bookmarkStart w:id="120" w:name="_Toc184308094"/>
      <w:bookmarkEnd w:id="120"/>
      <w:bookmarkStart w:id="121" w:name="_Toc184310295"/>
      <w:bookmarkEnd w:id="121"/>
      <w:bookmarkStart w:id="122" w:name="_Toc184314473"/>
      <w:bookmarkEnd w:id="122"/>
      <w:bookmarkStart w:id="123" w:name="_Toc184313273"/>
      <w:bookmarkEnd w:id="123"/>
      <w:bookmarkStart w:id="124" w:name="_Toc184313259"/>
      <w:bookmarkEnd w:id="124"/>
      <w:bookmarkStart w:id="125" w:name="_Toc184308081"/>
      <w:bookmarkEnd w:id="125"/>
      <w:bookmarkStart w:id="126" w:name="_Toc184308057"/>
      <w:bookmarkEnd w:id="126"/>
      <w:bookmarkStart w:id="127" w:name="_Toc184312095"/>
      <w:bookmarkEnd w:id="127"/>
      <w:bookmarkStart w:id="128" w:name="_Toc184308082"/>
      <w:bookmarkEnd w:id="128"/>
      <w:bookmarkStart w:id="129" w:name="_Toc184310341"/>
      <w:bookmarkEnd w:id="129"/>
      <w:bookmarkStart w:id="130" w:name="_Toc184312088"/>
      <w:bookmarkEnd w:id="130"/>
      <w:bookmarkStart w:id="131" w:name="_Toc184310291"/>
      <w:bookmarkEnd w:id="131"/>
      <w:bookmarkStart w:id="132" w:name="_Toc184308078"/>
      <w:bookmarkEnd w:id="132"/>
      <w:bookmarkStart w:id="133" w:name="_Toc184312119"/>
      <w:bookmarkEnd w:id="133"/>
      <w:bookmarkStart w:id="134" w:name="_Toc184310315"/>
      <w:bookmarkEnd w:id="134"/>
      <w:bookmarkStart w:id="135" w:name="_Toc184312084"/>
      <w:bookmarkEnd w:id="135"/>
      <w:bookmarkStart w:id="136" w:name="_Toc184312098"/>
      <w:bookmarkEnd w:id="136"/>
      <w:bookmarkStart w:id="137" w:name="_Toc184308065"/>
      <w:bookmarkEnd w:id="137"/>
      <w:bookmarkStart w:id="138" w:name="_Toc184313249"/>
      <w:bookmarkEnd w:id="138"/>
      <w:bookmarkStart w:id="139" w:name="_Toc184313250"/>
      <w:bookmarkEnd w:id="139"/>
      <w:bookmarkStart w:id="140" w:name="_Toc184312083"/>
      <w:bookmarkEnd w:id="140"/>
      <w:bookmarkStart w:id="141" w:name="_Toc184314475"/>
      <w:bookmarkEnd w:id="141"/>
      <w:bookmarkStart w:id="142" w:name="_Toc184313242"/>
      <w:bookmarkEnd w:id="142"/>
      <w:bookmarkStart w:id="143" w:name="_Toc184314446"/>
      <w:bookmarkEnd w:id="143"/>
      <w:bookmarkStart w:id="144" w:name="_Toc184308084"/>
      <w:bookmarkEnd w:id="144"/>
      <w:bookmarkStart w:id="145" w:name="_Toc184310282"/>
      <w:bookmarkEnd w:id="145"/>
      <w:bookmarkStart w:id="146" w:name="_Toc184310301"/>
      <w:bookmarkEnd w:id="146"/>
      <w:bookmarkStart w:id="147" w:name="_Toc184314443"/>
      <w:bookmarkEnd w:id="147"/>
      <w:bookmarkStart w:id="148" w:name="_Toc184310302"/>
      <w:bookmarkEnd w:id="148"/>
      <w:bookmarkStart w:id="149" w:name="_Toc184308047"/>
      <w:bookmarkEnd w:id="149"/>
      <w:bookmarkStart w:id="150" w:name="_Toc184310293"/>
      <w:bookmarkEnd w:id="150"/>
      <w:bookmarkStart w:id="151" w:name="_Toc184314426"/>
      <w:bookmarkEnd w:id="151"/>
      <w:bookmarkStart w:id="152" w:name="_Toc184313267"/>
      <w:bookmarkEnd w:id="152"/>
      <w:bookmarkStart w:id="153" w:name="_Toc184310329"/>
      <w:bookmarkEnd w:id="153"/>
      <w:bookmarkStart w:id="154" w:name="_Toc184314428"/>
      <w:bookmarkEnd w:id="154"/>
      <w:bookmarkStart w:id="155" w:name="_Toc184308108"/>
      <w:bookmarkEnd w:id="155"/>
      <w:bookmarkStart w:id="156" w:name="_Toc184313302"/>
      <w:bookmarkEnd w:id="156"/>
      <w:bookmarkStart w:id="157" w:name="_Toc184310310"/>
      <w:bookmarkEnd w:id="157"/>
      <w:bookmarkStart w:id="158" w:name="_Toc184313257"/>
      <w:bookmarkEnd w:id="158"/>
      <w:bookmarkStart w:id="159" w:name="_Toc184313271"/>
      <w:bookmarkEnd w:id="159"/>
      <w:bookmarkStart w:id="160" w:name="_Toc184313269"/>
      <w:bookmarkEnd w:id="160"/>
      <w:bookmarkStart w:id="161" w:name="_Toc184312086"/>
      <w:bookmarkEnd w:id="161"/>
      <w:bookmarkStart w:id="162" w:name="_Toc184308074"/>
      <w:bookmarkEnd w:id="162"/>
      <w:bookmarkStart w:id="163" w:name="_Toc184313281"/>
      <w:bookmarkEnd w:id="163"/>
      <w:bookmarkStart w:id="164" w:name="_Toc184310308"/>
      <w:bookmarkEnd w:id="164"/>
      <w:bookmarkStart w:id="165" w:name="_Toc184314440"/>
      <w:bookmarkEnd w:id="165"/>
      <w:bookmarkStart w:id="166" w:name="_Toc184314465"/>
      <w:bookmarkEnd w:id="166"/>
      <w:bookmarkStart w:id="167" w:name="_Toc184313252"/>
      <w:bookmarkEnd w:id="167"/>
      <w:bookmarkStart w:id="168" w:name="_Toc184313240"/>
      <w:bookmarkEnd w:id="168"/>
      <w:bookmarkStart w:id="169" w:name="_Toc184312080"/>
      <w:bookmarkEnd w:id="169"/>
      <w:bookmarkStart w:id="170" w:name="_Toc184314437"/>
      <w:bookmarkEnd w:id="170"/>
      <w:bookmarkStart w:id="171" w:name="_Toc184310294"/>
      <w:bookmarkEnd w:id="171"/>
      <w:bookmarkStart w:id="172" w:name="_Toc184313258"/>
      <w:bookmarkEnd w:id="172"/>
      <w:bookmarkStart w:id="173" w:name="_Toc184313255"/>
      <w:bookmarkEnd w:id="173"/>
      <w:bookmarkStart w:id="174" w:name="_Toc184312101"/>
      <w:bookmarkEnd w:id="174"/>
      <w:bookmarkStart w:id="175" w:name="_Toc184314435"/>
      <w:bookmarkEnd w:id="175"/>
      <w:bookmarkStart w:id="176" w:name="_Toc184313278"/>
      <w:bookmarkEnd w:id="176"/>
      <w:bookmarkStart w:id="177" w:name="_Toc184314441"/>
      <w:bookmarkEnd w:id="177"/>
      <w:bookmarkStart w:id="178" w:name="_Toc184313270"/>
      <w:bookmarkEnd w:id="178"/>
      <w:bookmarkStart w:id="179" w:name="_Toc184313243"/>
      <w:bookmarkEnd w:id="179"/>
      <w:bookmarkStart w:id="180" w:name="_Toc184310320"/>
      <w:bookmarkEnd w:id="180"/>
      <w:bookmarkStart w:id="181" w:name="_Toc184313309"/>
      <w:bookmarkEnd w:id="181"/>
      <w:bookmarkStart w:id="182" w:name="_Toc184308050"/>
      <w:bookmarkEnd w:id="182"/>
      <w:bookmarkStart w:id="183" w:name="_Toc184312128"/>
      <w:bookmarkEnd w:id="183"/>
      <w:bookmarkStart w:id="184" w:name="_Toc184308096"/>
      <w:bookmarkEnd w:id="184"/>
      <w:bookmarkStart w:id="185" w:name="_Toc184308080"/>
      <w:bookmarkEnd w:id="185"/>
      <w:bookmarkStart w:id="186" w:name="_Toc184312125"/>
      <w:bookmarkEnd w:id="186"/>
      <w:bookmarkStart w:id="187" w:name="_Toc184314471"/>
      <w:bookmarkEnd w:id="187"/>
      <w:bookmarkStart w:id="188" w:name="_Toc184313265"/>
      <w:bookmarkEnd w:id="188"/>
      <w:bookmarkStart w:id="189" w:name="_Toc184313284"/>
      <w:bookmarkEnd w:id="189"/>
      <w:bookmarkStart w:id="190" w:name="_Toc184310336"/>
      <w:bookmarkEnd w:id="190"/>
      <w:bookmarkStart w:id="191" w:name="_Toc184312089"/>
      <w:bookmarkEnd w:id="191"/>
      <w:bookmarkStart w:id="192" w:name="_Toc184308045"/>
      <w:bookmarkEnd w:id="192"/>
      <w:bookmarkStart w:id="193" w:name="_Toc184314459"/>
      <w:bookmarkEnd w:id="193"/>
      <w:bookmarkStart w:id="194" w:name="_Toc184312117"/>
      <w:bookmarkEnd w:id="194"/>
      <w:bookmarkStart w:id="195" w:name="_Toc184312094"/>
      <w:bookmarkEnd w:id="195"/>
      <w:bookmarkStart w:id="196" w:name="_Toc184312110"/>
      <w:bookmarkEnd w:id="196"/>
      <w:bookmarkStart w:id="197" w:name="_Toc184314430"/>
      <w:bookmarkEnd w:id="197"/>
      <w:bookmarkStart w:id="198" w:name="_Toc184312115"/>
      <w:bookmarkEnd w:id="198"/>
      <w:bookmarkStart w:id="199" w:name="_Toc184312068"/>
      <w:bookmarkEnd w:id="199"/>
      <w:bookmarkStart w:id="200" w:name="_Toc184313251"/>
      <w:bookmarkEnd w:id="200"/>
      <w:bookmarkStart w:id="201" w:name="_Toc184308053"/>
      <w:bookmarkEnd w:id="201"/>
      <w:bookmarkStart w:id="202" w:name="_Toc184314421"/>
      <w:bookmarkEnd w:id="202"/>
      <w:bookmarkStart w:id="203" w:name="_Toc184314424"/>
      <w:bookmarkEnd w:id="203"/>
      <w:bookmarkStart w:id="204" w:name="_Toc184310281"/>
      <w:bookmarkEnd w:id="204"/>
      <w:bookmarkStart w:id="205" w:name="_Toc184310321"/>
      <w:bookmarkEnd w:id="205"/>
      <w:bookmarkStart w:id="206" w:name="_Toc184308073"/>
      <w:bookmarkEnd w:id="206"/>
      <w:bookmarkStart w:id="207" w:name="_Toc184313290"/>
      <w:bookmarkEnd w:id="207"/>
      <w:bookmarkStart w:id="208" w:name="_Toc184310304"/>
      <w:bookmarkEnd w:id="208"/>
      <w:bookmarkStart w:id="209" w:name="_Toc184314420"/>
      <w:bookmarkEnd w:id="209"/>
      <w:bookmarkStart w:id="210" w:name="_Toc184314427"/>
      <w:bookmarkEnd w:id="210"/>
      <w:bookmarkStart w:id="211" w:name="_Toc184312078"/>
      <w:bookmarkEnd w:id="211"/>
      <w:bookmarkStart w:id="212" w:name="_Toc184310331"/>
      <w:bookmarkEnd w:id="212"/>
      <w:bookmarkStart w:id="213" w:name="_Toc184313296"/>
      <w:bookmarkEnd w:id="213"/>
      <w:bookmarkStart w:id="214" w:name="_Toc184314438"/>
      <w:bookmarkEnd w:id="214"/>
      <w:bookmarkStart w:id="215" w:name="_Toc184312132"/>
      <w:bookmarkEnd w:id="215"/>
      <w:bookmarkStart w:id="216" w:name="_Toc184312090"/>
      <w:bookmarkEnd w:id="216"/>
      <w:bookmarkStart w:id="217" w:name="_Toc184308056"/>
      <w:bookmarkEnd w:id="217"/>
      <w:bookmarkStart w:id="218" w:name="_Toc184312130"/>
      <w:bookmarkEnd w:id="218"/>
      <w:bookmarkStart w:id="219" w:name="_Toc184312134"/>
      <w:bookmarkEnd w:id="219"/>
      <w:bookmarkStart w:id="220" w:name="_Toc184313300"/>
      <w:bookmarkEnd w:id="220"/>
      <w:bookmarkStart w:id="221" w:name="_Toc184314412"/>
      <w:bookmarkEnd w:id="221"/>
      <w:bookmarkStart w:id="222" w:name="_Toc184308097"/>
      <w:bookmarkEnd w:id="222"/>
      <w:bookmarkStart w:id="223" w:name="_Toc184308046"/>
      <w:bookmarkEnd w:id="223"/>
      <w:bookmarkStart w:id="224" w:name="_Toc184308036"/>
      <w:bookmarkEnd w:id="224"/>
      <w:bookmarkStart w:id="225" w:name="_Toc184312129"/>
      <w:bookmarkEnd w:id="225"/>
      <w:bookmarkStart w:id="226" w:name="_Toc184308103"/>
      <w:bookmarkEnd w:id="226"/>
      <w:bookmarkStart w:id="227" w:name="_Toc184308095"/>
      <w:bookmarkEnd w:id="227"/>
      <w:bookmarkStart w:id="228" w:name="_Toc184308098"/>
      <w:bookmarkEnd w:id="228"/>
      <w:bookmarkStart w:id="229" w:name="_Toc184312091"/>
      <w:bookmarkEnd w:id="229"/>
      <w:bookmarkStart w:id="230" w:name="_Toc184313304"/>
      <w:bookmarkEnd w:id="230"/>
      <w:bookmarkStart w:id="231" w:name="_Toc184308068"/>
      <w:bookmarkEnd w:id="231"/>
      <w:bookmarkStart w:id="232" w:name="_Toc184312070"/>
      <w:bookmarkEnd w:id="232"/>
      <w:bookmarkStart w:id="233" w:name="_Toc184313305"/>
      <w:bookmarkEnd w:id="233"/>
      <w:bookmarkStart w:id="234" w:name="_Toc184314469"/>
      <w:bookmarkEnd w:id="234"/>
      <w:bookmarkStart w:id="235" w:name="_Toc184308061"/>
      <w:bookmarkEnd w:id="235"/>
      <w:bookmarkStart w:id="236" w:name="_Toc184314470"/>
      <w:bookmarkEnd w:id="236"/>
      <w:bookmarkStart w:id="237" w:name="_Toc184314468"/>
      <w:bookmarkEnd w:id="237"/>
      <w:bookmarkStart w:id="238" w:name="_Toc184314431"/>
      <w:bookmarkEnd w:id="238"/>
      <w:bookmarkStart w:id="239" w:name="_Toc184314481"/>
      <w:bookmarkEnd w:id="239"/>
      <w:bookmarkStart w:id="240" w:name="_Toc184313299"/>
      <w:bookmarkEnd w:id="240"/>
      <w:bookmarkStart w:id="241" w:name="_Toc184314467"/>
      <w:bookmarkEnd w:id="241"/>
      <w:bookmarkStart w:id="242" w:name="_Toc184310330"/>
      <w:bookmarkEnd w:id="242"/>
      <w:bookmarkStart w:id="243" w:name="_Toc184312109"/>
      <w:bookmarkEnd w:id="243"/>
      <w:bookmarkStart w:id="244" w:name="_Toc184312123"/>
      <w:bookmarkEnd w:id="244"/>
      <w:bookmarkStart w:id="245" w:name="_Toc184310305"/>
      <w:bookmarkEnd w:id="245"/>
      <w:bookmarkStart w:id="246" w:name="_Toc184308076"/>
      <w:bookmarkEnd w:id="246"/>
      <w:bookmarkStart w:id="247" w:name="_Toc184308101"/>
      <w:bookmarkEnd w:id="247"/>
      <w:bookmarkStart w:id="248" w:name="_Toc184308100"/>
      <w:bookmarkEnd w:id="248"/>
      <w:bookmarkStart w:id="249" w:name="_Toc184310340"/>
      <w:bookmarkEnd w:id="249"/>
      <w:bookmarkStart w:id="250" w:name="_Toc184310298"/>
      <w:bookmarkEnd w:id="250"/>
      <w:bookmarkStart w:id="251" w:name="_Toc184313256"/>
      <w:bookmarkEnd w:id="251"/>
      <w:bookmarkStart w:id="252" w:name="_Toc184313285"/>
      <w:bookmarkEnd w:id="252"/>
      <w:bookmarkStart w:id="253" w:name="_Toc184310313"/>
      <w:bookmarkEnd w:id="253"/>
      <w:bookmarkStart w:id="254" w:name="_Toc184313283"/>
      <w:bookmarkEnd w:id="254"/>
      <w:bookmarkStart w:id="255" w:name="_Toc184313272"/>
      <w:bookmarkEnd w:id="255"/>
      <w:bookmarkStart w:id="256" w:name="_Toc184313264"/>
      <w:bookmarkEnd w:id="256"/>
      <w:bookmarkStart w:id="257" w:name="_Toc184312081"/>
      <w:bookmarkEnd w:id="257"/>
      <w:bookmarkStart w:id="258" w:name="_Toc184308052"/>
      <w:bookmarkEnd w:id="258"/>
      <w:bookmarkStart w:id="259" w:name="_Toc184308083"/>
      <w:bookmarkEnd w:id="259"/>
      <w:bookmarkStart w:id="260" w:name="_Toc184313307"/>
      <w:bookmarkEnd w:id="260"/>
      <w:bookmarkStart w:id="261" w:name="_Toc184308066"/>
      <w:bookmarkEnd w:id="261"/>
      <w:bookmarkStart w:id="262" w:name="_Toc184314454"/>
      <w:bookmarkEnd w:id="262"/>
      <w:bookmarkStart w:id="263" w:name="_Toc184310335"/>
      <w:bookmarkEnd w:id="263"/>
      <w:bookmarkStart w:id="264" w:name="_Toc184312103"/>
      <w:bookmarkEnd w:id="264"/>
      <w:bookmarkStart w:id="265" w:name="_Toc184310322"/>
      <w:bookmarkEnd w:id="265"/>
      <w:bookmarkStart w:id="266" w:name="_Toc184314417"/>
      <w:bookmarkEnd w:id="266"/>
      <w:bookmarkStart w:id="267" w:name="_Toc184308072"/>
      <w:bookmarkEnd w:id="267"/>
      <w:bookmarkStart w:id="268" w:name="_Toc184310314"/>
      <w:bookmarkEnd w:id="268"/>
      <w:bookmarkStart w:id="269" w:name="_Toc184310292"/>
      <w:bookmarkEnd w:id="269"/>
      <w:bookmarkStart w:id="270" w:name="_Toc184313245"/>
      <w:bookmarkEnd w:id="270"/>
      <w:bookmarkStart w:id="271" w:name="_Toc184313261"/>
      <w:bookmarkEnd w:id="271"/>
      <w:bookmarkStart w:id="272" w:name="_Toc184312135"/>
      <w:bookmarkEnd w:id="272"/>
      <w:bookmarkStart w:id="273" w:name="_Toc184313303"/>
      <w:bookmarkEnd w:id="273"/>
      <w:bookmarkStart w:id="274" w:name="_Toc184308106"/>
      <w:bookmarkEnd w:id="274"/>
      <w:bookmarkStart w:id="275" w:name="_Toc184312092"/>
      <w:bookmarkEnd w:id="275"/>
      <w:bookmarkStart w:id="276" w:name="_Toc184314455"/>
      <w:bookmarkEnd w:id="276"/>
      <w:bookmarkStart w:id="277" w:name="_Toc184310277"/>
      <w:bookmarkEnd w:id="277"/>
      <w:bookmarkStart w:id="278" w:name="_Toc184314436"/>
      <w:bookmarkEnd w:id="278"/>
      <w:bookmarkStart w:id="279" w:name="_Toc184308060"/>
      <w:bookmarkEnd w:id="279"/>
      <w:bookmarkStart w:id="280" w:name="_Toc184312069"/>
      <w:bookmarkEnd w:id="280"/>
      <w:bookmarkStart w:id="281" w:name="_Toc184310309"/>
      <w:bookmarkEnd w:id="281"/>
      <w:bookmarkStart w:id="282" w:name="_Toc184314439"/>
      <w:bookmarkEnd w:id="282"/>
      <w:bookmarkStart w:id="283" w:name="_Toc184310288"/>
      <w:bookmarkEnd w:id="283"/>
      <w:bookmarkStart w:id="284" w:name="_Toc184308059"/>
      <w:bookmarkEnd w:id="284"/>
      <w:bookmarkStart w:id="285" w:name="_Toc184310300"/>
      <w:bookmarkEnd w:id="285"/>
      <w:bookmarkStart w:id="286" w:name="_Toc184308075"/>
      <w:bookmarkEnd w:id="286"/>
      <w:bookmarkStart w:id="287" w:name="_Toc184308049"/>
      <w:bookmarkEnd w:id="287"/>
      <w:bookmarkStart w:id="288" w:name="_Toc184314425"/>
      <w:bookmarkEnd w:id="288"/>
      <w:bookmarkStart w:id="289" w:name="_Toc184312082"/>
      <w:bookmarkEnd w:id="289"/>
      <w:bookmarkStart w:id="290" w:name="_Toc184313253"/>
      <w:bookmarkEnd w:id="290"/>
      <w:bookmarkStart w:id="291" w:name="_Toc184313282"/>
      <w:bookmarkEnd w:id="291"/>
      <w:bookmarkStart w:id="292" w:name="_Toc184308042"/>
      <w:bookmarkEnd w:id="292"/>
      <w:bookmarkStart w:id="293" w:name="_Toc184310344"/>
      <w:bookmarkEnd w:id="293"/>
      <w:bookmarkStart w:id="294" w:name="_Toc184310276"/>
      <w:bookmarkEnd w:id="294"/>
      <w:bookmarkStart w:id="295" w:name="_Toc184310342"/>
      <w:bookmarkEnd w:id="295"/>
      <w:bookmarkStart w:id="296" w:name="_Toc184314433"/>
      <w:bookmarkEnd w:id="296"/>
      <w:bookmarkStart w:id="297" w:name="_Toc184314448"/>
      <w:bookmarkEnd w:id="297"/>
      <w:bookmarkStart w:id="298" w:name="_Toc184310279"/>
      <w:bookmarkEnd w:id="298"/>
      <w:bookmarkStart w:id="299" w:name="_Toc184313306"/>
      <w:bookmarkEnd w:id="299"/>
      <w:bookmarkStart w:id="300" w:name="_Toc184310278"/>
      <w:bookmarkEnd w:id="300"/>
      <w:bookmarkStart w:id="301" w:name="_Toc184308099"/>
      <w:bookmarkEnd w:id="301"/>
      <w:bookmarkStart w:id="302" w:name="_Toc184313280"/>
      <w:bookmarkEnd w:id="302"/>
      <w:bookmarkStart w:id="303" w:name="_Toc184312126"/>
      <w:bookmarkEnd w:id="303"/>
      <w:bookmarkStart w:id="304" w:name="_Toc184312122"/>
      <w:bookmarkEnd w:id="304"/>
      <w:bookmarkStart w:id="305" w:name="_Toc184310311"/>
      <w:bookmarkEnd w:id="305"/>
      <w:bookmarkStart w:id="306" w:name="_Toc184314419"/>
      <w:bookmarkEnd w:id="306"/>
      <w:bookmarkStart w:id="307" w:name="_Toc184312096"/>
      <w:bookmarkEnd w:id="307"/>
      <w:bookmarkStart w:id="308" w:name="_Toc184310280"/>
      <w:bookmarkEnd w:id="308"/>
      <w:bookmarkStart w:id="309" w:name="_Toc184312074"/>
      <w:bookmarkEnd w:id="309"/>
      <w:bookmarkStart w:id="310" w:name="_Toc184314472"/>
      <w:bookmarkEnd w:id="310"/>
      <w:bookmarkStart w:id="311" w:name="_Toc184313244"/>
      <w:bookmarkEnd w:id="311"/>
      <w:bookmarkStart w:id="312" w:name="_Toc184312075"/>
      <w:bookmarkEnd w:id="312"/>
      <w:bookmarkStart w:id="313" w:name="_Toc184312077"/>
      <w:bookmarkEnd w:id="313"/>
      <w:bookmarkStart w:id="314" w:name="_Toc184314456"/>
      <w:bookmarkEnd w:id="314"/>
      <w:bookmarkStart w:id="315" w:name="_Toc184313297"/>
      <w:bookmarkEnd w:id="315"/>
      <w:bookmarkStart w:id="316" w:name="_Toc184310318"/>
      <w:bookmarkEnd w:id="316"/>
      <w:bookmarkStart w:id="317" w:name="_Toc184312111"/>
      <w:bookmarkEnd w:id="317"/>
      <w:bookmarkStart w:id="318" w:name="_Toc184310272"/>
      <w:bookmarkEnd w:id="318"/>
      <w:bookmarkStart w:id="319" w:name="_Toc184312124"/>
      <w:bookmarkEnd w:id="319"/>
      <w:bookmarkStart w:id="320" w:name="_Toc184314414"/>
      <w:bookmarkEnd w:id="320"/>
      <w:bookmarkStart w:id="321" w:name="_Toc184314415"/>
      <w:bookmarkEnd w:id="321"/>
      <w:bookmarkStart w:id="322" w:name="_Toc184312118"/>
      <w:bookmarkEnd w:id="322"/>
      <w:bookmarkStart w:id="323" w:name="_Toc184310324"/>
      <w:bookmarkEnd w:id="323"/>
      <w:bookmarkStart w:id="324" w:name="_Toc184308041"/>
      <w:bookmarkEnd w:id="324"/>
      <w:bookmarkStart w:id="325" w:name="_Toc184308044"/>
      <w:bookmarkEnd w:id="325"/>
      <w:bookmarkStart w:id="326" w:name="_Toc184310312"/>
      <w:bookmarkEnd w:id="326"/>
      <w:bookmarkStart w:id="327" w:name="_Toc184312076"/>
      <w:bookmarkEnd w:id="327"/>
      <w:bookmarkStart w:id="328" w:name="_Toc184312113"/>
      <w:bookmarkEnd w:id="328"/>
      <w:bookmarkStart w:id="329" w:name="_Toc184310316"/>
      <w:bookmarkEnd w:id="329"/>
      <w:bookmarkStart w:id="330" w:name="_Toc184314416"/>
      <w:bookmarkEnd w:id="330"/>
      <w:bookmarkStart w:id="331" w:name="_Toc184314418"/>
      <w:bookmarkEnd w:id="331"/>
      <w:bookmarkStart w:id="332" w:name="_Toc184312073"/>
      <w:bookmarkEnd w:id="332"/>
      <w:bookmarkStart w:id="333" w:name="_Toc184313289"/>
      <w:bookmarkEnd w:id="333"/>
      <w:bookmarkStart w:id="334" w:name="_Toc184313246"/>
      <w:bookmarkEnd w:id="334"/>
      <w:bookmarkStart w:id="335" w:name="_Toc184313260"/>
      <w:bookmarkEnd w:id="335"/>
      <w:bookmarkStart w:id="336" w:name="_Toc184310274"/>
      <w:bookmarkEnd w:id="336"/>
      <w:bookmarkStart w:id="337" w:name="_Toc184308043"/>
      <w:bookmarkEnd w:id="337"/>
      <w:bookmarkStart w:id="338" w:name="_Toc184308105"/>
      <w:bookmarkEnd w:id="338"/>
      <w:bookmarkStart w:id="339" w:name="_Toc184310339"/>
      <w:bookmarkEnd w:id="339"/>
      <w:bookmarkStart w:id="340" w:name="_Toc184308104"/>
      <w:bookmarkEnd w:id="340"/>
      <w:bookmarkStart w:id="341" w:name="_Toc184312085"/>
      <w:bookmarkEnd w:id="341"/>
      <w:bookmarkStart w:id="342" w:name="_Toc184314411"/>
      <w:bookmarkEnd w:id="342"/>
      <w:bookmarkStart w:id="343" w:name="_Toc184314474"/>
      <w:bookmarkEnd w:id="343"/>
      <w:bookmarkStart w:id="344" w:name="_Toc184314458"/>
      <w:bookmarkEnd w:id="344"/>
      <w:bookmarkStart w:id="345" w:name="_Toc184308038"/>
      <w:bookmarkEnd w:id="345"/>
      <w:bookmarkStart w:id="346" w:name="_Toc184310290"/>
      <w:bookmarkEnd w:id="346"/>
      <w:bookmarkStart w:id="347" w:name="_Toc184314450"/>
      <w:bookmarkEnd w:id="347"/>
      <w:bookmarkStart w:id="348" w:name="_Toc184308040"/>
      <w:bookmarkEnd w:id="348"/>
      <w:bookmarkStart w:id="349" w:name="_Toc184313292"/>
      <w:bookmarkEnd w:id="349"/>
      <w:bookmarkStart w:id="350" w:name="_Toc184312072"/>
      <w:bookmarkEnd w:id="350"/>
      <w:bookmarkStart w:id="351" w:name="_Toc184312067"/>
      <w:bookmarkEnd w:id="351"/>
      <w:bookmarkStart w:id="352" w:name="_Toc184310296"/>
      <w:bookmarkEnd w:id="352"/>
      <w:bookmarkStart w:id="353" w:name="_Toc184313266"/>
      <w:bookmarkEnd w:id="353"/>
      <w:bookmarkStart w:id="354" w:name="_Toc184314449"/>
      <w:bookmarkEnd w:id="354"/>
      <w:bookmarkStart w:id="355" w:name="_Toc184310289"/>
      <w:bookmarkEnd w:id="355"/>
      <w:bookmarkStart w:id="356" w:name="_Toc184313268"/>
      <w:bookmarkEnd w:id="356"/>
      <w:bookmarkStart w:id="357" w:name="_Toc184314413"/>
      <w:bookmarkEnd w:id="357"/>
      <w:bookmarkStart w:id="358" w:name="_Toc184313262"/>
      <w:bookmarkEnd w:id="358"/>
      <w:bookmarkStart w:id="359" w:name="_Toc184310297"/>
      <w:bookmarkEnd w:id="359"/>
      <w:bookmarkStart w:id="360" w:name="_Toc184314478"/>
      <w:bookmarkEnd w:id="360"/>
      <w:bookmarkStart w:id="361" w:name="_Toc184313277"/>
      <w:bookmarkEnd w:id="361"/>
      <w:bookmarkStart w:id="362" w:name="_Toc184312097"/>
      <w:bookmarkEnd w:id="362"/>
      <w:bookmarkStart w:id="363" w:name="_Toc184308039"/>
      <w:bookmarkEnd w:id="363"/>
      <w:bookmarkStart w:id="364" w:name="_Toc184312116"/>
      <w:bookmarkEnd w:id="364"/>
      <w:bookmarkStart w:id="365" w:name="_Toc184314453"/>
      <w:bookmarkEnd w:id="365"/>
      <w:bookmarkStart w:id="366" w:name="_Toc184310299"/>
      <w:bookmarkEnd w:id="366"/>
      <w:bookmarkStart w:id="367" w:name="_Toc184314429"/>
      <w:bookmarkEnd w:id="367"/>
      <w:bookmarkStart w:id="368" w:name="_Toc184314434"/>
      <w:bookmarkEnd w:id="368"/>
      <w:bookmarkStart w:id="369" w:name="_Toc184308054"/>
      <w:bookmarkEnd w:id="369"/>
      <w:bookmarkStart w:id="370" w:name="_Toc184312112"/>
      <w:bookmarkEnd w:id="370"/>
      <w:bookmarkStart w:id="371" w:name="_Toc184310275"/>
      <w:bookmarkEnd w:id="371"/>
      <w:bookmarkStart w:id="372" w:name="_Toc184313263"/>
      <w:bookmarkEnd w:id="372"/>
      <w:bookmarkStart w:id="373" w:name="_Toc184312105"/>
      <w:bookmarkEnd w:id="373"/>
      <w:bookmarkStart w:id="374" w:name="_Toc184308064"/>
      <w:bookmarkEnd w:id="374"/>
      <w:bookmarkStart w:id="375" w:name="_Toc184313241"/>
      <w:bookmarkEnd w:id="375"/>
      <w:bookmarkStart w:id="376" w:name="_Toc184310273"/>
      <w:bookmarkEnd w:id="376"/>
      <w:bookmarkStart w:id="377" w:name="_Toc184313287"/>
      <w:bookmarkEnd w:id="377"/>
      <w:bookmarkStart w:id="378" w:name="_Toc184312100"/>
      <w:bookmarkEnd w:id="378"/>
      <w:bookmarkStart w:id="379" w:name="_Toc184312087"/>
      <w:bookmarkEnd w:id="379"/>
      <w:bookmarkStart w:id="380" w:name="_Toc184308055"/>
      <w:bookmarkEnd w:id="380"/>
      <w:bookmarkStart w:id="381" w:name="_Toc184312106"/>
      <w:bookmarkEnd w:id="381"/>
      <w:bookmarkStart w:id="382" w:name="_Toc184310317"/>
      <w:bookmarkEnd w:id="382"/>
      <w:bookmarkStart w:id="383" w:name="_Toc184310343"/>
      <w:bookmarkEnd w:id="383"/>
      <w:bookmarkStart w:id="384" w:name="_Toc184314447"/>
      <w:bookmarkEnd w:id="384"/>
      <w:bookmarkStart w:id="385" w:name="_Toc184308058"/>
      <w:bookmarkEnd w:id="385"/>
      <w:bookmarkStart w:id="386" w:name="_Toc184312108"/>
      <w:bookmarkEnd w:id="386"/>
      <w:bookmarkStart w:id="387" w:name="_Toc184313254"/>
      <w:bookmarkEnd w:id="387"/>
      <w:bookmarkStart w:id="388" w:name="_Toc184310303"/>
      <w:bookmarkEnd w:id="388"/>
      <w:bookmarkStart w:id="389" w:name="_Toc184308102"/>
      <w:bookmarkEnd w:id="389"/>
      <w:bookmarkStart w:id="390" w:name="_Toc184308070"/>
      <w:bookmarkEnd w:id="390"/>
      <w:bookmarkStart w:id="391" w:name="_Toc184314432"/>
      <w:bookmarkEnd w:id="391"/>
      <w:r>
        <w:rPr>
          <w:rFonts w:hint="eastAsia" w:ascii="宋体" w:hAnsi="宋体" w:eastAsia="宋体" w:cs="宋体"/>
          <w:b/>
          <w:sz w:val="36"/>
          <w:szCs w:val="36"/>
        </w:rPr>
        <w:t>评标办法</w:t>
      </w:r>
    </w:p>
    <w:p>
      <w:pPr>
        <w:snapToGrid w:val="0"/>
        <w:spacing w:line="360" w:lineRule="auto"/>
        <w:jc w:val="center"/>
        <w:rPr>
          <w:rFonts w:hint="eastAsia" w:ascii="宋体" w:hAnsi="宋体" w:eastAsia="宋体" w:cs="宋体"/>
          <w:b/>
          <w:sz w:val="32"/>
          <w:szCs w:val="20"/>
        </w:rPr>
      </w:pPr>
      <w:r>
        <w:rPr>
          <w:rFonts w:hint="eastAsia" w:ascii="宋体" w:hAnsi="宋体" w:eastAsia="宋体" w:cs="宋体"/>
          <w:b/>
          <w:sz w:val="32"/>
          <w:szCs w:val="20"/>
        </w:rPr>
        <w:t>评标办法前附表</w:t>
      </w:r>
    </w:p>
    <w:tbl>
      <w:tblPr>
        <w:tblStyle w:val="62"/>
        <w:tblpPr w:leftFromText="180" w:rightFromText="180" w:vertAnchor="text" w:horzAnchor="page" w:tblpX="1031" w:tblpY="126"/>
        <w:tblW w:w="50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6405"/>
        <w:gridCol w:w="1110"/>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395" w:type="pct"/>
            <w:vAlign w:val="center"/>
          </w:tcPr>
          <w:p>
            <w:pPr>
              <w:spacing w:line="360" w:lineRule="auto"/>
              <w:jc w:val="center"/>
              <w:outlineLvl w:val="0"/>
              <w:rPr>
                <w:rFonts w:hint="eastAsia" w:ascii="宋体" w:hAnsi="宋体" w:eastAsia="宋体" w:cs="宋体"/>
                <w:bCs/>
                <w:sz w:val="24"/>
              </w:rPr>
            </w:pPr>
            <w:r>
              <w:rPr>
                <w:rFonts w:hint="eastAsia" w:ascii="宋体" w:hAnsi="宋体" w:eastAsia="宋体" w:cs="宋体"/>
                <w:bCs/>
                <w:sz w:val="24"/>
              </w:rPr>
              <w:t>序号</w:t>
            </w:r>
          </w:p>
        </w:tc>
        <w:tc>
          <w:tcPr>
            <w:tcW w:w="3115" w:type="pct"/>
            <w:vAlign w:val="center"/>
          </w:tcPr>
          <w:p>
            <w:pPr>
              <w:spacing w:line="360" w:lineRule="auto"/>
              <w:ind w:firstLine="1560" w:firstLineChars="650"/>
              <w:outlineLvl w:val="0"/>
              <w:rPr>
                <w:rFonts w:hint="eastAsia" w:ascii="宋体" w:hAnsi="宋体" w:eastAsia="宋体" w:cs="宋体"/>
                <w:bCs/>
                <w:sz w:val="24"/>
              </w:rPr>
            </w:pPr>
            <w:r>
              <w:rPr>
                <w:rFonts w:hint="eastAsia" w:ascii="宋体" w:hAnsi="宋体" w:eastAsia="宋体" w:cs="宋体"/>
                <w:bCs/>
                <w:sz w:val="24"/>
              </w:rPr>
              <w:t>评标标准</w:t>
            </w:r>
          </w:p>
        </w:tc>
        <w:tc>
          <w:tcPr>
            <w:tcW w:w="539" w:type="pct"/>
            <w:vAlign w:val="center"/>
          </w:tcPr>
          <w:p>
            <w:pPr>
              <w:spacing w:line="360" w:lineRule="auto"/>
              <w:jc w:val="center"/>
              <w:outlineLvl w:val="0"/>
              <w:rPr>
                <w:rFonts w:hint="eastAsia" w:ascii="宋体" w:hAnsi="宋体" w:eastAsia="宋体" w:cs="宋体"/>
                <w:bCs/>
                <w:sz w:val="24"/>
              </w:rPr>
            </w:pPr>
            <w:r>
              <w:rPr>
                <w:rFonts w:hint="eastAsia" w:ascii="宋体" w:hAnsi="宋体" w:eastAsia="宋体" w:cs="宋体"/>
                <w:bCs/>
                <w:sz w:val="24"/>
              </w:rPr>
              <w:t>权重</w:t>
            </w:r>
          </w:p>
        </w:tc>
        <w:tc>
          <w:tcPr>
            <w:tcW w:w="948" w:type="pct"/>
          </w:tcPr>
          <w:p>
            <w:pPr>
              <w:spacing w:line="360" w:lineRule="auto"/>
              <w:outlineLvl w:val="0"/>
              <w:rPr>
                <w:rFonts w:hint="eastAsia" w:ascii="宋体" w:hAnsi="宋体" w:eastAsia="宋体" w:cs="宋体"/>
                <w:bCs/>
                <w:sz w:val="24"/>
              </w:rPr>
            </w:pPr>
            <w:r>
              <w:rPr>
                <w:rFonts w:hint="eastAsia" w:ascii="宋体" w:hAnsi="宋体" w:eastAsia="宋体" w:cs="宋体"/>
                <w:bCs/>
                <w:sz w:val="24"/>
              </w:rPr>
              <w:t>投标文件中评标标准相应的商务技术资料目录</w:t>
            </w:r>
            <w:r>
              <w:rPr>
                <w:rFonts w:hint="eastAsia" w:ascii="宋体" w:hAnsi="宋体" w:eastAsia="宋体" w:cs="宋体"/>
                <w:sz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trPr>
        <w:tc>
          <w:tcPr>
            <w:tcW w:w="395" w:type="pct"/>
            <w:vAlign w:val="center"/>
          </w:tcPr>
          <w:p>
            <w:pPr>
              <w:spacing w:line="360" w:lineRule="auto"/>
              <w:jc w:val="center"/>
              <w:outlineLvl w:val="0"/>
              <w:rPr>
                <w:rFonts w:hint="eastAsia" w:ascii="宋体" w:hAnsi="宋体" w:eastAsia="宋体" w:cs="宋体"/>
                <w:sz w:val="24"/>
              </w:rPr>
            </w:pPr>
            <w:r>
              <w:rPr>
                <w:rFonts w:hint="eastAsia" w:ascii="宋体" w:hAnsi="宋体" w:eastAsia="宋体" w:cs="宋体"/>
                <w:sz w:val="24"/>
              </w:rPr>
              <w:t>1</w:t>
            </w:r>
          </w:p>
        </w:tc>
        <w:tc>
          <w:tcPr>
            <w:tcW w:w="3115" w:type="pct"/>
            <w:vAlign w:val="center"/>
          </w:tcPr>
          <w:p>
            <w:pPr>
              <w:spacing w:line="240" w:lineRule="auto"/>
              <w:jc w:val="both"/>
              <w:outlineLvl w:val="0"/>
              <w:rPr>
                <w:rFonts w:hint="eastAsia" w:ascii="宋体" w:hAnsi="宋体" w:eastAsia="宋体" w:cs="宋体"/>
                <w:sz w:val="24"/>
              </w:rPr>
            </w:pPr>
            <w:r>
              <w:rPr>
                <w:rFonts w:hint="eastAsia" w:ascii="宋体" w:hAnsi="宋体" w:cs="宋体"/>
                <w:sz w:val="24"/>
                <w:lang w:val="en-US" w:eastAsia="zh-CN"/>
              </w:rPr>
              <w:t>1、</w:t>
            </w:r>
            <w:r>
              <w:rPr>
                <w:rFonts w:hint="eastAsia" w:ascii="宋体" w:hAnsi="宋体" w:cs="宋体"/>
                <w:sz w:val="24"/>
                <w:lang w:eastAsia="zh-CN"/>
              </w:rPr>
              <w:t>投标人</w:t>
            </w:r>
            <w:r>
              <w:rPr>
                <w:rFonts w:hint="eastAsia" w:ascii="宋体" w:hAnsi="宋体" w:eastAsia="宋体" w:cs="宋体"/>
                <w:sz w:val="24"/>
              </w:rPr>
              <w:t>201</w:t>
            </w:r>
            <w:r>
              <w:rPr>
                <w:rFonts w:hint="eastAsia" w:ascii="宋体" w:hAnsi="宋体" w:cs="宋体"/>
                <w:sz w:val="24"/>
                <w:lang w:val="en-US" w:eastAsia="zh-CN"/>
              </w:rPr>
              <w:t>9</w:t>
            </w:r>
            <w:r>
              <w:rPr>
                <w:rFonts w:hint="eastAsia" w:ascii="宋体" w:hAnsi="宋体" w:eastAsia="宋体" w:cs="宋体"/>
                <w:sz w:val="24"/>
              </w:rPr>
              <w:t>年1月1日以来荣获副省级市及以上政府部门所属的部、委、办、局或县（区）政府授予的优秀治水匠人或</w:t>
            </w:r>
            <w:r>
              <w:rPr>
                <w:rFonts w:hint="eastAsia" w:ascii="宋体" w:hAnsi="宋体" w:cs="宋体"/>
                <w:sz w:val="24"/>
                <w:lang w:eastAsia="zh-CN"/>
              </w:rPr>
              <w:t>污水水治理</w:t>
            </w:r>
            <w:r>
              <w:rPr>
                <w:rFonts w:hint="eastAsia" w:ascii="宋体" w:hAnsi="宋体" w:eastAsia="宋体" w:cs="宋体"/>
                <w:sz w:val="24"/>
              </w:rPr>
              <w:t>相关的荣誉的得2分。</w:t>
            </w:r>
          </w:p>
          <w:p>
            <w:pPr>
              <w:pStyle w:val="2"/>
              <w:spacing w:line="240" w:lineRule="auto"/>
              <w:ind w:left="0" w:leftChars="0" w:firstLine="0" w:firstLineChars="0"/>
              <w:rPr>
                <w:rFonts w:hint="eastAsia"/>
              </w:rPr>
            </w:pPr>
            <w:r>
              <w:rPr>
                <w:rFonts w:hint="eastAsia"/>
              </w:rPr>
              <w:t>2、投标人2019年1月1日以来通过副省级市及以上政府部门所属的部、委、办、局或县（区）政府评审（含预评审）的排水类的政府性课题项目的得2分。</w:t>
            </w:r>
          </w:p>
          <w:p>
            <w:pPr>
              <w:spacing w:line="240" w:lineRule="auto"/>
              <w:jc w:val="both"/>
              <w:outlineLvl w:val="0"/>
              <w:rPr>
                <w:rFonts w:hint="eastAsia" w:ascii="宋体" w:hAnsi="宋体" w:eastAsia="宋体" w:cs="宋体"/>
                <w:sz w:val="24"/>
              </w:rPr>
            </w:pPr>
            <w:r>
              <w:rPr>
                <w:rFonts w:hint="eastAsia" w:ascii="宋体" w:hAnsi="宋体" w:eastAsia="宋体" w:cs="宋体"/>
                <w:b/>
                <w:bCs/>
                <w:sz w:val="24"/>
              </w:rPr>
              <w:t>（提供有效证明材料，证明材料须在有效期内并加盖公章）</w:t>
            </w:r>
          </w:p>
        </w:tc>
        <w:tc>
          <w:tcPr>
            <w:tcW w:w="539" w:type="pct"/>
            <w:vAlign w:val="center"/>
          </w:tcPr>
          <w:p>
            <w:pPr>
              <w:spacing w:line="360" w:lineRule="auto"/>
              <w:jc w:val="center"/>
              <w:outlineLvl w:val="0"/>
              <w:rPr>
                <w:rFonts w:hint="eastAsia" w:ascii="宋体" w:hAnsi="宋体" w:eastAsia="宋体" w:cs="宋体"/>
                <w:sz w:val="24"/>
                <w:lang w:val="en-US" w:eastAsia="zh-CN"/>
              </w:rPr>
            </w:pPr>
            <w:r>
              <w:rPr>
                <w:rFonts w:hint="eastAsia" w:ascii="宋体" w:hAnsi="宋体" w:cs="宋体"/>
                <w:sz w:val="24"/>
                <w:lang w:val="en-US" w:eastAsia="zh-CN"/>
              </w:rPr>
              <w:t>0-4分</w:t>
            </w:r>
          </w:p>
        </w:tc>
        <w:tc>
          <w:tcPr>
            <w:tcW w:w="948" w:type="pct"/>
            <w:vAlign w:val="center"/>
          </w:tcPr>
          <w:p>
            <w:pPr>
              <w:spacing w:line="360" w:lineRule="auto"/>
              <w:jc w:val="center"/>
              <w:outlineLvl w:val="0"/>
              <w:rPr>
                <w:rFonts w:hint="eastAsia" w:ascii="宋体" w:hAnsi="宋体" w:eastAsia="宋体" w:cs="宋体"/>
                <w:b/>
                <w:bCs/>
                <w:sz w:val="24"/>
              </w:rPr>
            </w:pPr>
            <w:r>
              <w:rPr>
                <w:rFonts w:hint="eastAsia" w:ascii="宋体" w:hAnsi="宋体" w:eastAsia="宋体" w:cs="宋体"/>
                <w:b/>
                <w:bCs/>
                <w:sz w:val="24"/>
              </w:rPr>
              <w:t>企业荣誉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395" w:type="pct"/>
            <w:vAlign w:val="center"/>
          </w:tcPr>
          <w:p>
            <w:pPr>
              <w:spacing w:line="360" w:lineRule="auto"/>
              <w:jc w:val="center"/>
              <w:outlineLvl w:val="0"/>
              <w:rPr>
                <w:rFonts w:hint="eastAsia" w:ascii="宋体" w:hAnsi="宋体" w:eastAsia="宋体" w:cs="宋体"/>
                <w:sz w:val="24"/>
              </w:rPr>
            </w:pPr>
            <w:r>
              <w:rPr>
                <w:rFonts w:hint="eastAsia" w:ascii="宋体" w:hAnsi="宋体" w:eastAsia="宋体" w:cs="宋体"/>
                <w:sz w:val="24"/>
              </w:rPr>
              <w:t>2</w:t>
            </w:r>
          </w:p>
        </w:tc>
        <w:tc>
          <w:tcPr>
            <w:tcW w:w="3115" w:type="pct"/>
            <w:vAlign w:val="center"/>
          </w:tcPr>
          <w:p>
            <w:pPr>
              <w:spacing w:line="240" w:lineRule="auto"/>
              <w:jc w:val="both"/>
              <w:outlineLvl w:val="0"/>
              <w:rPr>
                <w:rFonts w:hint="eastAsia" w:ascii="宋体" w:hAnsi="宋体" w:eastAsia="宋体" w:cs="宋体"/>
                <w:sz w:val="24"/>
                <w:highlight w:val="none"/>
              </w:rPr>
            </w:pPr>
            <w:r>
              <w:rPr>
                <w:rFonts w:hint="eastAsia" w:ascii="宋体" w:hAnsi="宋体" w:eastAsia="宋体" w:cs="宋体"/>
                <w:sz w:val="24"/>
                <w:highlight w:val="none"/>
              </w:rPr>
              <w:t>1、自2019年1月1日以来承接过污水处理厂提标改造项目业绩，每个得1分，最多得2分。</w:t>
            </w:r>
          </w:p>
          <w:p>
            <w:pPr>
              <w:spacing w:line="240" w:lineRule="auto"/>
              <w:jc w:val="both"/>
              <w:outlineLvl w:val="0"/>
              <w:rPr>
                <w:rFonts w:hint="eastAsia" w:ascii="宋体" w:hAnsi="宋体" w:eastAsia="宋体" w:cs="宋体"/>
                <w:sz w:val="24"/>
                <w:highlight w:val="none"/>
              </w:rPr>
            </w:pPr>
            <w:r>
              <w:rPr>
                <w:rFonts w:hint="eastAsia" w:ascii="宋体" w:hAnsi="宋体" w:eastAsia="宋体" w:cs="宋体"/>
                <w:sz w:val="24"/>
                <w:highlight w:val="none"/>
              </w:rPr>
              <w:t>2、自2019年1月1日以来承接过污水处理厂运维项目业绩，每个得1分，最多得2分。</w:t>
            </w:r>
          </w:p>
          <w:p>
            <w:pPr>
              <w:spacing w:line="240" w:lineRule="auto"/>
              <w:jc w:val="both"/>
              <w:outlineLvl w:val="0"/>
              <w:rPr>
                <w:rFonts w:hint="eastAsia" w:ascii="宋体" w:hAnsi="宋体" w:eastAsia="宋体" w:cs="宋体"/>
                <w:sz w:val="24"/>
              </w:rPr>
            </w:pPr>
            <w:r>
              <w:rPr>
                <w:rFonts w:hint="eastAsia" w:ascii="宋体" w:hAnsi="宋体" w:eastAsia="宋体" w:cs="宋体"/>
                <w:b/>
                <w:bCs/>
                <w:sz w:val="24"/>
              </w:rPr>
              <w:t>（提供中标通知书及合同复印件并加盖公章）</w:t>
            </w:r>
          </w:p>
        </w:tc>
        <w:tc>
          <w:tcPr>
            <w:tcW w:w="539" w:type="pct"/>
            <w:vAlign w:val="center"/>
          </w:tcPr>
          <w:p>
            <w:pPr>
              <w:spacing w:line="360" w:lineRule="auto"/>
              <w:jc w:val="center"/>
              <w:outlineLvl w:val="0"/>
              <w:rPr>
                <w:rFonts w:hint="default" w:ascii="宋体" w:hAnsi="宋体" w:eastAsia="宋体" w:cs="宋体"/>
                <w:sz w:val="24"/>
                <w:lang w:val="en-US" w:eastAsia="zh-CN"/>
              </w:rPr>
            </w:pPr>
            <w:r>
              <w:rPr>
                <w:rFonts w:hint="eastAsia" w:ascii="宋体" w:hAnsi="宋体" w:cs="宋体"/>
                <w:sz w:val="24"/>
                <w:lang w:val="en-US" w:eastAsia="zh-CN"/>
              </w:rPr>
              <w:t>0-4分</w:t>
            </w:r>
          </w:p>
        </w:tc>
        <w:tc>
          <w:tcPr>
            <w:tcW w:w="948" w:type="pct"/>
            <w:vAlign w:val="center"/>
          </w:tcPr>
          <w:p>
            <w:pPr>
              <w:spacing w:line="360" w:lineRule="auto"/>
              <w:jc w:val="center"/>
              <w:outlineLvl w:val="0"/>
              <w:rPr>
                <w:rFonts w:hint="eastAsia" w:ascii="宋体" w:hAnsi="宋体" w:eastAsia="宋体" w:cs="宋体"/>
                <w:b/>
                <w:bCs/>
                <w:sz w:val="24"/>
              </w:rPr>
            </w:pPr>
            <w:r>
              <w:rPr>
                <w:rFonts w:hint="eastAsia" w:ascii="宋体" w:hAnsi="宋体" w:eastAsia="宋体" w:cs="宋体"/>
                <w:b/>
                <w:bCs/>
                <w:sz w:val="24"/>
              </w:rPr>
              <w:t>类似业绩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395" w:type="pct"/>
            <w:vAlign w:val="center"/>
          </w:tcPr>
          <w:p>
            <w:pPr>
              <w:spacing w:line="360" w:lineRule="auto"/>
              <w:jc w:val="center"/>
              <w:outlineLvl w:val="0"/>
              <w:rPr>
                <w:rFonts w:hint="eastAsia" w:ascii="宋体" w:hAnsi="宋体" w:eastAsia="宋体" w:cs="宋体"/>
                <w:sz w:val="24"/>
              </w:rPr>
            </w:pPr>
            <w:r>
              <w:rPr>
                <w:rFonts w:hint="eastAsia" w:ascii="宋体" w:hAnsi="宋体" w:eastAsia="宋体" w:cs="宋体"/>
                <w:sz w:val="24"/>
              </w:rPr>
              <w:t>3</w:t>
            </w:r>
          </w:p>
        </w:tc>
        <w:tc>
          <w:tcPr>
            <w:tcW w:w="3115" w:type="pct"/>
            <w:vAlign w:val="center"/>
          </w:tcPr>
          <w:p>
            <w:pPr>
              <w:spacing w:line="240" w:lineRule="auto"/>
              <w:jc w:val="both"/>
              <w:outlineLvl w:val="0"/>
              <w:rPr>
                <w:rFonts w:hint="eastAsia" w:ascii="宋体" w:hAnsi="宋体" w:eastAsia="宋体" w:cs="宋体"/>
                <w:sz w:val="24"/>
              </w:rPr>
            </w:pPr>
            <w:r>
              <w:rPr>
                <w:rFonts w:hint="eastAsia" w:ascii="宋体" w:hAnsi="宋体" w:eastAsia="宋体" w:cs="宋体"/>
                <w:sz w:val="24"/>
              </w:rPr>
              <w:t>1、具有环保工程专业高级职称的得1</w:t>
            </w:r>
            <w:r>
              <w:rPr>
                <w:rFonts w:hint="eastAsia" w:ascii="宋体" w:hAnsi="宋体" w:cs="宋体"/>
                <w:sz w:val="24"/>
                <w:lang w:val="en-US" w:eastAsia="zh-CN"/>
              </w:rPr>
              <w:t>.5</w:t>
            </w:r>
            <w:r>
              <w:rPr>
                <w:rFonts w:hint="eastAsia" w:ascii="宋体" w:hAnsi="宋体" w:eastAsia="宋体" w:cs="宋体"/>
                <w:sz w:val="24"/>
              </w:rPr>
              <w:t>分，最高得1</w:t>
            </w:r>
            <w:r>
              <w:rPr>
                <w:rFonts w:hint="eastAsia" w:ascii="宋体" w:hAnsi="宋体" w:cs="宋体"/>
                <w:sz w:val="24"/>
                <w:lang w:val="en-US" w:eastAsia="zh-CN"/>
              </w:rPr>
              <w:t>.5</w:t>
            </w:r>
            <w:r>
              <w:rPr>
                <w:rFonts w:hint="eastAsia" w:ascii="宋体" w:hAnsi="宋体" w:eastAsia="宋体" w:cs="宋体"/>
                <w:sz w:val="24"/>
              </w:rPr>
              <w:t>分；中级职称的得</w:t>
            </w:r>
            <w:r>
              <w:rPr>
                <w:rFonts w:hint="eastAsia" w:ascii="宋体" w:hAnsi="宋体" w:cs="宋体"/>
                <w:sz w:val="24"/>
                <w:lang w:val="en-US" w:eastAsia="zh-CN"/>
              </w:rPr>
              <w:t>0.5</w:t>
            </w:r>
            <w:r>
              <w:rPr>
                <w:rFonts w:hint="eastAsia" w:ascii="宋体" w:hAnsi="宋体" w:eastAsia="宋体" w:cs="宋体"/>
                <w:sz w:val="24"/>
              </w:rPr>
              <w:t>分，最高得</w:t>
            </w:r>
            <w:r>
              <w:rPr>
                <w:rFonts w:hint="eastAsia" w:ascii="宋体" w:hAnsi="宋体" w:cs="宋体"/>
                <w:sz w:val="24"/>
                <w:lang w:val="en-US" w:eastAsia="zh-CN"/>
              </w:rPr>
              <w:t>0.5</w:t>
            </w:r>
            <w:r>
              <w:rPr>
                <w:rFonts w:hint="eastAsia" w:ascii="宋体" w:hAnsi="宋体" w:eastAsia="宋体" w:cs="宋体"/>
                <w:sz w:val="24"/>
              </w:rPr>
              <w:t>分；</w:t>
            </w:r>
          </w:p>
          <w:p>
            <w:pPr>
              <w:spacing w:line="240" w:lineRule="auto"/>
              <w:jc w:val="both"/>
              <w:outlineLvl w:val="0"/>
              <w:rPr>
                <w:rFonts w:hint="eastAsia" w:ascii="宋体" w:hAnsi="宋体" w:cs="宋体"/>
                <w:sz w:val="24"/>
                <w:lang w:val="en-US" w:eastAsia="zh-CN"/>
              </w:rPr>
            </w:pPr>
            <w:r>
              <w:rPr>
                <w:rFonts w:hint="eastAsia" w:ascii="宋体" w:hAnsi="宋体" w:eastAsia="宋体" w:cs="宋体"/>
                <w:sz w:val="24"/>
              </w:rPr>
              <w:t>2、</w:t>
            </w:r>
            <w:r>
              <w:rPr>
                <w:rFonts w:hint="eastAsia" w:ascii="宋体" w:hAnsi="宋体" w:cs="宋体"/>
                <w:sz w:val="24"/>
                <w:lang w:eastAsia="zh-CN"/>
              </w:rPr>
              <w:t>具有给排水工程专业高级职称得1</w:t>
            </w:r>
            <w:r>
              <w:rPr>
                <w:rFonts w:hint="eastAsia" w:ascii="宋体" w:hAnsi="宋体" w:cs="宋体"/>
                <w:sz w:val="24"/>
                <w:lang w:val="en-US" w:eastAsia="zh-CN"/>
              </w:rPr>
              <w:t>.5</w:t>
            </w:r>
            <w:r>
              <w:rPr>
                <w:rFonts w:hint="eastAsia" w:ascii="宋体" w:hAnsi="宋体" w:cs="宋体"/>
                <w:sz w:val="24"/>
                <w:lang w:eastAsia="zh-CN"/>
              </w:rPr>
              <w:t>分，最高得1</w:t>
            </w:r>
            <w:r>
              <w:rPr>
                <w:rFonts w:hint="eastAsia" w:ascii="宋体" w:hAnsi="宋体" w:cs="宋体"/>
                <w:sz w:val="24"/>
                <w:lang w:val="en-US" w:eastAsia="zh-CN"/>
              </w:rPr>
              <w:t>.5</w:t>
            </w:r>
            <w:r>
              <w:rPr>
                <w:rFonts w:hint="eastAsia" w:ascii="宋体" w:hAnsi="宋体" w:cs="宋体"/>
                <w:sz w:val="24"/>
                <w:lang w:eastAsia="zh-CN"/>
              </w:rPr>
              <w:t>分；中级职称的得</w:t>
            </w:r>
            <w:r>
              <w:rPr>
                <w:rFonts w:hint="eastAsia" w:ascii="宋体" w:hAnsi="宋体" w:cs="宋体"/>
                <w:sz w:val="24"/>
                <w:lang w:val="en-US" w:eastAsia="zh-CN"/>
              </w:rPr>
              <w:t>0.5</w:t>
            </w:r>
            <w:r>
              <w:rPr>
                <w:rFonts w:hint="eastAsia" w:ascii="宋体" w:hAnsi="宋体" w:cs="宋体"/>
                <w:sz w:val="24"/>
                <w:lang w:eastAsia="zh-CN"/>
              </w:rPr>
              <w:t>分，最高得</w:t>
            </w:r>
            <w:r>
              <w:rPr>
                <w:rFonts w:hint="eastAsia" w:ascii="宋体" w:hAnsi="宋体" w:cs="宋体"/>
                <w:sz w:val="24"/>
                <w:lang w:val="en-US" w:eastAsia="zh-CN"/>
              </w:rPr>
              <w:t>0.5</w:t>
            </w:r>
            <w:r>
              <w:rPr>
                <w:rFonts w:hint="eastAsia" w:ascii="宋体" w:hAnsi="宋体" w:cs="宋体"/>
                <w:sz w:val="24"/>
                <w:lang w:eastAsia="zh-CN"/>
              </w:rPr>
              <w:t>分</w:t>
            </w:r>
          </w:p>
          <w:p>
            <w:pPr>
              <w:spacing w:line="240" w:lineRule="auto"/>
              <w:jc w:val="both"/>
              <w:outlineLvl w:val="0"/>
              <w:rPr>
                <w:rFonts w:hint="eastAsia" w:ascii="宋体" w:hAnsi="宋体" w:eastAsia="宋体" w:cs="宋体"/>
                <w:sz w:val="24"/>
                <w:lang w:val="en-US" w:eastAsia="zh-CN"/>
              </w:rPr>
            </w:pPr>
            <w:r>
              <w:rPr>
                <w:rFonts w:hint="eastAsia" w:ascii="宋体" w:hAnsi="宋体" w:eastAsia="宋体" w:cs="宋体"/>
                <w:sz w:val="24"/>
              </w:rPr>
              <w:t>3、具有电气工程或机电工程中级及以上职称的，1人得</w:t>
            </w:r>
            <w:r>
              <w:rPr>
                <w:rFonts w:hint="eastAsia" w:ascii="宋体" w:hAnsi="宋体" w:cs="宋体"/>
                <w:sz w:val="24"/>
                <w:lang w:val="en-US" w:eastAsia="zh-CN"/>
              </w:rPr>
              <w:t>0.5</w:t>
            </w:r>
            <w:r>
              <w:rPr>
                <w:rFonts w:hint="eastAsia" w:ascii="宋体" w:hAnsi="宋体" w:eastAsia="宋体" w:cs="宋体"/>
                <w:sz w:val="24"/>
              </w:rPr>
              <w:t>分，最高得</w:t>
            </w:r>
            <w:r>
              <w:rPr>
                <w:rFonts w:hint="eastAsia" w:ascii="宋体" w:hAnsi="宋体" w:cs="宋体"/>
                <w:sz w:val="24"/>
                <w:lang w:val="en-US" w:eastAsia="zh-CN"/>
              </w:rPr>
              <w:t>1分</w:t>
            </w:r>
          </w:p>
          <w:p>
            <w:pPr>
              <w:spacing w:line="240" w:lineRule="auto"/>
              <w:jc w:val="both"/>
              <w:outlineLvl w:val="0"/>
              <w:rPr>
                <w:rFonts w:hint="eastAsia" w:ascii="宋体" w:hAnsi="宋体" w:eastAsia="宋体" w:cs="宋体"/>
                <w:sz w:val="24"/>
                <w:lang w:eastAsia="zh-CN"/>
              </w:rPr>
            </w:pPr>
            <w:r>
              <w:rPr>
                <w:rFonts w:hint="eastAsia" w:ascii="宋体" w:hAnsi="宋体" w:cs="宋体"/>
                <w:sz w:val="24"/>
                <w:lang w:val="en-US" w:eastAsia="zh-CN"/>
              </w:rPr>
              <w:t>4</w:t>
            </w:r>
            <w:r>
              <w:rPr>
                <w:rFonts w:hint="eastAsia" w:ascii="宋体" w:hAnsi="宋体" w:eastAsia="宋体" w:cs="宋体"/>
                <w:sz w:val="24"/>
              </w:rPr>
              <w:t>、具有电子仪表中级及以上职称的，1人得</w:t>
            </w:r>
            <w:r>
              <w:rPr>
                <w:rFonts w:hint="eastAsia" w:ascii="宋体" w:hAnsi="宋体" w:cs="宋体"/>
                <w:sz w:val="24"/>
                <w:lang w:val="en-US" w:eastAsia="zh-CN"/>
              </w:rPr>
              <w:t>1</w:t>
            </w:r>
            <w:r>
              <w:rPr>
                <w:rFonts w:hint="eastAsia" w:ascii="宋体" w:hAnsi="宋体" w:eastAsia="宋体" w:cs="宋体"/>
                <w:sz w:val="24"/>
              </w:rPr>
              <w:t>分，最高得1分</w:t>
            </w:r>
            <w:r>
              <w:rPr>
                <w:rFonts w:hint="eastAsia" w:ascii="宋体" w:hAnsi="宋体" w:cs="宋体"/>
                <w:sz w:val="24"/>
                <w:lang w:eastAsia="zh-CN"/>
              </w:rPr>
              <w:t>。</w:t>
            </w:r>
          </w:p>
          <w:p>
            <w:pPr>
              <w:spacing w:line="240" w:lineRule="auto"/>
              <w:jc w:val="both"/>
              <w:outlineLvl w:val="0"/>
              <w:rPr>
                <w:rFonts w:hint="eastAsia" w:ascii="宋体" w:hAnsi="宋体" w:eastAsia="宋体" w:cs="宋体"/>
                <w:sz w:val="24"/>
                <w:lang w:eastAsia="zh-CN"/>
              </w:rPr>
            </w:pPr>
            <w:r>
              <w:rPr>
                <w:rFonts w:hint="eastAsia" w:ascii="宋体" w:hAnsi="宋体" w:cs="宋体"/>
                <w:sz w:val="24"/>
                <w:lang w:val="en-US" w:eastAsia="zh-CN"/>
              </w:rPr>
              <w:t>5</w:t>
            </w:r>
            <w:r>
              <w:rPr>
                <w:rFonts w:hint="eastAsia" w:ascii="宋体" w:hAnsi="宋体" w:eastAsia="宋体" w:cs="宋体"/>
                <w:sz w:val="24"/>
              </w:rPr>
              <w:t>、具有自动化中级及以上职称的，1人得1分，最高得1分最高得1分</w:t>
            </w:r>
            <w:r>
              <w:rPr>
                <w:rFonts w:hint="eastAsia" w:ascii="宋体" w:hAnsi="宋体" w:cs="宋体"/>
                <w:sz w:val="24"/>
                <w:lang w:eastAsia="zh-CN"/>
              </w:rPr>
              <w:t>。</w:t>
            </w:r>
          </w:p>
          <w:p>
            <w:pPr>
              <w:spacing w:line="240" w:lineRule="auto"/>
              <w:jc w:val="both"/>
              <w:outlineLvl w:val="0"/>
              <w:rPr>
                <w:rFonts w:hint="eastAsia" w:ascii="宋体" w:hAnsi="宋体" w:eastAsia="宋体" w:cs="宋体"/>
                <w:sz w:val="24"/>
              </w:rPr>
            </w:pPr>
            <w:r>
              <w:rPr>
                <w:rFonts w:hint="eastAsia" w:ascii="宋体" w:hAnsi="宋体" w:eastAsia="宋体" w:cs="宋体"/>
                <w:b/>
                <w:bCs/>
                <w:sz w:val="24"/>
              </w:rPr>
              <w:t>（提供近三个月的单位缴纳社保凭证及职称证书复印件并加盖公章，一人提供多种证书不累计得分）</w:t>
            </w:r>
          </w:p>
        </w:tc>
        <w:tc>
          <w:tcPr>
            <w:tcW w:w="539" w:type="pct"/>
            <w:vAlign w:val="center"/>
          </w:tcPr>
          <w:p>
            <w:pPr>
              <w:spacing w:line="360" w:lineRule="auto"/>
              <w:jc w:val="center"/>
              <w:outlineLvl w:val="0"/>
              <w:rPr>
                <w:rFonts w:hint="default" w:ascii="宋体" w:hAnsi="宋体" w:eastAsia="宋体" w:cs="宋体"/>
                <w:sz w:val="24"/>
                <w:lang w:val="en-US" w:eastAsia="zh-CN"/>
              </w:rPr>
            </w:pPr>
            <w:r>
              <w:rPr>
                <w:rFonts w:hint="eastAsia" w:ascii="宋体" w:hAnsi="宋体" w:cs="宋体"/>
                <w:sz w:val="24"/>
                <w:lang w:val="en-US" w:eastAsia="zh-CN"/>
              </w:rPr>
              <w:t>0-6分</w:t>
            </w:r>
          </w:p>
        </w:tc>
        <w:tc>
          <w:tcPr>
            <w:tcW w:w="948" w:type="pct"/>
            <w:vAlign w:val="center"/>
          </w:tcPr>
          <w:p>
            <w:pPr>
              <w:spacing w:line="360" w:lineRule="auto"/>
              <w:jc w:val="center"/>
              <w:outlineLvl w:val="0"/>
              <w:rPr>
                <w:rFonts w:hint="eastAsia" w:ascii="宋体" w:hAnsi="宋体" w:eastAsia="宋体" w:cs="宋体"/>
                <w:b/>
                <w:bCs/>
                <w:sz w:val="24"/>
              </w:rPr>
            </w:pPr>
            <w:r>
              <w:rPr>
                <w:rFonts w:hint="eastAsia" w:ascii="宋体" w:hAnsi="宋体" w:eastAsia="宋体" w:cs="宋体"/>
                <w:b/>
                <w:bCs/>
                <w:sz w:val="24"/>
              </w:rPr>
              <w:t>项目团队人员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395" w:type="pct"/>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4</w:t>
            </w:r>
          </w:p>
        </w:tc>
        <w:tc>
          <w:tcPr>
            <w:tcW w:w="3115" w:type="pct"/>
            <w:vAlign w:val="center"/>
          </w:tcPr>
          <w:p>
            <w:pPr>
              <w:spacing w:line="240" w:lineRule="auto"/>
              <w:jc w:val="both"/>
              <w:rPr>
                <w:rFonts w:hint="eastAsia" w:ascii="宋体" w:hAnsi="宋体" w:eastAsia="宋体" w:cs="宋体"/>
                <w:sz w:val="24"/>
                <w:szCs w:val="24"/>
              </w:rPr>
            </w:pPr>
            <w:r>
              <w:rPr>
                <w:rFonts w:hint="eastAsia" w:ascii="宋体" w:hAnsi="宋体" w:eastAsia="宋体" w:cs="宋体"/>
                <w:sz w:val="24"/>
                <w:szCs w:val="24"/>
              </w:rPr>
              <w:t>本项目需对调试及试运行阶段的污水进行检测，为确保项目的正常推进和设施的高效运行，投标人投资建有200m²以上的检测实验室，且</w:t>
            </w:r>
            <w:r>
              <w:rPr>
                <w:rFonts w:hint="eastAsia" w:ascii="宋体" w:hAnsi="宋体" w:cs="宋体"/>
                <w:sz w:val="24"/>
                <w:szCs w:val="24"/>
                <w:lang w:eastAsia="zh-CN"/>
              </w:rPr>
              <w:t>该</w:t>
            </w:r>
            <w:r>
              <w:rPr>
                <w:rFonts w:hint="eastAsia" w:ascii="宋体" w:hAnsi="宋体" w:eastAsia="宋体" w:cs="宋体"/>
                <w:sz w:val="24"/>
                <w:szCs w:val="24"/>
              </w:rPr>
              <w:t>实验室被县（区）及以上行业主管部门（住建局</w:t>
            </w:r>
            <w:r>
              <w:rPr>
                <w:rFonts w:hint="eastAsia" w:ascii="宋体" w:hAnsi="宋体" w:cs="宋体"/>
                <w:sz w:val="24"/>
                <w:szCs w:val="24"/>
                <w:lang w:eastAsia="zh-CN"/>
              </w:rPr>
              <w:t>或环保局</w:t>
            </w:r>
            <w:r>
              <w:rPr>
                <w:rFonts w:hint="eastAsia" w:ascii="宋体" w:hAnsi="宋体" w:eastAsia="宋体" w:cs="宋体"/>
                <w:sz w:val="24"/>
                <w:szCs w:val="24"/>
              </w:rPr>
              <w:t>）认可或具有（CNAS、CMA）认证的得3分；</w:t>
            </w:r>
            <w:r>
              <w:rPr>
                <w:rFonts w:hint="eastAsia" w:ascii="宋体" w:hAnsi="宋体" w:cs="宋体"/>
                <w:sz w:val="24"/>
                <w:szCs w:val="24"/>
                <w:lang w:eastAsia="zh-CN"/>
              </w:rPr>
              <w:t>若该污水需委托第三方进行检测的</w:t>
            </w:r>
            <w:r>
              <w:rPr>
                <w:rFonts w:hint="eastAsia" w:ascii="宋体" w:hAnsi="宋体" w:eastAsia="宋体" w:cs="宋体"/>
                <w:sz w:val="24"/>
                <w:szCs w:val="24"/>
              </w:rPr>
              <w:t>，</w:t>
            </w:r>
            <w:r>
              <w:rPr>
                <w:rFonts w:hint="eastAsia" w:ascii="宋体" w:hAnsi="宋体" w:cs="宋体"/>
                <w:sz w:val="24"/>
                <w:szCs w:val="24"/>
                <w:lang w:eastAsia="zh-CN"/>
              </w:rPr>
              <w:t>该委托</w:t>
            </w:r>
            <w:r>
              <w:rPr>
                <w:rFonts w:hint="eastAsia" w:ascii="宋体" w:hAnsi="宋体" w:eastAsia="宋体" w:cs="宋体"/>
                <w:sz w:val="24"/>
                <w:szCs w:val="24"/>
              </w:rPr>
              <w:t>实验室须被县（区）及以上行业主管部门（住建局</w:t>
            </w:r>
            <w:r>
              <w:rPr>
                <w:rFonts w:hint="eastAsia" w:ascii="宋体" w:hAnsi="宋体" w:cs="宋体"/>
                <w:sz w:val="24"/>
                <w:szCs w:val="24"/>
                <w:lang w:eastAsia="zh-CN"/>
              </w:rPr>
              <w:t>或环保局</w:t>
            </w:r>
            <w:r>
              <w:rPr>
                <w:rFonts w:hint="eastAsia" w:ascii="宋体" w:hAnsi="宋体" w:eastAsia="宋体" w:cs="宋体"/>
                <w:sz w:val="24"/>
                <w:szCs w:val="24"/>
              </w:rPr>
              <w:t>）认可或具有（CNAS、CMA）认证的得1分。</w:t>
            </w:r>
          </w:p>
          <w:p>
            <w:pPr>
              <w:spacing w:line="240" w:lineRule="auto"/>
              <w:jc w:val="both"/>
              <w:rPr>
                <w:rFonts w:hint="eastAsia" w:ascii="宋体" w:hAnsi="宋体" w:eastAsia="宋体" w:cs="宋体"/>
                <w:sz w:val="24"/>
                <w:szCs w:val="24"/>
              </w:rPr>
            </w:pPr>
            <w:r>
              <w:rPr>
                <w:rFonts w:hint="eastAsia" w:ascii="宋体" w:hAnsi="宋体" w:eastAsia="宋体" w:cs="宋体"/>
                <w:b/>
                <w:bCs/>
                <w:sz w:val="24"/>
                <w:szCs w:val="24"/>
              </w:rPr>
              <w:t>（提供有效的证明材料，行业主管部门认可证明或CNAS、CMA认证证书</w:t>
            </w:r>
            <w:r>
              <w:rPr>
                <w:rFonts w:hint="eastAsia" w:ascii="宋体" w:hAnsi="宋体" w:cs="宋体"/>
                <w:b/>
                <w:bCs/>
                <w:sz w:val="24"/>
                <w:szCs w:val="24"/>
                <w:lang w:eastAsia="zh-CN"/>
              </w:rPr>
              <w:t>或委托协议书</w:t>
            </w:r>
            <w:r>
              <w:rPr>
                <w:rFonts w:hint="eastAsia" w:ascii="宋体" w:hAnsi="宋体" w:eastAsia="宋体" w:cs="宋体"/>
                <w:b/>
                <w:bCs/>
                <w:sz w:val="24"/>
                <w:szCs w:val="24"/>
              </w:rPr>
              <w:t>等，并附实验室照片）</w:t>
            </w:r>
          </w:p>
        </w:tc>
        <w:tc>
          <w:tcPr>
            <w:tcW w:w="539" w:type="pct"/>
            <w:vAlign w:val="center"/>
          </w:tcPr>
          <w:p>
            <w:pPr>
              <w:jc w:val="center"/>
              <w:rPr>
                <w:rFonts w:hint="default" w:ascii="宋体" w:hAnsi="宋体" w:eastAsia="宋体" w:cs="宋体"/>
                <w:lang w:val="en-US" w:eastAsia="zh-CN"/>
              </w:rPr>
            </w:pPr>
            <w:r>
              <w:rPr>
                <w:rFonts w:hint="eastAsia" w:ascii="宋体" w:hAnsi="宋体" w:cs="宋体"/>
                <w:sz w:val="24"/>
                <w:szCs w:val="24"/>
                <w:lang w:val="en-US" w:eastAsia="zh-CN"/>
              </w:rPr>
              <w:t>0-3分</w:t>
            </w:r>
          </w:p>
        </w:tc>
        <w:tc>
          <w:tcPr>
            <w:tcW w:w="948" w:type="pct"/>
            <w:vAlign w:val="center"/>
          </w:tcPr>
          <w:p>
            <w:pPr>
              <w:spacing w:line="360" w:lineRule="auto"/>
              <w:jc w:val="center"/>
              <w:outlineLvl w:val="0"/>
              <w:rPr>
                <w:rFonts w:hint="eastAsia" w:ascii="宋体" w:hAnsi="宋体" w:eastAsia="宋体" w:cs="宋体"/>
                <w:b/>
                <w:bCs/>
                <w:sz w:val="24"/>
              </w:rPr>
            </w:pPr>
            <w:r>
              <w:rPr>
                <w:rFonts w:hint="eastAsia" w:ascii="宋体" w:hAnsi="宋体" w:eastAsia="宋体" w:cs="宋体"/>
                <w:b/>
                <w:bCs/>
                <w:sz w:val="24"/>
              </w:rPr>
              <w:t>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395" w:type="pct"/>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5</w:t>
            </w:r>
          </w:p>
        </w:tc>
        <w:tc>
          <w:tcPr>
            <w:tcW w:w="3115" w:type="pct"/>
            <w:vAlign w:val="center"/>
          </w:tcPr>
          <w:p>
            <w:pPr>
              <w:spacing w:line="240" w:lineRule="auto"/>
              <w:jc w:val="both"/>
              <w:rPr>
                <w:rFonts w:hint="eastAsia" w:ascii="宋体" w:hAnsi="宋体" w:eastAsia="宋体" w:cs="宋体"/>
                <w:sz w:val="24"/>
                <w:szCs w:val="24"/>
              </w:rPr>
            </w:pPr>
            <w:r>
              <w:rPr>
                <w:rFonts w:hint="eastAsia" w:ascii="宋体" w:hAnsi="宋体" w:eastAsia="宋体" w:cs="宋体"/>
                <w:sz w:val="24"/>
                <w:szCs w:val="24"/>
              </w:rPr>
              <w:t>为确保污水厂正常运行，对水质及时快速检测的要求较高，投标单位上述“检测能力”中的实验室在临安区范围内的得3分，杭州市范围内的得2分，</w:t>
            </w:r>
            <w:r>
              <w:rPr>
                <w:rFonts w:hint="eastAsia" w:ascii="宋体" w:hAnsi="宋体" w:cs="宋体"/>
                <w:sz w:val="24"/>
                <w:szCs w:val="24"/>
                <w:lang w:eastAsia="zh-CN"/>
              </w:rPr>
              <w:t>浙江省范围内的得1分，其余地区不得分。</w:t>
            </w:r>
            <w:r>
              <w:rPr>
                <w:rFonts w:hint="eastAsia" w:ascii="宋体" w:hAnsi="宋体" w:eastAsia="宋体" w:cs="宋体"/>
                <w:b/>
                <w:bCs/>
                <w:sz w:val="24"/>
                <w:szCs w:val="24"/>
              </w:rPr>
              <w:t>（须提供相应证明材料）</w:t>
            </w:r>
          </w:p>
        </w:tc>
        <w:tc>
          <w:tcPr>
            <w:tcW w:w="539" w:type="pct"/>
            <w:vAlign w:val="center"/>
          </w:tcPr>
          <w:p>
            <w:pPr>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0-3分</w:t>
            </w:r>
          </w:p>
        </w:tc>
        <w:tc>
          <w:tcPr>
            <w:tcW w:w="948" w:type="pct"/>
            <w:vAlign w:val="center"/>
          </w:tcPr>
          <w:p>
            <w:pPr>
              <w:spacing w:line="360" w:lineRule="auto"/>
              <w:jc w:val="center"/>
              <w:outlineLvl w:val="0"/>
              <w:rPr>
                <w:rFonts w:hint="eastAsia" w:ascii="宋体" w:hAnsi="宋体" w:eastAsia="宋体" w:cs="宋体"/>
                <w:b/>
                <w:bCs/>
                <w:sz w:val="24"/>
              </w:rPr>
            </w:pPr>
            <w:r>
              <w:rPr>
                <w:rFonts w:hint="eastAsia" w:ascii="宋体" w:hAnsi="宋体" w:eastAsia="宋体" w:cs="宋体"/>
                <w:b/>
                <w:bCs/>
                <w:sz w:val="24"/>
                <w:lang w:val="en-US" w:eastAsia="zh-CN"/>
              </w:rPr>
              <w:t>检测效率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395" w:type="pct"/>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6</w:t>
            </w:r>
          </w:p>
        </w:tc>
        <w:tc>
          <w:tcPr>
            <w:tcW w:w="3115" w:type="pct"/>
            <w:vAlign w:val="center"/>
          </w:tcPr>
          <w:p>
            <w:pPr>
              <w:jc w:val="both"/>
              <w:rPr>
                <w:rFonts w:hint="eastAsia" w:ascii="宋体" w:hAnsi="宋体" w:eastAsia="宋体" w:cs="宋体"/>
                <w:sz w:val="24"/>
                <w:szCs w:val="24"/>
              </w:rPr>
            </w:pPr>
            <w:r>
              <w:rPr>
                <w:rFonts w:hint="eastAsia"/>
                <w:sz w:val="24"/>
                <w:szCs w:val="24"/>
                <w:lang w:val="en-US" w:eastAsia="zh-CN"/>
              </w:rPr>
              <w:t>对于是否响应“主要材料（设备）品牌表”中推荐的品牌，不响应推荐品牌的每一项减1分，全部响应的得满分。</w:t>
            </w:r>
          </w:p>
        </w:tc>
        <w:tc>
          <w:tcPr>
            <w:tcW w:w="539" w:type="pct"/>
            <w:vAlign w:val="center"/>
          </w:tcPr>
          <w:p>
            <w:pPr>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0-12分</w:t>
            </w:r>
          </w:p>
        </w:tc>
        <w:tc>
          <w:tcPr>
            <w:tcW w:w="948" w:type="pct"/>
            <w:vAlign w:val="center"/>
          </w:tcPr>
          <w:p>
            <w:pPr>
              <w:spacing w:line="240" w:lineRule="auto"/>
              <w:jc w:val="center"/>
              <w:outlineLvl w:val="0"/>
              <w:rPr>
                <w:rFonts w:hint="eastAsia" w:ascii="宋体" w:hAnsi="宋体" w:eastAsia="宋体" w:cs="宋体"/>
                <w:b/>
                <w:bCs/>
                <w:sz w:val="24"/>
              </w:rPr>
            </w:pPr>
            <w:r>
              <w:rPr>
                <w:rFonts w:hint="eastAsia" w:ascii="宋体" w:hAnsi="宋体" w:eastAsia="宋体" w:cs="宋体"/>
                <w:b/>
                <w:bCs/>
                <w:sz w:val="24"/>
                <w:lang w:eastAsia="zh-CN"/>
              </w:rPr>
              <w:t>主要材料（设备）品牌要求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395" w:type="pct"/>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7</w:t>
            </w:r>
          </w:p>
        </w:tc>
        <w:tc>
          <w:tcPr>
            <w:tcW w:w="3115" w:type="pct"/>
            <w:vAlign w:val="center"/>
          </w:tcPr>
          <w:p>
            <w:pPr>
              <w:jc w:val="both"/>
              <w:rPr>
                <w:rFonts w:hint="eastAsia" w:ascii="宋体" w:hAnsi="宋体" w:eastAsia="宋体" w:cs="宋体"/>
                <w:sz w:val="24"/>
                <w:szCs w:val="24"/>
              </w:rPr>
            </w:pPr>
            <w:r>
              <w:rPr>
                <w:rFonts w:hint="eastAsia" w:ascii="宋体" w:hAnsi="宋体" w:eastAsia="宋体" w:cs="宋体"/>
                <w:kern w:val="2"/>
                <w:sz w:val="24"/>
                <w:szCs w:val="24"/>
                <w:lang w:val="en-US" w:eastAsia="zh-CN" w:bidi="ar-SA"/>
              </w:rPr>
              <w:t>评委从各投标单位的投标文件中写明的施工进度计划管理</w:t>
            </w:r>
            <w:r>
              <w:rPr>
                <w:rFonts w:hint="eastAsia" w:ascii="宋体" w:hAnsi="宋体" w:cs="宋体"/>
                <w:kern w:val="2"/>
                <w:sz w:val="24"/>
                <w:szCs w:val="24"/>
                <w:lang w:val="en-US" w:eastAsia="zh-CN" w:bidi="ar-SA"/>
              </w:rPr>
              <w:t>保障</w:t>
            </w:r>
            <w:r>
              <w:rPr>
                <w:rFonts w:hint="eastAsia" w:ascii="宋体" w:hAnsi="宋体" w:eastAsia="宋体" w:cs="宋体"/>
                <w:kern w:val="2"/>
                <w:sz w:val="24"/>
                <w:szCs w:val="24"/>
                <w:lang w:val="en-US" w:eastAsia="zh-CN" w:bidi="ar-SA"/>
              </w:rPr>
              <w:t>措施横向比较，酌情打分。</w:t>
            </w:r>
          </w:p>
        </w:tc>
        <w:tc>
          <w:tcPr>
            <w:tcW w:w="539" w:type="pct"/>
            <w:vAlign w:val="center"/>
          </w:tcPr>
          <w:p>
            <w:pPr>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0-5分</w:t>
            </w:r>
          </w:p>
        </w:tc>
        <w:tc>
          <w:tcPr>
            <w:tcW w:w="948" w:type="pct"/>
            <w:vAlign w:val="center"/>
          </w:tcPr>
          <w:p>
            <w:pPr>
              <w:spacing w:line="240" w:lineRule="auto"/>
              <w:jc w:val="center"/>
              <w:outlineLvl w:val="0"/>
              <w:rPr>
                <w:rFonts w:hint="eastAsia" w:ascii="宋体" w:hAnsi="宋体" w:eastAsia="宋体" w:cs="宋体"/>
                <w:b/>
                <w:bCs/>
                <w:sz w:val="24"/>
              </w:rPr>
            </w:pPr>
            <w:r>
              <w:rPr>
                <w:rFonts w:hint="eastAsia" w:ascii="宋体" w:hAnsi="宋体" w:eastAsia="宋体" w:cs="宋体"/>
                <w:b/>
                <w:bCs/>
                <w:sz w:val="24"/>
                <w:lang w:val="en-US" w:eastAsia="zh-CN"/>
              </w:rPr>
              <w:t>施工进度计划管理保障措施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395" w:type="pct"/>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8</w:t>
            </w:r>
          </w:p>
        </w:tc>
        <w:tc>
          <w:tcPr>
            <w:tcW w:w="3115" w:type="pct"/>
            <w:vAlign w:val="center"/>
          </w:tcPr>
          <w:p>
            <w:pPr>
              <w:jc w:val="both"/>
              <w:rPr>
                <w:rFonts w:hint="eastAsia" w:ascii="宋体" w:hAnsi="宋体" w:eastAsia="宋体" w:cs="宋体"/>
                <w:sz w:val="24"/>
                <w:szCs w:val="24"/>
              </w:rPr>
            </w:pPr>
            <w:r>
              <w:rPr>
                <w:rFonts w:hint="eastAsia" w:eastAsia="宋体" w:cs="Times New Roman"/>
                <w:sz w:val="24"/>
                <w:szCs w:val="24"/>
                <w:lang w:val="en-US" w:eastAsia="zh-CN"/>
              </w:rPr>
              <w:t>评委从各投标单位的投标文件中写明的工程质量管理</w:t>
            </w:r>
            <w:r>
              <w:rPr>
                <w:rFonts w:hint="eastAsia" w:ascii="宋体" w:hAnsi="宋体" w:cs="宋体"/>
                <w:kern w:val="2"/>
                <w:sz w:val="24"/>
                <w:szCs w:val="24"/>
                <w:lang w:val="en-US" w:eastAsia="zh-CN" w:bidi="ar-SA"/>
              </w:rPr>
              <w:t>保障</w:t>
            </w:r>
            <w:r>
              <w:rPr>
                <w:rFonts w:hint="eastAsia" w:eastAsia="宋体" w:cs="Times New Roman"/>
                <w:sz w:val="24"/>
                <w:szCs w:val="24"/>
                <w:lang w:val="en-US" w:eastAsia="zh-CN"/>
              </w:rPr>
              <w:t>措施横向比较，酌情打分。</w:t>
            </w:r>
          </w:p>
        </w:tc>
        <w:tc>
          <w:tcPr>
            <w:tcW w:w="539" w:type="pct"/>
            <w:vAlign w:val="center"/>
          </w:tcPr>
          <w:p>
            <w:pPr>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0-5分</w:t>
            </w:r>
          </w:p>
        </w:tc>
        <w:tc>
          <w:tcPr>
            <w:tcW w:w="948" w:type="pct"/>
            <w:vAlign w:val="center"/>
          </w:tcPr>
          <w:p>
            <w:pPr>
              <w:spacing w:line="240" w:lineRule="auto"/>
              <w:jc w:val="center"/>
              <w:rPr>
                <w:rFonts w:hint="eastAsia" w:ascii="宋体" w:hAnsi="宋体" w:eastAsia="宋体" w:cs="宋体"/>
                <w:b/>
                <w:bCs/>
                <w:spacing w:val="-4"/>
                <w:kern w:val="2"/>
                <w:sz w:val="24"/>
                <w:szCs w:val="24"/>
                <w:highlight w:val="none"/>
                <w:lang w:val="en-US" w:eastAsia="zh-CN" w:bidi="ar-SA"/>
              </w:rPr>
            </w:pPr>
            <w:r>
              <w:rPr>
                <w:rFonts w:hint="eastAsia" w:ascii="宋体" w:hAnsi="宋体" w:cs="宋体"/>
                <w:b/>
                <w:bCs/>
                <w:spacing w:val="-4"/>
                <w:sz w:val="24"/>
                <w:szCs w:val="24"/>
                <w:highlight w:val="none"/>
                <w:lang w:val="en-US" w:eastAsia="zh-CN"/>
              </w:rPr>
              <w:t>工程质量管理保障措施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395" w:type="pct"/>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9</w:t>
            </w:r>
          </w:p>
        </w:tc>
        <w:tc>
          <w:tcPr>
            <w:tcW w:w="3115" w:type="pct"/>
            <w:vAlign w:val="center"/>
          </w:tcPr>
          <w:p>
            <w:pPr>
              <w:jc w:val="both"/>
              <w:rPr>
                <w:rFonts w:hint="eastAsia" w:ascii="宋体" w:hAnsi="宋体" w:eastAsia="宋体" w:cs="宋体"/>
                <w:sz w:val="24"/>
                <w:szCs w:val="24"/>
              </w:rPr>
            </w:pPr>
            <w:r>
              <w:rPr>
                <w:rFonts w:hint="eastAsia" w:eastAsia="宋体" w:cs="Times New Roman"/>
                <w:sz w:val="24"/>
                <w:szCs w:val="24"/>
                <w:lang w:val="en-US" w:eastAsia="zh-CN"/>
              </w:rPr>
              <w:t>评委从各投标单位的投标文件中写明的安全生产管理</w:t>
            </w:r>
            <w:r>
              <w:rPr>
                <w:rFonts w:hint="eastAsia" w:ascii="宋体" w:hAnsi="宋体" w:cs="宋体"/>
                <w:kern w:val="2"/>
                <w:sz w:val="24"/>
                <w:szCs w:val="24"/>
                <w:lang w:val="en-US" w:eastAsia="zh-CN" w:bidi="ar-SA"/>
              </w:rPr>
              <w:t>保障</w:t>
            </w:r>
            <w:r>
              <w:rPr>
                <w:rFonts w:hint="eastAsia" w:eastAsia="宋体" w:cs="Times New Roman"/>
                <w:sz w:val="24"/>
                <w:szCs w:val="24"/>
                <w:lang w:val="en-US" w:eastAsia="zh-CN"/>
              </w:rPr>
              <w:t>措施横向比较，酌情打分。</w:t>
            </w:r>
          </w:p>
        </w:tc>
        <w:tc>
          <w:tcPr>
            <w:tcW w:w="539" w:type="pct"/>
            <w:vAlign w:val="center"/>
          </w:tcPr>
          <w:p>
            <w:pPr>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0-5分</w:t>
            </w:r>
          </w:p>
        </w:tc>
        <w:tc>
          <w:tcPr>
            <w:tcW w:w="948" w:type="pct"/>
            <w:vAlign w:val="center"/>
          </w:tcPr>
          <w:p>
            <w:pPr>
              <w:widowControl/>
              <w:spacing w:line="240" w:lineRule="auto"/>
              <w:jc w:val="center"/>
              <w:rPr>
                <w:rFonts w:hint="eastAsia" w:ascii="宋体" w:hAnsi="宋体" w:eastAsia="宋体" w:cs="宋体"/>
                <w:b/>
                <w:bCs/>
                <w:spacing w:val="-4"/>
                <w:kern w:val="2"/>
                <w:sz w:val="24"/>
                <w:szCs w:val="24"/>
                <w:highlight w:val="none"/>
                <w:lang w:val="en-US" w:eastAsia="zh-CN" w:bidi="ar-SA"/>
              </w:rPr>
            </w:pPr>
            <w:r>
              <w:rPr>
                <w:rFonts w:hint="eastAsia" w:ascii="宋体" w:hAnsi="宋体" w:cs="宋体"/>
                <w:b/>
                <w:bCs/>
                <w:spacing w:val="-4"/>
                <w:sz w:val="24"/>
                <w:szCs w:val="24"/>
                <w:highlight w:val="none"/>
                <w:lang w:val="en-US" w:eastAsia="zh-CN"/>
              </w:rPr>
              <w:t>安全生产管理保障措施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395" w:type="pct"/>
            <w:vAlign w:val="center"/>
          </w:tcPr>
          <w:p>
            <w:pPr>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10</w:t>
            </w:r>
          </w:p>
        </w:tc>
        <w:tc>
          <w:tcPr>
            <w:tcW w:w="3115" w:type="pct"/>
            <w:vAlign w:val="center"/>
          </w:tcPr>
          <w:p>
            <w:pPr>
              <w:jc w:val="both"/>
              <w:rPr>
                <w:rFonts w:hint="eastAsia" w:ascii="宋体" w:hAnsi="宋体" w:eastAsia="宋体" w:cs="宋体"/>
                <w:sz w:val="24"/>
                <w:szCs w:val="24"/>
              </w:rPr>
            </w:pPr>
            <w:r>
              <w:rPr>
                <w:rFonts w:hint="eastAsia" w:eastAsia="宋体" w:cs="Times New Roman"/>
                <w:sz w:val="24"/>
                <w:szCs w:val="24"/>
                <w:lang w:val="en-US" w:eastAsia="zh-CN"/>
              </w:rPr>
              <w:t>评委从各投标单位的投标文件中写明的施工对环境影响及对策横向比较，酌情打分。</w:t>
            </w:r>
          </w:p>
        </w:tc>
        <w:tc>
          <w:tcPr>
            <w:tcW w:w="539" w:type="pct"/>
            <w:vAlign w:val="center"/>
          </w:tcPr>
          <w:p>
            <w:pPr>
              <w:jc w:val="center"/>
              <w:rPr>
                <w:rFonts w:hint="eastAsia" w:ascii="宋体" w:hAnsi="宋体" w:eastAsia="宋体" w:cs="宋体"/>
                <w:sz w:val="24"/>
                <w:szCs w:val="24"/>
              </w:rPr>
            </w:pPr>
            <w:r>
              <w:rPr>
                <w:rFonts w:hint="eastAsia" w:ascii="宋体" w:hAnsi="宋体" w:cs="宋体"/>
                <w:sz w:val="24"/>
                <w:szCs w:val="24"/>
                <w:lang w:val="en-US" w:eastAsia="zh-CN"/>
              </w:rPr>
              <w:t>0-5分</w:t>
            </w:r>
          </w:p>
        </w:tc>
        <w:tc>
          <w:tcPr>
            <w:tcW w:w="948" w:type="pct"/>
            <w:vAlign w:val="center"/>
          </w:tcPr>
          <w:p>
            <w:pPr>
              <w:widowControl/>
              <w:spacing w:line="240" w:lineRule="auto"/>
              <w:jc w:val="center"/>
              <w:rPr>
                <w:rFonts w:hint="eastAsia" w:ascii="宋体" w:hAnsi="宋体" w:eastAsia="宋体" w:cs="宋体"/>
                <w:b/>
                <w:bCs/>
                <w:spacing w:val="-4"/>
                <w:kern w:val="2"/>
                <w:sz w:val="24"/>
                <w:szCs w:val="24"/>
                <w:highlight w:val="none"/>
                <w:lang w:val="en-US" w:eastAsia="zh-CN" w:bidi="ar-SA"/>
              </w:rPr>
            </w:pPr>
            <w:r>
              <w:rPr>
                <w:rFonts w:hint="eastAsia" w:ascii="宋体" w:hAnsi="宋体" w:cs="宋体"/>
                <w:b/>
                <w:bCs/>
                <w:spacing w:val="-4"/>
                <w:sz w:val="24"/>
                <w:szCs w:val="24"/>
                <w:highlight w:val="none"/>
                <w:lang w:val="en-US" w:eastAsia="zh-CN"/>
              </w:rPr>
              <w:t>施工对环境影响及对策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395" w:type="pct"/>
            <w:vAlign w:val="center"/>
          </w:tcPr>
          <w:p>
            <w:pPr>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11</w:t>
            </w:r>
          </w:p>
        </w:tc>
        <w:tc>
          <w:tcPr>
            <w:tcW w:w="3115" w:type="pct"/>
            <w:vAlign w:val="center"/>
          </w:tcPr>
          <w:p>
            <w:pPr>
              <w:jc w:val="both"/>
              <w:rPr>
                <w:rFonts w:hint="eastAsia" w:ascii="宋体" w:hAnsi="宋体" w:eastAsia="宋体" w:cs="宋体"/>
                <w:sz w:val="24"/>
                <w:szCs w:val="24"/>
              </w:rPr>
            </w:pPr>
            <w:r>
              <w:rPr>
                <w:rFonts w:hint="eastAsia" w:eastAsia="宋体" w:cs="Times New Roman"/>
                <w:sz w:val="24"/>
                <w:szCs w:val="24"/>
                <w:lang w:val="en-US" w:eastAsia="zh-CN"/>
              </w:rPr>
              <w:t>评委从各投标单位的投标文件中写明的试运行期间水质超标应急处置方案进行横向比较，酌情打分。</w:t>
            </w:r>
          </w:p>
        </w:tc>
        <w:tc>
          <w:tcPr>
            <w:tcW w:w="539" w:type="pct"/>
            <w:vAlign w:val="center"/>
          </w:tcPr>
          <w:p>
            <w:pPr>
              <w:jc w:val="center"/>
              <w:rPr>
                <w:rFonts w:hint="eastAsia" w:ascii="宋体" w:hAnsi="宋体" w:eastAsia="宋体" w:cs="宋体"/>
                <w:sz w:val="24"/>
                <w:szCs w:val="24"/>
              </w:rPr>
            </w:pPr>
            <w:r>
              <w:rPr>
                <w:rFonts w:hint="eastAsia" w:ascii="宋体" w:hAnsi="宋体" w:cs="宋体"/>
                <w:sz w:val="24"/>
                <w:szCs w:val="24"/>
                <w:lang w:val="en-US" w:eastAsia="zh-CN"/>
              </w:rPr>
              <w:t>0-5分</w:t>
            </w:r>
          </w:p>
        </w:tc>
        <w:tc>
          <w:tcPr>
            <w:tcW w:w="948" w:type="pct"/>
            <w:vAlign w:val="center"/>
          </w:tcPr>
          <w:p>
            <w:pPr>
              <w:widowControl/>
              <w:spacing w:line="240" w:lineRule="auto"/>
              <w:ind w:left="241" w:leftChars="0" w:hanging="241" w:hangingChars="100"/>
              <w:jc w:val="center"/>
              <w:rPr>
                <w:rFonts w:hint="eastAsia" w:ascii="宋体" w:hAnsi="宋体" w:eastAsia="宋体" w:cs="宋体"/>
                <w:b/>
                <w:bCs/>
                <w:kern w:val="2"/>
                <w:sz w:val="24"/>
                <w:szCs w:val="24"/>
                <w:highlight w:val="none"/>
                <w:lang w:val="en-US" w:eastAsia="zh-CN" w:bidi="ar-SA"/>
              </w:rPr>
            </w:pPr>
            <w:r>
              <w:rPr>
                <w:rFonts w:hint="eastAsia" w:ascii="宋体" w:hAnsi="宋体" w:cs="宋体"/>
                <w:b/>
                <w:bCs/>
                <w:sz w:val="24"/>
                <w:szCs w:val="24"/>
                <w:highlight w:val="none"/>
                <w:lang w:val="en-US" w:eastAsia="zh-CN"/>
              </w:rPr>
              <w:t>水质超标应急处置方案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395" w:type="pct"/>
            <w:vAlign w:val="center"/>
          </w:tcPr>
          <w:p>
            <w:pPr>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12</w:t>
            </w:r>
          </w:p>
        </w:tc>
        <w:tc>
          <w:tcPr>
            <w:tcW w:w="3115" w:type="pct"/>
            <w:vAlign w:val="center"/>
          </w:tcPr>
          <w:p>
            <w:pPr>
              <w:jc w:val="both"/>
              <w:rPr>
                <w:rFonts w:hint="eastAsia" w:ascii="宋体" w:hAnsi="宋体" w:eastAsia="宋体" w:cs="宋体"/>
                <w:sz w:val="24"/>
                <w:szCs w:val="24"/>
              </w:rPr>
            </w:pPr>
            <w:r>
              <w:rPr>
                <w:rFonts w:hint="eastAsia" w:eastAsia="宋体"/>
                <w:sz w:val="24"/>
                <w:szCs w:val="24"/>
                <w:lang w:val="en-US" w:eastAsia="zh-CN"/>
              </w:rPr>
              <w:t>评委从各投标单位的投标文件中写明的针对本项目的工程调试进行横向比较，酌情打分。</w:t>
            </w:r>
          </w:p>
        </w:tc>
        <w:tc>
          <w:tcPr>
            <w:tcW w:w="539" w:type="pct"/>
            <w:vAlign w:val="center"/>
          </w:tcPr>
          <w:p>
            <w:pPr>
              <w:jc w:val="center"/>
              <w:rPr>
                <w:rFonts w:hint="eastAsia" w:ascii="宋体" w:hAnsi="宋体" w:eastAsia="宋体" w:cs="宋体"/>
                <w:sz w:val="24"/>
                <w:szCs w:val="24"/>
              </w:rPr>
            </w:pPr>
            <w:r>
              <w:rPr>
                <w:rFonts w:hint="eastAsia" w:ascii="宋体" w:hAnsi="宋体" w:cs="宋体"/>
                <w:sz w:val="24"/>
                <w:szCs w:val="24"/>
                <w:lang w:val="en-US" w:eastAsia="zh-CN"/>
              </w:rPr>
              <w:t>0-5分</w:t>
            </w:r>
          </w:p>
        </w:tc>
        <w:tc>
          <w:tcPr>
            <w:tcW w:w="948" w:type="pct"/>
            <w:vAlign w:val="center"/>
          </w:tcPr>
          <w:p>
            <w:pPr>
              <w:spacing w:line="240" w:lineRule="auto"/>
              <w:jc w:val="center"/>
              <w:rPr>
                <w:rFonts w:hint="eastAsia" w:ascii="宋体" w:hAnsi="宋体" w:eastAsia="宋体" w:cs="宋体"/>
                <w:b/>
                <w:bCs/>
                <w:kern w:val="2"/>
                <w:sz w:val="24"/>
                <w:szCs w:val="24"/>
                <w:highlight w:val="none"/>
                <w:lang w:val="en-US" w:eastAsia="zh-CN" w:bidi="ar-SA"/>
              </w:rPr>
            </w:pPr>
            <w:r>
              <w:rPr>
                <w:rFonts w:hint="eastAsia" w:ascii="宋体" w:hAnsi="宋体" w:eastAsia="宋体" w:cs="宋体"/>
                <w:b/>
                <w:bCs/>
                <w:kern w:val="2"/>
                <w:sz w:val="24"/>
                <w:szCs w:val="24"/>
                <w:highlight w:val="none"/>
                <w:lang w:val="en-US" w:eastAsia="zh-CN" w:bidi="ar-SA"/>
              </w:rPr>
              <w:t>工程调试方案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395" w:type="pct"/>
            <w:vAlign w:val="center"/>
          </w:tcPr>
          <w:p>
            <w:pPr>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13</w:t>
            </w:r>
          </w:p>
        </w:tc>
        <w:tc>
          <w:tcPr>
            <w:tcW w:w="3115" w:type="pct"/>
            <w:vAlign w:val="center"/>
          </w:tcPr>
          <w:p>
            <w:pPr>
              <w:jc w:val="both"/>
              <w:rPr>
                <w:rFonts w:hint="eastAsia" w:ascii="宋体" w:hAnsi="宋体" w:eastAsia="宋体" w:cs="宋体"/>
                <w:sz w:val="24"/>
                <w:szCs w:val="24"/>
              </w:rPr>
            </w:pPr>
            <w:r>
              <w:rPr>
                <w:rFonts w:hint="eastAsia" w:ascii="宋体" w:hAnsi="宋体" w:eastAsia="宋体" w:cs="宋体"/>
                <w:kern w:val="2"/>
                <w:sz w:val="24"/>
                <w:szCs w:val="24"/>
                <w:highlight w:val="none"/>
                <w:lang w:val="en-US" w:eastAsia="zh-CN" w:bidi="ar-SA"/>
              </w:rPr>
              <w:t>评委从各投标单位的投标文件中写明的对有限空间作业方案进行综合评分。</w:t>
            </w:r>
          </w:p>
        </w:tc>
        <w:tc>
          <w:tcPr>
            <w:tcW w:w="539" w:type="pct"/>
            <w:vAlign w:val="center"/>
          </w:tcPr>
          <w:p>
            <w:pPr>
              <w:jc w:val="center"/>
              <w:rPr>
                <w:rFonts w:hint="eastAsia" w:ascii="宋体" w:hAnsi="宋体" w:eastAsia="宋体" w:cs="宋体"/>
                <w:sz w:val="24"/>
                <w:szCs w:val="24"/>
              </w:rPr>
            </w:pPr>
            <w:r>
              <w:rPr>
                <w:rFonts w:hint="eastAsia" w:ascii="宋体" w:hAnsi="宋体" w:cs="宋体"/>
                <w:sz w:val="24"/>
                <w:szCs w:val="24"/>
                <w:lang w:val="en-US" w:eastAsia="zh-CN"/>
              </w:rPr>
              <w:t>0-4分</w:t>
            </w:r>
          </w:p>
        </w:tc>
        <w:tc>
          <w:tcPr>
            <w:tcW w:w="948" w:type="pct"/>
            <w:vAlign w:val="center"/>
          </w:tcPr>
          <w:p>
            <w:pPr>
              <w:widowControl/>
              <w:spacing w:line="240" w:lineRule="auto"/>
              <w:jc w:val="center"/>
              <w:rPr>
                <w:rFonts w:hint="eastAsia" w:ascii="宋体" w:hAnsi="宋体" w:eastAsia="宋体" w:cs="宋体"/>
                <w:b/>
                <w:bCs/>
                <w:kern w:val="2"/>
                <w:sz w:val="24"/>
                <w:szCs w:val="24"/>
                <w:highlight w:val="none"/>
                <w:lang w:val="en-US" w:eastAsia="zh-CN" w:bidi="ar-SA"/>
              </w:rPr>
            </w:pPr>
            <w:r>
              <w:rPr>
                <w:rFonts w:hint="eastAsia" w:ascii="宋体" w:hAnsi="宋体" w:eastAsia="宋体" w:cs="宋体"/>
                <w:b/>
                <w:bCs/>
                <w:kern w:val="2"/>
                <w:sz w:val="24"/>
                <w:szCs w:val="24"/>
                <w:highlight w:val="none"/>
                <w:lang w:val="en-US" w:eastAsia="zh-CN" w:bidi="ar-SA"/>
              </w:rPr>
              <w:t>有限空间作业方案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395" w:type="pct"/>
            <w:vAlign w:val="center"/>
          </w:tcPr>
          <w:p>
            <w:pPr>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14</w:t>
            </w:r>
          </w:p>
        </w:tc>
        <w:tc>
          <w:tcPr>
            <w:tcW w:w="3115" w:type="pct"/>
            <w:vAlign w:val="center"/>
          </w:tcPr>
          <w:p>
            <w:pPr>
              <w:jc w:val="both"/>
              <w:rPr>
                <w:rFonts w:hint="eastAsia" w:ascii="宋体" w:hAnsi="宋体" w:eastAsia="宋体" w:cs="宋体"/>
                <w:sz w:val="24"/>
                <w:szCs w:val="24"/>
              </w:rPr>
            </w:pPr>
            <w:r>
              <w:rPr>
                <w:rFonts w:hint="eastAsia" w:ascii="宋体" w:hAnsi="宋体" w:eastAsia="宋体" w:cs="宋体"/>
                <w:kern w:val="2"/>
                <w:sz w:val="24"/>
                <w:szCs w:val="24"/>
                <w:highlight w:val="none"/>
                <w:lang w:val="en-US" w:eastAsia="zh-CN" w:bidi="ar-SA"/>
              </w:rPr>
              <w:t>评委从各投标单位的投标文件中写明的</w:t>
            </w:r>
            <w:r>
              <w:rPr>
                <w:rFonts w:hint="eastAsia" w:ascii="宋体" w:hAnsi="宋体" w:cs="宋体"/>
                <w:kern w:val="2"/>
                <w:sz w:val="24"/>
                <w:szCs w:val="24"/>
                <w:highlight w:val="none"/>
                <w:lang w:val="en-US" w:eastAsia="zh-CN" w:bidi="ar-SA"/>
              </w:rPr>
              <w:t>售后服务进行横向比较，酌情打分。</w:t>
            </w:r>
          </w:p>
        </w:tc>
        <w:tc>
          <w:tcPr>
            <w:tcW w:w="539" w:type="pct"/>
            <w:vAlign w:val="center"/>
          </w:tcPr>
          <w:p>
            <w:pPr>
              <w:jc w:val="center"/>
              <w:rPr>
                <w:rFonts w:hint="eastAsia" w:ascii="宋体" w:hAnsi="宋体" w:eastAsia="宋体" w:cs="宋体"/>
                <w:sz w:val="24"/>
                <w:szCs w:val="24"/>
              </w:rPr>
            </w:pPr>
            <w:r>
              <w:rPr>
                <w:rFonts w:hint="eastAsia" w:ascii="宋体" w:hAnsi="宋体" w:cs="宋体"/>
                <w:sz w:val="24"/>
                <w:szCs w:val="24"/>
                <w:lang w:val="en-US" w:eastAsia="zh-CN"/>
              </w:rPr>
              <w:t>0-4分</w:t>
            </w:r>
          </w:p>
        </w:tc>
        <w:tc>
          <w:tcPr>
            <w:tcW w:w="948" w:type="pct"/>
            <w:vAlign w:val="center"/>
          </w:tcPr>
          <w:p>
            <w:pPr>
              <w:snapToGrid w:val="0"/>
              <w:spacing w:line="240" w:lineRule="auto"/>
              <w:jc w:val="center"/>
              <w:rPr>
                <w:rFonts w:hint="eastAsia" w:ascii="Times New Roman" w:hAnsi="Times New Roman" w:eastAsia="宋体" w:cs="Times New Roman"/>
                <w:b/>
                <w:bCs/>
                <w:kern w:val="2"/>
                <w:sz w:val="24"/>
                <w:szCs w:val="24"/>
                <w:lang w:val="en-US" w:eastAsia="zh-CN" w:bidi="ar-SA"/>
              </w:rPr>
            </w:pPr>
            <w:r>
              <w:rPr>
                <w:rFonts w:hint="eastAsia"/>
                <w:b/>
                <w:bCs/>
                <w:sz w:val="24"/>
                <w:szCs w:val="24"/>
                <w:lang w:eastAsia="zh-CN"/>
              </w:rPr>
              <w:t>售后服务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0" w:hRule="atLeast"/>
        </w:trPr>
        <w:tc>
          <w:tcPr>
            <w:tcW w:w="395" w:type="pct"/>
            <w:vAlign w:val="center"/>
          </w:tcPr>
          <w:p>
            <w:pPr>
              <w:spacing w:line="360" w:lineRule="auto"/>
              <w:jc w:val="center"/>
              <w:outlineLvl w:val="0"/>
              <w:rPr>
                <w:rFonts w:hint="default" w:ascii="宋体" w:hAnsi="宋体" w:eastAsia="宋体" w:cs="宋体"/>
                <w:sz w:val="24"/>
                <w:lang w:val="en-US" w:eastAsia="zh-CN"/>
              </w:rPr>
            </w:pPr>
            <w:r>
              <w:rPr>
                <w:rFonts w:hint="eastAsia" w:ascii="宋体" w:hAnsi="宋体" w:cs="宋体"/>
                <w:sz w:val="24"/>
                <w:lang w:val="en-US" w:eastAsia="zh-CN"/>
              </w:rPr>
              <w:t>15</w:t>
            </w:r>
          </w:p>
        </w:tc>
        <w:tc>
          <w:tcPr>
            <w:tcW w:w="3115" w:type="pct"/>
            <w:vAlign w:val="center"/>
          </w:tcPr>
          <w:p>
            <w:pPr>
              <w:spacing w:line="240" w:lineRule="auto"/>
              <w:ind w:firstLine="480" w:firstLineChars="200"/>
              <w:jc w:val="both"/>
              <w:outlineLvl w:val="0"/>
              <w:rPr>
                <w:rFonts w:hint="eastAsia" w:ascii="宋体" w:hAnsi="宋体" w:eastAsia="宋体" w:cs="宋体"/>
                <w:sz w:val="24"/>
              </w:rPr>
            </w:pPr>
            <w:r>
              <w:rPr>
                <w:rFonts w:hint="eastAsia" w:ascii="宋体" w:hAnsi="宋体" w:eastAsia="宋体" w:cs="宋体"/>
                <w:sz w:val="24"/>
              </w:rPr>
              <w:t>有效投标报价的最低价作为评标基准价，其最低报价为满分；按［投标报价得分=（评标基准价/投标报价）*30］的计算公式计算。</w:t>
            </w:r>
          </w:p>
          <w:p>
            <w:pPr>
              <w:spacing w:line="240" w:lineRule="auto"/>
              <w:ind w:left="479" w:leftChars="228" w:firstLine="0" w:firstLineChars="0"/>
              <w:jc w:val="both"/>
              <w:outlineLvl w:val="0"/>
              <w:rPr>
                <w:rFonts w:hint="eastAsia" w:ascii="宋体" w:hAnsi="宋体" w:eastAsia="宋体" w:cs="宋体"/>
                <w:sz w:val="24"/>
              </w:rPr>
            </w:pPr>
            <w:r>
              <w:rPr>
                <w:rFonts w:hint="eastAsia" w:ascii="宋体" w:hAnsi="宋体" w:eastAsia="宋体" w:cs="宋体"/>
                <w:sz w:val="24"/>
              </w:rPr>
              <w:t>评标过程中，不得去掉报价中的最高报价和最低报价。因落实政府采购政策需要进行价格调整的，以调整后的</w:t>
            </w:r>
          </w:p>
          <w:p>
            <w:pPr>
              <w:spacing w:line="240" w:lineRule="auto"/>
              <w:jc w:val="both"/>
              <w:outlineLvl w:val="0"/>
              <w:rPr>
                <w:rFonts w:hint="eastAsia" w:ascii="宋体" w:hAnsi="宋体" w:eastAsia="宋体" w:cs="宋体"/>
                <w:sz w:val="24"/>
              </w:rPr>
            </w:pPr>
            <w:r>
              <w:rPr>
                <w:rFonts w:hint="eastAsia" w:ascii="宋体" w:hAnsi="宋体" w:eastAsia="宋体" w:cs="宋体"/>
                <w:sz w:val="24"/>
              </w:rPr>
              <w:t>价格计算评标基准价和投标报价。</w:t>
            </w:r>
          </w:p>
        </w:tc>
        <w:tc>
          <w:tcPr>
            <w:tcW w:w="539" w:type="pct"/>
            <w:vAlign w:val="center"/>
          </w:tcPr>
          <w:p>
            <w:pPr>
              <w:spacing w:line="360" w:lineRule="auto"/>
              <w:jc w:val="center"/>
              <w:outlineLvl w:val="0"/>
              <w:rPr>
                <w:rFonts w:hint="eastAsia" w:ascii="宋体" w:hAnsi="宋体" w:eastAsia="宋体" w:cs="宋体"/>
                <w:sz w:val="24"/>
              </w:rPr>
            </w:pPr>
            <w:r>
              <w:rPr>
                <w:rFonts w:hint="eastAsia" w:ascii="宋体" w:hAnsi="宋体" w:eastAsia="宋体" w:cs="宋体"/>
                <w:sz w:val="24"/>
              </w:rPr>
              <w:t>30</w:t>
            </w:r>
          </w:p>
        </w:tc>
        <w:tc>
          <w:tcPr>
            <w:tcW w:w="948" w:type="pct"/>
            <w:vAlign w:val="center"/>
          </w:tcPr>
          <w:p>
            <w:pPr>
              <w:spacing w:line="360" w:lineRule="auto"/>
              <w:jc w:val="center"/>
              <w:outlineLvl w:val="0"/>
              <w:rPr>
                <w:rFonts w:hint="eastAsia" w:ascii="宋体" w:hAnsi="宋体" w:eastAsia="宋体" w:cs="宋体"/>
                <w:sz w:val="24"/>
              </w:rPr>
            </w:pPr>
            <w:r>
              <w:rPr>
                <w:rFonts w:hint="eastAsia" w:ascii="宋体" w:hAnsi="宋体" w:eastAsia="宋体" w:cs="宋体"/>
                <w:sz w:val="24"/>
              </w:rPr>
              <w:t>/</w:t>
            </w:r>
          </w:p>
        </w:tc>
      </w:tr>
    </w:tbl>
    <w:p>
      <w:pPr>
        <w:snapToGrid w:val="0"/>
        <w:spacing w:line="360" w:lineRule="auto"/>
        <w:rPr>
          <w:rFonts w:hint="eastAsia" w:ascii="宋体" w:hAnsi="宋体" w:eastAsia="宋体" w:cs="宋体"/>
          <w:b/>
          <w:sz w:val="24"/>
        </w:rPr>
      </w:pPr>
      <w:r>
        <w:rPr>
          <w:rFonts w:hint="eastAsia" w:ascii="宋体" w:hAnsi="宋体" w:eastAsia="宋体" w:cs="宋体"/>
          <w:sz w:val="20"/>
          <w:szCs w:val="20"/>
          <w:shd w:val="clear" w:color="auto" w:fill="FFFFFF"/>
        </w:rPr>
        <w:t>*</w:t>
      </w:r>
      <w:r>
        <w:rPr>
          <w:rFonts w:hint="eastAsia" w:ascii="宋体" w:hAnsi="宋体" w:eastAsia="宋体" w:cs="宋体"/>
          <w:b/>
          <w:sz w:val="24"/>
        </w:rPr>
        <w:t>备注：</w:t>
      </w:r>
      <w:r>
        <w:rPr>
          <w:rFonts w:hint="eastAsia" w:ascii="宋体" w:hAnsi="宋体" w:eastAsia="宋体" w:cs="宋体"/>
          <w:sz w:val="24"/>
        </w:rPr>
        <w:t>投标人编制投标文件（商务技术文件部分）时，建议按此目录（序号和内容）提供评标标准相应的商务技术资料。</w:t>
      </w:r>
    </w:p>
    <w:p>
      <w:pPr>
        <w:snapToGrid w:val="0"/>
        <w:spacing w:line="360" w:lineRule="auto"/>
        <w:rPr>
          <w:rFonts w:hint="eastAsia" w:ascii="宋体" w:hAnsi="宋体" w:eastAsia="宋体" w:cs="宋体"/>
          <w:b/>
          <w:sz w:val="28"/>
          <w:szCs w:val="28"/>
        </w:rPr>
      </w:pPr>
      <w:r>
        <w:rPr>
          <w:rFonts w:hint="eastAsia" w:ascii="宋体" w:hAnsi="宋体" w:eastAsia="宋体" w:cs="宋体"/>
          <w:b/>
          <w:sz w:val="28"/>
          <w:szCs w:val="28"/>
        </w:rPr>
        <w:t>一、评标方法</w:t>
      </w:r>
    </w:p>
    <w:p>
      <w:pPr>
        <w:adjustRightInd/>
        <w:spacing w:line="360" w:lineRule="auto"/>
        <w:ind w:firstLine="472" w:firstLineChars="196"/>
        <w:rPr>
          <w:rFonts w:hint="eastAsia" w:ascii="宋体" w:hAnsi="宋体" w:eastAsia="宋体" w:cs="宋体"/>
          <w:kern w:val="0"/>
          <w:sz w:val="24"/>
        </w:rPr>
      </w:pPr>
      <w:r>
        <w:rPr>
          <w:rFonts w:hint="eastAsia" w:ascii="宋体" w:hAnsi="宋体" w:eastAsia="宋体" w:cs="宋体"/>
          <w:b/>
          <w:kern w:val="0"/>
          <w:sz w:val="24"/>
        </w:rPr>
        <w:t>1.本项目采用综合评分法。</w:t>
      </w:r>
      <w:r>
        <w:rPr>
          <w:rFonts w:hint="eastAsia" w:ascii="宋体" w:hAnsi="宋体" w:eastAsia="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hint="eastAsia" w:ascii="宋体" w:hAnsi="宋体" w:eastAsia="宋体" w:cs="宋体"/>
          <w:kern w:val="0"/>
          <w:sz w:val="28"/>
          <w:szCs w:val="28"/>
        </w:rPr>
      </w:pPr>
      <w:r>
        <w:rPr>
          <w:rFonts w:hint="eastAsia" w:ascii="宋体" w:hAnsi="宋体" w:eastAsia="宋体" w:cs="宋体"/>
          <w:b/>
          <w:sz w:val="28"/>
          <w:szCs w:val="28"/>
        </w:rPr>
        <w:t>二、评标标准</w:t>
      </w:r>
    </w:p>
    <w:p>
      <w:pPr>
        <w:spacing w:line="360" w:lineRule="auto"/>
        <w:ind w:firstLine="472" w:firstLineChars="196"/>
        <w:rPr>
          <w:rFonts w:hint="eastAsia" w:ascii="宋体" w:hAnsi="宋体" w:eastAsia="宋体" w:cs="宋体"/>
          <w:b/>
          <w:sz w:val="24"/>
        </w:rPr>
      </w:pPr>
      <w:r>
        <w:rPr>
          <w:rFonts w:hint="eastAsia" w:ascii="宋体" w:hAnsi="宋体" w:eastAsia="宋体" w:cs="宋体"/>
          <w:b/>
          <w:sz w:val="24"/>
        </w:rPr>
        <w:t>2.</w:t>
      </w:r>
      <w:r>
        <w:rPr>
          <w:rFonts w:hint="eastAsia" w:ascii="宋体" w:hAnsi="宋体" w:eastAsia="宋体" w:cs="宋体"/>
        </w:rPr>
        <w:t xml:space="preserve"> </w:t>
      </w:r>
      <w:r>
        <w:rPr>
          <w:rFonts w:hint="eastAsia" w:ascii="宋体" w:hAnsi="宋体" w:eastAsia="宋体" w:cs="宋体"/>
          <w:b/>
          <w:sz w:val="24"/>
        </w:rPr>
        <w:t>评标标准：</w:t>
      </w:r>
      <w:r>
        <w:rPr>
          <w:rFonts w:hint="eastAsia" w:ascii="宋体" w:hAnsi="宋体" w:eastAsia="宋体" w:cs="宋体"/>
          <w:kern w:val="0"/>
          <w:sz w:val="24"/>
        </w:rPr>
        <w:t>见评标办法前附表。</w:t>
      </w:r>
    </w:p>
    <w:p>
      <w:pPr>
        <w:spacing w:line="360" w:lineRule="auto"/>
        <w:outlineLvl w:val="0"/>
        <w:rPr>
          <w:rFonts w:hint="eastAsia" w:ascii="宋体" w:hAnsi="宋体" w:eastAsia="宋体" w:cs="宋体"/>
          <w:b/>
          <w:sz w:val="28"/>
          <w:szCs w:val="28"/>
        </w:rPr>
      </w:pPr>
      <w:r>
        <w:rPr>
          <w:rFonts w:hint="eastAsia" w:ascii="宋体" w:hAnsi="宋体" w:eastAsia="宋体" w:cs="宋体"/>
          <w:b/>
          <w:sz w:val="28"/>
          <w:szCs w:val="28"/>
        </w:rPr>
        <w:t>三、评标程序</w:t>
      </w:r>
    </w:p>
    <w:p>
      <w:pPr>
        <w:spacing w:line="360" w:lineRule="auto"/>
        <w:ind w:firstLine="472" w:firstLineChars="196"/>
        <w:rPr>
          <w:rFonts w:hint="eastAsia" w:ascii="宋体" w:hAnsi="宋体" w:eastAsia="宋体" w:cs="宋体"/>
          <w:kern w:val="0"/>
          <w:sz w:val="24"/>
        </w:rPr>
      </w:pPr>
      <w:r>
        <w:rPr>
          <w:rFonts w:hint="eastAsia" w:ascii="宋体" w:hAnsi="宋体" w:eastAsia="宋体" w:cs="宋体"/>
          <w:b/>
          <w:kern w:val="0"/>
          <w:sz w:val="24"/>
        </w:rPr>
        <w:t>3.1符合性审查。</w:t>
      </w:r>
      <w:r>
        <w:rPr>
          <w:rFonts w:hint="eastAsia" w:ascii="宋体" w:hAnsi="宋体" w:eastAsia="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宋体" w:hAnsi="宋体" w:eastAsia="宋体" w:cs="宋体"/>
          <w:kern w:val="0"/>
          <w:sz w:val="24"/>
        </w:rPr>
      </w:pPr>
      <w:r>
        <w:rPr>
          <w:rFonts w:hint="eastAsia" w:ascii="宋体" w:hAnsi="宋体" w:eastAsia="宋体" w:cs="宋体"/>
          <w:b/>
          <w:kern w:val="0"/>
          <w:sz w:val="24"/>
        </w:rPr>
        <w:t>3.2 比较与评价。</w:t>
      </w:r>
      <w:r>
        <w:rPr>
          <w:rFonts w:hint="eastAsia" w:ascii="宋体" w:hAnsi="宋体" w:eastAsia="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宋体" w:hAnsi="宋体" w:eastAsia="宋体" w:cs="宋体"/>
          <w:kern w:val="0"/>
          <w:sz w:val="24"/>
        </w:rPr>
      </w:pPr>
      <w:r>
        <w:rPr>
          <w:rFonts w:hint="eastAsia" w:ascii="宋体" w:hAnsi="宋体" w:eastAsia="宋体" w:cs="宋体"/>
          <w:b/>
          <w:kern w:val="0"/>
          <w:sz w:val="24"/>
        </w:rPr>
        <w:t>3.3汇总商务技术得分。</w:t>
      </w:r>
      <w:r>
        <w:rPr>
          <w:rFonts w:hint="eastAsia" w:ascii="宋体" w:hAnsi="宋体" w:eastAsia="宋体" w:cs="宋体"/>
          <w:kern w:val="0"/>
          <w:sz w:val="24"/>
        </w:rPr>
        <w:t>评标委员会各成员应当独立对每个投标人的商务和技术文件进行评价，并汇总商务技术得分情况。</w:t>
      </w:r>
    </w:p>
    <w:p>
      <w:pPr>
        <w:spacing w:line="360" w:lineRule="auto"/>
        <w:ind w:firstLine="472" w:firstLineChars="196"/>
        <w:rPr>
          <w:rFonts w:hint="eastAsia" w:ascii="宋体" w:hAnsi="宋体" w:eastAsia="宋体" w:cs="宋体"/>
          <w:b/>
          <w:kern w:val="0"/>
          <w:sz w:val="24"/>
        </w:rPr>
      </w:pPr>
      <w:r>
        <w:rPr>
          <w:rFonts w:hint="eastAsia" w:ascii="宋体" w:hAnsi="宋体" w:eastAsia="宋体" w:cs="宋体"/>
          <w:b/>
          <w:kern w:val="0"/>
          <w:sz w:val="24"/>
        </w:rPr>
        <w:t>3.4报价评审。</w:t>
      </w:r>
    </w:p>
    <w:p>
      <w:pPr>
        <w:pStyle w:val="128"/>
        <w:spacing w:before="0"/>
        <w:ind w:firstLine="508" w:firstLineChars="212"/>
        <w:rPr>
          <w:rFonts w:hint="eastAsia" w:ascii="宋体" w:hAnsi="宋体" w:eastAsia="宋体" w:cs="宋体"/>
          <w:kern w:val="0"/>
        </w:rPr>
      </w:pPr>
      <w:r>
        <w:rPr>
          <w:rFonts w:hint="eastAsia" w:ascii="宋体" w:hAnsi="宋体" w:eastAsia="宋体" w:cs="宋体"/>
          <w:kern w:val="0"/>
        </w:rPr>
        <w:t>3.4.1投标文件报价出现前后不一致的，按照下列规定修正：</w:t>
      </w:r>
    </w:p>
    <w:p>
      <w:pPr>
        <w:pStyle w:val="128"/>
        <w:spacing w:before="0"/>
        <w:ind w:firstLine="480"/>
        <w:rPr>
          <w:rFonts w:hint="eastAsia" w:ascii="宋体" w:hAnsi="宋体" w:eastAsia="宋体" w:cs="宋体"/>
          <w:kern w:val="0"/>
          <w:szCs w:val="24"/>
        </w:rPr>
      </w:pPr>
      <w:r>
        <w:rPr>
          <w:rFonts w:hint="eastAsia" w:ascii="宋体" w:hAnsi="宋体" w:eastAsia="宋体" w:cs="宋体"/>
          <w:kern w:val="0"/>
          <w:szCs w:val="24"/>
        </w:rPr>
        <w:t>3.4.1.1投标文件中开标一览表(报价表)内容与投标文件中相应内容不一致的，以开标一览表(报价表)为准;</w:t>
      </w:r>
    </w:p>
    <w:p>
      <w:pPr>
        <w:pStyle w:val="128"/>
        <w:spacing w:before="0"/>
        <w:ind w:firstLine="480"/>
        <w:rPr>
          <w:rFonts w:hint="eastAsia" w:ascii="宋体" w:hAnsi="宋体" w:eastAsia="宋体" w:cs="宋体"/>
          <w:kern w:val="0"/>
          <w:szCs w:val="24"/>
        </w:rPr>
      </w:pPr>
      <w:r>
        <w:rPr>
          <w:rFonts w:hint="eastAsia" w:ascii="宋体" w:hAnsi="宋体" w:eastAsia="宋体" w:cs="宋体"/>
          <w:kern w:val="0"/>
          <w:szCs w:val="24"/>
        </w:rPr>
        <w:t>3.4.1.2大写金额和小写金额不一致的，以大写金额为准;</w:t>
      </w:r>
    </w:p>
    <w:p>
      <w:pPr>
        <w:pStyle w:val="128"/>
        <w:spacing w:before="0"/>
        <w:ind w:firstLine="480"/>
        <w:rPr>
          <w:rFonts w:hint="eastAsia" w:ascii="宋体" w:hAnsi="宋体" w:eastAsia="宋体" w:cs="宋体"/>
          <w:kern w:val="0"/>
          <w:szCs w:val="24"/>
        </w:rPr>
      </w:pPr>
      <w:r>
        <w:rPr>
          <w:rFonts w:hint="eastAsia" w:ascii="宋体" w:hAnsi="宋体" w:eastAsia="宋体" w:cs="宋体"/>
          <w:kern w:val="0"/>
          <w:szCs w:val="24"/>
        </w:rPr>
        <w:t>3.4.1.3单价金额小数点或者百分比有明显错位的，以开标一览表的总价为准，并修改单价;</w:t>
      </w:r>
    </w:p>
    <w:p>
      <w:pPr>
        <w:pStyle w:val="128"/>
        <w:spacing w:before="0"/>
        <w:ind w:firstLine="480"/>
        <w:rPr>
          <w:rFonts w:hint="eastAsia" w:ascii="宋体" w:hAnsi="宋体" w:eastAsia="宋体" w:cs="宋体"/>
          <w:kern w:val="0"/>
          <w:szCs w:val="24"/>
        </w:rPr>
      </w:pPr>
      <w:r>
        <w:rPr>
          <w:rFonts w:hint="eastAsia" w:ascii="宋体" w:hAnsi="宋体" w:eastAsia="宋体" w:cs="宋体"/>
          <w:kern w:val="0"/>
          <w:szCs w:val="24"/>
        </w:rPr>
        <w:t>3.4.1.4总价金额与按单价汇总金额不一致的，以单价金额计算结果为准。</w:t>
      </w:r>
    </w:p>
    <w:p>
      <w:pPr>
        <w:pStyle w:val="128"/>
        <w:spacing w:before="0"/>
        <w:ind w:firstLine="480"/>
        <w:rPr>
          <w:rFonts w:hint="eastAsia" w:ascii="宋体" w:hAnsi="宋体" w:eastAsia="宋体" w:cs="宋体"/>
          <w:kern w:val="0"/>
          <w:szCs w:val="24"/>
        </w:rPr>
      </w:pPr>
      <w:r>
        <w:rPr>
          <w:rFonts w:hint="eastAsia" w:ascii="宋体" w:hAnsi="宋体" w:eastAsia="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3.4.2投标文件出现不是唯一的、有选择性投标报价的，投标无效。</w:t>
      </w:r>
    </w:p>
    <w:p>
      <w:pPr>
        <w:snapToGrid w:val="0"/>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3.4.3投标报价超过招标文件中规定的预算金额或者最高限价的，投标无效。</w:t>
      </w:r>
    </w:p>
    <w:p>
      <w:pPr>
        <w:pStyle w:val="128"/>
        <w:spacing w:before="0"/>
        <w:ind w:firstLine="480"/>
        <w:rPr>
          <w:rFonts w:hint="eastAsia" w:ascii="宋体" w:hAnsi="宋体" w:eastAsia="宋体" w:cs="宋体"/>
          <w:kern w:val="0"/>
          <w:szCs w:val="24"/>
        </w:rPr>
      </w:pPr>
      <w:r>
        <w:rPr>
          <w:rFonts w:hint="eastAsia" w:ascii="宋体" w:hAnsi="宋体" w:eastAsia="宋体" w:cs="宋体"/>
          <w:kern w:val="0"/>
          <w:szCs w:val="24"/>
        </w:rPr>
        <w:t>3.4.4关于税费、清单的详细评审</w:t>
      </w:r>
    </w:p>
    <w:p>
      <w:pPr>
        <w:pStyle w:val="128"/>
        <w:spacing w:before="0"/>
        <w:ind w:firstLine="480"/>
        <w:rPr>
          <w:rFonts w:hint="eastAsia" w:ascii="宋体" w:hAnsi="宋体" w:eastAsia="宋体" w:cs="宋体"/>
          <w:kern w:val="0"/>
          <w:szCs w:val="24"/>
        </w:rPr>
      </w:pPr>
      <w:r>
        <w:rPr>
          <w:rFonts w:hint="eastAsia" w:ascii="宋体" w:hAnsi="宋体" w:eastAsia="宋体" w:cs="宋体"/>
          <w:kern w:val="0"/>
          <w:szCs w:val="24"/>
        </w:rPr>
        <w:t>报价评审是对投标文件中工程量清单的范围、数量、报价进行全面审核和对比分析。投标报价中有以下情形之一的，评审不予通过，否决其投标：</w:t>
      </w:r>
    </w:p>
    <w:p>
      <w:pPr>
        <w:pStyle w:val="128"/>
        <w:spacing w:before="0"/>
        <w:ind w:firstLine="480"/>
        <w:rPr>
          <w:rFonts w:hint="eastAsia" w:ascii="宋体" w:hAnsi="宋体" w:eastAsia="宋体" w:cs="宋体"/>
          <w:kern w:val="0"/>
          <w:szCs w:val="24"/>
        </w:rPr>
      </w:pPr>
      <w:r>
        <w:rPr>
          <w:rFonts w:hint="eastAsia" w:ascii="宋体" w:hAnsi="宋体" w:eastAsia="宋体" w:cs="宋体"/>
          <w:kern w:val="0"/>
          <w:szCs w:val="24"/>
        </w:rPr>
        <w:t>安全文明施工费用报价低于建设行政主管部门颁发的取费计价文件规定的弹性费率下限计算值的；</w:t>
      </w:r>
    </w:p>
    <w:p>
      <w:pPr>
        <w:pStyle w:val="128"/>
        <w:spacing w:before="0"/>
        <w:ind w:firstLine="480"/>
        <w:rPr>
          <w:rFonts w:hint="eastAsia" w:ascii="宋体" w:hAnsi="宋体" w:eastAsia="宋体" w:cs="宋体"/>
          <w:kern w:val="0"/>
          <w:szCs w:val="24"/>
        </w:rPr>
      </w:pPr>
      <w:r>
        <w:rPr>
          <w:rFonts w:hint="eastAsia" w:ascii="宋体" w:hAnsi="宋体" w:eastAsia="宋体" w:cs="宋体"/>
          <w:kern w:val="0"/>
          <w:szCs w:val="24"/>
        </w:rPr>
        <w:t>规费、税金报价不符合现行规定的；</w:t>
      </w:r>
    </w:p>
    <w:p>
      <w:pPr>
        <w:pStyle w:val="128"/>
        <w:spacing w:before="0"/>
        <w:ind w:firstLine="480"/>
        <w:rPr>
          <w:rFonts w:hint="eastAsia" w:ascii="宋体" w:hAnsi="宋体" w:eastAsia="宋体" w:cs="宋体"/>
          <w:kern w:val="0"/>
          <w:szCs w:val="24"/>
        </w:rPr>
      </w:pPr>
      <w:r>
        <w:rPr>
          <w:rFonts w:hint="eastAsia" w:ascii="宋体" w:hAnsi="宋体" w:eastAsia="宋体" w:cs="宋体"/>
          <w:kern w:val="0"/>
          <w:szCs w:val="24"/>
        </w:rPr>
        <w:t>企业管理费报价低于建设行政主管部门规定的对应专业工程企业管理费弹性费率下限20%的；</w:t>
      </w:r>
    </w:p>
    <w:p>
      <w:pPr>
        <w:pStyle w:val="128"/>
        <w:spacing w:before="0"/>
        <w:ind w:firstLine="480"/>
        <w:rPr>
          <w:rFonts w:hint="eastAsia" w:ascii="宋体" w:hAnsi="宋体" w:eastAsia="宋体" w:cs="宋体"/>
          <w:kern w:val="0"/>
          <w:szCs w:val="24"/>
        </w:rPr>
      </w:pPr>
      <w:r>
        <w:rPr>
          <w:rFonts w:hint="eastAsia" w:ascii="宋体" w:hAnsi="宋体" w:eastAsia="宋体" w:cs="宋体"/>
          <w:kern w:val="0"/>
          <w:szCs w:val="24"/>
        </w:rPr>
        <w:t>现场监控、现场临时宿舍取暖降温费用未依据市政府、市建设行政主管部门有关规定报价的；（现场临时宿舍取暖降温费用，施工周期在6-9月的施工项目，必须进行报价，施工周期跨越其他月份的施工项目，由投标人根据我市施工现场标准化管理的要求自主报价）</w:t>
      </w:r>
    </w:p>
    <w:p>
      <w:pPr>
        <w:pStyle w:val="128"/>
        <w:spacing w:before="0"/>
        <w:ind w:firstLine="480"/>
        <w:rPr>
          <w:rFonts w:hint="eastAsia" w:ascii="宋体" w:hAnsi="宋体" w:eastAsia="宋体" w:cs="宋体"/>
          <w:kern w:val="0"/>
          <w:szCs w:val="24"/>
        </w:rPr>
      </w:pPr>
      <w:r>
        <w:rPr>
          <w:rFonts w:hint="eastAsia" w:ascii="宋体" w:hAnsi="宋体" w:eastAsia="宋体" w:cs="宋体"/>
          <w:kern w:val="0"/>
          <w:szCs w:val="24"/>
        </w:rPr>
        <w:t>改变招标文件提供的工程量清单（含分部分项工程及措施项目、其他项目清单项目的编码、项目名称、计量单位、工程数量、项目特征描述）的；</w:t>
      </w:r>
    </w:p>
    <w:p>
      <w:pPr>
        <w:pStyle w:val="128"/>
        <w:spacing w:before="0"/>
        <w:ind w:firstLine="480"/>
        <w:rPr>
          <w:rFonts w:hint="eastAsia" w:ascii="宋体" w:hAnsi="宋体" w:eastAsia="宋体" w:cs="宋体"/>
          <w:kern w:val="0"/>
          <w:szCs w:val="24"/>
        </w:rPr>
      </w:pPr>
      <w:r>
        <w:rPr>
          <w:rFonts w:hint="eastAsia" w:ascii="宋体" w:hAnsi="宋体" w:eastAsia="宋体" w:cs="宋体"/>
          <w:kern w:val="0"/>
          <w:szCs w:val="24"/>
        </w:rPr>
        <w:t>改变招标文件明确的暂定不竞价内容的；</w:t>
      </w:r>
    </w:p>
    <w:p>
      <w:pPr>
        <w:pStyle w:val="128"/>
        <w:spacing w:before="0"/>
        <w:ind w:firstLine="480"/>
        <w:rPr>
          <w:rFonts w:hint="eastAsia" w:ascii="宋体" w:hAnsi="宋体" w:eastAsia="宋体" w:cs="宋体"/>
          <w:kern w:val="0"/>
          <w:szCs w:val="24"/>
        </w:rPr>
      </w:pPr>
      <w:r>
        <w:rPr>
          <w:rFonts w:hint="eastAsia" w:ascii="宋体" w:hAnsi="宋体" w:eastAsia="宋体" w:cs="宋体"/>
          <w:kern w:val="0"/>
          <w:szCs w:val="24"/>
        </w:rPr>
        <w:t>经评标委员会认定的投标报价低于成本价的；</w:t>
      </w:r>
    </w:p>
    <w:p>
      <w:pPr>
        <w:pStyle w:val="128"/>
        <w:spacing w:before="0"/>
        <w:ind w:firstLine="480"/>
        <w:rPr>
          <w:rFonts w:hint="eastAsia" w:ascii="宋体" w:hAnsi="宋体" w:eastAsia="宋体" w:cs="宋体"/>
          <w:kern w:val="0"/>
          <w:szCs w:val="24"/>
        </w:rPr>
      </w:pPr>
      <w:r>
        <w:rPr>
          <w:rFonts w:hint="eastAsia" w:ascii="宋体" w:hAnsi="宋体" w:eastAsia="宋体" w:cs="宋体"/>
          <w:kern w:val="0"/>
          <w:szCs w:val="24"/>
        </w:rPr>
        <w:t>投标人拒绝按评标委员会要求提供报价分析说明和证明材料的；</w:t>
      </w:r>
    </w:p>
    <w:p>
      <w:pPr>
        <w:pStyle w:val="128"/>
        <w:spacing w:before="0"/>
        <w:ind w:firstLine="480"/>
        <w:rPr>
          <w:rFonts w:hint="eastAsia" w:ascii="宋体" w:hAnsi="宋体" w:eastAsia="宋体" w:cs="宋体"/>
          <w:kern w:val="0"/>
          <w:szCs w:val="24"/>
        </w:rPr>
      </w:pPr>
      <w:r>
        <w:rPr>
          <w:rFonts w:hint="eastAsia" w:ascii="宋体" w:hAnsi="宋体" w:eastAsia="宋体" w:cs="宋体"/>
          <w:kern w:val="0"/>
          <w:szCs w:val="24"/>
        </w:rPr>
        <w:t>工程量清单报价与工、料、机报价及对应的报价分析不相符的，或与拟建工程的施工方案明显不匹配的；</w:t>
      </w:r>
    </w:p>
    <w:p>
      <w:pPr>
        <w:pStyle w:val="128"/>
        <w:spacing w:before="0"/>
        <w:ind w:firstLine="480"/>
        <w:rPr>
          <w:rFonts w:hint="eastAsia" w:ascii="宋体" w:hAnsi="宋体" w:eastAsia="宋体" w:cs="宋体"/>
          <w:kern w:val="0"/>
          <w:szCs w:val="24"/>
        </w:rPr>
      </w:pPr>
      <w:r>
        <w:rPr>
          <w:rFonts w:hint="eastAsia" w:ascii="宋体" w:hAnsi="宋体" w:eastAsia="宋体" w:cs="宋体"/>
          <w:kern w:val="0"/>
          <w:szCs w:val="24"/>
        </w:rPr>
        <w:t>投标报价错误累计达到或超过原总报价（招标控制价≦5000万元的按0.5%，招标控制价＞5000万元的按0.1%）的；</w:t>
      </w:r>
    </w:p>
    <w:p>
      <w:pPr>
        <w:pStyle w:val="128"/>
        <w:spacing w:before="0"/>
        <w:ind w:firstLine="480"/>
        <w:rPr>
          <w:rFonts w:hint="eastAsia" w:ascii="宋体" w:hAnsi="宋体" w:eastAsia="宋体" w:cs="宋体"/>
          <w:kern w:val="0"/>
          <w:szCs w:val="24"/>
        </w:rPr>
      </w:pPr>
      <w:r>
        <w:rPr>
          <w:rFonts w:hint="eastAsia" w:ascii="宋体" w:hAnsi="宋体" w:eastAsia="宋体" w:cs="宋体"/>
          <w:kern w:val="0"/>
          <w:szCs w:val="24"/>
        </w:rPr>
        <w:t>法律、法规、规章及规范性文件规定其他应否决投标的情形。</w:t>
      </w:r>
    </w:p>
    <w:p>
      <w:pPr>
        <w:pStyle w:val="128"/>
        <w:spacing w:before="0"/>
        <w:ind w:firstLine="480"/>
        <w:rPr>
          <w:rFonts w:hint="eastAsia" w:ascii="宋体" w:hAnsi="宋体" w:eastAsia="宋体" w:cs="宋体"/>
          <w:kern w:val="0"/>
          <w:szCs w:val="24"/>
        </w:rPr>
      </w:pPr>
      <w:r>
        <w:rPr>
          <w:rFonts w:hint="eastAsia" w:ascii="宋体" w:hAnsi="宋体" w:eastAsia="宋体" w:cs="宋体"/>
          <w:kern w:val="0"/>
          <w:szCs w:val="24"/>
        </w:rPr>
        <w:t>3.4.5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8"/>
        <w:spacing w:before="0"/>
        <w:ind w:firstLine="480"/>
        <w:rPr>
          <w:rFonts w:hint="eastAsia" w:ascii="宋体" w:hAnsi="宋体" w:eastAsia="宋体" w:cs="宋体"/>
          <w:kern w:val="0"/>
          <w:szCs w:val="24"/>
        </w:rPr>
      </w:pPr>
      <w:r>
        <w:rPr>
          <w:rFonts w:hint="eastAsia" w:ascii="宋体" w:hAnsi="宋体" w:eastAsia="宋体" w:cs="宋体"/>
          <w:kern w:val="0"/>
          <w:szCs w:val="24"/>
        </w:rPr>
        <w:t>3.4.6对于未预留份额专门面向中小企业的政府采购货物或服务项目，以及预留份额政府采购货物或服务项目中的非预留部分标项，对小型和微型企业的投标报价给予10%的扣除，用扣除后的价格参与评审。对于未预留份额专门面向中小企业的政府采购工程项目，以及预留份额政府采购工程项目中的非预留部分标项，对小型和微型企业的投标报价给予5%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宋体" w:hAnsi="宋体" w:eastAsia="宋体" w:cs="宋体"/>
          <w:kern w:val="0"/>
          <w:sz w:val="24"/>
        </w:rPr>
      </w:pPr>
      <w:r>
        <w:rPr>
          <w:rFonts w:hint="eastAsia" w:ascii="宋体" w:hAnsi="宋体" w:eastAsia="宋体" w:cs="宋体"/>
          <w:b/>
          <w:kern w:val="0"/>
          <w:sz w:val="24"/>
        </w:rPr>
        <w:t>3.5排序与推荐。</w:t>
      </w:r>
      <w:r>
        <w:rPr>
          <w:rFonts w:hint="eastAsia" w:ascii="宋体" w:hAnsi="宋体" w:eastAsia="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hint="eastAsia" w:ascii="宋体" w:hAnsi="宋体" w:eastAsia="宋体" w:cs="宋体"/>
          <w:b/>
          <w:kern w:val="0"/>
          <w:sz w:val="24"/>
        </w:rPr>
      </w:pPr>
      <w:r>
        <w:rPr>
          <w:rFonts w:hint="eastAsia" w:ascii="宋体" w:hAnsi="宋体" w:eastAsia="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宋体" w:hAnsi="宋体" w:eastAsia="宋体" w:cs="宋体"/>
          <w:kern w:val="0"/>
          <w:sz w:val="24"/>
        </w:rPr>
      </w:pPr>
      <w:r>
        <w:rPr>
          <w:rFonts w:hint="eastAsia" w:ascii="宋体" w:hAnsi="宋体" w:eastAsia="宋体" w:cs="宋体"/>
          <w:b/>
          <w:kern w:val="0"/>
          <w:sz w:val="24"/>
        </w:rPr>
        <w:t>3.6编写评标报告。</w:t>
      </w:r>
      <w:r>
        <w:rPr>
          <w:rFonts w:hint="eastAsia" w:ascii="宋体" w:hAnsi="宋体" w:eastAsia="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宋体" w:hAnsi="宋体" w:eastAsia="宋体" w:cs="宋体"/>
          <w:b/>
          <w:sz w:val="28"/>
          <w:szCs w:val="28"/>
        </w:rPr>
      </w:pPr>
      <w:r>
        <w:rPr>
          <w:rFonts w:hint="eastAsia" w:ascii="宋体" w:hAnsi="宋体" w:eastAsia="宋体" w:cs="宋体"/>
          <w:b/>
          <w:sz w:val="28"/>
          <w:szCs w:val="28"/>
        </w:rPr>
        <w:t>四、评标中的其他事项</w:t>
      </w:r>
    </w:p>
    <w:p>
      <w:pPr>
        <w:pStyle w:val="128"/>
        <w:spacing w:before="0"/>
        <w:ind w:firstLine="472" w:firstLineChars="196"/>
        <w:rPr>
          <w:rFonts w:hint="eastAsia" w:ascii="宋体" w:hAnsi="宋体" w:eastAsia="宋体" w:cs="宋体"/>
          <w:kern w:val="0"/>
          <w:szCs w:val="24"/>
        </w:rPr>
      </w:pPr>
      <w:r>
        <w:rPr>
          <w:rFonts w:hint="eastAsia" w:ascii="宋体" w:hAnsi="宋体" w:eastAsia="宋体" w:cs="宋体"/>
          <w:b/>
          <w:kern w:val="0"/>
          <w:szCs w:val="24"/>
        </w:rPr>
        <w:t>4.1投标人澄清、说明或者补正。</w:t>
      </w:r>
      <w:r>
        <w:rPr>
          <w:rFonts w:hint="eastAsia" w:ascii="宋体" w:hAnsi="宋体" w:eastAsia="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
        <w:spacing w:line="360" w:lineRule="auto"/>
        <w:ind w:left="954" w:leftChars="226" w:hanging="479" w:firstLineChars="0"/>
        <w:rPr>
          <w:rFonts w:hint="eastAsia" w:ascii="宋体" w:hAnsi="宋体" w:eastAsia="宋体" w:cs="宋体"/>
          <w:szCs w:val="21"/>
        </w:rPr>
      </w:pPr>
      <w:r>
        <w:rPr>
          <w:rFonts w:hint="eastAsia" w:ascii="宋体" w:hAnsi="宋体" w:eastAsia="宋体" w:cs="宋体"/>
          <w:b/>
          <w:kern w:val="0"/>
        </w:rPr>
        <w:t>4.2投标无效。</w:t>
      </w:r>
      <w:r>
        <w:rPr>
          <w:rFonts w:hint="eastAsia" w:ascii="宋体" w:hAnsi="宋体" w:eastAsia="宋体" w:cs="宋体"/>
          <w:szCs w:val="21"/>
        </w:rPr>
        <w:t>有下列情况之一的，投标无效：</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4.2.2投标文件未按照招标文件要求签署、盖章的；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4.2.4投标文件含有采购人不能接受的附加条件的；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4.2.5投标文件中承诺的投标有效期少于招标文件中载明的投标有效期的；</w:t>
      </w:r>
    </w:p>
    <w:p>
      <w:pPr>
        <w:snapToGrid w:val="0"/>
        <w:spacing w:line="360" w:lineRule="auto"/>
        <w:ind w:firstLine="120" w:firstLineChars="50"/>
        <w:jc w:val="left"/>
        <w:rPr>
          <w:rFonts w:hint="eastAsia" w:ascii="宋体" w:hAnsi="宋体" w:eastAsia="宋体" w:cs="宋体"/>
          <w:kern w:val="0"/>
          <w:sz w:val="24"/>
        </w:rPr>
      </w:pPr>
      <w:r>
        <w:rPr>
          <w:rFonts w:hint="eastAsia" w:ascii="宋体" w:hAnsi="宋体" w:eastAsia="宋体" w:cs="宋体"/>
          <w:kern w:val="0"/>
          <w:sz w:val="24"/>
        </w:rPr>
        <w:t xml:space="preserve">   4.2.6投标文件出现不是唯一的、有选择性投标报价的;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4.2.7投标报价超过招标文件中规定的预算金额或者最高限价的;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4.2.9投标人对根据修正原则修正后的报价不确认的；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4.2.10投标人提供虚假材料投标的；</w:t>
      </w:r>
    </w:p>
    <w:p>
      <w:pPr>
        <w:spacing w:line="360" w:lineRule="auto"/>
        <w:ind w:firstLine="240" w:firstLineChars="100"/>
        <w:rPr>
          <w:rFonts w:hint="eastAsia" w:ascii="宋体" w:hAnsi="宋体" w:eastAsia="宋体" w:cs="宋体"/>
          <w:kern w:val="0"/>
          <w:sz w:val="24"/>
        </w:rPr>
      </w:pPr>
      <w:r>
        <w:rPr>
          <w:rFonts w:hint="eastAsia" w:ascii="宋体" w:hAnsi="宋体" w:eastAsia="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4.2.12投标人仅提交备份投标文件，没有在电子交易平台传输递交投标文件的，投标无效；</w:t>
      </w:r>
    </w:p>
    <w:p>
      <w:pPr>
        <w:pStyle w:val="7"/>
        <w:ind w:left="862" w:leftChars="205"/>
        <w:rPr>
          <w:rFonts w:hint="eastAsia"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4.2.13 投标文件不满足招标文件的其它实质性要求的；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4.2.14法律、法规、规章（适用本市的）及省级以上规范性文件（适用本市的）规定的其他无效情形。</w:t>
      </w:r>
    </w:p>
    <w:p>
      <w:pPr>
        <w:pStyle w:val="2"/>
        <w:snapToGrid w:val="0"/>
        <w:spacing w:line="360" w:lineRule="auto"/>
        <w:ind w:firstLine="472" w:firstLineChars="196"/>
        <w:rPr>
          <w:rFonts w:hint="eastAsia" w:ascii="宋体" w:hAnsi="宋体" w:eastAsia="宋体" w:cs="宋体"/>
        </w:rPr>
      </w:pPr>
      <w:r>
        <w:rPr>
          <w:rFonts w:hint="eastAsia" w:ascii="宋体" w:hAnsi="宋体" w:eastAsia="宋体" w:cs="宋体"/>
          <w:b/>
        </w:rPr>
        <w:t>5.废标。</w:t>
      </w:r>
      <w:r>
        <w:rPr>
          <w:rFonts w:hint="eastAsia" w:ascii="宋体" w:hAnsi="宋体" w:eastAsia="宋体" w:cs="宋体"/>
        </w:rPr>
        <w:t>根据《中华人民共和国政府采购法》第三十六条之规定，在采购中，出现下列情形之一的，应予废标：</w:t>
      </w:r>
    </w:p>
    <w:p>
      <w:pPr>
        <w:pStyle w:val="2"/>
        <w:snapToGrid w:val="0"/>
        <w:spacing w:line="360" w:lineRule="auto"/>
        <w:rPr>
          <w:rFonts w:hint="eastAsia" w:ascii="宋体" w:hAnsi="宋体" w:eastAsia="宋体" w:cs="宋体"/>
        </w:rPr>
      </w:pPr>
      <w:r>
        <w:rPr>
          <w:rFonts w:hint="eastAsia" w:ascii="宋体" w:hAnsi="宋体" w:eastAsia="宋体" w:cs="宋体"/>
        </w:rPr>
        <w:t>5.1符合专业条件的供应商或者对招标文件作实质响应的供应商不足3家的；</w:t>
      </w:r>
    </w:p>
    <w:p>
      <w:pPr>
        <w:pStyle w:val="2"/>
        <w:snapToGrid w:val="0"/>
        <w:spacing w:line="360" w:lineRule="auto"/>
        <w:rPr>
          <w:rFonts w:hint="eastAsia" w:ascii="宋体" w:hAnsi="宋体" w:eastAsia="宋体" w:cs="宋体"/>
        </w:rPr>
      </w:pPr>
      <w:r>
        <w:rPr>
          <w:rFonts w:hint="eastAsia" w:ascii="宋体" w:hAnsi="宋体" w:eastAsia="宋体" w:cs="宋体"/>
        </w:rPr>
        <w:t>5.2出现影响采购公正的违法、违规行为的；</w:t>
      </w:r>
    </w:p>
    <w:p>
      <w:pPr>
        <w:pStyle w:val="2"/>
        <w:snapToGrid w:val="0"/>
        <w:spacing w:line="360" w:lineRule="auto"/>
        <w:rPr>
          <w:rFonts w:hint="eastAsia" w:ascii="宋体" w:hAnsi="宋体" w:eastAsia="宋体" w:cs="宋体"/>
        </w:rPr>
      </w:pPr>
      <w:r>
        <w:rPr>
          <w:rFonts w:hint="eastAsia" w:ascii="宋体" w:hAnsi="宋体" w:eastAsia="宋体" w:cs="宋体"/>
        </w:rPr>
        <w:t>5.3投标人的报价均超过了采购预算，采购人不能支付的；</w:t>
      </w:r>
    </w:p>
    <w:p>
      <w:pPr>
        <w:pStyle w:val="2"/>
        <w:snapToGrid w:val="0"/>
        <w:spacing w:line="360" w:lineRule="auto"/>
        <w:rPr>
          <w:rFonts w:hint="eastAsia" w:ascii="宋体" w:hAnsi="宋体" w:eastAsia="宋体" w:cs="宋体"/>
        </w:rPr>
      </w:pPr>
      <w:r>
        <w:rPr>
          <w:rFonts w:hint="eastAsia" w:ascii="宋体" w:hAnsi="宋体" w:eastAsia="宋体" w:cs="宋体"/>
        </w:rPr>
        <w:t>5.4因重大变故，采购任务取消的。</w:t>
      </w:r>
    </w:p>
    <w:p>
      <w:pPr>
        <w:pStyle w:val="2"/>
        <w:snapToGrid w:val="0"/>
        <w:spacing w:line="360" w:lineRule="auto"/>
        <w:rPr>
          <w:rFonts w:hint="eastAsia" w:ascii="宋体" w:hAnsi="宋体" w:eastAsia="宋体" w:cs="宋体"/>
        </w:rPr>
      </w:pPr>
      <w:r>
        <w:rPr>
          <w:rFonts w:hint="eastAsia" w:ascii="宋体" w:hAnsi="宋体" w:eastAsia="宋体" w:cs="宋体"/>
        </w:rPr>
        <w:t>废标后，采购机构应当将废标理由通知所有投标人。</w:t>
      </w:r>
    </w:p>
    <w:p>
      <w:pPr>
        <w:pStyle w:val="2"/>
        <w:snapToGrid w:val="0"/>
        <w:spacing w:line="360" w:lineRule="auto"/>
        <w:ind w:firstLine="590" w:firstLineChars="245"/>
        <w:rPr>
          <w:rFonts w:hint="eastAsia" w:ascii="宋体" w:hAnsi="宋体" w:eastAsia="宋体" w:cs="宋体"/>
        </w:rPr>
      </w:pPr>
      <w:r>
        <w:rPr>
          <w:rFonts w:hint="eastAsia" w:ascii="宋体" w:hAnsi="宋体" w:eastAsia="宋体" w:cs="宋体"/>
          <w:b/>
        </w:rPr>
        <w:t>6.修改招标文件，重新组织采购活动。</w:t>
      </w:r>
      <w:r>
        <w:rPr>
          <w:rFonts w:hint="eastAsia" w:ascii="宋体" w:hAnsi="宋体" w:eastAsia="宋体" w:cs="宋体"/>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
        <w:snapToGrid w:val="0"/>
        <w:spacing w:line="360" w:lineRule="auto"/>
        <w:ind w:firstLine="590" w:firstLineChars="245"/>
        <w:rPr>
          <w:rFonts w:hint="eastAsia" w:ascii="宋体" w:hAnsi="宋体" w:eastAsia="宋体" w:cs="宋体"/>
        </w:rPr>
      </w:pPr>
      <w:r>
        <w:rPr>
          <w:rFonts w:hint="eastAsia" w:ascii="宋体" w:hAnsi="宋体" w:eastAsia="宋体" w:cs="宋体"/>
          <w:b/>
          <w:kern w:val="0"/>
        </w:rPr>
        <w:t>7.重新开展采购。</w:t>
      </w:r>
      <w:r>
        <w:rPr>
          <w:rFonts w:hint="eastAsia" w:ascii="宋体" w:hAnsi="宋体" w:eastAsia="宋体" w:cs="宋体"/>
        </w:rPr>
        <w:t>有政府采购法第七十一条、第七十二条规定的违法行为之一，影响或者可能影响中标、成交结果的，依照下列规定处理：</w:t>
      </w:r>
    </w:p>
    <w:p>
      <w:pPr>
        <w:pStyle w:val="2"/>
        <w:snapToGrid w:val="0"/>
        <w:spacing w:line="360" w:lineRule="auto"/>
        <w:ind w:firstLine="600" w:firstLineChars="250"/>
        <w:rPr>
          <w:rFonts w:hint="eastAsia" w:ascii="宋体" w:hAnsi="宋体" w:eastAsia="宋体" w:cs="宋体"/>
        </w:rPr>
      </w:pPr>
      <w:r>
        <w:rPr>
          <w:rFonts w:hint="eastAsia" w:ascii="宋体" w:hAnsi="宋体" w:eastAsia="宋体" w:cs="宋体"/>
        </w:rPr>
        <w:t>7.1未确定中标或者中标人的，终止本次政府采购活动，重新开展政府采购活动。</w:t>
      </w:r>
    </w:p>
    <w:p>
      <w:pPr>
        <w:pStyle w:val="2"/>
        <w:snapToGrid w:val="0"/>
        <w:spacing w:line="360" w:lineRule="auto"/>
        <w:ind w:firstLine="600" w:firstLineChars="250"/>
        <w:rPr>
          <w:rFonts w:hint="eastAsia" w:ascii="宋体" w:hAnsi="宋体" w:eastAsia="宋体" w:cs="宋体"/>
        </w:rPr>
      </w:pPr>
      <w:r>
        <w:rPr>
          <w:rFonts w:hint="eastAsia" w:ascii="宋体" w:hAnsi="宋体" w:eastAsia="宋体" w:cs="宋体"/>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
        <w:snapToGrid w:val="0"/>
        <w:spacing w:line="360" w:lineRule="auto"/>
        <w:ind w:firstLine="600" w:firstLineChars="250"/>
        <w:rPr>
          <w:rFonts w:hint="eastAsia" w:ascii="宋体" w:hAnsi="宋体" w:eastAsia="宋体" w:cs="宋体"/>
        </w:rPr>
      </w:pPr>
      <w:r>
        <w:rPr>
          <w:rFonts w:hint="eastAsia" w:ascii="宋体" w:hAnsi="宋体" w:eastAsia="宋体" w:cs="宋体"/>
        </w:rPr>
        <w:t>7.3政府采购合同已签订但尚未履行的，撤销合同，从合格的中标或者成交候选人中另行确定中标或者中标人；没有合格的中标或者成交候选人的，重新开展政府采购活动。</w:t>
      </w:r>
    </w:p>
    <w:p>
      <w:pPr>
        <w:pStyle w:val="2"/>
        <w:snapToGrid w:val="0"/>
        <w:spacing w:line="360" w:lineRule="auto"/>
        <w:rPr>
          <w:rFonts w:hint="eastAsia" w:ascii="宋体" w:hAnsi="宋体" w:eastAsia="宋体" w:cs="宋体"/>
        </w:rPr>
      </w:pPr>
      <w:r>
        <w:rPr>
          <w:rFonts w:hint="eastAsia" w:ascii="宋体" w:hAnsi="宋体" w:eastAsia="宋体" w:cs="宋体"/>
        </w:rPr>
        <w:t>7.4政府采购合同已经履行，给采购人、供应商造成损失的，由责任人承担赔偿责任。</w:t>
      </w:r>
    </w:p>
    <w:p>
      <w:pPr>
        <w:pStyle w:val="2"/>
        <w:snapToGrid w:val="0"/>
        <w:spacing w:line="360" w:lineRule="auto"/>
        <w:rPr>
          <w:rFonts w:hint="eastAsia" w:ascii="宋体" w:hAnsi="宋体" w:eastAsia="宋体" w:cs="宋体"/>
        </w:rPr>
      </w:pPr>
      <w:r>
        <w:rPr>
          <w:rFonts w:hint="eastAsia" w:ascii="宋体" w:hAnsi="宋体" w:eastAsia="宋体" w:cs="宋体"/>
        </w:rPr>
        <w:t>7.5政府采购当事人有其他违反政府采购法</w:t>
      </w:r>
      <w:r>
        <w:rPr>
          <w:rFonts w:hint="eastAsia" w:ascii="宋体" w:hAnsi="宋体" w:eastAsia="宋体" w:cs="宋体"/>
          <w:kern w:val="0"/>
        </w:rPr>
        <w:t>或者政府采购法实施条例等法律法规规定</w:t>
      </w:r>
      <w:r>
        <w:rPr>
          <w:rFonts w:hint="eastAsia" w:ascii="宋体" w:hAnsi="宋体" w:eastAsia="宋体" w:cs="宋体"/>
        </w:rPr>
        <w:t>的行为，经改正后仍然影响或者可能影响中标、成交结果或者依法被认定为中标、成交无效的，依照7.1-7.4规定处理。</w:t>
      </w:r>
    </w:p>
    <w:p>
      <w:pPr>
        <w:pStyle w:val="2"/>
        <w:snapToGrid w:val="0"/>
        <w:spacing w:line="360" w:lineRule="auto"/>
        <w:ind w:firstLine="0" w:firstLineChars="0"/>
        <w:rPr>
          <w:rFonts w:hint="eastAsia" w:ascii="宋体" w:hAnsi="宋体" w:eastAsia="宋体" w:cs="宋体"/>
        </w:rPr>
      </w:pPr>
    </w:p>
    <w:bookmarkEnd w:id="26"/>
    <w:p>
      <w:pPr>
        <w:spacing w:line="360" w:lineRule="auto"/>
        <w:ind w:left="720" w:leftChars="343" w:firstLine="1084" w:firstLineChars="300"/>
        <w:outlineLvl w:val="0"/>
        <w:rPr>
          <w:rFonts w:hint="eastAsia" w:ascii="宋体" w:hAnsi="宋体" w:eastAsia="宋体" w:cs="宋体"/>
          <w:b/>
          <w:sz w:val="36"/>
          <w:szCs w:val="36"/>
        </w:rPr>
      </w:pPr>
      <w:bookmarkStart w:id="392" w:name="第五部分"/>
      <w:bookmarkStart w:id="393" w:name="_Toc86217003"/>
    </w:p>
    <w:p>
      <w:pPr>
        <w:spacing w:line="360" w:lineRule="auto"/>
        <w:ind w:left="720" w:leftChars="343" w:firstLine="1084" w:firstLineChars="300"/>
        <w:outlineLvl w:val="0"/>
        <w:rPr>
          <w:rFonts w:hint="eastAsia" w:ascii="宋体" w:hAnsi="宋体" w:eastAsia="宋体" w:cs="宋体"/>
          <w:b/>
          <w:sz w:val="36"/>
          <w:szCs w:val="36"/>
        </w:rPr>
      </w:pPr>
      <w:r>
        <w:rPr>
          <w:rFonts w:hint="eastAsia" w:ascii="宋体" w:hAnsi="宋体" w:eastAsia="宋体" w:cs="宋体"/>
          <w:b/>
          <w:sz w:val="36"/>
          <w:szCs w:val="36"/>
        </w:rPr>
        <w:t xml:space="preserve">    </w:t>
      </w:r>
    </w:p>
    <w:p>
      <w:pPr>
        <w:spacing w:line="360" w:lineRule="auto"/>
        <w:ind w:left="720" w:leftChars="343" w:firstLine="1084" w:firstLineChars="300"/>
        <w:outlineLvl w:val="0"/>
        <w:rPr>
          <w:rFonts w:hint="eastAsia" w:ascii="宋体" w:hAnsi="宋体" w:eastAsia="宋体" w:cs="宋体"/>
          <w:b/>
          <w:sz w:val="36"/>
          <w:szCs w:val="36"/>
        </w:rPr>
      </w:pPr>
    </w:p>
    <w:p>
      <w:pPr>
        <w:spacing w:line="360" w:lineRule="auto"/>
        <w:ind w:left="720" w:leftChars="343" w:firstLine="1084" w:firstLineChars="300"/>
        <w:outlineLvl w:val="0"/>
        <w:rPr>
          <w:rFonts w:hint="eastAsia" w:ascii="宋体" w:hAnsi="宋体" w:eastAsia="宋体" w:cs="宋体"/>
          <w:b/>
          <w:sz w:val="36"/>
          <w:szCs w:val="36"/>
        </w:rPr>
      </w:pPr>
    </w:p>
    <w:p>
      <w:pPr>
        <w:spacing w:line="360" w:lineRule="auto"/>
        <w:ind w:left="720" w:leftChars="343" w:firstLine="1084" w:firstLineChars="300"/>
        <w:outlineLvl w:val="0"/>
        <w:rPr>
          <w:rFonts w:hint="eastAsia" w:ascii="宋体" w:hAnsi="宋体" w:eastAsia="宋体" w:cs="宋体"/>
          <w:b/>
          <w:sz w:val="36"/>
          <w:szCs w:val="36"/>
        </w:rPr>
      </w:pPr>
    </w:p>
    <w:p>
      <w:pPr>
        <w:spacing w:line="360" w:lineRule="auto"/>
        <w:ind w:left="720" w:leftChars="343" w:firstLine="1084" w:firstLineChars="300"/>
        <w:outlineLvl w:val="0"/>
        <w:rPr>
          <w:rFonts w:hint="eastAsia" w:ascii="宋体" w:hAnsi="宋体" w:eastAsia="宋体" w:cs="宋体"/>
          <w:b/>
          <w:sz w:val="36"/>
          <w:szCs w:val="36"/>
        </w:rPr>
      </w:pPr>
    </w:p>
    <w:p>
      <w:pPr>
        <w:pStyle w:val="42"/>
        <w:rPr>
          <w:rFonts w:hint="eastAsia" w:ascii="宋体" w:hAnsi="宋体" w:eastAsia="宋体" w:cs="宋体"/>
          <w:b/>
          <w:sz w:val="36"/>
          <w:szCs w:val="36"/>
        </w:rPr>
      </w:pPr>
    </w:p>
    <w:p>
      <w:pPr>
        <w:rPr>
          <w:rFonts w:hint="eastAsia" w:ascii="宋体" w:hAnsi="宋体" w:eastAsia="宋体" w:cs="宋体"/>
          <w:b/>
          <w:sz w:val="36"/>
          <w:szCs w:val="36"/>
        </w:rPr>
      </w:pPr>
    </w:p>
    <w:p>
      <w:pPr>
        <w:pStyle w:val="42"/>
        <w:rPr>
          <w:rFonts w:hint="eastAsia" w:ascii="宋体" w:hAnsi="宋体" w:eastAsia="宋体" w:cs="宋体"/>
          <w:b/>
          <w:sz w:val="36"/>
          <w:szCs w:val="36"/>
        </w:rPr>
      </w:pPr>
    </w:p>
    <w:p>
      <w:pPr>
        <w:rPr>
          <w:rFonts w:hint="eastAsia"/>
        </w:rPr>
      </w:pPr>
    </w:p>
    <w:p>
      <w:pPr>
        <w:spacing w:line="360" w:lineRule="auto"/>
        <w:ind w:left="720" w:leftChars="343" w:firstLine="1084" w:firstLineChars="300"/>
        <w:outlineLvl w:val="0"/>
        <w:rPr>
          <w:rFonts w:hint="eastAsia" w:ascii="宋体" w:hAnsi="宋体" w:eastAsia="宋体" w:cs="宋体"/>
          <w:b/>
          <w:sz w:val="36"/>
          <w:szCs w:val="36"/>
        </w:rPr>
      </w:pPr>
    </w:p>
    <w:p>
      <w:pPr>
        <w:spacing w:line="360" w:lineRule="auto"/>
        <w:ind w:left="720" w:leftChars="343" w:firstLine="1084" w:firstLineChars="300"/>
        <w:outlineLvl w:val="0"/>
        <w:rPr>
          <w:rFonts w:hint="eastAsia" w:ascii="宋体" w:hAnsi="宋体" w:eastAsia="宋体" w:cs="宋体"/>
          <w:b/>
          <w:sz w:val="36"/>
          <w:szCs w:val="36"/>
        </w:rPr>
      </w:pPr>
    </w:p>
    <w:p>
      <w:pPr>
        <w:spacing w:line="360" w:lineRule="auto"/>
        <w:jc w:val="center"/>
        <w:outlineLvl w:val="0"/>
        <w:rPr>
          <w:rFonts w:hint="eastAsia" w:ascii="宋体" w:hAnsi="宋体" w:eastAsia="宋体" w:cs="宋体"/>
          <w:b/>
          <w:sz w:val="36"/>
          <w:szCs w:val="36"/>
        </w:rPr>
      </w:pPr>
      <w:r>
        <w:rPr>
          <w:rFonts w:hint="eastAsia" w:ascii="宋体" w:hAnsi="宋体" w:eastAsia="宋体" w:cs="宋体"/>
          <w:b/>
          <w:sz w:val="36"/>
          <w:szCs w:val="36"/>
        </w:rPr>
        <w:t>第五部分 拟签订的合同文本</w:t>
      </w:r>
    </w:p>
    <w:p>
      <w:pPr>
        <w:ind w:firstLine="3360" w:firstLineChars="1400"/>
        <w:rPr>
          <w:rFonts w:hint="eastAsia" w:ascii="宋体" w:hAnsi="宋体" w:eastAsia="宋体" w:cs="宋体"/>
          <w:sz w:val="24"/>
          <w:u w:val="single"/>
        </w:rPr>
      </w:pPr>
      <w:r>
        <w:rPr>
          <w:rFonts w:hint="eastAsia" w:ascii="宋体" w:hAnsi="宋体" w:eastAsia="宋体" w:cs="宋体"/>
          <w:sz w:val="24"/>
        </w:rPr>
        <w:t>合同编号：</w:t>
      </w:r>
      <w:r>
        <w:rPr>
          <w:rFonts w:hint="eastAsia" w:ascii="宋体" w:hAnsi="宋体" w:eastAsia="宋体" w:cs="宋体"/>
          <w:sz w:val="24"/>
          <w:u w:val="single"/>
        </w:rPr>
        <w:t xml:space="preserve">           </w:t>
      </w:r>
    </w:p>
    <w:p>
      <w:pPr>
        <w:spacing w:line="480" w:lineRule="auto"/>
        <w:jc w:val="center"/>
        <w:rPr>
          <w:rFonts w:hint="eastAsia" w:ascii="宋体" w:hAnsi="宋体" w:eastAsia="宋体" w:cs="宋体"/>
          <w:b/>
          <w:sz w:val="28"/>
          <w:szCs w:val="28"/>
        </w:rPr>
      </w:pPr>
    </w:p>
    <w:p>
      <w:pPr>
        <w:spacing w:line="480" w:lineRule="auto"/>
        <w:jc w:val="center"/>
        <w:rPr>
          <w:rFonts w:hint="eastAsia" w:ascii="宋体" w:hAnsi="宋体" w:eastAsia="宋体" w:cs="宋体"/>
          <w:b/>
          <w:sz w:val="24"/>
        </w:rPr>
      </w:pPr>
    </w:p>
    <w:p>
      <w:pPr>
        <w:spacing w:line="480" w:lineRule="auto"/>
        <w:jc w:val="center"/>
        <w:rPr>
          <w:rFonts w:hint="eastAsia" w:ascii="宋体" w:hAnsi="宋体" w:eastAsia="宋体" w:cs="宋体"/>
          <w:b/>
          <w:sz w:val="24"/>
        </w:rPr>
      </w:pPr>
    </w:p>
    <w:p>
      <w:pPr>
        <w:spacing w:line="480" w:lineRule="auto"/>
        <w:jc w:val="center"/>
        <w:rPr>
          <w:rFonts w:hint="eastAsia" w:ascii="宋体" w:hAnsi="宋体" w:eastAsia="宋体" w:cs="宋体"/>
          <w:b/>
          <w:sz w:val="48"/>
          <w:szCs w:val="48"/>
        </w:rPr>
      </w:pPr>
      <w:r>
        <w:rPr>
          <w:rFonts w:hint="eastAsia" w:ascii="宋体" w:hAnsi="宋体" w:eastAsia="宋体" w:cs="宋体"/>
          <w:b/>
          <w:sz w:val="48"/>
          <w:szCs w:val="48"/>
        </w:rPr>
        <w:t>建设工程施工合同示范文本</w:t>
      </w:r>
    </w:p>
    <w:p>
      <w:pPr>
        <w:pStyle w:val="699"/>
        <w:rPr>
          <w:rFonts w:hint="eastAsia" w:ascii="宋体" w:hAnsi="宋体" w:eastAsia="宋体" w:cs="宋体"/>
          <w:szCs w:val="24"/>
        </w:rPr>
      </w:pPr>
    </w:p>
    <w:p>
      <w:pPr>
        <w:pStyle w:val="699"/>
        <w:rPr>
          <w:rFonts w:hint="eastAsia" w:ascii="宋体" w:hAnsi="宋体" w:eastAsia="宋体" w:cs="宋体"/>
          <w:szCs w:val="24"/>
        </w:rPr>
      </w:pPr>
    </w:p>
    <w:p>
      <w:pPr>
        <w:pStyle w:val="699"/>
        <w:jc w:val="center"/>
        <w:rPr>
          <w:rFonts w:hint="eastAsia" w:ascii="宋体" w:hAnsi="宋体" w:eastAsia="宋体" w:cs="宋体"/>
          <w:szCs w:val="24"/>
        </w:rPr>
      </w:pPr>
    </w:p>
    <w:p>
      <w:pPr>
        <w:pStyle w:val="2"/>
        <w:rPr>
          <w:rFonts w:hint="eastAsia" w:ascii="宋体" w:hAnsi="宋体" w:eastAsia="宋体" w:cs="宋体"/>
          <w:szCs w:val="24"/>
        </w:rPr>
      </w:pPr>
    </w:p>
    <w:p>
      <w:pPr>
        <w:pStyle w:val="3"/>
        <w:rPr>
          <w:rFonts w:hint="eastAsia" w:ascii="宋体" w:hAnsi="宋体" w:eastAsia="宋体" w:cs="宋体"/>
          <w:szCs w:val="24"/>
        </w:rPr>
      </w:pPr>
    </w:p>
    <w:p>
      <w:pPr>
        <w:pStyle w:val="4"/>
        <w:rPr>
          <w:rFonts w:hint="eastAsia" w:ascii="宋体" w:hAnsi="宋体" w:eastAsia="宋体" w:cs="宋体"/>
          <w:szCs w:val="24"/>
        </w:rPr>
      </w:pPr>
    </w:p>
    <w:p>
      <w:pPr>
        <w:pStyle w:val="5"/>
        <w:rPr>
          <w:rFonts w:hint="eastAsia" w:ascii="宋体" w:hAnsi="宋体" w:eastAsia="宋体" w:cs="宋体"/>
          <w:szCs w:val="24"/>
        </w:rPr>
      </w:pPr>
    </w:p>
    <w:p>
      <w:pPr>
        <w:rPr>
          <w:rFonts w:hint="eastAsia" w:ascii="宋体" w:hAnsi="宋体" w:eastAsia="宋体" w:cs="宋体"/>
          <w:szCs w:val="24"/>
        </w:rPr>
      </w:pPr>
    </w:p>
    <w:p>
      <w:pPr>
        <w:pStyle w:val="2"/>
        <w:rPr>
          <w:rFonts w:hint="eastAsia" w:ascii="宋体" w:hAnsi="宋体" w:eastAsia="宋体" w:cs="宋体"/>
          <w:szCs w:val="24"/>
        </w:rPr>
      </w:pPr>
    </w:p>
    <w:p>
      <w:pPr>
        <w:pStyle w:val="3"/>
        <w:rPr>
          <w:rFonts w:hint="eastAsia"/>
        </w:rPr>
      </w:pPr>
    </w:p>
    <w:p>
      <w:pPr>
        <w:spacing w:before="120" w:line="22" w:lineRule="atLeast"/>
        <w:ind w:firstLine="1280" w:firstLineChars="400"/>
        <w:rPr>
          <w:rFonts w:hint="eastAsia" w:ascii="宋体" w:hAnsi="宋体" w:eastAsia="宋体" w:cs="宋体"/>
          <w:sz w:val="32"/>
          <w:szCs w:val="32"/>
          <w:u w:val="single"/>
        </w:rPr>
      </w:pPr>
    </w:p>
    <w:p>
      <w:pPr>
        <w:spacing w:line="320" w:lineRule="exact"/>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住房和城乡建设部</w:t>
      </w:r>
    </w:p>
    <w:p>
      <w:pPr>
        <w:spacing w:line="320" w:lineRule="exact"/>
        <w:ind w:left="4200" w:firstLine="420"/>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制定</w:t>
      </w:r>
    </w:p>
    <w:p>
      <w:pPr>
        <w:spacing w:line="320" w:lineRule="exact"/>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国家工商行政管理总局</w:t>
      </w:r>
    </w:p>
    <w:p>
      <w:pPr>
        <w:widowControl/>
        <w:jc w:val="left"/>
        <w:rPr>
          <w:rFonts w:hint="eastAsia" w:ascii="宋体" w:hAnsi="宋体" w:eastAsia="宋体" w:cs="宋体"/>
          <w:kern w:val="0"/>
          <w:sz w:val="24"/>
        </w:rPr>
        <w:sectPr>
          <w:pgSz w:w="11907" w:h="16840"/>
          <w:pgMar w:top="1077" w:right="1020" w:bottom="1077" w:left="1020" w:header="851" w:footer="851" w:gutter="0"/>
          <w:cols w:space="720" w:num="1"/>
        </w:sectPr>
      </w:pPr>
    </w:p>
    <w:p>
      <w:pPr>
        <w:pStyle w:val="8"/>
        <w:spacing w:line="440" w:lineRule="exact"/>
        <w:jc w:val="center"/>
        <w:rPr>
          <w:rFonts w:hint="eastAsia" w:ascii="宋体" w:hAnsi="宋体"/>
          <w:b w:val="0"/>
          <w:color w:val="auto"/>
          <w:sz w:val="36"/>
          <w:szCs w:val="36"/>
          <w:highlight w:val="none"/>
        </w:rPr>
      </w:pPr>
      <w:bookmarkStart w:id="394" w:name="_Toc331685783"/>
      <w:r>
        <w:rPr>
          <w:rFonts w:ascii="宋体" w:hAnsi="宋体"/>
          <w:b w:val="0"/>
          <w:color w:val="auto"/>
          <w:sz w:val="36"/>
          <w:szCs w:val="36"/>
          <w:highlight w:val="none"/>
        </w:rPr>
        <w:t>第一部分 合同协议书</w:t>
      </w:r>
    </w:p>
    <w:p>
      <w:pPr>
        <w:spacing w:line="440" w:lineRule="exact"/>
        <w:jc w:val="center"/>
        <w:rPr>
          <w:rFonts w:hint="eastAsia" w:hAnsi="宋体"/>
          <w:b/>
          <w:color w:val="auto"/>
          <w:sz w:val="36"/>
          <w:szCs w:val="36"/>
          <w:highlight w:val="none"/>
        </w:rPr>
      </w:pPr>
    </w:p>
    <w:p>
      <w:pPr>
        <w:spacing w:line="400" w:lineRule="exact"/>
        <w:rPr>
          <w:rFonts w:hint="eastAsia" w:hAnsi="宋体"/>
          <w:b/>
          <w:color w:val="auto"/>
          <w:sz w:val="24"/>
          <w:highlight w:val="none"/>
          <w:u w:val="single"/>
        </w:rPr>
      </w:pPr>
      <w:r>
        <w:rPr>
          <w:rFonts w:hAnsi="宋体"/>
          <w:b/>
          <w:color w:val="auto"/>
          <w:sz w:val="24"/>
          <w:highlight w:val="none"/>
        </w:rPr>
        <w:t>发包人（</w:t>
      </w:r>
      <w:r>
        <w:rPr>
          <w:rFonts w:hint="eastAsia" w:hAnsi="宋体"/>
          <w:b/>
          <w:color w:val="auto"/>
          <w:sz w:val="24"/>
          <w:highlight w:val="none"/>
          <w:lang w:val="en-US" w:eastAsia="zh-CN"/>
        </w:rPr>
        <w:t>采购人</w:t>
      </w:r>
      <w:r>
        <w:rPr>
          <w:rFonts w:hAnsi="宋体"/>
          <w:b/>
          <w:color w:val="auto"/>
          <w:sz w:val="24"/>
          <w:highlight w:val="none"/>
        </w:rPr>
        <w:t>）：</w:t>
      </w:r>
      <w:r>
        <w:rPr>
          <w:rFonts w:hint="eastAsia" w:hAnsi="宋体" w:cs="宋体"/>
          <w:color w:val="auto"/>
          <w:sz w:val="24"/>
          <w:highlight w:val="none"/>
          <w:u w:val="single"/>
        </w:rPr>
        <w:t xml:space="preserve">     </w:t>
      </w:r>
      <w:r>
        <w:rPr>
          <w:rFonts w:hint="eastAsia" w:hAnsi="宋体" w:cs="宋体"/>
          <w:color w:val="auto"/>
          <w:sz w:val="24"/>
          <w:highlight w:val="none"/>
          <w:u w:val="single"/>
          <w:lang w:val="en-US" w:eastAsia="zh-CN"/>
        </w:rPr>
        <w:t xml:space="preserve">                                   </w:t>
      </w:r>
      <w:r>
        <w:rPr>
          <w:rFonts w:hint="eastAsia" w:hAnsi="宋体"/>
          <w:color w:val="auto"/>
          <w:sz w:val="24"/>
          <w:highlight w:val="none"/>
          <w:u w:val="single"/>
        </w:rPr>
        <w:t xml:space="preserve"> </w:t>
      </w:r>
      <w:r>
        <w:rPr>
          <w:rFonts w:hint="eastAsia" w:hAnsi="宋体"/>
          <w:color w:val="auto"/>
          <w:sz w:val="24"/>
          <w:highlight w:val="none"/>
        </w:rPr>
        <w:t xml:space="preserve">    </w:t>
      </w:r>
    </w:p>
    <w:p>
      <w:pPr>
        <w:spacing w:line="400" w:lineRule="exact"/>
        <w:rPr>
          <w:rFonts w:hAnsi="宋体"/>
          <w:color w:val="auto"/>
          <w:sz w:val="24"/>
          <w:highlight w:val="none"/>
          <w:u w:val="single"/>
        </w:rPr>
      </w:pPr>
      <w:r>
        <w:rPr>
          <w:rFonts w:hAnsi="宋体"/>
          <w:b/>
          <w:color w:val="auto"/>
          <w:sz w:val="24"/>
          <w:highlight w:val="none"/>
        </w:rPr>
        <w:t>承包人（</w:t>
      </w:r>
      <w:r>
        <w:rPr>
          <w:rFonts w:hint="eastAsia" w:hAnsi="宋体"/>
          <w:b/>
          <w:color w:val="auto"/>
          <w:sz w:val="24"/>
          <w:highlight w:val="none"/>
          <w:lang w:val="en-US" w:eastAsia="zh-CN"/>
        </w:rPr>
        <w:t>投标人</w:t>
      </w:r>
      <w:r>
        <w:rPr>
          <w:rFonts w:hAnsi="宋体"/>
          <w:b/>
          <w:color w:val="auto"/>
          <w:sz w:val="24"/>
          <w:highlight w:val="none"/>
        </w:rPr>
        <w:t>）：</w:t>
      </w:r>
      <w:r>
        <w:rPr>
          <w:rFonts w:hint="eastAsia" w:hAnsi="宋体" w:cs="宋体"/>
          <w:color w:val="auto"/>
          <w:sz w:val="24"/>
          <w:highlight w:val="none"/>
          <w:u w:val="single"/>
        </w:rPr>
        <w:t xml:space="preserve">               </w:t>
      </w:r>
      <w:r>
        <w:rPr>
          <w:rFonts w:hint="eastAsia" w:hAnsi="宋体"/>
          <w:color w:val="auto"/>
          <w:sz w:val="24"/>
          <w:highlight w:val="none"/>
          <w:u w:val="single"/>
        </w:rPr>
        <w:t xml:space="preserve"> </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r>
        <w:rPr>
          <w:rFonts w:hint="eastAsia" w:hAnsi="宋体"/>
          <w:color w:val="auto"/>
          <w:sz w:val="24"/>
          <w:highlight w:val="none"/>
          <w:u w:val="single"/>
        </w:rPr>
        <w:t xml:space="preserve"> </w:t>
      </w:r>
    </w:p>
    <w:p>
      <w:pPr>
        <w:spacing w:line="400" w:lineRule="exact"/>
        <w:ind w:firstLine="480" w:firstLineChars="200"/>
        <w:rPr>
          <w:rFonts w:hAnsi="宋体"/>
          <w:color w:val="auto"/>
          <w:sz w:val="24"/>
          <w:highlight w:val="none"/>
        </w:rPr>
      </w:pPr>
      <w:r>
        <w:rPr>
          <w:rFonts w:hAnsi="宋体"/>
          <w:color w:val="auto"/>
          <w:sz w:val="24"/>
          <w:highlight w:val="none"/>
        </w:rPr>
        <w:t>根据《中华人民共和国</w:t>
      </w:r>
      <w:r>
        <w:rPr>
          <w:rFonts w:hint="eastAsia" w:hAnsi="宋体"/>
          <w:color w:val="auto"/>
          <w:sz w:val="24"/>
          <w:highlight w:val="none"/>
          <w:lang w:eastAsia="zh-CN"/>
        </w:rPr>
        <w:t>民法典</w:t>
      </w:r>
      <w:r>
        <w:rPr>
          <w:rFonts w:hAnsi="宋体"/>
          <w:color w:val="auto"/>
          <w:sz w:val="24"/>
          <w:highlight w:val="none"/>
        </w:rPr>
        <w:t>》、《中华人民共和国建筑法》及有关法律规定，遵循平等、自愿、公平和诚实信用的原则，双方就</w:t>
      </w:r>
      <w:r>
        <w:rPr>
          <w:rFonts w:hint="eastAsia" w:hAnsi="宋体"/>
          <w:color w:val="auto"/>
          <w:sz w:val="24"/>
          <w:highlight w:val="none"/>
          <w:u w:val="single"/>
          <w:lang w:eastAsia="zh-CN"/>
        </w:rPr>
        <w:t>龙岗污水处理厂提标改造工程——设备工程</w:t>
      </w:r>
      <w:r>
        <w:rPr>
          <w:rFonts w:hint="eastAsia" w:hAnsi="宋体" w:cs="宋体"/>
          <w:color w:val="auto"/>
          <w:sz w:val="24"/>
          <w:highlight w:val="none"/>
          <w:u w:val="single"/>
          <w:lang w:eastAsia="zh-CN"/>
        </w:rPr>
        <w:t>（</w:t>
      </w:r>
      <w:r>
        <w:rPr>
          <w:rFonts w:hint="eastAsia" w:hAnsi="宋体" w:cs="宋体"/>
          <w:color w:val="auto"/>
          <w:sz w:val="24"/>
          <w:highlight w:val="none"/>
          <w:u w:val="single"/>
          <w:lang w:val="en-US" w:eastAsia="zh-CN"/>
        </w:rPr>
        <w:t xml:space="preserve">项目编号：             </w:t>
      </w:r>
      <w:r>
        <w:rPr>
          <w:rFonts w:hint="eastAsia" w:hAnsi="宋体" w:cs="宋体"/>
          <w:color w:val="auto"/>
          <w:sz w:val="24"/>
          <w:highlight w:val="none"/>
          <w:u w:val="single"/>
          <w:lang w:eastAsia="zh-CN"/>
        </w:rPr>
        <w:t>）</w:t>
      </w:r>
      <w:r>
        <w:rPr>
          <w:rFonts w:hAnsi="宋体"/>
          <w:color w:val="auto"/>
          <w:sz w:val="24"/>
          <w:highlight w:val="none"/>
        </w:rPr>
        <w:t>施工及有关事项协商一致</w:t>
      </w:r>
      <w:r>
        <w:rPr>
          <w:rFonts w:hint="eastAsia" w:hAnsi="宋体"/>
          <w:color w:val="auto"/>
          <w:sz w:val="24"/>
          <w:highlight w:val="none"/>
        </w:rPr>
        <w:t>，</w:t>
      </w:r>
      <w:r>
        <w:rPr>
          <w:rFonts w:hAnsi="宋体"/>
          <w:color w:val="auto"/>
          <w:sz w:val="24"/>
          <w:highlight w:val="none"/>
        </w:rPr>
        <w:t>共同达成如下协议：</w:t>
      </w:r>
    </w:p>
    <w:p>
      <w:pPr>
        <w:spacing w:line="400" w:lineRule="exact"/>
        <w:ind w:firstLine="482" w:firstLineChars="200"/>
        <w:rPr>
          <w:rFonts w:hAnsi="宋体"/>
          <w:b/>
          <w:bCs/>
          <w:color w:val="auto"/>
          <w:sz w:val="24"/>
          <w:highlight w:val="none"/>
        </w:rPr>
      </w:pPr>
      <w:bookmarkStart w:id="395" w:name="_Toc351203481"/>
      <w:r>
        <w:rPr>
          <w:rFonts w:hAnsi="宋体"/>
          <w:b/>
          <w:color w:val="auto"/>
          <w:sz w:val="24"/>
          <w:highlight w:val="none"/>
        </w:rPr>
        <w:t>一、工程概况</w:t>
      </w:r>
      <w:bookmarkEnd w:id="395"/>
    </w:p>
    <w:p>
      <w:pPr>
        <w:spacing w:line="400" w:lineRule="exact"/>
        <w:ind w:firstLine="480" w:firstLineChars="200"/>
        <w:rPr>
          <w:rFonts w:hAnsi="宋体"/>
          <w:color w:val="auto"/>
          <w:sz w:val="24"/>
          <w:highlight w:val="none"/>
          <w:u w:val="single"/>
        </w:rPr>
      </w:pPr>
      <w:r>
        <w:rPr>
          <w:rFonts w:hAnsi="宋体"/>
          <w:bCs/>
          <w:color w:val="auto"/>
          <w:sz w:val="24"/>
          <w:highlight w:val="none"/>
        </w:rPr>
        <w:t>1.工程名称</w:t>
      </w:r>
      <w:r>
        <w:rPr>
          <w:rFonts w:hAnsi="宋体"/>
          <w:color w:val="auto"/>
          <w:sz w:val="24"/>
          <w:highlight w:val="none"/>
        </w:rPr>
        <w:t>：</w:t>
      </w:r>
      <w:r>
        <w:rPr>
          <w:rFonts w:hint="eastAsia" w:hAnsi="宋体"/>
          <w:color w:val="auto"/>
          <w:sz w:val="24"/>
          <w:highlight w:val="none"/>
          <w:u w:val="single"/>
          <w:lang w:eastAsia="zh-CN"/>
        </w:rPr>
        <w:t>龙岗污水处理厂提标改造工程——设备工程</w:t>
      </w:r>
      <w:r>
        <w:rPr>
          <w:rFonts w:hAnsi="宋体"/>
          <w:color w:val="auto"/>
          <w:sz w:val="24"/>
          <w:highlight w:val="none"/>
          <w:u w:val="single"/>
        </w:rPr>
        <w:t>。</w:t>
      </w:r>
    </w:p>
    <w:p>
      <w:pPr>
        <w:spacing w:line="400" w:lineRule="exact"/>
        <w:ind w:firstLine="480" w:firstLineChars="200"/>
        <w:rPr>
          <w:rFonts w:hint="eastAsia" w:hAnsi="宋体" w:cs="宋体"/>
          <w:color w:val="auto"/>
          <w:sz w:val="24"/>
          <w:highlight w:val="none"/>
          <w:u w:val="single"/>
        </w:rPr>
      </w:pPr>
      <w:r>
        <w:rPr>
          <w:rFonts w:hAnsi="宋体"/>
          <w:bCs/>
          <w:color w:val="auto"/>
          <w:sz w:val="24"/>
          <w:highlight w:val="none"/>
        </w:rPr>
        <w:t>2.工程地点：</w:t>
      </w:r>
      <w:r>
        <w:rPr>
          <w:rFonts w:hint="eastAsia"/>
          <w:b w:val="0"/>
          <w:bCs/>
          <w:color w:val="auto"/>
          <w:sz w:val="24"/>
          <w:highlight w:val="none"/>
          <w:u w:val="single"/>
          <w:lang w:eastAsia="zh-CN"/>
        </w:rPr>
        <w:t>临安区龙岗镇兴龙村</w:t>
      </w:r>
      <w:r>
        <w:rPr>
          <w:rFonts w:hint="eastAsia" w:hAnsi="宋体"/>
          <w:bCs/>
          <w:color w:val="auto"/>
          <w:sz w:val="24"/>
          <w:highlight w:val="none"/>
          <w:u w:val="single"/>
          <w:lang w:val="en-US" w:eastAsia="zh-CN"/>
        </w:rPr>
        <w:t xml:space="preserve"> </w:t>
      </w:r>
      <w:r>
        <w:rPr>
          <w:rFonts w:hint="eastAsia" w:hAnsi="宋体" w:cs="宋体"/>
          <w:color w:val="auto"/>
          <w:sz w:val="24"/>
          <w:highlight w:val="none"/>
          <w:u w:val="single"/>
        </w:rPr>
        <w:t>。</w:t>
      </w:r>
    </w:p>
    <w:p>
      <w:pPr>
        <w:spacing w:line="400" w:lineRule="exact"/>
        <w:ind w:firstLine="480" w:firstLineChars="200"/>
        <w:rPr>
          <w:rFonts w:hAnsi="宋体"/>
          <w:bCs/>
          <w:color w:val="auto"/>
          <w:sz w:val="24"/>
          <w:highlight w:val="none"/>
        </w:rPr>
      </w:pPr>
      <w:r>
        <w:rPr>
          <w:rFonts w:hAnsi="宋体"/>
          <w:bCs/>
          <w:color w:val="auto"/>
          <w:sz w:val="24"/>
          <w:highlight w:val="none"/>
        </w:rPr>
        <w:t>3.工程立项批准文号：</w:t>
      </w:r>
      <w:r>
        <w:rPr>
          <w:rFonts w:hint="eastAsia" w:hAnsi="宋体"/>
          <w:color w:val="auto"/>
          <w:sz w:val="24"/>
          <w:highlight w:val="none"/>
          <w:u w:val="single"/>
        </w:rPr>
        <w:t xml:space="preserve">  </w:t>
      </w:r>
      <w:r>
        <w:rPr>
          <w:rFonts w:hint="eastAsia" w:hAnsi="宋体"/>
          <w:color w:val="auto"/>
          <w:sz w:val="24"/>
          <w:highlight w:val="none"/>
          <w:u w:val="single"/>
          <w:lang w:val="en-US" w:eastAsia="zh-CN"/>
        </w:rPr>
        <w:t>/</w:t>
      </w:r>
      <w:r>
        <w:rPr>
          <w:rFonts w:hint="eastAsia" w:hAnsi="宋体"/>
          <w:color w:val="auto"/>
          <w:sz w:val="24"/>
          <w:highlight w:val="none"/>
          <w:u w:val="single"/>
        </w:rPr>
        <w:t xml:space="preserve">   </w:t>
      </w:r>
      <w:r>
        <w:rPr>
          <w:rFonts w:hAnsi="宋体"/>
          <w:bCs/>
          <w:color w:val="auto"/>
          <w:sz w:val="24"/>
          <w:highlight w:val="none"/>
        </w:rPr>
        <w:t>。</w:t>
      </w:r>
    </w:p>
    <w:p>
      <w:pPr>
        <w:spacing w:line="400" w:lineRule="exact"/>
        <w:ind w:firstLine="480" w:firstLineChars="200"/>
        <w:rPr>
          <w:rFonts w:hint="eastAsia" w:hAnsi="宋体"/>
          <w:bCs/>
          <w:color w:val="auto"/>
          <w:sz w:val="24"/>
          <w:highlight w:val="none"/>
        </w:rPr>
      </w:pPr>
      <w:r>
        <w:rPr>
          <w:rFonts w:hAnsi="宋体"/>
          <w:bCs/>
          <w:color w:val="auto"/>
          <w:sz w:val="24"/>
          <w:highlight w:val="none"/>
        </w:rPr>
        <w:t>4.资金来源：</w:t>
      </w:r>
      <w:r>
        <w:rPr>
          <w:rFonts w:hint="eastAsia" w:hAnsi="宋体"/>
          <w:bCs/>
          <w:color w:val="auto"/>
          <w:sz w:val="24"/>
          <w:highlight w:val="none"/>
          <w:u w:val="single"/>
          <w:lang w:val="en-US" w:eastAsia="zh-CN"/>
        </w:rPr>
        <w:t xml:space="preserve">             </w:t>
      </w:r>
      <w:r>
        <w:rPr>
          <w:rFonts w:hAnsi="宋体"/>
          <w:bCs/>
          <w:color w:val="auto"/>
          <w:sz w:val="24"/>
          <w:highlight w:val="none"/>
          <w:u w:val="single"/>
        </w:rPr>
        <w:t>。</w:t>
      </w:r>
    </w:p>
    <w:p>
      <w:pPr>
        <w:spacing w:line="400" w:lineRule="exact"/>
        <w:ind w:firstLine="480" w:firstLineChars="200"/>
        <w:jc w:val="left"/>
        <w:rPr>
          <w:rFonts w:hint="eastAsia" w:eastAsia="宋体"/>
          <w:b w:val="0"/>
          <w:bCs/>
          <w:color w:val="auto"/>
          <w:sz w:val="24"/>
          <w:highlight w:val="none"/>
          <w:u w:val="single"/>
          <w:lang w:eastAsia="zh-CN"/>
        </w:rPr>
      </w:pPr>
      <w:r>
        <w:rPr>
          <w:rFonts w:hint="eastAsia"/>
          <w:bCs/>
          <w:color w:val="auto"/>
          <w:sz w:val="24"/>
          <w:highlight w:val="none"/>
        </w:rPr>
        <w:t>5.工程内容：</w:t>
      </w:r>
      <w:r>
        <w:rPr>
          <w:rFonts w:hint="eastAsia"/>
          <w:b w:val="0"/>
          <w:bCs/>
          <w:color w:val="auto"/>
          <w:sz w:val="24"/>
          <w:highlight w:val="none"/>
          <w:u w:val="single"/>
          <w:lang w:eastAsia="zh-CN"/>
        </w:rPr>
        <w:t>龙岗污水处理厂提标改造工程——设备工程位于临安区龙岗镇兴龙村，本工程主要工程内容是对原有池体、设备或管材进行更换或维护，新增和原有建构筑物的配套设备、电气、自控安装工程。</w:t>
      </w:r>
    </w:p>
    <w:p>
      <w:pPr>
        <w:spacing w:line="400" w:lineRule="exact"/>
        <w:ind w:firstLine="480" w:firstLineChars="200"/>
        <w:jc w:val="left"/>
        <w:rPr>
          <w:rFonts w:hint="eastAsia" w:hAnsi="宋体"/>
          <w:color w:val="auto"/>
          <w:sz w:val="24"/>
          <w:highlight w:val="none"/>
        </w:rPr>
      </w:pPr>
      <w:r>
        <w:rPr>
          <w:rFonts w:hint="eastAsia" w:hAnsi="宋体"/>
          <w:color w:val="auto"/>
          <w:sz w:val="24"/>
          <w:highlight w:val="none"/>
        </w:rPr>
        <w:t>群体工程应附《承包人承揽工程项目一览表》（附件1）。</w:t>
      </w:r>
    </w:p>
    <w:p>
      <w:pPr>
        <w:spacing w:line="400" w:lineRule="exact"/>
        <w:ind w:firstLine="480" w:firstLineChars="200"/>
        <w:rPr>
          <w:rFonts w:hint="eastAsia" w:hAnsi="宋体"/>
          <w:color w:val="auto"/>
          <w:sz w:val="24"/>
          <w:highlight w:val="none"/>
          <w:u w:val="single"/>
        </w:rPr>
      </w:pPr>
      <w:r>
        <w:rPr>
          <w:rFonts w:hint="eastAsia" w:hAnsi="宋体"/>
          <w:bCs/>
          <w:color w:val="auto"/>
          <w:sz w:val="24"/>
          <w:highlight w:val="none"/>
        </w:rPr>
        <w:t>6</w:t>
      </w:r>
      <w:r>
        <w:rPr>
          <w:rFonts w:hAnsi="宋体"/>
          <w:bCs/>
          <w:color w:val="auto"/>
          <w:sz w:val="24"/>
          <w:highlight w:val="none"/>
        </w:rPr>
        <w:t>.工程承包范围：</w:t>
      </w:r>
      <w:r>
        <w:rPr>
          <w:rFonts w:hint="eastAsia" w:hAnsi="宋体"/>
          <w:color w:val="auto"/>
          <w:sz w:val="24"/>
          <w:highlight w:val="none"/>
          <w:u w:val="single"/>
        </w:rPr>
        <w:t>招标文件、工程施工图中所包括的一切内容，工程量清单等已明确的工程内容，和本工程可能出现的因施工图修改引起的工程量增减以及招标人明确指令增加减少的工程量的施工。</w:t>
      </w:r>
    </w:p>
    <w:p>
      <w:pPr>
        <w:spacing w:line="400" w:lineRule="exact"/>
        <w:ind w:firstLine="482" w:firstLineChars="200"/>
        <w:rPr>
          <w:rFonts w:hAnsi="宋体"/>
          <w:b/>
          <w:color w:val="auto"/>
          <w:sz w:val="24"/>
          <w:highlight w:val="none"/>
        </w:rPr>
      </w:pPr>
      <w:bookmarkStart w:id="396" w:name="_Toc351203482"/>
      <w:r>
        <w:rPr>
          <w:rFonts w:hAnsi="宋体"/>
          <w:b/>
          <w:color w:val="auto"/>
          <w:sz w:val="24"/>
          <w:highlight w:val="none"/>
        </w:rPr>
        <w:t>二、合同工期</w:t>
      </w:r>
      <w:bookmarkEnd w:id="396"/>
    </w:p>
    <w:p>
      <w:pPr>
        <w:spacing w:line="400" w:lineRule="exact"/>
        <w:ind w:firstLine="480" w:firstLineChars="200"/>
        <w:rPr>
          <w:rFonts w:hAnsi="宋体"/>
          <w:color w:val="auto"/>
          <w:sz w:val="24"/>
          <w:highlight w:val="none"/>
        </w:rPr>
      </w:pPr>
      <w:r>
        <w:rPr>
          <w:rFonts w:hAnsi="宋体"/>
          <w:color w:val="auto"/>
          <w:sz w:val="24"/>
          <w:highlight w:val="none"/>
        </w:rPr>
        <w:t>计划开工日期：</w:t>
      </w:r>
      <w:r>
        <w:rPr>
          <w:rFonts w:hint="eastAsia" w:hAnsi="宋体" w:cs="宋体"/>
          <w:color w:val="auto"/>
          <w:sz w:val="24"/>
          <w:highlight w:val="none"/>
          <w:u w:val="single"/>
        </w:rPr>
        <w:t></w:t>
      </w:r>
      <w:r>
        <w:rPr>
          <w:rFonts w:hAnsi="宋体"/>
          <w:color w:val="auto"/>
          <w:sz w:val="24"/>
          <w:highlight w:val="none"/>
        </w:rPr>
        <w:t>年</w:t>
      </w:r>
      <w:r>
        <w:rPr>
          <w:rFonts w:hint="eastAsia" w:hAnsi="宋体" w:cs="宋体"/>
          <w:color w:val="auto"/>
          <w:sz w:val="24"/>
          <w:highlight w:val="none"/>
          <w:u w:val="single"/>
        </w:rPr>
        <w:t></w:t>
      </w:r>
      <w:r>
        <w:rPr>
          <w:rFonts w:hAnsi="宋体"/>
          <w:color w:val="auto"/>
          <w:sz w:val="24"/>
          <w:highlight w:val="none"/>
        </w:rPr>
        <w:t>月</w:t>
      </w:r>
      <w:r>
        <w:rPr>
          <w:rFonts w:hint="eastAsia" w:hAnsi="宋体" w:cs="宋体"/>
          <w:color w:val="auto"/>
          <w:sz w:val="24"/>
          <w:highlight w:val="none"/>
          <w:u w:val="single"/>
        </w:rPr>
        <w:t></w:t>
      </w:r>
      <w:r>
        <w:rPr>
          <w:rFonts w:hAnsi="宋体"/>
          <w:color w:val="auto"/>
          <w:sz w:val="24"/>
          <w:highlight w:val="none"/>
        </w:rPr>
        <w:t>日。</w:t>
      </w:r>
    </w:p>
    <w:p>
      <w:pPr>
        <w:spacing w:line="400" w:lineRule="exact"/>
        <w:ind w:firstLine="480" w:firstLineChars="200"/>
        <w:rPr>
          <w:rFonts w:hAnsi="宋体"/>
          <w:color w:val="auto"/>
          <w:sz w:val="24"/>
          <w:highlight w:val="none"/>
        </w:rPr>
      </w:pPr>
      <w:r>
        <w:rPr>
          <w:rFonts w:hAnsi="宋体"/>
          <w:color w:val="auto"/>
          <w:sz w:val="24"/>
          <w:highlight w:val="none"/>
        </w:rPr>
        <w:t>计划竣工日期：</w:t>
      </w:r>
      <w:r>
        <w:rPr>
          <w:rFonts w:hint="eastAsia" w:hAnsi="宋体" w:cs="宋体"/>
          <w:color w:val="auto"/>
          <w:sz w:val="24"/>
          <w:highlight w:val="none"/>
          <w:u w:val="single"/>
        </w:rPr>
        <w:t></w:t>
      </w:r>
      <w:r>
        <w:rPr>
          <w:rFonts w:hAnsi="宋体"/>
          <w:color w:val="auto"/>
          <w:sz w:val="24"/>
          <w:highlight w:val="none"/>
        </w:rPr>
        <w:t>年</w:t>
      </w:r>
      <w:r>
        <w:rPr>
          <w:rFonts w:hint="eastAsia" w:hAnsi="宋体" w:cs="宋体"/>
          <w:color w:val="auto"/>
          <w:sz w:val="24"/>
          <w:highlight w:val="none"/>
          <w:u w:val="single"/>
        </w:rPr>
        <w:t></w:t>
      </w:r>
      <w:r>
        <w:rPr>
          <w:rFonts w:hAnsi="宋体"/>
          <w:color w:val="auto"/>
          <w:sz w:val="24"/>
          <w:highlight w:val="none"/>
        </w:rPr>
        <w:t>月</w:t>
      </w:r>
      <w:r>
        <w:rPr>
          <w:rFonts w:hint="eastAsia" w:hAnsi="宋体" w:cs="宋体"/>
          <w:color w:val="auto"/>
          <w:sz w:val="24"/>
          <w:highlight w:val="none"/>
          <w:u w:val="single"/>
        </w:rPr>
        <w:t></w:t>
      </w:r>
      <w:r>
        <w:rPr>
          <w:rFonts w:hAnsi="宋体"/>
          <w:color w:val="auto"/>
          <w:sz w:val="24"/>
          <w:highlight w:val="none"/>
        </w:rPr>
        <w:t>日。</w:t>
      </w:r>
    </w:p>
    <w:p>
      <w:pPr>
        <w:widowControl/>
        <w:spacing w:line="400" w:lineRule="exact"/>
        <w:ind w:firstLine="480" w:firstLineChars="200"/>
        <w:rPr>
          <w:rFonts w:hint="eastAsia" w:hAnsi="宋体"/>
          <w:color w:val="auto"/>
          <w:sz w:val="24"/>
          <w:highlight w:val="none"/>
        </w:rPr>
      </w:pPr>
      <w:r>
        <w:rPr>
          <w:rFonts w:hAnsi="宋体"/>
          <w:color w:val="auto"/>
          <w:sz w:val="24"/>
          <w:highlight w:val="none"/>
        </w:rPr>
        <w:t>工期总日历天数：</w:t>
      </w:r>
      <w:r>
        <w:rPr>
          <w:rFonts w:hint="eastAsia" w:hAnsi="宋体"/>
          <w:color w:val="auto"/>
          <w:sz w:val="24"/>
          <w:highlight w:val="none"/>
          <w:u w:val="single"/>
        </w:rPr>
        <w:t xml:space="preserve"> </w:t>
      </w:r>
      <w:r>
        <w:rPr>
          <w:rFonts w:hint="eastAsia" w:hAnsi="宋体"/>
          <w:color w:val="auto"/>
          <w:sz w:val="24"/>
          <w:highlight w:val="none"/>
          <w:u w:val="single"/>
          <w:lang w:val="en-US" w:eastAsia="zh-CN"/>
        </w:rPr>
        <w:t xml:space="preserve">   </w:t>
      </w:r>
      <w:r>
        <w:rPr>
          <w:rFonts w:hint="eastAsia" w:hAnsi="宋体"/>
          <w:color w:val="auto"/>
          <w:sz w:val="24"/>
          <w:highlight w:val="none"/>
        </w:rPr>
        <w:t>日历天；</w:t>
      </w:r>
      <w:r>
        <w:rPr>
          <w:rFonts w:hint="eastAsia" w:ascii="宋体" w:hAnsi="宋体" w:cs="宋体"/>
          <w:color w:val="auto"/>
          <w:sz w:val="24"/>
          <w:highlight w:val="none"/>
          <w:lang w:val="en-US" w:eastAsia="zh-CN"/>
        </w:rPr>
        <w:t>必须在合同签订之日起至  年   月  日前竣工并移交整个工程；</w:t>
      </w:r>
      <w:r>
        <w:rPr>
          <w:rFonts w:hint="eastAsia" w:hAnsi="宋体"/>
          <w:color w:val="auto"/>
          <w:sz w:val="24"/>
          <w:highlight w:val="none"/>
        </w:rPr>
        <w:t>缺陷责任期24个月，</w:t>
      </w:r>
      <w:r>
        <w:rPr>
          <w:rFonts w:hint="eastAsia" w:ascii="宋体" w:hAnsi="宋体" w:cs="宋体"/>
          <w:bCs/>
          <w:color w:val="auto"/>
          <w:sz w:val="24"/>
          <w:highlight w:val="none"/>
        </w:rPr>
        <w:t>质量保修期</w:t>
      </w:r>
      <w:r>
        <w:rPr>
          <w:rFonts w:hint="eastAsia" w:hAnsi="宋体"/>
          <w:color w:val="auto"/>
          <w:sz w:val="24"/>
          <w:highlight w:val="none"/>
        </w:rPr>
        <w:t>遵照质量保修书约定</w:t>
      </w:r>
      <w:r>
        <w:rPr>
          <w:rFonts w:hAnsi="宋体"/>
          <w:color w:val="auto"/>
          <w:sz w:val="24"/>
          <w:highlight w:val="none"/>
        </w:rPr>
        <w:t>。</w:t>
      </w:r>
      <w:r>
        <w:rPr>
          <w:rFonts w:hint="eastAsia" w:hAnsi="宋体"/>
          <w:color w:val="auto"/>
          <w:sz w:val="24"/>
          <w:highlight w:val="none"/>
        </w:rPr>
        <w:t>工期总日历天数与根据前述计划开竣工日期计</w:t>
      </w:r>
      <w:r>
        <w:rPr>
          <w:rFonts w:hAnsi="宋体"/>
          <w:color w:val="auto"/>
          <w:sz w:val="24"/>
          <w:highlight w:val="none"/>
        </w:rPr>
        <w:t>算的工期天数不一致的，以工期总日历天数为准。</w:t>
      </w:r>
    </w:p>
    <w:p>
      <w:pPr>
        <w:spacing w:line="400" w:lineRule="exact"/>
        <w:ind w:firstLine="482" w:firstLineChars="200"/>
        <w:rPr>
          <w:rFonts w:hint="eastAsia" w:hAnsi="宋体"/>
          <w:b/>
          <w:bCs/>
          <w:color w:val="auto"/>
          <w:sz w:val="24"/>
          <w:highlight w:val="none"/>
        </w:rPr>
      </w:pPr>
      <w:bookmarkStart w:id="397" w:name="_Toc351203483"/>
      <w:r>
        <w:rPr>
          <w:rFonts w:hAnsi="宋体"/>
          <w:b/>
          <w:color w:val="auto"/>
          <w:sz w:val="24"/>
          <w:highlight w:val="none"/>
        </w:rPr>
        <w:t>三、质量标准</w:t>
      </w:r>
      <w:bookmarkEnd w:id="397"/>
    </w:p>
    <w:p>
      <w:pPr>
        <w:spacing w:line="400" w:lineRule="exact"/>
        <w:ind w:firstLine="480" w:firstLineChars="200"/>
        <w:rPr>
          <w:rFonts w:hint="eastAsia" w:hAnsi="宋体"/>
          <w:b/>
          <w:bCs/>
          <w:color w:val="auto"/>
          <w:sz w:val="24"/>
          <w:highlight w:val="none"/>
        </w:rPr>
      </w:pPr>
      <w:r>
        <w:rPr>
          <w:rFonts w:hAnsi="宋体"/>
          <w:color w:val="auto"/>
          <w:sz w:val="24"/>
          <w:highlight w:val="none"/>
        </w:rPr>
        <w:t>工程质量符合</w:t>
      </w:r>
      <w:r>
        <w:rPr>
          <w:rFonts w:hint="eastAsia" w:hAnsi="宋体" w:cs="宋体"/>
          <w:color w:val="auto"/>
          <w:sz w:val="24"/>
          <w:highlight w:val="none"/>
          <w:u w:val="single"/>
        </w:rPr>
        <w:t xml:space="preserve"> </w:t>
      </w:r>
      <w:r>
        <w:rPr>
          <w:rFonts w:hint="eastAsia" w:hAnsi="宋体"/>
          <w:color w:val="auto"/>
          <w:sz w:val="24"/>
          <w:highlight w:val="none"/>
          <w:u w:val="single"/>
        </w:rPr>
        <w:t xml:space="preserve"> 国家工程质量验收的</w:t>
      </w:r>
      <w:r>
        <w:rPr>
          <w:rFonts w:hAnsi="宋体"/>
          <w:color w:val="auto"/>
          <w:sz w:val="24"/>
          <w:highlight w:val="none"/>
          <w:u w:val="single"/>
        </w:rPr>
        <w:t>合格</w:t>
      </w:r>
      <w:r>
        <w:rPr>
          <w:rFonts w:hint="eastAsia" w:hAnsi="宋体"/>
          <w:color w:val="auto"/>
          <w:sz w:val="24"/>
          <w:highlight w:val="none"/>
          <w:u w:val="single"/>
        </w:rPr>
        <w:t xml:space="preserve">  </w:t>
      </w:r>
      <w:r>
        <w:rPr>
          <w:rFonts w:hAnsi="宋体"/>
          <w:color w:val="auto"/>
          <w:sz w:val="24"/>
          <w:highlight w:val="none"/>
          <w:u w:val="single"/>
        </w:rPr>
        <w:t>标</w:t>
      </w:r>
      <w:r>
        <w:rPr>
          <w:rFonts w:hAnsi="宋体"/>
          <w:color w:val="auto"/>
          <w:sz w:val="24"/>
          <w:highlight w:val="none"/>
        </w:rPr>
        <w:t>准</w:t>
      </w:r>
      <w:r>
        <w:rPr>
          <w:rFonts w:hint="eastAsia" w:hAnsi="宋体"/>
          <w:color w:val="auto"/>
          <w:sz w:val="24"/>
          <w:highlight w:val="none"/>
        </w:rPr>
        <w:t>。</w:t>
      </w:r>
    </w:p>
    <w:p>
      <w:pPr>
        <w:widowControl/>
        <w:spacing w:line="400" w:lineRule="exact"/>
        <w:ind w:firstLine="480" w:firstLineChars="200"/>
        <w:outlineLvl w:val="3"/>
        <w:rPr>
          <w:rFonts w:hint="eastAsia" w:hAnsi="宋体"/>
          <w:bCs/>
          <w:color w:val="auto"/>
          <w:kern w:val="0"/>
          <w:sz w:val="24"/>
          <w:highlight w:val="none"/>
        </w:rPr>
      </w:pPr>
      <w:bookmarkStart w:id="398" w:name="_Toc351203484"/>
      <w:r>
        <w:rPr>
          <w:rFonts w:hint="eastAsia" w:hAnsi="宋体"/>
          <w:color w:val="auto"/>
          <w:kern w:val="0"/>
          <w:sz w:val="24"/>
          <w:highlight w:val="none"/>
        </w:rPr>
        <w:t>四、签约合同价与合同价格形式</w:t>
      </w:r>
      <w:bookmarkEnd w:id="398"/>
    </w:p>
    <w:p>
      <w:pPr>
        <w:widowControl/>
        <w:spacing w:line="400" w:lineRule="exact"/>
        <w:ind w:firstLine="464" w:firstLineChars="200"/>
        <w:rPr>
          <w:rFonts w:hint="eastAsia" w:hAnsi="宋体"/>
          <w:color w:val="auto"/>
          <w:spacing w:val="-4"/>
          <w:kern w:val="0"/>
          <w:sz w:val="24"/>
          <w:highlight w:val="none"/>
        </w:rPr>
      </w:pPr>
      <w:r>
        <w:rPr>
          <w:rFonts w:hint="eastAsia" w:hAnsi="宋体"/>
          <w:color w:val="auto"/>
          <w:spacing w:val="-4"/>
          <w:kern w:val="0"/>
          <w:sz w:val="24"/>
          <w:highlight w:val="none"/>
        </w:rPr>
        <w:t>1.签约合同价为：</w:t>
      </w:r>
    </w:p>
    <w:p>
      <w:pPr>
        <w:widowControl/>
        <w:spacing w:line="400" w:lineRule="exact"/>
        <w:ind w:firstLine="480" w:firstLineChars="200"/>
        <w:rPr>
          <w:rFonts w:hint="eastAsia" w:hAnsi="宋体"/>
          <w:color w:val="auto"/>
          <w:kern w:val="0"/>
          <w:sz w:val="24"/>
          <w:highlight w:val="none"/>
        </w:rPr>
      </w:pPr>
      <w:r>
        <w:rPr>
          <w:rFonts w:hint="eastAsia" w:hAnsi="宋体"/>
          <w:color w:val="auto"/>
          <w:kern w:val="0"/>
          <w:sz w:val="24"/>
          <w:highlight w:val="none"/>
        </w:rPr>
        <w:t>人民币（大写）</w:t>
      </w:r>
      <w:r>
        <w:rPr>
          <w:rFonts w:hint="eastAsia" w:hAnsi="宋体"/>
          <w:color w:val="auto"/>
          <w:kern w:val="0"/>
          <w:sz w:val="24"/>
          <w:highlight w:val="none"/>
          <w:u w:val="single"/>
        </w:rPr>
        <w:t xml:space="preserve">    </w:t>
      </w:r>
      <w:r>
        <w:rPr>
          <w:rFonts w:hint="eastAsia" w:hAnsi="宋体" w:cs="宋体"/>
          <w:color w:val="auto"/>
          <w:kern w:val="0"/>
          <w:sz w:val="24"/>
          <w:highlight w:val="none"/>
          <w:u w:val="single"/>
        </w:rPr>
        <w:t xml:space="preserve">           </w:t>
      </w:r>
      <w:r>
        <w:rPr>
          <w:rFonts w:hint="eastAsia" w:hAnsi="宋体"/>
          <w:color w:val="auto"/>
          <w:kern w:val="0"/>
          <w:sz w:val="24"/>
          <w:highlight w:val="none"/>
          <w:u w:val="single"/>
        </w:rPr>
        <w:t xml:space="preserve">  </w:t>
      </w:r>
      <w:r>
        <w:rPr>
          <w:rFonts w:hint="eastAsia" w:hAnsi="宋体"/>
          <w:color w:val="auto"/>
          <w:kern w:val="0"/>
          <w:sz w:val="24"/>
          <w:highlight w:val="none"/>
        </w:rPr>
        <w:t>(¥</w:t>
      </w:r>
      <w:r>
        <w:rPr>
          <w:rFonts w:hint="eastAsia" w:hAnsi="宋体"/>
          <w:color w:val="auto"/>
          <w:kern w:val="0"/>
          <w:sz w:val="24"/>
          <w:highlight w:val="none"/>
          <w:u w:val="single"/>
        </w:rPr>
        <w:t xml:space="preserve">    </w:t>
      </w:r>
      <w:r>
        <w:rPr>
          <w:rFonts w:hint="eastAsia" w:hAnsi="宋体" w:cs="宋体"/>
          <w:color w:val="auto"/>
          <w:kern w:val="0"/>
          <w:sz w:val="24"/>
          <w:highlight w:val="none"/>
          <w:u w:val="single"/>
        </w:rPr>
        <w:t xml:space="preserve">      </w:t>
      </w:r>
      <w:r>
        <w:rPr>
          <w:rFonts w:hint="eastAsia" w:hAnsi="宋体"/>
          <w:color w:val="auto"/>
          <w:kern w:val="0"/>
          <w:sz w:val="24"/>
          <w:highlight w:val="none"/>
          <w:u w:val="single"/>
        </w:rPr>
        <w:t xml:space="preserve">  </w:t>
      </w:r>
      <w:r>
        <w:rPr>
          <w:rFonts w:hint="eastAsia" w:hAnsi="宋体"/>
          <w:color w:val="auto"/>
          <w:kern w:val="0"/>
          <w:sz w:val="24"/>
          <w:highlight w:val="none"/>
        </w:rPr>
        <w:t>元)；</w:t>
      </w:r>
    </w:p>
    <w:p>
      <w:pPr>
        <w:widowControl/>
        <w:spacing w:line="400" w:lineRule="exact"/>
        <w:ind w:firstLine="480" w:firstLineChars="200"/>
        <w:rPr>
          <w:rFonts w:hint="eastAsia" w:hAnsi="宋体"/>
          <w:color w:val="auto"/>
          <w:kern w:val="0"/>
          <w:sz w:val="24"/>
          <w:highlight w:val="none"/>
        </w:rPr>
      </w:pPr>
      <w:r>
        <w:rPr>
          <w:rFonts w:hint="eastAsia" w:hAnsi="宋体"/>
          <w:color w:val="auto"/>
          <w:kern w:val="0"/>
          <w:sz w:val="24"/>
          <w:highlight w:val="none"/>
        </w:rPr>
        <w:t>其中：</w:t>
      </w:r>
    </w:p>
    <w:p>
      <w:pPr>
        <w:widowControl/>
        <w:spacing w:line="440" w:lineRule="exact"/>
        <w:ind w:firstLine="480" w:firstLineChars="200"/>
        <w:rPr>
          <w:rFonts w:hint="eastAsia" w:hAnsi="宋体"/>
          <w:color w:val="auto"/>
          <w:kern w:val="0"/>
          <w:sz w:val="24"/>
          <w:szCs w:val="24"/>
          <w:highlight w:val="none"/>
        </w:rPr>
      </w:pPr>
      <w:r>
        <w:rPr>
          <w:rFonts w:hint="eastAsia" w:hAnsi="宋体"/>
          <w:color w:val="auto"/>
          <w:kern w:val="0"/>
          <w:sz w:val="24"/>
          <w:szCs w:val="24"/>
          <w:highlight w:val="none"/>
        </w:rPr>
        <w:t>（1）安全文明施工费：</w:t>
      </w:r>
    </w:p>
    <w:p>
      <w:pPr>
        <w:widowControl/>
        <w:spacing w:line="420" w:lineRule="exact"/>
        <w:ind w:firstLine="720" w:firstLineChars="300"/>
        <w:rPr>
          <w:rFonts w:hint="eastAsia"/>
          <w:color w:val="auto"/>
          <w:sz w:val="24"/>
          <w:highlight w:val="none"/>
        </w:rPr>
      </w:pPr>
      <w:r>
        <w:rPr>
          <w:rFonts w:hint="eastAsia"/>
          <w:color w:val="auto"/>
          <w:sz w:val="24"/>
          <w:highlight w:val="none"/>
        </w:rPr>
        <w:t>人民币（大写）</w:t>
      </w:r>
      <w:r>
        <w:rPr>
          <w:rFonts w:hint="eastAsia"/>
          <w:color w:val="auto"/>
          <w:sz w:val="24"/>
          <w:highlight w:val="none"/>
          <w:u w:val="single"/>
        </w:rPr>
        <w:t xml:space="preserve">              </w:t>
      </w:r>
      <w:r>
        <w:rPr>
          <w:rFonts w:hint="eastAsia"/>
          <w:color w:val="auto"/>
          <w:sz w:val="24"/>
          <w:highlight w:val="none"/>
        </w:rPr>
        <w:t xml:space="preserve"> (¥</w:t>
      </w:r>
      <w:r>
        <w:rPr>
          <w:rFonts w:hint="eastAsia"/>
          <w:color w:val="auto"/>
          <w:sz w:val="24"/>
          <w:highlight w:val="none"/>
          <w:u w:val="single"/>
        </w:rPr>
        <w:t xml:space="preserve">          </w:t>
      </w:r>
      <w:r>
        <w:rPr>
          <w:rFonts w:hint="eastAsia"/>
          <w:color w:val="auto"/>
          <w:sz w:val="24"/>
          <w:highlight w:val="none"/>
        </w:rPr>
        <w:t>元)；</w:t>
      </w:r>
    </w:p>
    <w:p>
      <w:pPr>
        <w:widowControl/>
        <w:spacing w:line="440" w:lineRule="exact"/>
        <w:ind w:firstLine="480" w:firstLineChars="200"/>
        <w:rPr>
          <w:rFonts w:hAnsi="宋体"/>
          <w:color w:val="auto"/>
          <w:kern w:val="0"/>
          <w:sz w:val="24"/>
          <w:szCs w:val="24"/>
          <w:highlight w:val="none"/>
        </w:rPr>
      </w:pPr>
      <w:r>
        <w:rPr>
          <w:rFonts w:hint="eastAsia" w:hAnsi="宋体"/>
          <w:color w:val="auto"/>
          <w:kern w:val="0"/>
          <w:sz w:val="24"/>
          <w:szCs w:val="24"/>
          <w:highlight w:val="none"/>
        </w:rPr>
        <w:t>（2）材料和工程设备暂估价金额：</w:t>
      </w:r>
    </w:p>
    <w:p>
      <w:pPr>
        <w:widowControl/>
        <w:spacing w:line="440" w:lineRule="exact"/>
        <w:ind w:firstLine="480" w:firstLineChars="200"/>
        <w:rPr>
          <w:rFonts w:hAnsi="宋体"/>
          <w:color w:val="auto"/>
          <w:kern w:val="0"/>
          <w:sz w:val="24"/>
          <w:szCs w:val="24"/>
          <w:highlight w:val="none"/>
        </w:rPr>
      </w:pPr>
      <w:r>
        <w:rPr>
          <w:rFonts w:hint="eastAsia" w:hAnsi="宋体"/>
          <w:color w:val="auto"/>
          <w:kern w:val="0"/>
          <w:sz w:val="24"/>
          <w:szCs w:val="24"/>
          <w:highlight w:val="none"/>
        </w:rPr>
        <w:t>人民币（大写）</w:t>
      </w:r>
      <w:r>
        <w:rPr>
          <w:rFonts w:hint="eastAsia" w:hAnsi="宋体"/>
          <w:color w:val="auto"/>
          <w:kern w:val="0"/>
          <w:sz w:val="24"/>
          <w:szCs w:val="24"/>
          <w:highlight w:val="none"/>
          <w:u w:val="single"/>
        </w:rPr>
        <w:t xml:space="preserve">    </w:t>
      </w:r>
      <w:r>
        <w:rPr>
          <w:rFonts w:hint="eastAsia" w:hAnsi="宋体" w:cs="宋体"/>
          <w:color w:val="auto"/>
          <w:kern w:val="0"/>
          <w:sz w:val="24"/>
          <w:szCs w:val="24"/>
          <w:highlight w:val="none"/>
          <w:u w:val="single"/>
        </w:rPr>
        <w:t xml:space="preserve">        </w:t>
      </w:r>
      <w:r>
        <w:rPr>
          <w:rFonts w:hint="eastAsia" w:hAnsi="宋体"/>
          <w:color w:val="auto"/>
          <w:kern w:val="0"/>
          <w:sz w:val="24"/>
          <w:szCs w:val="24"/>
          <w:highlight w:val="none"/>
          <w:u w:val="single"/>
        </w:rPr>
        <w:t xml:space="preserve">  </w:t>
      </w:r>
      <w:r>
        <w:rPr>
          <w:rFonts w:hint="eastAsia" w:hAnsi="宋体"/>
          <w:color w:val="auto"/>
          <w:kern w:val="0"/>
          <w:sz w:val="24"/>
          <w:szCs w:val="24"/>
          <w:highlight w:val="none"/>
        </w:rPr>
        <w:t xml:space="preserve"> (¥</w:t>
      </w:r>
      <w:r>
        <w:rPr>
          <w:rFonts w:hint="eastAsia" w:hAnsi="宋体"/>
          <w:color w:val="auto"/>
          <w:kern w:val="0"/>
          <w:sz w:val="24"/>
          <w:szCs w:val="24"/>
          <w:highlight w:val="none"/>
          <w:u w:val="single"/>
        </w:rPr>
        <w:t xml:space="preserve">    </w:t>
      </w:r>
      <w:r>
        <w:rPr>
          <w:rFonts w:hint="eastAsia" w:hAnsi="宋体" w:cs="宋体"/>
          <w:color w:val="auto"/>
          <w:kern w:val="0"/>
          <w:sz w:val="24"/>
          <w:szCs w:val="24"/>
          <w:highlight w:val="none"/>
          <w:u w:val="single"/>
        </w:rPr>
        <w:t xml:space="preserve">     </w:t>
      </w:r>
      <w:r>
        <w:rPr>
          <w:rFonts w:hint="eastAsia" w:hAnsi="宋体"/>
          <w:color w:val="auto"/>
          <w:kern w:val="0"/>
          <w:sz w:val="24"/>
          <w:szCs w:val="24"/>
          <w:highlight w:val="none"/>
          <w:u w:val="single"/>
        </w:rPr>
        <w:t xml:space="preserve"> </w:t>
      </w:r>
      <w:r>
        <w:rPr>
          <w:rFonts w:hint="eastAsia" w:hAnsi="宋体"/>
          <w:color w:val="auto"/>
          <w:kern w:val="0"/>
          <w:sz w:val="24"/>
          <w:szCs w:val="24"/>
          <w:highlight w:val="none"/>
        </w:rPr>
        <w:t>元)；</w:t>
      </w:r>
    </w:p>
    <w:p>
      <w:pPr>
        <w:widowControl/>
        <w:spacing w:line="440" w:lineRule="exact"/>
        <w:ind w:firstLine="480" w:firstLineChars="200"/>
        <w:rPr>
          <w:rFonts w:hAnsi="宋体"/>
          <w:color w:val="auto"/>
          <w:kern w:val="0"/>
          <w:sz w:val="24"/>
          <w:szCs w:val="24"/>
          <w:highlight w:val="none"/>
        </w:rPr>
      </w:pPr>
      <w:r>
        <w:rPr>
          <w:rFonts w:hint="eastAsia" w:hAnsi="宋体"/>
          <w:color w:val="auto"/>
          <w:kern w:val="0"/>
          <w:sz w:val="24"/>
          <w:szCs w:val="24"/>
          <w:highlight w:val="none"/>
        </w:rPr>
        <w:t>（3）专业工程暂估价金额：</w:t>
      </w:r>
    </w:p>
    <w:p>
      <w:pPr>
        <w:widowControl/>
        <w:spacing w:line="440" w:lineRule="exact"/>
        <w:ind w:firstLine="480" w:firstLineChars="200"/>
        <w:rPr>
          <w:rFonts w:hAnsi="宋体"/>
          <w:color w:val="auto"/>
          <w:kern w:val="0"/>
          <w:sz w:val="24"/>
          <w:szCs w:val="24"/>
          <w:highlight w:val="none"/>
        </w:rPr>
      </w:pPr>
      <w:r>
        <w:rPr>
          <w:rFonts w:hint="eastAsia" w:hAnsi="宋体"/>
          <w:color w:val="auto"/>
          <w:kern w:val="0"/>
          <w:sz w:val="24"/>
          <w:szCs w:val="24"/>
          <w:highlight w:val="none"/>
        </w:rPr>
        <w:t>人民币（大写）</w:t>
      </w:r>
      <w:r>
        <w:rPr>
          <w:rFonts w:hint="eastAsia" w:hAnsi="宋体"/>
          <w:color w:val="auto"/>
          <w:kern w:val="0"/>
          <w:sz w:val="24"/>
          <w:szCs w:val="24"/>
          <w:highlight w:val="none"/>
          <w:u w:val="single"/>
        </w:rPr>
        <w:t xml:space="preserve">    </w:t>
      </w:r>
      <w:r>
        <w:rPr>
          <w:rFonts w:hint="eastAsia" w:hAnsi="宋体" w:cs="宋体"/>
          <w:color w:val="auto"/>
          <w:kern w:val="0"/>
          <w:sz w:val="24"/>
          <w:szCs w:val="24"/>
          <w:highlight w:val="none"/>
          <w:u w:val="single"/>
        </w:rPr>
        <w:t xml:space="preserve">        </w:t>
      </w:r>
      <w:r>
        <w:rPr>
          <w:rFonts w:hint="eastAsia" w:hAnsi="宋体"/>
          <w:color w:val="auto"/>
          <w:kern w:val="0"/>
          <w:sz w:val="24"/>
          <w:szCs w:val="24"/>
          <w:highlight w:val="none"/>
          <w:u w:val="single"/>
        </w:rPr>
        <w:t xml:space="preserve">  </w:t>
      </w:r>
      <w:r>
        <w:rPr>
          <w:rFonts w:hint="eastAsia" w:hAnsi="宋体"/>
          <w:color w:val="auto"/>
          <w:kern w:val="0"/>
          <w:sz w:val="24"/>
          <w:szCs w:val="24"/>
          <w:highlight w:val="none"/>
        </w:rPr>
        <w:t xml:space="preserve"> (¥</w:t>
      </w:r>
      <w:r>
        <w:rPr>
          <w:rFonts w:hint="eastAsia" w:hAnsi="宋体"/>
          <w:color w:val="auto"/>
          <w:kern w:val="0"/>
          <w:sz w:val="24"/>
          <w:szCs w:val="24"/>
          <w:highlight w:val="none"/>
          <w:u w:val="single"/>
        </w:rPr>
        <w:t xml:space="preserve">    </w:t>
      </w:r>
      <w:r>
        <w:rPr>
          <w:rFonts w:hint="eastAsia" w:hAnsi="宋体" w:cs="宋体"/>
          <w:color w:val="auto"/>
          <w:kern w:val="0"/>
          <w:sz w:val="24"/>
          <w:szCs w:val="24"/>
          <w:highlight w:val="none"/>
          <w:u w:val="single"/>
        </w:rPr>
        <w:t xml:space="preserve">     </w:t>
      </w:r>
      <w:r>
        <w:rPr>
          <w:rFonts w:hint="eastAsia" w:hAnsi="宋体"/>
          <w:color w:val="auto"/>
          <w:kern w:val="0"/>
          <w:sz w:val="24"/>
          <w:szCs w:val="24"/>
          <w:highlight w:val="none"/>
          <w:u w:val="single"/>
        </w:rPr>
        <w:t xml:space="preserve"> </w:t>
      </w:r>
      <w:r>
        <w:rPr>
          <w:rFonts w:hint="eastAsia" w:hAnsi="宋体"/>
          <w:color w:val="auto"/>
          <w:kern w:val="0"/>
          <w:sz w:val="24"/>
          <w:szCs w:val="24"/>
          <w:highlight w:val="none"/>
        </w:rPr>
        <w:t>元)；</w:t>
      </w:r>
    </w:p>
    <w:p>
      <w:pPr>
        <w:widowControl/>
        <w:spacing w:line="440" w:lineRule="exact"/>
        <w:ind w:firstLine="480" w:firstLineChars="200"/>
        <w:rPr>
          <w:rFonts w:hAnsi="宋体"/>
          <w:color w:val="auto"/>
          <w:kern w:val="0"/>
          <w:sz w:val="24"/>
          <w:szCs w:val="24"/>
          <w:highlight w:val="none"/>
        </w:rPr>
      </w:pPr>
      <w:r>
        <w:rPr>
          <w:rFonts w:hint="eastAsia" w:hAnsi="宋体"/>
          <w:color w:val="auto"/>
          <w:kern w:val="0"/>
          <w:sz w:val="24"/>
          <w:szCs w:val="24"/>
          <w:highlight w:val="none"/>
        </w:rPr>
        <w:t>（4）暂列金额：</w:t>
      </w:r>
    </w:p>
    <w:p>
      <w:pPr>
        <w:widowControl/>
        <w:spacing w:line="440" w:lineRule="exact"/>
        <w:ind w:firstLine="480" w:firstLineChars="200"/>
        <w:rPr>
          <w:rFonts w:hAnsi="宋体"/>
          <w:color w:val="auto"/>
          <w:kern w:val="0"/>
          <w:sz w:val="24"/>
          <w:szCs w:val="24"/>
          <w:highlight w:val="none"/>
        </w:rPr>
      </w:pPr>
      <w:r>
        <w:rPr>
          <w:rFonts w:hint="eastAsia" w:hAnsi="宋体"/>
          <w:color w:val="auto"/>
          <w:kern w:val="0"/>
          <w:sz w:val="24"/>
          <w:szCs w:val="24"/>
          <w:highlight w:val="none"/>
        </w:rPr>
        <w:t>人民币（大写）</w:t>
      </w:r>
      <w:r>
        <w:rPr>
          <w:rFonts w:hint="eastAsia" w:hAnsi="宋体"/>
          <w:color w:val="auto"/>
          <w:kern w:val="0"/>
          <w:sz w:val="24"/>
          <w:szCs w:val="24"/>
          <w:highlight w:val="none"/>
          <w:u w:val="single"/>
        </w:rPr>
        <w:t xml:space="preserve">    </w:t>
      </w:r>
      <w:r>
        <w:rPr>
          <w:rFonts w:hint="eastAsia" w:hAnsi="宋体" w:cs="宋体"/>
          <w:color w:val="auto"/>
          <w:kern w:val="0"/>
          <w:sz w:val="24"/>
          <w:szCs w:val="24"/>
          <w:highlight w:val="none"/>
          <w:u w:val="single"/>
        </w:rPr>
        <w:t xml:space="preserve">        </w:t>
      </w:r>
      <w:r>
        <w:rPr>
          <w:rFonts w:hint="eastAsia" w:hAnsi="宋体"/>
          <w:color w:val="auto"/>
          <w:kern w:val="0"/>
          <w:sz w:val="24"/>
          <w:szCs w:val="24"/>
          <w:highlight w:val="none"/>
          <w:u w:val="single"/>
        </w:rPr>
        <w:t xml:space="preserve">  </w:t>
      </w:r>
      <w:r>
        <w:rPr>
          <w:rFonts w:hint="eastAsia" w:hAnsi="宋体"/>
          <w:color w:val="auto"/>
          <w:kern w:val="0"/>
          <w:sz w:val="24"/>
          <w:szCs w:val="24"/>
          <w:highlight w:val="none"/>
        </w:rPr>
        <w:t xml:space="preserve"> (¥</w:t>
      </w:r>
      <w:r>
        <w:rPr>
          <w:rFonts w:hint="eastAsia" w:hAnsi="宋体"/>
          <w:color w:val="auto"/>
          <w:kern w:val="0"/>
          <w:sz w:val="24"/>
          <w:szCs w:val="24"/>
          <w:highlight w:val="none"/>
          <w:u w:val="single"/>
        </w:rPr>
        <w:t xml:space="preserve">    </w:t>
      </w:r>
      <w:r>
        <w:rPr>
          <w:rFonts w:hint="eastAsia" w:hAnsi="宋体" w:cs="宋体"/>
          <w:color w:val="auto"/>
          <w:kern w:val="0"/>
          <w:sz w:val="24"/>
          <w:szCs w:val="24"/>
          <w:highlight w:val="none"/>
          <w:u w:val="single"/>
        </w:rPr>
        <w:t xml:space="preserve">    </w:t>
      </w:r>
      <w:r>
        <w:rPr>
          <w:rFonts w:hint="eastAsia" w:hAnsi="宋体"/>
          <w:color w:val="auto"/>
          <w:kern w:val="0"/>
          <w:sz w:val="24"/>
          <w:szCs w:val="24"/>
          <w:highlight w:val="none"/>
          <w:u w:val="single"/>
        </w:rPr>
        <w:t xml:space="preserve">  </w:t>
      </w:r>
      <w:r>
        <w:rPr>
          <w:rFonts w:hint="eastAsia" w:hAnsi="宋体"/>
          <w:color w:val="auto"/>
          <w:kern w:val="0"/>
          <w:sz w:val="24"/>
          <w:szCs w:val="24"/>
          <w:highlight w:val="none"/>
        </w:rPr>
        <w:t>元)。</w:t>
      </w:r>
    </w:p>
    <w:p>
      <w:pPr>
        <w:widowControl/>
        <w:spacing w:line="400" w:lineRule="exact"/>
        <w:ind w:firstLine="480" w:firstLineChars="200"/>
        <w:rPr>
          <w:rFonts w:hint="eastAsia" w:hAnsi="宋体"/>
          <w:color w:val="auto"/>
          <w:kern w:val="0"/>
          <w:sz w:val="24"/>
          <w:highlight w:val="none"/>
        </w:rPr>
      </w:pPr>
      <w:r>
        <w:rPr>
          <w:rFonts w:hint="eastAsia" w:hAnsi="宋体"/>
          <w:color w:val="auto"/>
          <w:kern w:val="0"/>
          <w:sz w:val="24"/>
          <w:highlight w:val="none"/>
        </w:rPr>
        <w:t>2.计税法（采用以下   条）</w:t>
      </w:r>
    </w:p>
    <w:p>
      <w:pPr>
        <w:widowControl/>
        <w:spacing w:line="400" w:lineRule="exact"/>
        <w:ind w:firstLine="480" w:firstLineChars="200"/>
        <w:rPr>
          <w:rFonts w:hint="eastAsia" w:hAnsi="宋体"/>
          <w:color w:val="auto"/>
          <w:kern w:val="0"/>
          <w:sz w:val="24"/>
          <w:highlight w:val="none"/>
        </w:rPr>
      </w:pPr>
      <w:r>
        <w:rPr>
          <w:rFonts w:hint="eastAsia" w:hAnsi="宋体"/>
          <w:color w:val="auto"/>
          <w:kern w:val="0"/>
          <w:sz w:val="24"/>
          <w:highlight w:val="none"/>
          <w:lang w:eastAsia="zh-CN"/>
        </w:rPr>
        <w:t>☑</w:t>
      </w:r>
      <w:r>
        <w:rPr>
          <w:rFonts w:hint="eastAsia" w:hAnsi="宋体"/>
          <w:color w:val="auto"/>
          <w:kern w:val="0"/>
          <w:sz w:val="24"/>
          <w:highlight w:val="none"/>
        </w:rPr>
        <w:t>2.1本项目采用一般计税法。</w:t>
      </w:r>
    </w:p>
    <w:p>
      <w:pPr>
        <w:spacing w:line="400" w:lineRule="exact"/>
        <w:ind w:firstLine="480" w:firstLineChars="200"/>
        <w:rPr>
          <w:rFonts w:hAnsi="宋体"/>
          <w:color w:val="auto"/>
          <w:sz w:val="24"/>
          <w:highlight w:val="none"/>
        </w:rPr>
      </w:pPr>
      <w:r>
        <w:rPr>
          <w:rFonts w:hint="eastAsia" w:hAnsi="宋体"/>
          <w:color w:val="auto"/>
          <w:kern w:val="0"/>
          <w:sz w:val="24"/>
          <w:highlight w:val="none"/>
        </w:rPr>
        <w:t>3.合同价格形式：</w:t>
      </w:r>
      <w:r>
        <w:rPr>
          <w:rFonts w:hint="eastAsia" w:hAnsi="宋体" w:cs="宋体"/>
          <w:color w:val="auto"/>
          <w:sz w:val="24"/>
          <w:highlight w:val="none"/>
          <w:u w:val="single"/>
        </w:rPr>
        <w:t xml:space="preserve">    单价合同</w:t>
      </w:r>
      <w:r>
        <w:rPr>
          <w:rFonts w:hint="eastAsia" w:hAnsi="宋体"/>
          <w:color w:val="auto"/>
          <w:sz w:val="24"/>
          <w:highlight w:val="none"/>
          <w:u w:val="single"/>
        </w:rPr>
        <w:t xml:space="preserve">  </w:t>
      </w:r>
      <w:r>
        <w:rPr>
          <w:rFonts w:hAnsi="宋体"/>
          <w:color w:val="auto"/>
          <w:sz w:val="24"/>
          <w:highlight w:val="none"/>
          <w:u w:val="single"/>
        </w:rPr>
        <w:t xml:space="preserve">   </w:t>
      </w:r>
      <w:r>
        <w:rPr>
          <w:rFonts w:hint="eastAsia" w:hAnsi="宋体" w:cs="宋体"/>
          <w:color w:val="auto"/>
          <w:sz w:val="24"/>
          <w:highlight w:val="none"/>
          <w:u w:val="single"/>
        </w:rPr>
        <w:t></w:t>
      </w:r>
      <w:r>
        <w:rPr>
          <w:rFonts w:hAnsi="宋体"/>
          <w:color w:val="auto"/>
          <w:sz w:val="24"/>
          <w:highlight w:val="none"/>
        </w:rPr>
        <w:t>。</w:t>
      </w:r>
    </w:p>
    <w:p>
      <w:pPr>
        <w:spacing w:line="400" w:lineRule="exact"/>
        <w:ind w:firstLine="482" w:firstLineChars="200"/>
        <w:rPr>
          <w:rFonts w:hAnsi="宋体"/>
          <w:b/>
          <w:color w:val="auto"/>
          <w:sz w:val="24"/>
          <w:highlight w:val="none"/>
        </w:rPr>
      </w:pPr>
      <w:bookmarkStart w:id="399" w:name="_Toc351203485"/>
      <w:r>
        <w:rPr>
          <w:rFonts w:hAnsi="宋体"/>
          <w:b/>
          <w:color w:val="auto"/>
          <w:sz w:val="24"/>
          <w:highlight w:val="none"/>
        </w:rPr>
        <w:t>五、</w:t>
      </w:r>
      <w:bookmarkEnd w:id="399"/>
      <w:r>
        <w:rPr>
          <w:rFonts w:hAnsi="宋体"/>
          <w:b/>
          <w:color w:val="auto"/>
          <w:sz w:val="24"/>
          <w:highlight w:val="none"/>
        </w:rPr>
        <w:t>项目经理</w:t>
      </w:r>
    </w:p>
    <w:p>
      <w:pPr>
        <w:widowControl/>
        <w:spacing w:line="400" w:lineRule="exact"/>
        <w:ind w:firstLine="480" w:firstLineChars="200"/>
        <w:rPr>
          <w:rFonts w:hint="eastAsia" w:hAnsi="宋体"/>
          <w:color w:val="auto"/>
          <w:kern w:val="0"/>
          <w:sz w:val="24"/>
          <w:highlight w:val="none"/>
          <w:u w:val="single"/>
        </w:rPr>
      </w:pPr>
      <w:bookmarkStart w:id="400" w:name="_Toc351203486"/>
      <w:r>
        <w:rPr>
          <w:rFonts w:hint="eastAsia" w:hAnsi="宋体"/>
          <w:color w:val="auto"/>
          <w:kern w:val="0"/>
          <w:sz w:val="24"/>
          <w:highlight w:val="none"/>
        </w:rPr>
        <w:t>姓名</w:t>
      </w:r>
      <w:r>
        <w:rPr>
          <w:rFonts w:hAnsi="宋体"/>
          <w:color w:val="auto"/>
          <w:kern w:val="0"/>
          <w:sz w:val="24"/>
          <w:highlight w:val="none"/>
        </w:rPr>
        <w:t>______________</w:t>
      </w:r>
      <w:r>
        <w:rPr>
          <w:rFonts w:hint="eastAsia" w:hAnsi="宋体"/>
          <w:color w:val="auto"/>
          <w:kern w:val="0"/>
          <w:sz w:val="24"/>
          <w:highlight w:val="none"/>
        </w:rPr>
        <w:t>身份证号</w:t>
      </w:r>
      <w:r>
        <w:rPr>
          <w:rFonts w:hAnsi="宋体"/>
          <w:color w:val="auto"/>
          <w:kern w:val="0"/>
          <w:sz w:val="24"/>
          <w:highlight w:val="none"/>
        </w:rPr>
        <w:t>___________________</w:t>
      </w:r>
      <w:r>
        <w:rPr>
          <w:rFonts w:hint="eastAsia" w:hAnsi="宋体"/>
          <w:color w:val="auto"/>
          <w:kern w:val="0"/>
          <w:sz w:val="24"/>
          <w:highlight w:val="none"/>
        </w:rPr>
        <w:t>电话</w:t>
      </w:r>
      <w:r>
        <w:rPr>
          <w:rFonts w:hAnsi="宋体"/>
          <w:color w:val="auto"/>
          <w:kern w:val="0"/>
          <w:sz w:val="24"/>
          <w:highlight w:val="none"/>
        </w:rPr>
        <w:t>___________________</w:t>
      </w:r>
    </w:p>
    <w:p>
      <w:pPr>
        <w:widowControl/>
        <w:spacing w:line="400" w:lineRule="exact"/>
        <w:ind w:firstLine="480" w:firstLineChars="200"/>
        <w:rPr>
          <w:rFonts w:hAnsi="宋体"/>
          <w:color w:val="auto"/>
          <w:kern w:val="0"/>
          <w:sz w:val="24"/>
          <w:highlight w:val="none"/>
        </w:rPr>
      </w:pPr>
      <w:r>
        <w:rPr>
          <w:rFonts w:hint="eastAsia" w:hAnsi="宋体"/>
          <w:color w:val="auto"/>
          <w:kern w:val="0"/>
          <w:sz w:val="24"/>
          <w:highlight w:val="none"/>
        </w:rPr>
        <w:t>注册执业资格</w:t>
      </w:r>
      <w:r>
        <w:rPr>
          <w:rFonts w:hAnsi="宋体"/>
          <w:color w:val="auto"/>
          <w:kern w:val="0"/>
          <w:sz w:val="24"/>
          <w:highlight w:val="none"/>
        </w:rPr>
        <w:t>______________________</w:t>
      </w:r>
    </w:p>
    <w:p>
      <w:pPr>
        <w:widowControl/>
        <w:spacing w:line="400" w:lineRule="exact"/>
        <w:ind w:firstLine="480" w:firstLineChars="200"/>
        <w:rPr>
          <w:rFonts w:hAnsi="宋体"/>
          <w:color w:val="auto"/>
          <w:kern w:val="0"/>
          <w:sz w:val="24"/>
          <w:highlight w:val="none"/>
        </w:rPr>
      </w:pPr>
      <w:r>
        <w:rPr>
          <w:rFonts w:hint="eastAsia" w:hAnsi="宋体"/>
          <w:color w:val="auto"/>
          <w:kern w:val="0"/>
          <w:sz w:val="24"/>
          <w:highlight w:val="none"/>
        </w:rPr>
        <w:t>注册执业证号</w:t>
      </w:r>
      <w:r>
        <w:rPr>
          <w:rFonts w:hAnsi="宋体"/>
          <w:color w:val="auto"/>
          <w:kern w:val="0"/>
          <w:sz w:val="24"/>
          <w:highlight w:val="none"/>
        </w:rPr>
        <w:t>_______________________</w:t>
      </w:r>
    </w:p>
    <w:p>
      <w:pPr>
        <w:widowControl/>
        <w:spacing w:line="400" w:lineRule="exact"/>
        <w:ind w:firstLine="480" w:firstLineChars="200"/>
        <w:rPr>
          <w:rFonts w:hAnsi="宋体"/>
          <w:color w:val="auto"/>
          <w:kern w:val="0"/>
          <w:sz w:val="24"/>
          <w:highlight w:val="none"/>
        </w:rPr>
      </w:pPr>
      <w:r>
        <w:rPr>
          <w:rFonts w:hAnsi="宋体"/>
          <w:color w:val="auto"/>
          <w:kern w:val="0"/>
          <w:sz w:val="24"/>
          <w:highlight w:val="none"/>
        </w:rPr>
        <w:t>B</w:t>
      </w:r>
      <w:r>
        <w:rPr>
          <w:rFonts w:hint="eastAsia" w:hAnsi="宋体"/>
          <w:color w:val="auto"/>
          <w:kern w:val="0"/>
          <w:sz w:val="24"/>
          <w:highlight w:val="none"/>
        </w:rPr>
        <w:t>证执业证号</w:t>
      </w:r>
      <w:r>
        <w:rPr>
          <w:rFonts w:hAnsi="宋体"/>
          <w:color w:val="auto"/>
          <w:kern w:val="0"/>
          <w:sz w:val="24"/>
          <w:highlight w:val="none"/>
        </w:rPr>
        <w:t>_______________________</w:t>
      </w:r>
    </w:p>
    <w:p>
      <w:pPr>
        <w:spacing w:line="400" w:lineRule="exact"/>
        <w:ind w:firstLine="482" w:firstLineChars="200"/>
        <w:rPr>
          <w:rFonts w:hAnsi="宋体"/>
          <w:b/>
          <w:bCs/>
          <w:color w:val="auto"/>
          <w:sz w:val="24"/>
          <w:highlight w:val="none"/>
        </w:rPr>
      </w:pPr>
      <w:r>
        <w:rPr>
          <w:rFonts w:hAnsi="宋体"/>
          <w:b/>
          <w:color w:val="auto"/>
          <w:sz w:val="24"/>
          <w:highlight w:val="none"/>
        </w:rPr>
        <w:t>六、合同文件构成</w:t>
      </w:r>
      <w:bookmarkEnd w:id="400"/>
    </w:p>
    <w:p>
      <w:pPr>
        <w:spacing w:line="400" w:lineRule="exact"/>
        <w:ind w:firstLine="480" w:firstLineChars="200"/>
        <w:rPr>
          <w:rFonts w:hAnsi="宋体"/>
          <w:bCs/>
          <w:color w:val="auto"/>
          <w:sz w:val="24"/>
          <w:highlight w:val="none"/>
        </w:rPr>
      </w:pPr>
      <w:r>
        <w:rPr>
          <w:rFonts w:hAnsi="宋体"/>
          <w:bCs/>
          <w:color w:val="auto"/>
          <w:sz w:val="24"/>
          <w:highlight w:val="none"/>
        </w:rPr>
        <w:t>本协议书与下列文件一起构成合同文件：</w:t>
      </w:r>
    </w:p>
    <w:p>
      <w:pPr>
        <w:autoSpaceDE w:val="0"/>
        <w:autoSpaceDN w:val="0"/>
        <w:adjustRightInd w:val="0"/>
        <w:spacing w:line="400" w:lineRule="exact"/>
        <w:ind w:firstLine="480" w:firstLineChars="200"/>
        <w:rPr>
          <w:rFonts w:hAnsi="宋体"/>
          <w:color w:val="auto"/>
          <w:sz w:val="24"/>
          <w:highlight w:val="none"/>
        </w:rPr>
      </w:pPr>
      <w:r>
        <w:rPr>
          <w:rFonts w:hAnsi="宋体"/>
          <w:color w:val="auto"/>
          <w:sz w:val="24"/>
          <w:highlight w:val="none"/>
        </w:rPr>
        <w:t>（1）中标通知书（如果有）；</w:t>
      </w:r>
    </w:p>
    <w:p>
      <w:pPr>
        <w:autoSpaceDE w:val="0"/>
        <w:autoSpaceDN w:val="0"/>
        <w:adjustRightInd w:val="0"/>
        <w:spacing w:line="400" w:lineRule="exact"/>
        <w:ind w:firstLine="480" w:firstLineChars="200"/>
        <w:rPr>
          <w:rFonts w:hAnsi="宋体"/>
          <w:color w:val="auto"/>
          <w:sz w:val="24"/>
          <w:highlight w:val="none"/>
        </w:rPr>
      </w:pPr>
      <w:r>
        <w:rPr>
          <w:rFonts w:hAnsi="宋体"/>
          <w:color w:val="auto"/>
          <w:sz w:val="24"/>
          <w:highlight w:val="none"/>
        </w:rPr>
        <w:t xml:space="preserve">（2）投标函及其附录（如果有）； </w:t>
      </w:r>
    </w:p>
    <w:p>
      <w:pPr>
        <w:autoSpaceDE w:val="0"/>
        <w:autoSpaceDN w:val="0"/>
        <w:adjustRightInd w:val="0"/>
        <w:spacing w:line="400" w:lineRule="exact"/>
        <w:ind w:firstLine="480" w:firstLineChars="200"/>
        <w:rPr>
          <w:rFonts w:hAnsi="宋体"/>
          <w:color w:val="auto"/>
          <w:sz w:val="24"/>
          <w:highlight w:val="none"/>
        </w:rPr>
      </w:pPr>
      <w:r>
        <w:rPr>
          <w:rFonts w:hAnsi="宋体"/>
          <w:color w:val="auto"/>
          <w:sz w:val="24"/>
          <w:highlight w:val="none"/>
        </w:rPr>
        <w:t>（3）专用合同条款及其附件；</w:t>
      </w:r>
    </w:p>
    <w:p>
      <w:pPr>
        <w:autoSpaceDE w:val="0"/>
        <w:autoSpaceDN w:val="0"/>
        <w:adjustRightInd w:val="0"/>
        <w:spacing w:line="400" w:lineRule="exact"/>
        <w:ind w:firstLine="480" w:firstLineChars="200"/>
        <w:rPr>
          <w:rFonts w:hAnsi="宋体"/>
          <w:color w:val="auto"/>
          <w:sz w:val="24"/>
          <w:highlight w:val="none"/>
        </w:rPr>
      </w:pPr>
      <w:r>
        <w:rPr>
          <w:rFonts w:hAnsi="宋体"/>
          <w:color w:val="auto"/>
          <w:sz w:val="24"/>
          <w:highlight w:val="none"/>
        </w:rPr>
        <w:t>（4）通用合同条款；</w:t>
      </w:r>
    </w:p>
    <w:p>
      <w:pPr>
        <w:autoSpaceDE w:val="0"/>
        <w:autoSpaceDN w:val="0"/>
        <w:adjustRightInd w:val="0"/>
        <w:spacing w:line="400" w:lineRule="exact"/>
        <w:ind w:firstLine="480" w:firstLineChars="200"/>
        <w:rPr>
          <w:rFonts w:hAnsi="宋体"/>
          <w:color w:val="auto"/>
          <w:sz w:val="24"/>
          <w:highlight w:val="none"/>
        </w:rPr>
      </w:pPr>
      <w:r>
        <w:rPr>
          <w:rFonts w:hAnsi="宋体"/>
          <w:color w:val="auto"/>
          <w:sz w:val="24"/>
          <w:highlight w:val="none"/>
        </w:rPr>
        <w:t>（5）技术标准和要求；</w:t>
      </w:r>
    </w:p>
    <w:p>
      <w:pPr>
        <w:autoSpaceDE w:val="0"/>
        <w:autoSpaceDN w:val="0"/>
        <w:adjustRightInd w:val="0"/>
        <w:spacing w:line="400" w:lineRule="exact"/>
        <w:ind w:firstLine="480" w:firstLineChars="200"/>
        <w:rPr>
          <w:rFonts w:hAnsi="宋体"/>
          <w:color w:val="auto"/>
          <w:sz w:val="24"/>
          <w:highlight w:val="none"/>
        </w:rPr>
      </w:pPr>
      <w:r>
        <w:rPr>
          <w:rFonts w:hAnsi="宋体"/>
          <w:color w:val="auto"/>
          <w:sz w:val="24"/>
          <w:highlight w:val="none"/>
        </w:rPr>
        <w:t>（6）图纸；</w:t>
      </w:r>
    </w:p>
    <w:p>
      <w:pPr>
        <w:autoSpaceDE w:val="0"/>
        <w:autoSpaceDN w:val="0"/>
        <w:adjustRightInd w:val="0"/>
        <w:spacing w:line="400" w:lineRule="exact"/>
        <w:ind w:firstLine="480" w:firstLineChars="200"/>
        <w:rPr>
          <w:rFonts w:hAnsi="宋体"/>
          <w:color w:val="auto"/>
          <w:sz w:val="24"/>
          <w:highlight w:val="none"/>
        </w:rPr>
      </w:pPr>
      <w:r>
        <w:rPr>
          <w:rFonts w:hAnsi="宋体"/>
          <w:color w:val="auto"/>
          <w:sz w:val="24"/>
          <w:highlight w:val="none"/>
        </w:rPr>
        <w:t>（7）已标价工程量清单或预算书；</w:t>
      </w:r>
    </w:p>
    <w:p>
      <w:pPr>
        <w:autoSpaceDE w:val="0"/>
        <w:autoSpaceDN w:val="0"/>
        <w:adjustRightInd w:val="0"/>
        <w:spacing w:line="400" w:lineRule="exact"/>
        <w:ind w:firstLine="480" w:firstLineChars="200"/>
        <w:rPr>
          <w:rFonts w:hAnsi="宋体"/>
          <w:color w:val="auto"/>
          <w:sz w:val="24"/>
          <w:highlight w:val="none"/>
        </w:rPr>
      </w:pPr>
      <w:r>
        <w:rPr>
          <w:rFonts w:hAnsi="宋体"/>
          <w:color w:val="auto"/>
          <w:sz w:val="24"/>
          <w:highlight w:val="none"/>
        </w:rPr>
        <w:t>（8）其他合同文件。</w:t>
      </w:r>
    </w:p>
    <w:p>
      <w:pPr>
        <w:autoSpaceDE w:val="0"/>
        <w:autoSpaceDN w:val="0"/>
        <w:adjustRightInd w:val="0"/>
        <w:spacing w:line="400" w:lineRule="exact"/>
        <w:ind w:firstLine="480" w:firstLineChars="200"/>
        <w:rPr>
          <w:rFonts w:hAnsi="宋体"/>
          <w:color w:val="auto"/>
          <w:sz w:val="24"/>
          <w:highlight w:val="none"/>
        </w:rPr>
      </w:pPr>
      <w:r>
        <w:rPr>
          <w:rFonts w:hAnsi="宋体"/>
          <w:color w:val="auto"/>
          <w:sz w:val="24"/>
          <w:highlight w:val="none"/>
        </w:rPr>
        <w:t>在合同订立及履行过程中形成的与合同有关的文件均构成合同文件组成部分。</w:t>
      </w:r>
    </w:p>
    <w:p>
      <w:pPr>
        <w:autoSpaceDE w:val="0"/>
        <w:autoSpaceDN w:val="0"/>
        <w:adjustRightInd w:val="0"/>
        <w:spacing w:line="400" w:lineRule="exact"/>
        <w:ind w:firstLine="464" w:firstLineChars="200"/>
        <w:rPr>
          <w:rFonts w:hint="eastAsia" w:hAnsi="宋体"/>
          <w:color w:val="auto"/>
          <w:spacing w:val="-4"/>
          <w:sz w:val="24"/>
          <w:highlight w:val="none"/>
        </w:rPr>
      </w:pPr>
      <w:r>
        <w:rPr>
          <w:rFonts w:hAnsi="宋体"/>
          <w:color w:val="auto"/>
          <w:spacing w:val="-4"/>
          <w:sz w:val="24"/>
          <w:highlight w:val="none"/>
        </w:rPr>
        <w:t>上述各项合同文件包括合同当事人就该项合同文件所作出的补充和修改，属于同一类内容的文件，应以最新签署的为准。</w:t>
      </w:r>
      <w:r>
        <w:rPr>
          <w:rFonts w:hint="eastAsia" w:hAnsi="宋体"/>
          <w:color w:val="auto"/>
          <w:spacing w:val="-4"/>
          <w:sz w:val="24"/>
          <w:highlight w:val="none"/>
        </w:rPr>
        <w:t>专用合同条款及其附件须经合同当事人签字或盖章。</w:t>
      </w:r>
    </w:p>
    <w:p>
      <w:pPr>
        <w:spacing w:line="400" w:lineRule="exact"/>
        <w:ind w:firstLine="482" w:firstLineChars="200"/>
        <w:rPr>
          <w:rFonts w:hAnsi="宋体"/>
          <w:b/>
          <w:bCs/>
          <w:color w:val="auto"/>
          <w:sz w:val="24"/>
          <w:highlight w:val="none"/>
        </w:rPr>
      </w:pPr>
      <w:bookmarkStart w:id="401" w:name="_Toc351203487"/>
      <w:r>
        <w:rPr>
          <w:rFonts w:hAnsi="宋体"/>
          <w:b/>
          <w:color w:val="auto"/>
          <w:sz w:val="24"/>
          <w:highlight w:val="none"/>
        </w:rPr>
        <w:t>七、承诺</w:t>
      </w:r>
      <w:bookmarkEnd w:id="401"/>
    </w:p>
    <w:p>
      <w:pPr>
        <w:spacing w:line="400" w:lineRule="exact"/>
        <w:ind w:firstLine="480" w:firstLineChars="200"/>
        <w:rPr>
          <w:rFonts w:hAnsi="宋体"/>
          <w:bCs/>
          <w:color w:val="auto"/>
          <w:sz w:val="24"/>
          <w:highlight w:val="none"/>
        </w:rPr>
      </w:pPr>
      <w:r>
        <w:rPr>
          <w:rFonts w:hAnsi="宋体"/>
          <w:bCs/>
          <w:color w:val="auto"/>
          <w:sz w:val="24"/>
          <w:highlight w:val="none"/>
        </w:rPr>
        <w:t>1.发包人承诺按照法律规定履行项目审批手续、筹集工程建设资金并按照合同约定的期限和方式支付合同价款。</w:t>
      </w:r>
    </w:p>
    <w:p>
      <w:pPr>
        <w:spacing w:line="400" w:lineRule="exact"/>
        <w:ind w:firstLine="480" w:firstLineChars="200"/>
        <w:rPr>
          <w:rFonts w:hAnsi="宋体"/>
          <w:bCs/>
          <w:color w:val="auto"/>
          <w:sz w:val="24"/>
          <w:highlight w:val="none"/>
        </w:rPr>
      </w:pPr>
      <w:r>
        <w:rPr>
          <w:rFonts w:hAnsi="宋体"/>
          <w:bCs/>
          <w:color w:val="auto"/>
          <w:sz w:val="24"/>
          <w:highlight w:val="none"/>
        </w:rPr>
        <w:t>2.承包人承诺按照法律规定及合同约定组织完成工程施工，确保工程质量和安全，不进行转包及违法分包，并在缺陷责任期及保修期内承担相应的工程维修责任。</w:t>
      </w:r>
    </w:p>
    <w:p>
      <w:pPr>
        <w:spacing w:line="400" w:lineRule="exact"/>
        <w:ind w:firstLine="480" w:firstLineChars="200"/>
        <w:rPr>
          <w:rFonts w:hAnsi="宋体"/>
          <w:bCs/>
          <w:color w:val="auto"/>
          <w:sz w:val="24"/>
          <w:highlight w:val="none"/>
        </w:rPr>
      </w:pPr>
      <w:r>
        <w:rPr>
          <w:rFonts w:hAnsi="宋体"/>
          <w:bCs/>
          <w:color w:val="auto"/>
          <w:sz w:val="24"/>
          <w:highlight w:val="none"/>
        </w:rPr>
        <w:t>3.发包人和承包人通过招投标形式签订合同的，双方理解并</w:t>
      </w:r>
      <w:r>
        <w:rPr>
          <w:rFonts w:hint="eastAsia" w:hAnsi="宋体"/>
          <w:bCs/>
          <w:color w:val="auto"/>
          <w:sz w:val="24"/>
          <w:highlight w:val="none"/>
        </w:rPr>
        <w:t>承诺</w:t>
      </w:r>
      <w:r>
        <w:rPr>
          <w:rFonts w:hAnsi="宋体"/>
          <w:bCs/>
          <w:color w:val="auto"/>
          <w:sz w:val="24"/>
          <w:highlight w:val="none"/>
        </w:rPr>
        <w:t>不再就同一工程另行签订与合同实质性内容相背离的协议。</w:t>
      </w:r>
    </w:p>
    <w:p>
      <w:pPr>
        <w:spacing w:line="400" w:lineRule="exact"/>
        <w:ind w:firstLine="482" w:firstLineChars="200"/>
        <w:rPr>
          <w:rFonts w:hAnsi="宋体"/>
          <w:bCs/>
          <w:color w:val="auto"/>
          <w:sz w:val="24"/>
          <w:highlight w:val="none"/>
        </w:rPr>
      </w:pPr>
      <w:bookmarkStart w:id="402" w:name="_Toc351203488"/>
      <w:r>
        <w:rPr>
          <w:rFonts w:hAnsi="宋体"/>
          <w:b/>
          <w:color w:val="auto"/>
          <w:sz w:val="24"/>
          <w:highlight w:val="none"/>
        </w:rPr>
        <w:t>八、词语含义</w:t>
      </w:r>
      <w:bookmarkEnd w:id="402"/>
    </w:p>
    <w:p>
      <w:pPr>
        <w:spacing w:line="400" w:lineRule="exact"/>
        <w:ind w:firstLine="480" w:firstLineChars="200"/>
        <w:rPr>
          <w:rFonts w:hAnsi="宋体"/>
          <w:bCs/>
          <w:color w:val="auto"/>
          <w:sz w:val="24"/>
          <w:highlight w:val="none"/>
        </w:rPr>
      </w:pPr>
      <w:r>
        <w:rPr>
          <w:rFonts w:hAnsi="宋体"/>
          <w:bCs/>
          <w:color w:val="auto"/>
          <w:sz w:val="24"/>
          <w:highlight w:val="none"/>
        </w:rPr>
        <w:t>本协议书中词语含义与第二部分通用合同条款中赋予的含义相同。</w:t>
      </w:r>
    </w:p>
    <w:p>
      <w:pPr>
        <w:spacing w:line="400" w:lineRule="exact"/>
        <w:ind w:firstLine="482" w:firstLineChars="200"/>
        <w:rPr>
          <w:rFonts w:hAnsi="宋体"/>
          <w:b/>
          <w:bCs/>
          <w:color w:val="auto"/>
          <w:sz w:val="24"/>
          <w:highlight w:val="none"/>
        </w:rPr>
      </w:pPr>
      <w:bookmarkStart w:id="403" w:name="_Toc351203489"/>
      <w:r>
        <w:rPr>
          <w:rFonts w:hAnsi="宋体"/>
          <w:b/>
          <w:color w:val="auto"/>
          <w:sz w:val="24"/>
          <w:highlight w:val="none"/>
        </w:rPr>
        <w:t>九、签订时间</w:t>
      </w:r>
      <w:bookmarkEnd w:id="403"/>
    </w:p>
    <w:p>
      <w:pPr>
        <w:spacing w:line="400" w:lineRule="exact"/>
        <w:ind w:firstLine="480" w:firstLineChars="200"/>
        <w:rPr>
          <w:rFonts w:hAnsi="宋体"/>
          <w:bCs/>
          <w:color w:val="auto"/>
          <w:sz w:val="24"/>
          <w:highlight w:val="none"/>
        </w:rPr>
      </w:pPr>
      <w:r>
        <w:rPr>
          <w:rFonts w:hAnsi="宋体"/>
          <w:bCs/>
          <w:color w:val="auto"/>
          <w:sz w:val="24"/>
          <w:highlight w:val="none"/>
        </w:rPr>
        <w:t>本合同于</w:t>
      </w:r>
      <w:r>
        <w:rPr>
          <w:rFonts w:hAnsi="宋体"/>
          <w:bCs/>
          <w:color w:val="auto"/>
          <w:sz w:val="24"/>
          <w:highlight w:val="none"/>
          <w:u w:val="single"/>
        </w:rPr>
        <w:t xml:space="preserve">         </w:t>
      </w:r>
      <w:r>
        <w:rPr>
          <w:rFonts w:hAnsi="宋体"/>
          <w:bCs/>
          <w:color w:val="auto"/>
          <w:sz w:val="24"/>
          <w:highlight w:val="none"/>
        </w:rPr>
        <w:t>年</w:t>
      </w:r>
      <w:r>
        <w:rPr>
          <w:rFonts w:hAnsi="宋体"/>
          <w:bCs/>
          <w:color w:val="auto"/>
          <w:sz w:val="24"/>
          <w:highlight w:val="none"/>
          <w:u w:val="single"/>
        </w:rPr>
        <w:t xml:space="preserve">    </w:t>
      </w:r>
      <w:r>
        <w:rPr>
          <w:rFonts w:hAnsi="宋体"/>
          <w:bCs/>
          <w:color w:val="auto"/>
          <w:sz w:val="24"/>
          <w:highlight w:val="none"/>
        </w:rPr>
        <w:t>月</w:t>
      </w:r>
      <w:r>
        <w:rPr>
          <w:rFonts w:hAnsi="宋体"/>
          <w:bCs/>
          <w:color w:val="auto"/>
          <w:sz w:val="24"/>
          <w:highlight w:val="none"/>
          <w:u w:val="single"/>
        </w:rPr>
        <w:t xml:space="preserve">    </w:t>
      </w:r>
      <w:r>
        <w:rPr>
          <w:rFonts w:hAnsi="宋体"/>
          <w:bCs/>
          <w:color w:val="auto"/>
          <w:sz w:val="24"/>
          <w:highlight w:val="none"/>
        </w:rPr>
        <w:t>日签订。</w:t>
      </w:r>
    </w:p>
    <w:p>
      <w:pPr>
        <w:spacing w:line="400" w:lineRule="exact"/>
        <w:ind w:firstLine="482" w:firstLineChars="200"/>
        <w:rPr>
          <w:rFonts w:hAnsi="宋体"/>
          <w:b/>
          <w:bCs/>
          <w:color w:val="auto"/>
          <w:sz w:val="24"/>
          <w:highlight w:val="none"/>
        </w:rPr>
      </w:pPr>
      <w:bookmarkStart w:id="404" w:name="_Toc351203490"/>
      <w:r>
        <w:rPr>
          <w:rFonts w:hAnsi="宋体"/>
          <w:b/>
          <w:color w:val="auto"/>
          <w:sz w:val="24"/>
          <w:highlight w:val="none"/>
        </w:rPr>
        <w:t>十、签订地点</w:t>
      </w:r>
      <w:bookmarkEnd w:id="404"/>
    </w:p>
    <w:p>
      <w:pPr>
        <w:spacing w:line="400" w:lineRule="exact"/>
        <w:ind w:firstLine="480" w:firstLineChars="200"/>
        <w:rPr>
          <w:rFonts w:hAnsi="宋体"/>
          <w:bCs/>
          <w:color w:val="auto"/>
          <w:sz w:val="24"/>
          <w:highlight w:val="none"/>
        </w:rPr>
      </w:pPr>
      <w:r>
        <w:rPr>
          <w:rFonts w:hAnsi="宋体"/>
          <w:bCs/>
          <w:color w:val="auto"/>
          <w:sz w:val="24"/>
          <w:highlight w:val="none"/>
        </w:rPr>
        <w:t>本合同在</w:t>
      </w:r>
      <w:r>
        <w:rPr>
          <w:rFonts w:hAnsi="宋体"/>
          <w:bCs/>
          <w:color w:val="auto"/>
          <w:sz w:val="24"/>
          <w:highlight w:val="none"/>
          <w:u w:val="single"/>
        </w:rPr>
        <w:t xml:space="preserve">                                    </w:t>
      </w:r>
      <w:r>
        <w:rPr>
          <w:rFonts w:hAnsi="宋体"/>
          <w:bCs/>
          <w:color w:val="auto"/>
          <w:sz w:val="24"/>
          <w:highlight w:val="none"/>
        </w:rPr>
        <w:t>签订。</w:t>
      </w:r>
    </w:p>
    <w:p>
      <w:pPr>
        <w:spacing w:line="400" w:lineRule="exact"/>
        <w:ind w:firstLine="482" w:firstLineChars="200"/>
        <w:rPr>
          <w:rFonts w:hAnsi="宋体"/>
          <w:b/>
          <w:bCs/>
          <w:color w:val="auto"/>
          <w:sz w:val="24"/>
          <w:highlight w:val="none"/>
        </w:rPr>
      </w:pPr>
      <w:bookmarkStart w:id="405" w:name="_Toc351203491"/>
      <w:r>
        <w:rPr>
          <w:rFonts w:hAnsi="宋体"/>
          <w:b/>
          <w:color w:val="auto"/>
          <w:sz w:val="24"/>
          <w:highlight w:val="none"/>
        </w:rPr>
        <w:t>十一、补充协议</w:t>
      </w:r>
      <w:bookmarkEnd w:id="405"/>
    </w:p>
    <w:p>
      <w:pPr>
        <w:spacing w:line="400" w:lineRule="exact"/>
        <w:ind w:firstLine="480" w:firstLineChars="200"/>
        <w:rPr>
          <w:rFonts w:hAnsi="宋体"/>
          <w:b/>
          <w:bCs/>
          <w:color w:val="auto"/>
          <w:sz w:val="24"/>
          <w:highlight w:val="none"/>
        </w:rPr>
      </w:pPr>
      <w:r>
        <w:rPr>
          <w:rFonts w:hAnsi="宋体"/>
          <w:bCs/>
          <w:color w:val="auto"/>
          <w:sz w:val="24"/>
          <w:highlight w:val="none"/>
        </w:rPr>
        <w:t>合同未尽事宜，合同当事人另行签订补充协议</w:t>
      </w:r>
      <w:r>
        <w:rPr>
          <w:rFonts w:hint="eastAsia" w:hAnsi="宋体"/>
          <w:bCs/>
          <w:color w:val="auto"/>
          <w:sz w:val="24"/>
          <w:highlight w:val="none"/>
        </w:rPr>
        <w:t>，</w:t>
      </w:r>
      <w:r>
        <w:rPr>
          <w:rFonts w:hAnsi="宋体"/>
          <w:bCs/>
          <w:color w:val="auto"/>
          <w:sz w:val="24"/>
          <w:highlight w:val="none"/>
        </w:rPr>
        <w:t>补充协议是合同的组成部分。</w:t>
      </w:r>
    </w:p>
    <w:p>
      <w:pPr>
        <w:spacing w:line="400" w:lineRule="exact"/>
        <w:ind w:firstLine="482" w:firstLineChars="200"/>
        <w:rPr>
          <w:rFonts w:hAnsi="宋体"/>
          <w:b/>
          <w:bCs/>
          <w:color w:val="auto"/>
          <w:sz w:val="24"/>
          <w:highlight w:val="none"/>
        </w:rPr>
      </w:pPr>
      <w:bookmarkStart w:id="406" w:name="_Toc351203492"/>
      <w:r>
        <w:rPr>
          <w:rFonts w:hAnsi="宋体"/>
          <w:b/>
          <w:color w:val="auto"/>
          <w:sz w:val="24"/>
          <w:highlight w:val="none"/>
        </w:rPr>
        <w:t>十二、合同生效</w:t>
      </w:r>
      <w:bookmarkEnd w:id="406"/>
    </w:p>
    <w:p>
      <w:pPr>
        <w:spacing w:line="400" w:lineRule="exact"/>
        <w:ind w:firstLine="480" w:firstLineChars="200"/>
        <w:rPr>
          <w:rFonts w:hAnsi="宋体"/>
          <w:bCs/>
          <w:color w:val="auto"/>
          <w:sz w:val="24"/>
          <w:highlight w:val="none"/>
        </w:rPr>
      </w:pPr>
      <w:r>
        <w:rPr>
          <w:rFonts w:hAnsi="宋体"/>
          <w:bCs/>
          <w:color w:val="auto"/>
          <w:sz w:val="24"/>
          <w:highlight w:val="none"/>
        </w:rPr>
        <w:t>本合同自</w:t>
      </w:r>
      <w:r>
        <w:rPr>
          <w:rFonts w:hAnsi="宋体"/>
          <w:bCs/>
          <w:color w:val="auto"/>
          <w:sz w:val="24"/>
          <w:highlight w:val="none"/>
          <w:u w:val="single"/>
        </w:rPr>
        <w:t xml:space="preserve">                                   </w:t>
      </w:r>
      <w:r>
        <w:rPr>
          <w:rFonts w:hAnsi="宋体"/>
          <w:bCs/>
          <w:color w:val="auto"/>
          <w:sz w:val="24"/>
          <w:highlight w:val="none"/>
        </w:rPr>
        <w:t>生效。</w:t>
      </w:r>
    </w:p>
    <w:p>
      <w:pPr>
        <w:spacing w:line="400" w:lineRule="exact"/>
        <w:ind w:firstLine="482" w:firstLineChars="200"/>
        <w:rPr>
          <w:rFonts w:hAnsi="宋体"/>
          <w:b/>
          <w:bCs/>
          <w:color w:val="auto"/>
          <w:sz w:val="24"/>
          <w:highlight w:val="none"/>
        </w:rPr>
      </w:pPr>
      <w:bookmarkStart w:id="407" w:name="_Toc351203493"/>
      <w:r>
        <w:rPr>
          <w:rFonts w:hAnsi="宋体"/>
          <w:b/>
          <w:color w:val="auto"/>
          <w:sz w:val="24"/>
          <w:highlight w:val="none"/>
        </w:rPr>
        <w:t>十三、合同份数</w:t>
      </w:r>
      <w:bookmarkEnd w:id="407"/>
    </w:p>
    <w:p>
      <w:pPr>
        <w:spacing w:line="400" w:lineRule="exact"/>
        <w:ind w:firstLine="480" w:firstLineChars="200"/>
        <w:rPr>
          <w:rFonts w:hAnsi="宋体"/>
          <w:bCs/>
          <w:color w:val="auto"/>
          <w:sz w:val="24"/>
          <w:highlight w:val="none"/>
        </w:rPr>
      </w:pPr>
      <w:r>
        <w:rPr>
          <w:rFonts w:hAnsi="宋体"/>
          <w:bCs/>
          <w:color w:val="auto"/>
          <w:sz w:val="24"/>
          <w:highlight w:val="none"/>
        </w:rPr>
        <w:t>本合同一式</w:t>
      </w:r>
      <w:r>
        <w:rPr>
          <w:rFonts w:hAnsi="宋体"/>
          <w:bCs/>
          <w:color w:val="auto"/>
          <w:sz w:val="24"/>
          <w:highlight w:val="none"/>
          <w:u w:val="single"/>
        </w:rPr>
        <w:t xml:space="preserve"> </w:t>
      </w:r>
      <w:r>
        <w:rPr>
          <w:rFonts w:hint="eastAsia" w:hAnsi="宋体"/>
          <w:bCs/>
          <w:color w:val="auto"/>
          <w:sz w:val="24"/>
          <w:highlight w:val="none"/>
          <w:u w:val="single"/>
        </w:rPr>
        <w:t>8</w:t>
      </w:r>
      <w:r>
        <w:rPr>
          <w:rFonts w:hAnsi="宋体"/>
          <w:bCs/>
          <w:color w:val="auto"/>
          <w:sz w:val="24"/>
          <w:highlight w:val="none"/>
          <w:u w:val="single"/>
        </w:rPr>
        <w:t xml:space="preserve"> </w:t>
      </w:r>
      <w:r>
        <w:rPr>
          <w:rFonts w:hAnsi="宋体"/>
          <w:bCs/>
          <w:color w:val="auto"/>
          <w:sz w:val="24"/>
          <w:highlight w:val="none"/>
        </w:rPr>
        <w:t>份，均具有同等法律效力，发包人执</w:t>
      </w:r>
      <w:r>
        <w:rPr>
          <w:rFonts w:hAnsi="宋体"/>
          <w:bCs/>
          <w:color w:val="auto"/>
          <w:sz w:val="24"/>
          <w:highlight w:val="none"/>
          <w:u w:val="single"/>
        </w:rPr>
        <w:t xml:space="preserve"> </w:t>
      </w:r>
      <w:r>
        <w:rPr>
          <w:rFonts w:hint="eastAsia" w:hAnsi="宋体"/>
          <w:bCs/>
          <w:color w:val="auto"/>
          <w:sz w:val="24"/>
          <w:highlight w:val="none"/>
          <w:u w:val="single"/>
        </w:rPr>
        <w:t>6</w:t>
      </w:r>
      <w:r>
        <w:rPr>
          <w:rFonts w:hAnsi="宋体"/>
          <w:bCs/>
          <w:color w:val="auto"/>
          <w:sz w:val="24"/>
          <w:highlight w:val="none"/>
          <w:u w:val="single"/>
        </w:rPr>
        <w:t xml:space="preserve"> </w:t>
      </w:r>
      <w:r>
        <w:rPr>
          <w:rFonts w:hAnsi="宋体"/>
          <w:bCs/>
          <w:color w:val="auto"/>
          <w:sz w:val="24"/>
          <w:highlight w:val="none"/>
        </w:rPr>
        <w:t>份，承包人执</w:t>
      </w:r>
      <w:r>
        <w:rPr>
          <w:rFonts w:hAnsi="宋体"/>
          <w:bCs/>
          <w:color w:val="auto"/>
          <w:sz w:val="24"/>
          <w:highlight w:val="none"/>
          <w:u w:val="single"/>
        </w:rPr>
        <w:t xml:space="preserve"> </w:t>
      </w:r>
      <w:r>
        <w:rPr>
          <w:rFonts w:hint="eastAsia" w:hAnsi="宋体"/>
          <w:bCs/>
          <w:color w:val="auto"/>
          <w:sz w:val="24"/>
          <w:highlight w:val="none"/>
          <w:u w:val="single"/>
        </w:rPr>
        <w:t>2</w:t>
      </w:r>
      <w:r>
        <w:rPr>
          <w:rFonts w:hAnsi="宋体"/>
          <w:bCs/>
          <w:color w:val="auto"/>
          <w:sz w:val="24"/>
          <w:highlight w:val="none"/>
          <w:u w:val="single"/>
        </w:rPr>
        <w:t xml:space="preserve"> </w:t>
      </w:r>
      <w:r>
        <w:rPr>
          <w:rFonts w:hAnsi="宋体"/>
          <w:bCs/>
          <w:color w:val="auto"/>
          <w:sz w:val="24"/>
          <w:highlight w:val="none"/>
        </w:rPr>
        <w:t>份。</w:t>
      </w:r>
    </w:p>
    <w:p>
      <w:pPr>
        <w:spacing w:line="400" w:lineRule="exact"/>
        <w:ind w:firstLine="480" w:firstLineChars="200"/>
        <w:rPr>
          <w:rFonts w:hint="eastAsia" w:hAnsi="宋体"/>
          <w:color w:val="auto"/>
          <w:sz w:val="24"/>
          <w:highlight w:val="none"/>
        </w:rPr>
      </w:pPr>
      <w:r>
        <w:rPr>
          <w:rFonts w:hAnsi="宋体"/>
          <w:color w:val="auto"/>
          <w:sz w:val="24"/>
          <w:highlight w:val="none"/>
        </w:rPr>
        <w:t>发包人</w:t>
      </w:r>
      <w:r>
        <w:rPr>
          <w:rFonts w:hint="eastAsia" w:hAnsi="宋体"/>
          <w:color w:val="auto"/>
          <w:sz w:val="24"/>
          <w:highlight w:val="none"/>
        </w:rPr>
        <w:t xml:space="preserve">：  </w:t>
      </w:r>
      <w:r>
        <w:rPr>
          <w:rFonts w:hAnsi="宋体"/>
          <w:color w:val="auto"/>
          <w:sz w:val="24"/>
          <w:highlight w:val="none"/>
        </w:rPr>
        <w:t>(公章)</w:t>
      </w:r>
      <w:r>
        <w:rPr>
          <w:rFonts w:hint="eastAsia" w:hAnsi="宋体"/>
          <w:color w:val="auto"/>
          <w:sz w:val="24"/>
          <w:highlight w:val="none"/>
        </w:rPr>
        <w:t xml:space="preserve">            </w:t>
      </w:r>
      <w:r>
        <w:rPr>
          <w:rFonts w:hAnsi="宋体"/>
          <w:color w:val="auto"/>
          <w:sz w:val="24"/>
          <w:highlight w:val="none"/>
        </w:rPr>
        <w:t>承包人</w:t>
      </w:r>
      <w:r>
        <w:rPr>
          <w:rFonts w:hint="eastAsia" w:hAnsi="宋体"/>
          <w:color w:val="auto"/>
          <w:sz w:val="24"/>
          <w:highlight w:val="none"/>
        </w:rPr>
        <w:t xml:space="preserve">：  </w:t>
      </w:r>
      <w:r>
        <w:rPr>
          <w:rFonts w:hAnsi="宋体"/>
          <w:color w:val="auto"/>
          <w:sz w:val="24"/>
          <w:highlight w:val="none"/>
        </w:rPr>
        <w:t>(公章)</w:t>
      </w:r>
    </w:p>
    <w:p>
      <w:pPr>
        <w:spacing w:line="400" w:lineRule="exact"/>
        <w:ind w:firstLine="480" w:firstLineChars="200"/>
        <w:rPr>
          <w:rFonts w:hint="eastAsia" w:hAnsi="宋体"/>
          <w:color w:val="auto"/>
          <w:sz w:val="24"/>
          <w:highlight w:val="none"/>
        </w:rPr>
      </w:pPr>
      <w:r>
        <w:rPr>
          <w:rFonts w:hint="eastAsia" w:hAnsi="宋体"/>
          <w:color w:val="auto"/>
          <w:sz w:val="24"/>
          <w:highlight w:val="none"/>
        </w:rPr>
        <w:t xml:space="preserve">法定代表人或其委托代理人：（签字）   法定代表人或其委托代理人：（签字）                </w:t>
      </w:r>
    </w:p>
    <w:p>
      <w:pPr>
        <w:tabs>
          <w:tab w:val="left" w:pos="4410"/>
        </w:tabs>
        <w:spacing w:line="400" w:lineRule="exact"/>
        <w:ind w:firstLine="480" w:firstLineChars="200"/>
        <w:rPr>
          <w:rFonts w:hAnsi="宋体"/>
          <w:color w:val="auto"/>
          <w:sz w:val="24"/>
          <w:highlight w:val="none"/>
        </w:rPr>
      </w:pPr>
      <w:r>
        <w:rPr>
          <w:rFonts w:hint="eastAsia" w:hAnsi="宋体"/>
          <w:color w:val="auto"/>
          <w:sz w:val="24"/>
          <w:highlight w:val="none"/>
        </w:rPr>
        <w:t>组织机构代码：</w:t>
      </w:r>
      <w:r>
        <w:rPr>
          <w:rFonts w:hint="eastAsia" w:hAnsi="宋体" w:cs="宋体"/>
          <w:color w:val="auto"/>
          <w:sz w:val="24"/>
          <w:highlight w:val="none"/>
          <w:u w:val="single"/>
        </w:rPr>
        <w:t xml:space="preserve"> </w:t>
      </w:r>
      <w:r>
        <w:rPr>
          <w:rFonts w:hint="eastAsia" w:hAnsi="宋体"/>
          <w:color w:val="auto"/>
          <w:sz w:val="24"/>
          <w:highlight w:val="none"/>
          <w:u w:val="single"/>
        </w:rPr>
        <w:t xml:space="preserve"> </w:t>
      </w:r>
      <w:r>
        <w:rPr>
          <w:rFonts w:hint="eastAsia" w:hAnsi="宋体" w:cs="宋体"/>
          <w:color w:val="auto"/>
          <w:sz w:val="24"/>
          <w:highlight w:val="none"/>
          <w:u w:val="single"/>
        </w:rPr>
        <w:t xml:space="preserve">     </w:t>
      </w:r>
      <w:r>
        <w:rPr>
          <w:rFonts w:hAnsi="宋体"/>
          <w:color w:val="auto"/>
          <w:sz w:val="24"/>
          <w:highlight w:val="none"/>
        </w:rPr>
        <w:t xml:space="preserve"> </w:t>
      </w:r>
      <w:r>
        <w:rPr>
          <w:rFonts w:hint="eastAsia" w:hAnsi="宋体"/>
          <w:color w:val="auto"/>
          <w:sz w:val="24"/>
          <w:highlight w:val="none"/>
        </w:rPr>
        <w:t xml:space="preserve"> 组织机构代码：</w:t>
      </w:r>
      <w:r>
        <w:rPr>
          <w:rFonts w:hint="eastAsia" w:hAnsi="宋体" w:cs="宋体"/>
          <w:color w:val="auto"/>
          <w:sz w:val="24"/>
          <w:highlight w:val="none"/>
          <w:u w:val="single"/>
        </w:rPr>
        <w:t xml:space="preserve"> </w:t>
      </w:r>
      <w:r>
        <w:rPr>
          <w:rFonts w:hint="eastAsia" w:hAnsi="宋体"/>
          <w:color w:val="auto"/>
          <w:sz w:val="24"/>
          <w:highlight w:val="none"/>
          <w:u w:val="single"/>
        </w:rPr>
        <w:t xml:space="preserve"> </w:t>
      </w:r>
      <w:r>
        <w:rPr>
          <w:rFonts w:hint="eastAsia" w:hAnsi="宋体" w:cs="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r>
        <w:rPr>
          <w:rFonts w:hAnsi="宋体"/>
          <w:color w:val="auto"/>
          <w:sz w:val="24"/>
          <w:highlight w:val="none"/>
        </w:rPr>
        <w:t xml:space="preserve"> </w:t>
      </w:r>
    </w:p>
    <w:p>
      <w:pPr>
        <w:spacing w:line="400" w:lineRule="exact"/>
        <w:ind w:firstLine="480" w:firstLineChars="200"/>
        <w:rPr>
          <w:rFonts w:hAnsi="宋体"/>
          <w:color w:val="auto"/>
          <w:sz w:val="24"/>
          <w:highlight w:val="none"/>
        </w:rPr>
      </w:pPr>
      <w:r>
        <w:rPr>
          <w:rFonts w:hAnsi="宋体"/>
          <w:color w:val="auto"/>
          <w:sz w:val="24"/>
          <w:highlight w:val="none"/>
        </w:rPr>
        <w:t>地  址：</w:t>
      </w:r>
      <w:r>
        <w:rPr>
          <w:rFonts w:hAnsi="宋体"/>
          <w:color w:val="auto"/>
          <w:sz w:val="24"/>
          <w:highlight w:val="none"/>
          <w:u w:val="single"/>
        </w:rPr>
        <w:t xml:space="preserve"> </w:t>
      </w:r>
      <w:r>
        <w:rPr>
          <w:rFonts w:hint="eastAsia" w:hAnsi="宋体" w:cs="宋体"/>
          <w:color w:val="auto"/>
          <w:sz w:val="24"/>
          <w:highlight w:val="none"/>
          <w:u w:val="single"/>
        </w:rPr>
        <w:t xml:space="preserve">    </w:t>
      </w:r>
      <w:r>
        <w:rPr>
          <w:rFonts w:hint="eastAsia" w:hAnsi="宋体"/>
          <w:color w:val="auto"/>
          <w:sz w:val="24"/>
          <w:highlight w:val="none"/>
        </w:rPr>
        <w:t xml:space="preserve">  </w:t>
      </w:r>
      <w:r>
        <w:rPr>
          <w:rFonts w:hAnsi="宋体"/>
          <w:color w:val="auto"/>
          <w:sz w:val="24"/>
          <w:highlight w:val="none"/>
        </w:rPr>
        <w:t>地  址：</w:t>
      </w:r>
      <w:r>
        <w:rPr>
          <w:rFonts w:hint="eastAsia" w:hAnsi="宋体" w:cs="宋体"/>
          <w:color w:val="auto"/>
          <w:sz w:val="24"/>
          <w:highlight w:val="none"/>
          <w:u w:val="single"/>
        </w:rPr>
        <w:t></w:t>
      </w:r>
      <w:r>
        <w:rPr>
          <w:rFonts w:hint="eastAsia" w:hAnsi="宋体"/>
          <w:color w:val="auto"/>
          <w:sz w:val="24"/>
          <w:highlight w:val="none"/>
          <w:u w:val="single"/>
        </w:rPr>
        <w:t xml:space="preserve"> </w:t>
      </w:r>
      <w:r>
        <w:rPr>
          <w:rFonts w:hint="eastAsia" w:hAnsi="宋体" w:cs="宋体"/>
          <w:color w:val="auto"/>
          <w:sz w:val="24"/>
          <w:highlight w:val="none"/>
          <w:u w:val="single"/>
        </w:rPr>
        <w:t></w:t>
      </w:r>
      <w:r>
        <w:rPr>
          <w:rFonts w:hint="eastAsia" w:hAnsi="宋体"/>
          <w:color w:val="auto"/>
          <w:sz w:val="24"/>
          <w:highlight w:val="none"/>
          <w:u w:val="single"/>
        </w:rPr>
        <w:t xml:space="preserve"> </w:t>
      </w:r>
      <w:r>
        <w:rPr>
          <w:rFonts w:hint="eastAsia" w:hAnsi="宋体" w:cs="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p>
    <w:p>
      <w:pPr>
        <w:spacing w:line="400" w:lineRule="exact"/>
        <w:ind w:firstLine="480" w:firstLineChars="200"/>
        <w:rPr>
          <w:rFonts w:hAnsi="宋体"/>
          <w:color w:val="auto"/>
          <w:sz w:val="24"/>
          <w:highlight w:val="none"/>
        </w:rPr>
      </w:pPr>
      <w:r>
        <w:rPr>
          <w:rFonts w:hAnsi="宋体"/>
          <w:color w:val="auto"/>
          <w:sz w:val="24"/>
          <w:highlight w:val="none"/>
        </w:rPr>
        <w:t>邮政编码：</w:t>
      </w:r>
      <w:r>
        <w:rPr>
          <w:rFonts w:hAnsi="宋体"/>
          <w:color w:val="auto"/>
          <w:sz w:val="24"/>
          <w:highlight w:val="none"/>
          <w:u w:val="single"/>
        </w:rPr>
        <w:t xml:space="preserve"> </w:t>
      </w:r>
      <w:r>
        <w:rPr>
          <w:rFonts w:hint="eastAsia" w:hAnsi="宋体" w:cs="宋体"/>
          <w:color w:val="auto"/>
          <w:sz w:val="24"/>
          <w:highlight w:val="none"/>
          <w:u w:val="single"/>
        </w:rPr>
        <w:t></w:t>
      </w:r>
      <w:r>
        <w:rPr>
          <w:rFonts w:hint="eastAsia" w:hAnsi="宋体"/>
          <w:color w:val="auto"/>
          <w:sz w:val="24"/>
          <w:highlight w:val="none"/>
          <w:u w:val="single"/>
        </w:rPr>
        <w:t xml:space="preserve"> </w:t>
      </w:r>
      <w:r>
        <w:rPr>
          <w:rFonts w:hint="eastAsia" w:hAnsi="宋体" w:cs="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rPr>
        <w:t xml:space="preserve"> </w:t>
      </w:r>
      <w:r>
        <w:rPr>
          <w:rFonts w:hint="eastAsia" w:hAnsi="宋体"/>
          <w:color w:val="auto"/>
          <w:sz w:val="24"/>
          <w:highlight w:val="none"/>
        </w:rPr>
        <w:t xml:space="preserve"> </w:t>
      </w:r>
      <w:r>
        <w:rPr>
          <w:rFonts w:hAnsi="宋体"/>
          <w:color w:val="auto"/>
          <w:sz w:val="24"/>
          <w:highlight w:val="none"/>
        </w:rPr>
        <w:t>邮政编码：</w:t>
      </w:r>
      <w:r>
        <w:rPr>
          <w:rFonts w:hint="eastAsia" w:hAnsi="宋体" w:cs="宋体"/>
          <w:color w:val="auto"/>
          <w:sz w:val="24"/>
          <w:highlight w:val="none"/>
          <w:u w:val="single"/>
        </w:rPr>
        <w:t xml:space="preserve">   </w:t>
      </w:r>
    </w:p>
    <w:p>
      <w:pPr>
        <w:spacing w:line="400" w:lineRule="exact"/>
        <w:ind w:firstLine="480" w:firstLineChars="200"/>
        <w:rPr>
          <w:rFonts w:hAnsi="宋体"/>
          <w:color w:val="auto"/>
          <w:sz w:val="24"/>
          <w:highlight w:val="none"/>
        </w:rPr>
      </w:pPr>
      <w:r>
        <w:rPr>
          <w:rFonts w:hAnsi="宋体"/>
          <w:color w:val="auto"/>
          <w:sz w:val="24"/>
          <w:highlight w:val="none"/>
        </w:rPr>
        <w:t>法定代表人：</w:t>
      </w:r>
      <w:r>
        <w:rPr>
          <w:rFonts w:hint="eastAsia" w:hAnsi="宋体" w:cs="宋体"/>
          <w:color w:val="auto"/>
          <w:sz w:val="24"/>
          <w:highlight w:val="none"/>
          <w:u w:val="single"/>
        </w:rPr>
        <w:t></w:t>
      </w:r>
      <w:r>
        <w:rPr>
          <w:rFonts w:hint="eastAsia" w:hAnsi="宋体"/>
          <w:color w:val="auto"/>
          <w:sz w:val="24"/>
          <w:highlight w:val="none"/>
          <w:u w:val="single"/>
        </w:rPr>
        <w:t xml:space="preserve">     </w:t>
      </w:r>
      <w:r>
        <w:rPr>
          <w:rFonts w:hint="eastAsia" w:hAnsi="宋体" w:cs="宋体"/>
          <w:color w:val="auto"/>
          <w:sz w:val="24"/>
          <w:highlight w:val="none"/>
          <w:u w:val="single"/>
        </w:rPr>
        <w:t></w:t>
      </w:r>
      <w:r>
        <w:rPr>
          <w:rFonts w:hint="eastAsia" w:hAnsi="宋体"/>
          <w:color w:val="auto"/>
          <w:sz w:val="24"/>
          <w:highlight w:val="none"/>
          <w:u w:val="single"/>
        </w:rPr>
        <w:t xml:space="preserve">     </w:t>
      </w:r>
      <w:r>
        <w:rPr>
          <w:rFonts w:hAnsi="宋体"/>
          <w:color w:val="auto"/>
          <w:sz w:val="24"/>
          <w:highlight w:val="none"/>
          <w:u w:val="single"/>
        </w:rPr>
        <w:t xml:space="preserve"> </w:t>
      </w:r>
      <w:r>
        <w:rPr>
          <w:rFonts w:hAnsi="宋体"/>
          <w:color w:val="auto"/>
          <w:sz w:val="24"/>
          <w:highlight w:val="none"/>
        </w:rPr>
        <w:t xml:space="preserve"> </w:t>
      </w:r>
      <w:r>
        <w:rPr>
          <w:rFonts w:hint="eastAsia" w:hAnsi="宋体"/>
          <w:color w:val="auto"/>
          <w:sz w:val="24"/>
          <w:highlight w:val="none"/>
        </w:rPr>
        <w:t xml:space="preserve"> </w:t>
      </w:r>
      <w:r>
        <w:rPr>
          <w:rFonts w:hAnsi="宋体"/>
          <w:color w:val="auto"/>
          <w:sz w:val="24"/>
          <w:highlight w:val="none"/>
        </w:rPr>
        <w:t>法定代表人：</w:t>
      </w:r>
      <w:r>
        <w:rPr>
          <w:rFonts w:hint="eastAsia" w:hAnsi="宋体" w:cs="宋体"/>
          <w:color w:val="auto"/>
          <w:sz w:val="24"/>
          <w:highlight w:val="none"/>
          <w:u w:val="single"/>
        </w:rPr>
        <w:t></w:t>
      </w:r>
      <w:r>
        <w:rPr>
          <w:rFonts w:hint="eastAsia" w:hAnsi="宋体"/>
          <w:color w:val="auto"/>
          <w:sz w:val="24"/>
          <w:highlight w:val="none"/>
          <w:u w:val="single"/>
        </w:rPr>
        <w:t xml:space="preserve">      </w:t>
      </w:r>
      <w:r>
        <w:rPr>
          <w:rFonts w:hint="eastAsia" w:hAnsi="宋体" w:cs="宋体"/>
          <w:color w:val="auto"/>
          <w:sz w:val="24"/>
          <w:highlight w:val="none"/>
          <w:u w:val="single"/>
        </w:rPr>
        <w:t></w:t>
      </w:r>
      <w:r>
        <w:rPr>
          <w:rFonts w:hint="eastAsia" w:hAnsi="宋体"/>
          <w:color w:val="auto"/>
          <w:sz w:val="24"/>
          <w:highlight w:val="none"/>
          <w:u w:val="single"/>
        </w:rPr>
        <w:t xml:space="preserve">      </w:t>
      </w:r>
      <w:r>
        <w:rPr>
          <w:rFonts w:hAnsi="宋体"/>
          <w:color w:val="auto"/>
          <w:sz w:val="24"/>
          <w:highlight w:val="none"/>
          <w:u w:val="single"/>
        </w:rPr>
        <w:t xml:space="preserve"> </w:t>
      </w:r>
    </w:p>
    <w:p>
      <w:pPr>
        <w:spacing w:line="400" w:lineRule="exact"/>
        <w:ind w:firstLine="480" w:firstLineChars="200"/>
        <w:rPr>
          <w:rFonts w:hAnsi="宋体"/>
          <w:color w:val="auto"/>
          <w:sz w:val="24"/>
          <w:highlight w:val="none"/>
        </w:rPr>
      </w:pPr>
      <w:r>
        <w:rPr>
          <w:rFonts w:hAnsi="宋体"/>
          <w:color w:val="auto"/>
          <w:sz w:val="24"/>
          <w:highlight w:val="none"/>
        </w:rPr>
        <w:t>委托代理人：</w:t>
      </w:r>
      <w:r>
        <w:rPr>
          <w:rFonts w:hint="eastAsia" w:hAnsi="宋体" w:cs="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r>
        <w:rPr>
          <w:rFonts w:hAnsi="宋体"/>
          <w:color w:val="auto"/>
          <w:sz w:val="24"/>
          <w:highlight w:val="none"/>
        </w:rPr>
        <w:t xml:space="preserve"> </w:t>
      </w:r>
      <w:r>
        <w:rPr>
          <w:rFonts w:hint="eastAsia" w:hAnsi="宋体"/>
          <w:color w:val="auto"/>
          <w:sz w:val="24"/>
          <w:highlight w:val="none"/>
        </w:rPr>
        <w:t xml:space="preserve"> </w:t>
      </w:r>
      <w:r>
        <w:rPr>
          <w:rFonts w:hAnsi="宋体"/>
          <w:color w:val="auto"/>
          <w:sz w:val="24"/>
          <w:highlight w:val="none"/>
        </w:rPr>
        <w:t>委托代理人：</w:t>
      </w:r>
      <w:r>
        <w:rPr>
          <w:rFonts w:hint="eastAsia" w:hAnsi="宋体" w:cs="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p>
    <w:p>
      <w:pPr>
        <w:spacing w:line="400" w:lineRule="exact"/>
        <w:ind w:firstLine="480" w:firstLineChars="200"/>
        <w:rPr>
          <w:rFonts w:hAnsi="宋体"/>
          <w:color w:val="auto"/>
          <w:sz w:val="24"/>
          <w:highlight w:val="none"/>
        </w:rPr>
      </w:pPr>
      <w:r>
        <w:rPr>
          <w:rFonts w:hAnsi="宋体"/>
          <w:color w:val="auto"/>
          <w:sz w:val="24"/>
          <w:highlight w:val="none"/>
        </w:rPr>
        <w:t>电  话：</w:t>
      </w:r>
      <w:r>
        <w:rPr>
          <w:rFonts w:hint="eastAsia" w:hAnsi="宋体" w:cs="宋体"/>
          <w:color w:val="auto"/>
          <w:sz w:val="24"/>
          <w:highlight w:val="none"/>
          <w:u w:val="single"/>
        </w:rPr>
        <w:t></w:t>
      </w:r>
      <w:r>
        <w:rPr>
          <w:rFonts w:hint="eastAsia" w:hAnsi="宋体"/>
          <w:color w:val="auto"/>
          <w:sz w:val="24"/>
          <w:highlight w:val="none"/>
          <w:u w:val="single"/>
        </w:rPr>
        <w:t xml:space="preserve"> </w:t>
      </w:r>
      <w:r>
        <w:rPr>
          <w:rFonts w:hAnsi="宋体"/>
          <w:color w:val="auto"/>
          <w:sz w:val="24"/>
          <w:highlight w:val="none"/>
          <w:u w:val="single"/>
        </w:rPr>
        <w:t xml:space="preserve">  </w:t>
      </w:r>
      <w:r>
        <w:rPr>
          <w:rFonts w:hAnsi="宋体"/>
          <w:color w:val="auto"/>
          <w:sz w:val="24"/>
          <w:highlight w:val="none"/>
        </w:rPr>
        <w:t xml:space="preserve"> </w:t>
      </w:r>
      <w:r>
        <w:rPr>
          <w:rFonts w:hint="eastAsia" w:hAnsi="宋体"/>
          <w:color w:val="auto"/>
          <w:sz w:val="24"/>
          <w:highlight w:val="none"/>
        </w:rPr>
        <w:t xml:space="preserve"> </w:t>
      </w:r>
      <w:r>
        <w:rPr>
          <w:rFonts w:hAnsi="宋体"/>
          <w:color w:val="auto"/>
          <w:sz w:val="24"/>
          <w:highlight w:val="none"/>
        </w:rPr>
        <w:t>电  话：</w:t>
      </w:r>
      <w:r>
        <w:rPr>
          <w:rFonts w:hint="eastAsia" w:hAnsi="宋体" w:cs="宋体"/>
          <w:color w:val="auto"/>
          <w:sz w:val="24"/>
          <w:highlight w:val="none"/>
          <w:u w:val="single"/>
        </w:rPr>
        <w:t></w:t>
      </w:r>
      <w:r>
        <w:rPr>
          <w:rFonts w:hint="eastAsia" w:hAnsi="宋体"/>
          <w:color w:val="auto"/>
          <w:sz w:val="24"/>
          <w:highlight w:val="none"/>
          <w:u w:val="single"/>
        </w:rPr>
        <w:t xml:space="preserve">  </w:t>
      </w:r>
      <w:r>
        <w:rPr>
          <w:rFonts w:hAnsi="宋体"/>
          <w:color w:val="auto"/>
          <w:sz w:val="24"/>
          <w:highlight w:val="none"/>
          <w:u w:val="single"/>
        </w:rPr>
        <w:t xml:space="preserve">   </w:t>
      </w:r>
    </w:p>
    <w:p>
      <w:pPr>
        <w:spacing w:line="400" w:lineRule="exact"/>
        <w:ind w:firstLine="480" w:firstLineChars="200"/>
        <w:rPr>
          <w:rFonts w:hAnsi="宋体"/>
          <w:color w:val="auto"/>
          <w:sz w:val="24"/>
          <w:highlight w:val="none"/>
        </w:rPr>
      </w:pPr>
      <w:r>
        <w:rPr>
          <w:rFonts w:hAnsi="宋体"/>
          <w:color w:val="auto"/>
          <w:sz w:val="24"/>
          <w:highlight w:val="none"/>
        </w:rPr>
        <w:t>传  真：</w:t>
      </w:r>
      <w:r>
        <w:rPr>
          <w:rFonts w:hint="eastAsia" w:hAnsi="宋体" w:cs="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r>
        <w:rPr>
          <w:rFonts w:hAnsi="宋体"/>
          <w:color w:val="auto"/>
          <w:sz w:val="24"/>
          <w:highlight w:val="none"/>
        </w:rPr>
        <w:t xml:space="preserve"> </w:t>
      </w:r>
      <w:r>
        <w:rPr>
          <w:rFonts w:hint="eastAsia" w:hAnsi="宋体"/>
          <w:color w:val="auto"/>
          <w:sz w:val="24"/>
          <w:highlight w:val="none"/>
        </w:rPr>
        <w:t xml:space="preserve"> </w:t>
      </w:r>
      <w:r>
        <w:rPr>
          <w:rFonts w:hAnsi="宋体"/>
          <w:color w:val="auto"/>
          <w:sz w:val="24"/>
          <w:highlight w:val="none"/>
        </w:rPr>
        <w:t>传  真：</w:t>
      </w:r>
      <w:r>
        <w:rPr>
          <w:rFonts w:hint="eastAsia" w:hAnsi="宋体" w:cs="宋体"/>
          <w:color w:val="auto"/>
          <w:sz w:val="24"/>
          <w:highlight w:val="none"/>
          <w:u w:val="single"/>
        </w:rPr>
        <w:t></w:t>
      </w:r>
      <w:r>
        <w:rPr>
          <w:rFonts w:hint="eastAsia" w:hAnsi="宋体"/>
          <w:color w:val="auto"/>
          <w:sz w:val="24"/>
          <w:highlight w:val="none"/>
          <w:u w:val="single"/>
        </w:rPr>
        <w:t xml:space="preserve">  </w:t>
      </w:r>
      <w:r>
        <w:rPr>
          <w:rFonts w:hint="eastAsia" w:hAnsi="宋体" w:cs="宋体"/>
          <w:color w:val="auto"/>
          <w:sz w:val="24"/>
          <w:highlight w:val="none"/>
          <w:u w:val="single"/>
        </w:rPr>
        <w:t xml:space="preserve">   </w:t>
      </w:r>
    </w:p>
    <w:p>
      <w:pPr>
        <w:spacing w:line="400" w:lineRule="exact"/>
        <w:ind w:firstLine="480" w:firstLineChars="200"/>
        <w:rPr>
          <w:rFonts w:hAnsi="宋体"/>
          <w:color w:val="auto"/>
          <w:sz w:val="24"/>
          <w:highlight w:val="none"/>
        </w:rPr>
      </w:pPr>
      <w:r>
        <w:rPr>
          <w:rFonts w:hAnsi="宋体"/>
          <w:color w:val="auto"/>
          <w:sz w:val="24"/>
          <w:highlight w:val="none"/>
        </w:rPr>
        <w:t>电子信箱：</w:t>
      </w:r>
      <w:r>
        <w:rPr>
          <w:rFonts w:hAnsi="宋体"/>
          <w:color w:val="auto"/>
          <w:sz w:val="24"/>
          <w:highlight w:val="none"/>
          <w:u w:val="single"/>
        </w:rPr>
        <w:t xml:space="preserve">                 </w:t>
      </w:r>
      <w:r>
        <w:rPr>
          <w:rFonts w:hAnsi="宋体"/>
          <w:color w:val="auto"/>
          <w:sz w:val="24"/>
          <w:highlight w:val="none"/>
        </w:rPr>
        <w:t xml:space="preserve"> </w:t>
      </w:r>
      <w:r>
        <w:rPr>
          <w:rFonts w:hint="eastAsia" w:hAnsi="宋体"/>
          <w:color w:val="auto"/>
          <w:sz w:val="24"/>
          <w:highlight w:val="none"/>
        </w:rPr>
        <w:t xml:space="preserve"> </w:t>
      </w:r>
      <w:r>
        <w:rPr>
          <w:rFonts w:hAnsi="宋体"/>
          <w:color w:val="auto"/>
          <w:sz w:val="24"/>
          <w:highlight w:val="none"/>
        </w:rPr>
        <w:t>电子信箱：</w:t>
      </w:r>
      <w:r>
        <w:rPr>
          <w:rFonts w:hint="eastAsia" w:hAnsi="宋体" w:cs="宋体"/>
          <w:color w:val="auto"/>
          <w:sz w:val="24"/>
          <w:highlight w:val="none"/>
          <w:u w:val="single"/>
        </w:rPr>
        <w:t xml:space="preserve">   </w:t>
      </w:r>
    </w:p>
    <w:p>
      <w:pPr>
        <w:spacing w:line="400" w:lineRule="exact"/>
        <w:ind w:firstLine="480" w:firstLineChars="200"/>
        <w:rPr>
          <w:rFonts w:hAnsi="宋体"/>
          <w:color w:val="auto"/>
          <w:sz w:val="24"/>
          <w:highlight w:val="none"/>
        </w:rPr>
      </w:pPr>
      <w:r>
        <w:rPr>
          <w:rFonts w:hAnsi="宋体"/>
          <w:color w:val="auto"/>
          <w:sz w:val="24"/>
          <w:highlight w:val="none"/>
        </w:rPr>
        <w:t>开户银行：</w:t>
      </w:r>
      <w:r>
        <w:rPr>
          <w:rFonts w:hint="eastAsia" w:hAnsi="宋体" w:cs="宋体"/>
          <w:color w:val="auto"/>
          <w:sz w:val="24"/>
          <w:highlight w:val="none"/>
          <w:u w:val="single"/>
        </w:rPr>
        <w:t xml:space="preserve">   </w:t>
      </w:r>
      <w:r>
        <w:rPr>
          <w:rFonts w:hAnsi="宋体"/>
          <w:color w:val="auto"/>
          <w:sz w:val="24"/>
          <w:highlight w:val="none"/>
        </w:rPr>
        <w:t xml:space="preserve"> </w:t>
      </w:r>
      <w:r>
        <w:rPr>
          <w:rFonts w:hint="eastAsia" w:hAnsi="宋体"/>
          <w:color w:val="auto"/>
          <w:sz w:val="24"/>
          <w:highlight w:val="none"/>
        </w:rPr>
        <w:t xml:space="preserve"> </w:t>
      </w:r>
      <w:r>
        <w:rPr>
          <w:rFonts w:hAnsi="宋体"/>
          <w:color w:val="auto"/>
          <w:sz w:val="24"/>
          <w:highlight w:val="none"/>
        </w:rPr>
        <w:t>开户银行：</w:t>
      </w:r>
      <w:r>
        <w:rPr>
          <w:rFonts w:hint="eastAsia" w:hAnsi="宋体" w:cs="宋体"/>
          <w:color w:val="auto"/>
          <w:sz w:val="24"/>
          <w:highlight w:val="none"/>
          <w:u w:val="single"/>
        </w:rPr>
        <w:t xml:space="preserve">   </w:t>
      </w:r>
    </w:p>
    <w:p>
      <w:pPr>
        <w:spacing w:line="400" w:lineRule="exact"/>
        <w:ind w:firstLine="480" w:firstLineChars="200"/>
        <w:rPr>
          <w:rFonts w:hint="eastAsia" w:hAnsi="宋体"/>
          <w:color w:val="auto"/>
          <w:sz w:val="24"/>
          <w:highlight w:val="none"/>
          <w:u w:val="single"/>
        </w:rPr>
      </w:pPr>
      <w:r>
        <w:rPr>
          <w:rFonts w:hAnsi="宋体"/>
          <w:color w:val="auto"/>
          <w:sz w:val="24"/>
          <w:highlight w:val="none"/>
        </w:rPr>
        <w:t>账  号：</w:t>
      </w:r>
      <w:r>
        <w:rPr>
          <w:rFonts w:hint="eastAsia" w:hAnsi="宋体" w:cs="宋体"/>
          <w:color w:val="auto"/>
          <w:sz w:val="24"/>
          <w:highlight w:val="none"/>
          <w:u w:val="single"/>
        </w:rPr>
        <w:t xml:space="preserve">       </w:t>
      </w:r>
      <w:r>
        <w:rPr>
          <w:rFonts w:hint="eastAsia" w:hAnsi="宋体"/>
          <w:color w:val="auto"/>
          <w:sz w:val="24"/>
          <w:highlight w:val="none"/>
        </w:rPr>
        <w:t xml:space="preserve">  </w:t>
      </w:r>
      <w:r>
        <w:rPr>
          <w:rFonts w:hAnsi="宋体"/>
          <w:color w:val="auto"/>
          <w:sz w:val="24"/>
          <w:highlight w:val="none"/>
        </w:rPr>
        <w:t>账</w:t>
      </w:r>
      <w:r>
        <w:rPr>
          <w:rFonts w:hint="eastAsia" w:hAnsi="宋体"/>
          <w:color w:val="auto"/>
          <w:sz w:val="24"/>
          <w:highlight w:val="none"/>
        </w:rPr>
        <w:t xml:space="preserve"> </w:t>
      </w:r>
      <w:r>
        <w:rPr>
          <w:rFonts w:hAnsi="宋体"/>
          <w:color w:val="auto"/>
          <w:sz w:val="24"/>
          <w:highlight w:val="none"/>
        </w:rPr>
        <w:t xml:space="preserve"> 号：</w:t>
      </w:r>
      <w:r>
        <w:rPr>
          <w:rFonts w:hint="eastAsia" w:hAnsi="宋体" w:cs="宋体"/>
          <w:color w:val="auto"/>
          <w:sz w:val="24"/>
          <w:highlight w:val="none"/>
          <w:u w:val="single"/>
        </w:rPr>
        <w:t></w:t>
      </w:r>
      <w:r>
        <w:rPr>
          <w:rFonts w:hint="eastAsia" w:hAnsi="宋体"/>
          <w:color w:val="auto"/>
          <w:sz w:val="24"/>
          <w:highlight w:val="none"/>
          <w:u w:val="single"/>
        </w:rPr>
        <w:t xml:space="preserve">  </w:t>
      </w:r>
      <w:r>
        <w:rPr>
          <w:rFonts w:hAnsi="宋体"/>
          <w:color w:val="auto"/>
          <w:sz w:val="24"/>
          <w:highlight w:val="none"/>
          <w:u w:val="single"/>
        </w:rPr>
        <w:t xml:space="preserve">  </w:t>
      </w:r>
      <w:r>
        <w:rPr>
          <w:rFonts w:hint="eastAsia" w:hAnsi="宋体"/>
          <w:color w:val="auto"/>
          <w:sz w:val="24"/>
          <w:highlight w:val="none"/>
          <w:u w:val="single"/>
        </w:rPr>
        <w:t xml:space="preserve"> </w:t>
      </w:r>
    </w:p>
    <w:p>
      <w:pPr>
        <w:pStyle w:val="699"/>
        <w:spacing w:line="560" w:lineRule="exact"/>
        <w:ind w:left="0" w:leftChars="0" w:firstLine="0" w:firstLineChars="0"/>
        <w:jc w:val="both"/>
        <w:rPr>
          <w:rFonts w:hint="eastAsia" w:ascii="宋体" w:hAnsi="宋体" w:eastAsia="宋体" w:cs="宋体"/>
          <w:b/>
          <w:szCs w:val="24"/>
        </w:rPr>
        <w:sectPr>
          <w:headerReference r:id="rId9" w:type="first"/>
          <w:footerReference r:id="rId11" w:type="first"/>
          <w:headerReference r:id="rId8" w:type="default"/>
          <w:footerReference r:id="rId10" w:type="default"/>
          <w:pgSz w:w="11906" w:h="16838"/>
          <w:pgMar w:top="1077" w:right="1020" w:bottom="1077" w:left="1020" w:header="851" w:footer="992" w:gutter="0"/>
          <w:cols w:space="720" w:num="1"/>
          <w:titlePg/>
          <w:docGrid w:linePitch="312" w:charSpace="0"/>
        </w:sectPr>
      </w:pPr>
    </w:p>
    <w:p>
      <w:pPr>
        <w:pStyle w:val="952"/>
        <w:numPr>
          <w:ilvl w:val="0"/>
          <w:numId w:val="0"/>
        </w:numPr>
        <w:tabs>
          <w:tab w:val="left" w:pos="3780"/>
        </w:tabs>
        <w:spacing w:before="0" w:after="0" w:line="440" w:lineRule="exact"/>
        <w:ind w:right="0" w:rightChars="0"/>
        <w:jc w:val="center"/>
        <w:rPr>
          <w:rFonts w:hint="eastAsia" w:hAnsi="宋体"/>
          <w:color w:val="auto"/>
          <w:sz w:val="32"/>
          <w:szCs w:val="32"/>
          <w:highlight w:val="none"/>
        </w:rPr>
      </w:pPr>
      <w:r>
        <w:rPr>
          <w:rFonts w:hint="eastAsia" w:ascii="宋体" w:hAnsi="宋体"/>
          <w:b/>
          <w:color w:val="auto"/>
          <w:sz w:val="32"/>
          <w:szCs w:val="32"/>
          <w:highlight w:val="none"/>
          <w:lang w:val="en-US" w:eastAsia="zh-CN"/>
        </w:rPr>
        <w:t xml:space="preserve">第二部分  </w:t>
      </w:r>
      <w:r>
        <w:rPr>
          <w:rFonts w:hint="eastAsia" w:ascii="宋体" w:hAnsi="宋体"/>
          <w:b/>
          <w:color w:val="auto"/>
          <w:sz w:val="32"/>
          <w:szCs w:val="32"/>
          <w:highlight w:val="none"/>
        </w:rPr>
        <w:t>通用条款</w:t>
      </w:r>
      <w:r>
        <w:rPr>
          <w:rFonts w:hint="eastAsia" w:hAnsi="宋体"/>
          <w:color w:val="auto"/>
          <w:sz w:val="32"/>
          <w:szCs w:val="32"/>
          <w:highlight w:val="none"/>
        </w:rPr>
        <w:t>（略）</w:t>
      </w:r>
    </w:p>
    <w:p>
      <w:pPr>
        <w:spacing w:line="420" w:lineRule="exact"/>
        <w:jc w:val="center"/>
        <w:rPr>
          <w:rFonts w:hint="eastAsia" w:hAnsi="宋体" w:cs="宋体"/>
          <w:b/>
          <w:color w:val="auto"/>
          <w:sz w:val="24"/>
          <w:szCs w:val="24"/>
          <w:highlight w:val="none"/>
        </w:rPr>
      </w:pPr>
      <w:r>
        <w:rPr>
          <w:rFonts w:hint="eastAsia" w:hAnsi="宋体" w:cs="宋体"/>
          <w:b/>
          <w:color w:val="auto"/>
          <w:sz w:val="24"/>
          <w:szCs w:val="24"/>
          <w:highlight w:val="none"/>
        </w:rPr>
        <w:t>采用《建设工程施工合同（示范文本）》（GF—2017—0201）列明的通用条款。</w:t>
      </w:r>
    </w:p>
    <w:p>
      <w:pPr>
        <w:pStyle w:val="699"/>
        <w:spacing w:line="560" w:lineRule="exact"/>
        <w:ind w:left="0" w:leftChars="0" w:firstLine="0" w:firstLineChars="0"/>
        <w:jc w:val="both"/>
        <w:rPr>
          <w:rFonts w:hint="eastAsia" w:ascii="宋体" w:hAnsi="宋体" w:eastAsia="宋体" w:cs="宋体"/>
          <w:b/>
          <w:szCs w:val="24"/>
        </w:rPr>
      </w:pPr>
    </w:p>
    <w:p>
      <w:pPr>
        <w:pStyle w:val="8"/>
        <w:spacing w:line="440" w:lineRule="exact"/>
        <w:jc w:val="center"/>
        <w:rPr>
          <w:rFonts w:hint="eastAsia" w:hAnsi="宋体"/>
          <w:b w:val="0"/>
          <w:color w:val="auto"/>
          <w:highlight w:val="none"/>
        </w:rPr>
      </w:pPr>
      <w:r>
        <w:rPr>
          <w:rFonts w:hAnsi="宋体"/>
          <w:b w:val="0"/>
          <w:color w:val="auto"/>
          <w:highlight w:val="none"/>
        </w:rPr>
        <w:t xml:space="preserve">第三部分 </w:t>
      </w:r>
      <w:r>
        <w:rPr>
          <w:rFonts w:hint="eastAsia" w:hAnsi="宋体"/>
          <w:b w:val="0"/>
          <w:color w:val="auto"/>
          <w:highlight w:val="none"/>
        </w:rPr>
        <w:t>专用合同条款</w:t>
      </w:r>
    </w:p>
    <w:p>
      <w:pPr>
        <w:spacing w:line="440" w:lineRule="exact"/>
        <w:ind w:firstLine="480" w:firstLineChars="200"/>
        <w:rPr>
          <w:rFonts w:hAnsi="宋体"/>
          <w:color w:val="auto"/>
          <w:sz w:val="24"/>
          <w:highlight w:val="none"/>
        </w:rPr>
      </w:pPr>
      <w:bookmarkStart w:id="408" w:name="_Toc351203633"/>
      <w:r>
        <w:rPr>
          <w:rFonts w:hAnsi="宋体"/>
          <w:color w:val="auto"/>
          <w:sz w:val="24"/>
          <w:highlight w:val="none"/>
        </w:rPr>
        <w:t>1</w:t>
      </w:r>
      <w:bookmarkStart w:id="409" w:name="_Toc296503156"/>
      <w:bookmarkStart w:id="410" w:name="_Toc292559361"/>
      <w:bookmarkStart w:id="411" w:name="_Toc296891196"/>
      <w:bookmarkStart w:id="412" w:name="_Toc297120456"/>
      <w:bookmarkStart w:id="413" w:name="_Toc292559866"/>
      <w:bookmarkStart w:id="414" w:name="_Toc297048342"/>
      <w:bookmarkStart w:id="415" w:name="_Toc296346657"/>
      <w:bookmarkStart w:id="416" w:name="_Toc296944495"/>
      <w:bookmarkStart w:id="417" w:name="_Toc296347155"/>
      <w:bookmarkStart w:id="418" w:name="_Toc296890984"/>
      <w:r>
        <w:rPr>
          <w:rFonts w:hAnsi="宋体"/>
          <w:color w:val="auto"/>
          <w:sz w:val="24"/>
          <w:highlight w:val="none"/>
        </w:rPr>
        <w:t>. 一般约定</w:t>
      </w:r>
      <w:bookmarkEnd w:id="408"/>
    </w:p>
    <w:bookmarkEnd w:id="409"/>
    <w:bookmarkEnd w:id="410"/>
    <w:bookmarkEnd w:id="411"/>
    <w:bookmarkEnd w:id="412"/>
    <w:bookmarkEnd w:id="413"/>
    <w:bookmarkEnd w:id="414"/>
    <w:bookmarkEnd w:id="415"/>
    <w:bookmarkEnd w:id="416"/>
    <w:bookmarkEnd w:id="417"/>
    <w:bookmarkEnd w:id="418"/>
    <w:p>
      <w:pPr>
        <w:spacing w:line="440" w:lineRule="exact"/>
        <w:ind w:firstLine="480" w:firstLineChars="200"/>
        <w:rPr>
          <w:rFonts w:hAnsi="宋体"/>
          <w:color w:val="auto"/>
          <w:sz w:val="24"/>
          <w:highlight w:val="none"/>
        </w:rPr>
      </w:pPr>
      <w:r>
        <w:rPr>
          <w:rFonts w:hAnsi="宋体"/>
          <w:color w:val="auto"/>
          <w:sz w:val="24"/>
          <w:highlight w:val="none"/>
        </w:rPr>
        <w:t>1.1 词语定义</w:t>
      </w:r>
    </w:p>
    <w:p>
      <w:pPr>
        <w:spacing w:line="440" w:lineRule="exact"/>
        <w:ind w:firstLine="480" w:firstLineChars="200"/>
        <w:rPr>
          <w:rFonts w:hAnsi="宋体"/>
          <w:color w:val="auto"/>
          <w:kern w:val="0"/>
          <w:sz w:val="24"/>
          <w:highlight w:val="none"/>
        </w:rPr>
      </w:pPr>
      <w:r>
        <w:rPr>
          <w:rFonts w:hAnsi="宋体"/>
          <w:color w:val="auto"/>
          <w:kern w:val="0"/>
          <w:sz w:val="24"/>
          <w:highlight w:val="none"/>
        </w:rPr>
        <w:t>1.1.1合同</w:t>
      </w:r>
    </w:p>
    <w:p>
      <w:pPr>
        <w:spacing w:line="440" w:lineRule="exact"/>
        <w:ind w:firstLine="480" w:firstLineChars="200"/>
        <w:rPr>
          <w:rFonts w:hint="eastAsia" w:hAnsi="宋体"/>
          <w:color w:val="auto"/>
          <w:sz w:val="24"/>
          <w:highlight w:val="none"/>
          <w:u w:val="single"/>
        </w:rPr>
      </w:pPr>
      <w:r>
        <w:rPr>
          <w:rFonts w:hAnsi="宋体"/>
          <w:color w:val="auto"/>
          <w:kern w:val="0"/>
          <w:sz w:val="24"/>
          <w:highlight w:val="none"/>
        </w:rPr>
        <w:t>1.1.1.10其他合同文件包括：</w:t>
      </w:r>
      <w:r>
        <w:rPr>
          <w:rFonts w:hint="eastAsia" w:hAnsi="宋体"/>
          <w:color w:val="auto"/>
          <w:sz w:val="24"/>
          <w:highlight w:val="none"/>
          <w:u w:val="single"/>
        </w:rPr>
        <w:t>施工组织设计：施工组织</w:t>
      </w:r>
      <w:r>
        <w:rPr>
          <w:rFonts w:hAnsi="宋体"/>
          <w:color w:val="auto"/>
          <w:sz w:val="24"/>
          <w:highlight w:val="none"/>
          <w:u w:val="single"/>
        </w:rPr>
        <w:fldChar w:fldCharType="begin"/>
      </w:r>
      <w:r>
        <w:rPr>
          <w:rFonts w:hAnsi="宋体"/>
          <w:color w:val="auto"/>
          <w:sz w:val="24"/>
          <w:highlight w:val="none"/>
          <w:u w:val="single"/>
        </w:rPr>
        <w:instrText xml:space="preserve"> HYPERLINK "http://baike.baidu.com/view/14417.htm" \t "_blank" </w:instrText>
      </w:r>
      <w:r>
        <w:rPr>
          <w:rFonts w:hAnsi="宋体"/>
          <w:color w:val="auto"/>
          <w:sz w:val="24"/>
          <w:highlight w:val="none"/>
          <w:u w:val="single"/>
        </w:rPr>
        <w:fldChar w:fldCharType="separate"/>
      </w:r>
      <w:r>
        <w:rPr>
          <w:rFonts w:hint="eastAsia" w:hAnsi="宋体"/>
          <w:color w:val="auto"/>
          <w:sz w:val="24"/>
          <w:highlight w:val="none"/>
          <w:u w:val="single"/>
        </w:rPr>
        <w:t>设计</w:t>
      </w:r>
      <w:r>
        <w:rPr>
          <w:rFonts w:hAnsi="宋体"/>
          <w:color w:val="auto"/>
          <w:sz w:val="24"/>
          <w:highlight w:val="none"/>
          <w:u w:val="single"/>
        </w:rPr>
        <w:fldChar w:fldCharType="end"/>
      </w:r>
      <w:r>
        <w:rPr>
          <w:rFonts w:hint="eastAsia" w:hAnsi="宋体"/>
          <w:color w:val="auto"/>
          <w:sz w:val="24"/>
          <w:highlight w:val="none"/>
          <w:u w:val="single"/>
        </w:rPr>
        <w:t>是用来指导</w:t>
      </w:r>
      <w:r>
        <w:rPr>
          <w:rFonts w:hAnsi="宋体"/>
          <w:color w:val="auto"/>
          <w:sz w:val="24"/>
          <w:highlight w:val="none"/>
          <w:u w:val="single"/>
        </w:rPr>
        <w:fldChar w:fldCharType="begin"/>
      </w:r>
      <w:r>
        <w:rPr>
          <w:rFonts w:hAnsi="宋体"/>
          <w:color w:val="auto"/>
          <w:sz w:val="24"/>
          <w:highlight w:val="none"/>
          <w:u w:val="single"/>
        </w:rPr>
        <w:instrText xml:space="preserve"> HYPERLINK "http://baike.baidu.com/view/1094820.htm" \t "_blank" </w:instrText>
      </w:r>
      <w:r>
        <w:rPr>
          <w:rFonts w:hAnsi="宋体"/>
          <w:color w:val="auto"/>
          <w:sz w:val="24"/>
          <w:highlight w:val="none"/>
          <w:u w:val="single"/>
        </w:rPr>
        <w:fldChar w:fldCharType="separate"/>
      </w:r>
      <w:r>
        <w:rPr>
          <w:rFonts w:hint="eastAsia" w:hAnsi="宋体"/>
          <w:color w:val="auto"/>
          <w:sz w:val="24"/>
          <w:highlight w:val="none"/>
          <w:u w:val="single"/>
        </w:rPr>
        <w:t>施工项目</w:t>
      </w:r>
      <w:r>
        <w:rPr>
          <w:rFonts w:hAnsi="宋体"/>
          <w:color w:val="auto"/>
          <w:sz w:val="24"/>
          <w:highlight w:val="none"/>
          <w:u w:val="single"/>
        </w:rPr>
        <w:fldChar w:fldCharType="end"/>
      </w:r>
      <w:r>
        <w:rPr>
          <w:rFonts w:hint="eastAsia" w:hAnsi="宋体"/>
          <w:color w:val="auto"/>
          <w:sz w:val="24"/>
          <w:highlight w:val="none"/>
          <w:u w:val="single"/>
        </w:rPr>
        <w:t xml:space="preserve">全过程各项活动的技术、经济和组织的综合性文件 </w:t>
      </w:r>
      <w:r>
        <w:rPr>
          <w:rFonts w:hint="eastAsia" w:hAnsi="宋体"/>
          <w:color w:val="auto"/>
          <w:sz w:val="24"/>
          <w:highlight w:val="none"/>
        </w:rPr>
        <w:t>。</w:t>
      </w:r>
    </w:p>
    <w:p>
      <w:pPr>
        <w:spacing w:line="420" w:lineRule="exact"/>
        <w:ind w:firstLine="480" w:firstLineChars="200"/>
        <w:rPr>
          <w:rFonts w:hint="eastAsia" w:hAnsi="宋体" w:cs="宋体"/>
          <w:color w:val="auto"/>
          <w:sz w:val="24"/>
          <w:highlight w:val="none"/>
          <w:u w:val="single"/>
        </w:rPr>
      </w:pPr>
      <w:r>
        <w:rPr>
          <w:rFonts w:hAnsi="宋体"/>
          <w:color w:val="auto"/>
          <w:sz w:val="24"/>
          <w:highlight w:val="none"/>
        </w:rPr>
        <w:t>1.1.2 合同当事人及其他相关方</w:t>
      </w:r>
      <w:r>
        <w:rPr>
          <w:rFonts w:hint="eastAsia" w:hAnsi="宋体"/>
          <w:color w:val="auto"/>
          <w:sz w:val="24"/>
          <w:highlight w:val="none"/>
          <w:lang w:eastAsia="zh-CN"/>
        </w:rPr>
        <w:t>：</w:t>
      </w:r>
      <w:r>
        <w:rPr>
          <w:rFonts w:hint="eastAsia" w:hAnsi="宋体" w:cs="宋体"/>
          <w:color w:val="auto"/>
          <w:sz w:val="24"/>
          <w:highlight w:val="none"/>
          <w:u w:val="single"/>
        </w:rPr>
        <w:t>财政局、审计局代表、甲方委托的造价咨询机构。</w:t>
      </w:r>
    </w:p>
    <w:p>
      <w:pPr>
        <w:spacing w:line="440" w:lineRule="exact"/>
        <w:ind w:firstLine="480" w:firstLineChars="200"/>
        <w:rPr>
          <w:rFonts w:hAnsi="宋体"/>
          <w:color w:val="auto"/>
          <w:sz w:val="24"/>
          <w:highlight w:val="none"/>
        </w:rPr>
      </w:pPr>
      <w:r>
        <w:rPr>
          <w:rFonts w:hAnsi="宋体"/>
          <w:color w:val="auto"/>
          <w:sz w:val="24"/>
          <w:highlight w:val="none"/>
        </w:rPr>
        <w:t>1.1.2.4监理人：</w:t>
      </w:r>
    </w:p>
    <w:p>
      <w:pPr>
        <w:spacing w:line="440" w:lineRule="exact"/>
        <w:ind w:firstLine="480" w:firstLineChars="200"/>
        <w:rPr>
          <w:rFonts w:hAnsi="宋体"/>
          <w:color w:val="auto"/>
          <w:sz w:val="24"/>
          <w:highlight w:val="none"/>
        </w:rPr>
      </w:pPr>
      <w:r>
        <w:rPr>
          <w:rFonts w:hAnsi="宋体"/>
          <w:color w:val="auto"/>
          <w:sz w:val="24"/>
          <w:highlight w:val="none"/>
        </w:rPr>
        <w:t>名    称：</w:t>
      </w:r>
      <w:r>
        <w:rPr>
          <w:rFonts w:hint="eastAsia" w:hAnsi="宋体" w:cs="宋体"/>
          <w:color w:val="auto"/>
          <w:sz w:val="24"/>
          <w:highlight w:val="none"/>
          <w:u w:val="single"/>
        </w:rPr>
        <w:t xml:space="preserve">                                             </w:t>
      </w:r>
      <w:r>
        <w:rPr>
          <w:rFonts w:hAnsi="宋体"/>
          <w:color w:val="auto"/>
          <w:sz w:val="24"/>
          <w:highlight w:val="none"/>
        </w:rPr>
        <w:t>；</w:t>
      </w:r>
    </w:p>
    <w:p>
      <w:pPr>
        <w:spacing w:line="440" w:lineRule="exact"/>
        <w:ind w:firstLine="480" w:firstLineChars="200"/>
        <w:rPr>
          <w:rFonts w:hAnsi="宋体"/>
          <w:color w:val="auto"/>
          <w:sz w:val="24"/>
          <w:highlight w:val="none"/>
        </w:rPr>
      </w:pPr>
      <w:r>
        <w:rPr>
          <w:rFonts w:hAnsi="宋体"/>
          <w:color w:val="auto"/>
          <w:sz w:val="24"/>
          <w:highlight w:val="none"/>
        </w:rPr>
        <w:t>资质类别和等级：</w:t>
      </w:r>
      <w:r>
        <w:rPr>
          <w:rFonts w:hint="eastAsia" w:hAnsi="宋体" w:cs="宋体"/>
          <w:color w:val="auto"/>
          <w:sz w:val="24"/>
          <w:highlight w:val="none"/>
          <w:u w:val="single"/>
        </w:rPr>
        <w:t xml:space="preserve">                                       </w:t>
      </w:r>
      <w:r>
        <w:rPr>
          <w:rFonts w:hAnsi="宋体"/>
          <w:color w:val="auto"/>
          <w:sz w:val="24"/>
          <w:highlight w:val="none"/>
        </w:rPr>
        <w:t>；</w:t>
      </w:r>
    </w:p>
    <w:p>
      <w:pPr>
        <w:spacing w:line="440" w:lineRule="exact"/>
        <w:ind w:firstLine="480" w:firstLineChars="200"/>
        <w:rPr>
          <w:rFonts w:hAnsi="宋体"/>
          <w:color w:val="auto"/>
          <w:sz w:val="24"/>
          <w:highlight w:val="none"/>
        </w:rPr>
      </w:pPr>
      <w:r>
        <w:rPr>
          <w:rFonts w:hAnsi="宋体"/>
          <w:color w:val="auto"/>
          <w:sz w:val="24"/>
          <w:highlight w:val="none"/>
        </w:rPr>
        <w:t>联系电话：</w:t>
      </w:r>
      <w:r>
        <w:rPr>
          <w:rFonts w:hint="eastAsia" w:hAnsi="宋体" w:cs="宋体"/>
          <w:color w:val="auto"/>
          <w:sz w:val="24"/>
          <w:highlight w:val="none"/>
          <w:u w:val="single"/>
        </w:rPr>
        <w:t xml:space="preserve">                                             </w:t>
      </w:r>
      <w:r>
        <w:rPr>
          <w:rFonts w:hAnsi="宋体"/>
          <w:color w:val="auto"/>
          <w:sz w:val="24"/>
          <w:highlight w:val="none"/>
        </w:rPr>
        <w:t>；</w:t>
      </w:r>
    </w:p>
    <w:p>
      <w:pPr>
        <w:spacing w:line="440" w:lineRule="exact"/>
        <w:ind w:firstLine="480" w:firstLineChars="200"/>
        <w:rPr>
          <w:rFonts w:hAnsi="宋体"/>
          <w:color w:val="auto"/>
          <w:sz w:val="24"/>
          <w:highlight w:val="none"/>
        </w:rPr>
      </w:pPr>
      <w:r>
        <w:rPr>
          <w:rFonts w:hAnsi="宋体"/>
          <w:color w:val="auto"/>
          <w:sz w:val="24"/>
          <w:highlight w:val="none"/>
        </w:rPr>
        <w:t>电子信箱：</w:t>
      </w:r>
      <w:r>
        <w:rPr>
          <w:rFonts w:hint="eastAsia" w:hAnsi="宋体" w:cs="宋体"/>
          <w:color w:val="auto"/>
          <w:sz w:val="24"/>
          <w:highlight w:val="none"/>
          <w:u w:val="single"/>
        </w:rPr>
        <w:t xml:space="preserve">                                             </w:t>
      </w:r>
      <w:r>
        <w:rPr>
          <w:rFonts w:hAnsi="宋体"/>
          <w:color w:val="auto"/>
          <w:sz w:val="24"/>
          <w:highlight w:val="none"/>
        </w:rPr>
        <w:t>；</w:t>
      </w:r>
    </w:p>
    <w:p>
      <w:pPr>
        <w:spacing w:line="440" w:lineRule="exact"/>
        <w:ind w:firstLine="480" w:firstLineChars="200"/>
        <w:rPr>
          <w:rFonts w:hAnsi="宋体"/>
          <w:color w:val="auto"/>
          <w:sz w:val="24"/>
          <w:highlight w:val="none"/>
        </w:rPr>
      </w:pPr>
      <w:r>
        <w:rPr>
          <w:rFonts w:hAnsi="宋体"/>
          <w:color w:val="auto"/>
          <w:sz w:val="24"/>
          <w:highlight w:val="none"/>
        </w:rPr>
        <w:t>通信地址：</w:t>
      </w:r>
      <w:r>
        <w:rPr>
          <w:rFonts w:hint="eastAsia" w:hAnsi="宋体" w:cs="宋体"/>
          <w:color w:val="auto"/>
          <w:sz w:val="24"/>
          <w:highlight w:val="none"/>
          <w:u w:val="single"/>
        </w:rPr>
        <w:t xml:space="preserve">                                             </w:t>
      </w:r>
      <w:r>
        <w:rPr>
          <w:rFonts w:hAnsi="宋体"/>
          <w:color w:val="auto"/>
          <w:sz w:val="24"/>
          <w:highlight w:val="none"/>
        </w:rPr>
        <w:t>。</w:t>
      </w:r>
    </w:p>
    <w:p>
      <w:pPr>
        <w:spacing w:line="440" w:lineRule="exact"/>
        <w:ind w:firstLine="480" w:firstLineChars="200"/>
        <w:rPr>
          <w:rFonts w:hAnsi="宋体"/>
          <w:color w:val="auto"/>
          <w:sz w:val="24"/>
          <w:highlight w:val="none"/>
        </w:rPr>
      </w:pPr>
      <w:r>
        <w:rPr>
          <w:rFonts w:hAnsi="宋体"/>
          <w:color w:val="auto"/>
          <w:sz w:val="24"/>
          <w:highlight w:val="none"/>
        </w:rPr>
        <w:t>1.1.2.5 设计人：</w:t>
      </w:r>
    </w:p>
    <w:p>
      <w:pPr>
        <w:spacing w:line="440" w:lineRule="exact"/>
        <w:ind w:firstLine="480" w:firstLineChars="200"/>
        <w:rPr>
          <w:rFonts w:hAnsi="宋体"/>
          <w:color w:val="auto"/>
          <w:sz w:val="24"/>
          <w:highlight w:val="none"/>
        </w:rPr>
      </w:pPr>
      <w:r>
        <w:rPr>
          <w:rFonts w:hAnsi="宋体"/>
          <w:color w:val="auto"/>
          <w:sz w:val="24"/>
          <w:highlight w:val="none"/>
        </w:rPr>
        <w:t>名    称：</w:t>
      </w:r>
      <w:r>
        <w:rPr>
          <w:rFonts w:hint="eastAsia" w:hAnsi="宋体" w:cs="宋体"/>
          <w:color w:val="auto"/>
          <w:sz w:val="24"/>
          <w:highlight w:val="none"/>
          <w:u w:val="single"/>
        </w:rPr>
        <w:t xml:space="preserve">                                              </w:t>
      </w:r>
      <w:r>
        <w:rPr>
          <w:rFonts w:hAnsi="宋体"/>
          <w:color w:val="auto"/>
          <w:sz w:val="24"/>
          <w:highlight w:val="none"/>
        </w:rPr>
        <w:t>；</w:t>
      </w:r>
    </w:p>
    <w:p>
      <w:pPr>
        <w:spacing w:line="440" w:lineRule="exact"/>
        <w:ind w:firstLine="480" w:firstLineChars="200"/>
        <w:rPr>
          <w:rFonts w:hAnsi="宋体"/>
          <w:color w:val="auto"/>
          <w:sz w:val="24"/>
          <w:highlight w:val="none"/>
        </w:rPr>
      </w:pPr>
      <w:r>
        <w:rPr>
          <w:rFonts w:hAnsi="宋体"/>
          <w:color w:val="auto"/>
          <w:sz w:val="24"/>
          <w:highlight w:val="none"/>
        </w:rPr>
        <w:t>资质类别和等级：</w:t>
      </w:r>
      <w:r>
        <w:rPr>
          <w:rFonts w:hint="eastAsia" w:hAnsi="宋体" w:cs="宋体"/>
          <w:color w:val="auto"/>
          <w:sz w:val="24"/>
          <w:highlight w:val="none"/>
          <w:u w:val="single"/>
        </w:rPr>
        <w:t xml:space="preserve">                                        </w:t>
      </w:r>
      <w:r>
        <w:rPr>
          <w:rFonts w:hAnsi="宋体"/>
          <w:color w:val="auto"/>
          <w:sz w:val="24"/>
          <w:highlight w:val="none"/>
        </w:rPr>
        <w:t>；</w:t>
      </w:r>
    </w:p>
    <w:p>
      <w:pPr>
        <w:spacing w:line="440" w:lineRule="exact"/>
        <w:ind w:firstLine="480" w:firstLineChars="200"/>
        <w:rPr>
          <w:rFonts w:hAnsi="宋体"/>
          <w:color w:val="auto"/>
          <w:sz w:val="24"/>
          <w:highlight w:val="none"/>
        </w:rPr>
      </w:pPr>
      <w:r>
        <w:rPr>
          <w:rFonts w:hAnsi="宋体"/>
          <w:color w:val="auto"/>
          <w:sz w:val="24"/>
          <w:highlight w:val="none"/>
        </w:rPr>
        <w:t>联系电话：</w:t>
      </w:r>
      <w:r>
        <w:rPr>
          <w:rFonts w:hint="eastAsia" w:hAnsi="宋体" w:cs="宋体"/>
          <w:color w:val="auto"/>
          <w:sz w:val="24"/>
          <w:highlight w:val="none"/>
          <w:u w:val="single"/>
        </w:rPr>
        <w:t xml:space="preserve">                                              </w:t>
      </w:r>
      <w:r>
        <w:rPr>
          <w:rFonts w:hAnsi="宋体"/>
          <w:color w:val="auto"/>
          <w:sz w:val="24"/>
          <w:highlight w:val="none"/>
        </w:rPr>
        <w:t>；</w:t>
      </w:r>
    </w:p>
    <w:p>
      <w:pPr>
        <w:spacing w:line="440" w:lineRule="exact"/>
        <w:ind w:firstLine="480" w:firstLineChars="200"/>
        <w:rPr>
          <w:rFonts w:hAnsi="宋体"/>
          <w:color w:val="auto"/>
          <w:sz w:val="24"/>
          <w:highlight w:val="none"/>
        </w:rPr>
      </w:pPr>
      <w:r>
        <w:rPr>
          <w:rFonts w:hAnsi="宋体"/>
          <w:color w:val="auto"/>
          <w:sz w:val="24"/>
          <w:highlight w:val="none"/>
        </w:rPr>
        <w:t>电子信箱：</w:t>
      </w:r>
      <w:r>
        <w:rPr>
          <w:rFonts w:hint="eastAsia" w:hAnsi="宋体" w:cs="宋体"/>
          <w:color w:val="auto"/>
          <w:sz w:val="24"/>
          <w:highlight w:val="none"/>
          <w:u w:val="single"/>
        </w:rPr>
        <w:t xml:space="preserve">                                              </w:t>
      </w:r>
      <w:r>
        <w:rPr>
          <w:rFonts w:hAnsi="宋体"/>
          <w:color w:val="auto"/>
          <w:sz w:val="24"/>
          <w:highlight w:val="none"/>
        </w:rPr>
        <w:t>；</w:t>
      </w:r>
    </w:p>
    <w:p>
      <w:pPr>
        <w:spacing w:line="440" w:lineRule="exact"/>
        <w:ind w:firstLine="480" w:firstLineChars="200"/>
        <w:rPr>
          <w:rFonts w:hint="eastAsia" w:hAnsi="宋体"/>
          <w:color w:val="auto"/>
          <w:sz w:val="24"/>
          <w:highlight w:val="none"/>
        </w:rPr>
      </w:pPr>
      <w:r>
        <w:rPr>
          <w:rFonts w:hAnsi="宋体"/>
          <w:color w:val="auto"/>
          <w:sz w:val="24"/>
          <w:highlight w:val="none"/>
        </w:rPr>
        <w:t>通信地址：</w:t>
      </w:r>
      <w:r>
        <w:rPr>
          <w:rFonts w:hint="eastAsia" w:hAnsi="宋体" w:cs="宋体"/>
          <w:color w:val="auto"/>
          <w:sz w:val="24"/>
          <w:highlight w:val="none"/>
          <w:u w:val="single"/>
        </w:rPr>
        <w:t xml:space="preserve">                                              </w:t>
      </w:r>
      <w:r>
        <w:rPr>
          <w:rFonts w:hAnsi="宋体"/>
          <w:color w:val="auto"/>
          <w:sz w:val="24"/>
          <w:highlight w:val="none"/>
        </w:rPr>
        <w:t>。</w:t>
      </w:r>
    </w:p>
    <w:p>
      <w:pPr>
        <w:spacing w:line="440" w:lineRule="exact"/>
        <w:ind w:firstLine="480" w:firstLineChars="200"/>
        <w:rPr>
          <w:rFonts w:hAnsi="宋体"/>
          <w:color w:val="auto"/>
          <w:sz w:val="24"/>
          <w:highlight w:val="none"/>
        </w:rPr>
      </w:pPr>
      <w:r>
        <w:rPr>
          <w:rFonts w:hAnsi="宋体"/>
          <w:color w:val="auto"/>
          <w:sz w:val="24"/>
          <w:highlight w:val="none"/>
        </w:rPr>
        <w:t>1.1.3 工程和设备</w:t>
      </w:r>
    </w:p>
    <w:p>
      <w:pPr>
        <w:spacing w:line="440" w:lineRule="exact"/>
        <w:ind w:firstLine="480" w:firstLineChars="200"/>
        <w:rPr>
          <w:rFonts w:hAnsi="宋体"/>
          <w:color w:val="auto"/>
          <w:sz w:val="24"/>
          <w:highlight w:val="none"/>
          <w:u w:val="single"/>
        </w:rPr>
      </w:pPr>
      <w:r>
        <w:rPr>
          <w:rFonts w:hAnsi="宋体"/>
          <w:color w:val="auto"/>
          <w:sz w:val="24"/>
          <w:highlight w:val="none"/>
        </w:rPr>
        <w:t>1.1.3.7 作为施工现场组成部分的其他场所包括：</w:t>
      </w:r>
      <w:r>
        <w:rPr>
          <w:rFonts w:hint="eastAsia" w:hAnsi="宋体"/>
          <w:color w:val="auto"/>
          <w:sz w:val="24"/>
          <w:highlight w:val="none"/>
          <w:u w:val="single"/>
        </w:rPr>
        <w:t xml:space="preserve">        </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rPr>
        <w:t>。</w:t>
      </w:r>
    </w:p>
    <w:p>
      <w:pPr>
        <w:spacing w:line="440" w:lineRule="exact"/>
        <w:ind w:firstLine="480" w:firstLineChars="200"/>
        <w:rPr>
          <w:rFonts w:hAnsi="宋体"/>
          <w:color w:val="auto"/>
          <w:kern w:val="0"/>
          <w:sz w:val="24"/>
          <w:highlight w:val="none"/>
        </w:rPr>
      </w:pPr>
      <w:r>
        <w:rPr>
          <w:rFonts w:hAnsi="宋体"/>
          <w:color w:val="auto"/>
          <w:kern w:val="0"/>
          <w:sz w:val="24"/>
          <w:highlight w:val="none"/>
        </w:rPr>
        <w:t>1.1.3.9 永久占地包括：</w:t>
      </w:r>
      <w:r>
        <w:rPr>
          <w:rFonts w:hint="eastAsia" w:hAnsi="宋体" w:cs="宋体"/>
          <w:color w:val="auto"/>
          <w:sz w:val="24"/>
          <w:highlight w:val="none"/>
          <w:u w:val="single"/>
        </w:rPr>
        <w:t xml:space="preserve">                                   </w:t>
      </w:r>
      <w:r>
        <w:rPr>
          <w:rFonts w:hAnsi="宋体"/>
          <w:color w:val="auto"/>
          <w:kern w:val="0"/>
          <w:sz w:val="24"/>
          <w:highlight w:val="none"/>
        </w:rPr>
        <w:t>。</w:t>
      </w:r>
    </w:p>
    <w:p>
      <w:pPr>
        <w:spacing w:line="440" w:lineRule="exact"/>
        <w:ind w:firstLine="480" w:firstLineChars="200"/>
        <w:rPr>
          <w:rFonts w:hAnsi="宋体"/>
          <w:color w:val="auto"/>
          <w:sz w:val="24"/>
          <w:highlight w:val="none"/>
        </w:rPr>
      </w:pPr>
      <w:r>
        <w:rPr>
          <w:rFonts w:hAnsi="宋体"/>
          <w:color w:val="auto"/>
          <w:kern w:val="0"/>
          <w:sz w:val="24"/>
          <w:highlight w:val="none"/>
        </w:rPr>
        <w:t>1.1.3.10 临时占地包括：</w:t>
      </w:r>
      <w:r>
        <w:rPr>
          <w:rFonts w:hint="eastAsia" w:hAnsi="宋体" w:cs="宋体"/>
          <w:color w:val="auto"/>
          <w:sz w:val="24"/>
          <w:highlight w:val="none"/>
          <w:u w:val="single"/>
        </w:rPr>
        <w:t xml:space="preserve">                                  </w:t>
      </w:r>
      <w:r>
        <w:rPr>
          <w:rFonts w:hAnsi="宋体"/>
          <w:color w:val="auto"/>
          <w:kern w:val="0"/>
          <w:sz w:val="24"/>
          <w:highlight w:val="none"/>
        </w:rPr>
        <w:t>。</w:t>
      </w:r>
    </w:p>
    <w:p>
      <w:pPr>
        <w:spacing w:line="440" w:lineRule="exact"/>
        <w:ind w:firstLine="480" w:firstLineChars="200"/>
        <w:rPr>
          <w:rFonts w:hAnsi="宋体"/>
          <w:color w:val="auto"/>
          <w:sz w:val="24"/>
          <w:highlight w:val="none"/>
        </w:rPr>
      </w:pPr>
      <w:r>
        <w:rPr>
          <w:rFonts w:hAnsi="宋体"/>
          <w:color w:val="auto"/>
          <w:sz w:val="24"/>
          <w:highlight w:val="none"/>
        </w:rPr>
        <w:t xml:space="preserve">1.3法律 </w:t>
      </w:r>
    </w:p>
    <w:p>
      <w:pPr>
        <w:adjustRightInd/>
        <w:spacing w:line="400" w:lineRule="exact"/>
        <w:ind w:firstLine="475" w:firstLineChars="198"/>
        <w:rPr>
          <w:rFonts w:ascii="宋体" w:hAnsi="宋体" w:cs="宋体"/>
          <w:b/>
          <w:bCs/>
          <w:color w:val="auto"/>
          <w:sz w:val="24"/>
          <w:szCs w:val="24"/>
          <w:highlight w:val="none"/>
          <w:u w:val="single"/>
        </w:rPr>
      </w:pPr>
      <w:r>
        <w:rPr>
          <w:rFonts w:hAnsi="宋体"/>
          <w:color w:val="auto"/>
          <w:sz w:val="24"/>
          <w:highlight w:val="none"/>
        </w:rPr>
        <w:t>适用于合同的其他规范性文件：</w:t>
      </w:r>
      <w:r>
        <w:rPr>
          <w:rFonts w:hint="eastAsia" w:ascii="宋体" w:hAnsi="宋体" w:cs="宋体"/>
          <w:b/>
          <w:bCs/>
          <w:color w:val="auto"/>
          <w:sz w:val="24"/>
          <w:szCs w:val="24"/>
          <w:highlight w:val="none"/>
          <w:u w:val="single"/>
        </w:rPr>
        <w:t>1.3.1  杭州市建设工程工程量清单计价实施细则》(杭建市发〔2018〕578号)；</w:t>
      </w:r>
    </w:p>
    <w:p>
      <w:pPr>
        <w:adjustRightInd/>
        <w:spacing w:line="400" w:lineRule="exact"/>
        <w:ind w:firstLine="477" w:firstLineChars="198"/>
        <w:rPr>
          <w:rFonts w:ascii="宋体" w:hAnsi="宋体" w:cs="宋体"/>
          <w:b/>
          <w:bCs/>
          <w:color w:val="auto"/>
          <w:sz w:val="24"/>
          <w:szCs w:val="24"/>
          <w:highlight w:val="none"/>
          <w:u w:val="single"/>
        </w:rPr>
      </w:pPr>
      <w:r>
        <w:rPr>
          <w:rFonts w:hint="eastAsia" w:ascii="宋体" w:hAnsi="宋体" w:cs="宋体"/>
          <w:b/>
          <w:bCs/>
          <w:color w:val="auto"/>
          <w:sz w:val="24"/>
          <w:szCs w:val="24"/>
          <w:highlight w:val="none"/>
          <w:u w:val="single"/>
        </w:rPr>
        <w:t>1.3.2  《关于进一步加强杭州市建设工程市场要素价格动态管理的指导意见》（杭建市发〔2018〕579号）；</w:t>
      </w:r>
    </w:p>
    <w:p>
      <w:pPr>
        <w:adjustRightInd/>
        <w:spacing w:line="400" w:lineRule="exact"/>
        <w:ind w:firstLine="477" w:firstLineChars="198"/>
        <w:rPr>
          <w:rFonts w:ascii="宋体" w:hAnsi="宋体" w:cs="宋体"/>
          <w:b/>
          <w:bCs/>
          <w:color w:val="auto"/>
          <w:sz w:val="24"/>
          <w:szCs w:val="24"/>
          <w:highlight w:val="none"/>
          <w:u w:val="single"/>
        </w:rPr>
      </w:pPr>
      <w:r>
        <w:rPr>
          <w:rFonts w:hint="eastAsia" w:ascii="宋体" w:hAnsi="宋体" w:cs="宋体"/>
          <w:b/>
          <w:bCs/>
          <w:color w:val="auto"/>
          <w:sz w:val="24"/>
          <w:szCs w:val="24"/>
          <w:highlight w:val="none"/>
          <w:u w:val="single"/>
        </w:rPr>
        <w:t>1.3.3  省市建设行政部门颁发的其他现行有效文件(包括但不仅限于以下文件)：</w:t>
      </w:r>
    </w:p>
    <w:p>
      <w:pPr>
        <w:adjustRightInd/>
        <w:spacing w:line="400" w:lineRule="exact"/>
        <w:ind w:firstLine="477" w:firstLineChars="198"/>
        <w:rPr>
          <w:rFonts w:ascii="宋体" w:hAnsi="宋体" w:cs="宋体"/>
          <w:b/>
          <w:bCs/>
          <w:color w:val="auto"/>
          <w:sz w:val="24"/>
          <w:szCs w:val="24"/>
          <w:highlight w:val="none"/>
          <w:u w:val="single"/>
        </w:rPr>
      </w:pPr>
      <w:r>
        <w:rPr>
          <w:rFonts w:hint="eastAsia" w:ascii="宋体" w:hAnsi="宋体" w:cs="宋体"/>
          <w:b/>
          <w:bCs/>
          <w:color w:val="auto"/>
          <w:sz w:val="24"/>
          <w:szCs w:val="24"/>
          <w:highlight w:val="none"/>
          <w:u w:val="single"/>
        </w:rPr>
        <w:t>（1）《关于转发省建设厅&lt;关于进一步加强建筑施工领域企业安全生产工作的实施意见&gt;的通知》（杭建工发〔2011〕130号）；</w:t>
      </w:r>
    </w:p>
    <w:p>
      <w:pPr>
        <w:adjustRightInd/>
        <w:spacing w:line="400" w:lineRule="exact"/>
        <w:ind w:firstLine="477" w:firstLineChars="198"/>
        <w:rPr>
          <w:rFonts w:ascii="宋体" w:hAnsi="宋体" w:cs="宋体"/>
          <w:b/>
          <w:bCs/>
          <w:color w:val="auto"/>
          <w:sz w:val="24"/>
          <w:szCs w:val="24"/>
          <w:highlight w:val="none"/>
          <w:u w:val="single"/>
        </w:rPr>
      </w:pPr>
      <w:r>
        <w:rPr>
          <w:rFonts w:hint="eastAsia" w:ascii="宋体" w:hAnsi="宋体" w:cs="宋体"/>
          <w:b/>
          <w:bCs/>
          <w:color w:val="auto"/>
          <w:sz w:val="24"/>
          <w:szCs w:val="24"/>
          <w:highlight w:val="none"/>
          <w:u w:val="single"/>
        </w:rPr>
        <w:t>（2）《关于进一步加强建设工程安全质量物联网管理应用平台建设的通知》（杭建工发〔2012〕426号）；</w:t>
      </w:r>
    </w:p>
    <w:p>
      <w:pPr>
        <w:adjustRightInd/>
        <w:spacing w:line="400" w:lineRule="exact"/>
        <w:ind w:firstLine="477" w:firstLineChars="198"/>
        <w:rPr>
          <w:rFonts w:ascii="宋体" w:hAnsi="宋体" w:cs="宋体"/>
          <w:b/>
          <w:bCs/>
          <w:color w:val="auto"/>
          <w:sz w:val="24"/>
          <w:szCs w:val="24"/>
          <w:highlight w:val="none"/>
          <w:u w:val="single"/>
        </w:rPr>
      </w:pPr>
      <w:r>
        <w:rPr>
          <w:rFonts w:hint="eastAsia" w:ascii="宋体" w:hAnsi="宋体" w:cs="宋体"/>
          <w:b/>
          <w:bCs/>
          <w:color w:val="auto"/>
          <w:sz w:val="24"/>
          <w:szCs w:val="24"/>
          <w:highlight w:val="none"/>
          <w:u w:val="single"/>
        </w:rPr>
        <w:t>（3）《关于开展建筑工程扬尘在线监测设施安装工作的通知》（杭建工〔2019〕103号）；</w:t>
      </w:r>
    </w:p>
    <w:p>
      <w:pPr>
        <w:adjustRightInd/>
        <w:spacing w:line="400" w:lineRule="exact"/>
        <w:ind w:firstLine="477" w:firstLineChars="198"/>
        <w:rPr>
          <w:rFonts w:ascii="宋体" w:hAnsi="宋体" w:cs="宋体"/>
          <w:b/>
          <w:bCs/>
          <w:color w:val="auto"/>
          <w:sz w:val="24"/>
          <w:szCs w:val="24"/>
          <w:highlight w:val="none"/>
          <w:u w:val="single"/>
        </w:rPr>
      </w:pPr>
      <w:r>
        <w:rPr>
          <w:rFonts w:hint="eastAsia" w:ascii="宋体" w:hAnsi="宋体" w:cs="宋体"/>
          <w:b/>
          <w:bCs/>
          <w:color w:val="auto"/>
          <w:sz w:val="24"/>
          <w:szCs w:val="24"/>
          <w:highlight w:val="none"/>
          <w:u w:val="single"/>
        </w:rPr>
        <w:t>（4）《关于巩固G20杭州峰会成果进一步加强建设工程文明施工管理的若干意见》（杭建工发〔2017〕112号）；</w:t>
      </w:r>
    </w:p>
    <w:p>
      <w:pPr>
        <w:adjustRightInd/>
        <w:spacing w:line="400" w:lineRule="exact"/>
        <w:ind w:firstLine="477" w:firstLineChars="198"/>
        <w:rPr>
          <w:rFonts w:ascii="宋体" w:hAnsi="宋体" w:cs="宋体"/>
          <w:b/>
          <w:bCs/>
          <w:color w:val="auto"/>
          <w:sz w:val="24"/>
          <w:szCs w:val="24"/>
          <w:highlight w:val="none"/>
          <w:u w:val="single"/>
        </w:rPr>
      </w:pPr>
      <w:r>
        <w:rPr>
          <w:rFonts w:hint="eastAsia" w:ascii="宋体" w:hAnsi="宋体" w:cs="宋体"/>
          <w:b/>
          <w:bCs/>
          <w:color w:val="auto"/>
          <w:sz w:val="24"/>
          <w:szCs w:val="24"/>
          <w:highlight w:val="none"/>
          <w:u w:val="single"/>
        </w:rPr>
        <w:t>（5）《杭州市建设领域农民工“无欠薪”管理实施细则（试行）》（杭建市〔2018〕161号）；</w:t>
      </w:r>
    </w:p>
    <w:p>
      <w:pPr>
        <w:adjustRightInd/>
        <w:spacing w:line="400" w:lineRule="exact"/>
        <w:ind w:firstLine="477" w:firstLineChars="198"/>
        <w:rPr>
          <w:rFonts w:hint="eastAsia" w:ascii="宋体" w:hAnsi="宋体" w:cs="宋体"/>
          <w:b/>
          <w:bCs/>
          <w:color w:val="auto"/>
          <w:sz w:val="24"/>
          <w:szCs w:val="24"/>
          <w:highlight w:val="none"/>
          <w:u w:val="single"/>
        </w:rPr>
      </w:pPr>
      <w:r>
        <w:rPr>
          <w:rFonts w:hint="eastAsia" w:ascii="宋体" w:hAnsi="宋体" w:cs="宋体"/>
          <w:b/>
          <w:bCs/>
          <w:color w:val="auto"/>
          <w:sz w:val="24"/>
          <w:szCs w:val="24"/>
          <w:highlight w:val="none"/>
        </w:rPr>
        <w:t>（6）其他：</w:t>
      </w:r>
      <w:r>
        <w:rPr>
          <w:rFonts w:hint="eastAsia" w:ascii="宋体" w:hAnsi="宋体" w:cs="宋体"/>
          <w:b/>
          <w:bCs/>
          <w:color w:val="auto"/>
          <w:sz w:val="24"/>
          <w:szCs w:val="24"/>
          <w:highlight w:val="none"/>
          <w:u w:val="single"/>
        </w:rPr>
        <w:t xml:space="preserve"> 《中华人民共和国</w:t>
      </w:r>
      <w:r>
        <w:rPr>
          <w:rFonts w:hint="eastAsia" w:ascii="宋体" w:hAnsi="宋体" w:cs="宋体"/>
          <w:b/>
          <w:bCs/>
          <w:color w:val="auto"/>
          <w:sz w:val="24"/>
          <w:szCs w:val="24"/>
          <w:highlight w:val="none"/>
          <w:u w:val="single"/>
          <w:lang w:eastAsia="zh-CN"/>
        </w:rPr>
        <w:t>民法典</w:t>
      </w:r>
      <w:r>
        <w:rPr>
          <w:rFonts w:hint="eastAsia" w:ascii="宋体" w:hAnsi="宋体" w:cs="宋体"/>
          <w:b/>
          <w:bCs/>
          <w:color w:val="auto"/>
          <w:sz w:val="24"/>
          <w:szCs w:val="24"/>
          <w:highlight w:val="none"/>
          <w:u w:val="single"/>
        </w:rPr>
        <w:t>》、《中华人民共和国招标投标法》、《浙江省建设工程计价规则》、中华人民共和国《建设工程安全生产管理条例》《建设工程质量检验评定标准》等国家现行法律法规及省、杭州市、临安区颁发的相关规范性文件。</w:t>
      </w:r>
    </w:p>
    <w:p>
      <w:pPr>
        <w:adjustRightInd/>
        <w:spacing w:line="400" w:lineRule="exact"/>
        <w:ind w:firstLine="477" w:firstLineChars="198"/>
        <w:rPr>
          <w:rFonts w:ascii="宋体" w:hAnsi="宋体" w:cs="宋体"/>
          <w:b/>
          <w:bCs/>
          <w:color w:val="auto"/>
          <w:sz w:val="24"/>
          <w:szCs w:val="24"/>
          <w:highlight w:val="none"/>
        </w:rPr>
      </w:pPr>
      <w:r>
        <w:rPr>
          <w:rFonts w:hint="eastAsia" w:ascii="宋体" w:hAnsi="宋体" w:cs="宋体"/>
          <w:b/>
          <w:bCs/>
          <w:color w:val="auto"/>
          <w:sz w:val="24"/>
          <w:szCs w:val="24"/>
          <w:highlight w:val="none"/>
        </w:rPr>
        <w:t>1.3.4  新工艺、新技术的约定：</w:t>
      </w:r>
      <w:r>
        <w:rPr>
          <w:rFonts w:hint="eastAsia" w:ascii="宋体" w:hAnsi="宋体" w:cs="宋体"/>
          <w:b/>
          <w:bCs/>
          <w:color w:val="auto"/>
          <w:sz w:val="24"/>
          <w:szCs w:val="24"/>
          <w:highlight w:val="none"/>
          <w:u w:val="single"/>
        </w:rPr>
        <w:t xml:space="preserve">                        </w:t>
      </w:r>
      <w:r>
        <w:rPr>
          <w:rFonts w:hint="eastAsia" w:ascii="宋体" w:hAnsi="宋体" w:cs="宋体"/>
          <w:b/>
          <w:bCs/>
          <w:color w:val="auto"/>
          <w:sz w:val="24"/>
          <w:szCs w:val="24"/>
          <w:highlight w:val="none"/>
        </w:rPr>
        <w:t>。</w:t>
      </w:r>
    </w:p>
    <w:p>
      <w:pPr>
        <w:adjustRightInd/>
        <w:spacing w:line="400" w:lineRule="exact"/>
        <w:ind w:firstLine="477" w:firstLineChars="198"/>
        <w:rPr>
          <w:rFonts w:ascii="宋体" w:hAnsi="宋体" w:cs="宋体"/>
          <w:b/>
          <w:bCs/>
          <w:color w:val="auto"/>
          <w:sz w:val="24"/>
          <w:szCs w:val="24"/>
          <w:highlight w:val="none"/>
        </w:rPr>
      </w:pPr>
      <w:r>
        <w:rPr>
          <w:rFonts w:hint="eastAsia" w:ascii="宋体" w:hAnsi="宋体" w:cs="宋体"/>
          <w:b/>
          <w:bCs/>
          <w:color w:val="auto"/>
          <w:sz w:val="24"/>
          <w:szCs w:val="24"/>
          <w:highlight w:val="none"/>
        </w:rPr>
        <w:t>1.3.5  其他</w:t>
      </w:r>
      <w:r>
        <w:rPr>
          <w:rFonts w:hint="eastAsia" w:ascii="宋体" w:hAnsi="宋体" w:cs="宋体"/>
          <w:b/>
          <w:bCs/>
          <w:color w:val="auto"/>
          <w:sz w:val="24"/>
          <w:szCs w:val="24"/>
          <w:highlight w:val="none"/>
          <w:u w:val="single"/>
        </w:rPr>
        <w:t xml:space="preserve">                                       </w:t>
      </w:r>
      <w:r>
        <w:rPr>
          <w:rFonts w:hint="eastAsia" w:ascii="宋体" w:hAnsi="宋体" w:cs="宋体"/>
          <w:b/>
          <w:bCs/>
          <w:color w:val="auto"/>
          <w:sz w:val="24"/>
          <w:szCs w:val="24"/>
          <w:highlight w:val="none"/>
        </w:rPr>
        <w:t>。</w:t>
      </w:r>
    </w:p>
    <w:p>
      <w:pPr>
        <w:autoSpaceDE w:val="0"/>
        <w:autoSpaceDN w:val="0"/>
        <w:adjustRightInd w:val="0"/>
        <w:spacing w:line="440" w:lineRule="exact"/>
        <w:ind w:firstLine="480" w:firstLineChars="200"/>
        <w:rPr>
          <w:rFonts w:hAnsi="宋体"/>
          <w:color w:val="auto"/>
          <w:sz w:val="24"/>
          <w:highlight w:val="none"/>
        </w:rPr>
      </w:pPr>
      <w:r>
        <w:rPr>
          <w:rFonts w:hAnsi="宋体"/>
          <w:color w:val="auto"/>
          <w:sz w:val="24"/>
          <w:highlight w:val="none"/>
        </w:rPr>
        <w:t>1.4 标准和规范</w:t>
      </w:r>
    </w:p>
    <w:p>
      <w:pPr>
        <w:spacing w:line="420" w:lineRule="exact"/>
        <w:ind w:firstLine="480" w:firstLineChars="200"/>
        <w:rPr>
          <w:rFonts w:hint="eastAsia" w:hAnsi="宋体" w:cs="宋体"/>
          <w:color w:val="auto"/>
          <w:sz w:val="24"/>
          <w:highlight w:val="none"/>
        </w:rPr>
      </w:pPr>
      <w:r>
        <w:rPr>
          <w:rFonts w:hAnsi="宋体"/>
          <w:color w:val="auto"/>
          <w:sz w:val="24"/>
          <w:highlight w:val="none"/>
        </w:rPr>
        <w:t>1.4.1适用于工程的标准规范包括：</w:t>
      </w:r>
      <w:r>
        <w:rPr>
          <w:rFonts w:hint="eastAsia" w:hAnsi="宋体" w:cs="宋体"/>
          <w:b/>
          <w:bCs/>
          <w:color w:val="auto"/>
          <w:sz w:val="24"/>
          <w:highlight w:val="none"/>
          <w:u w:val="single"/>
        </w:rPr>
        <w:t>（1）按通用条款约定；</w:t>
      </w:r>
    </w:p>
    <w:p>
      <w:pPr>
        <w:spacing w:line="440" w:lineRule="exact"/>
        <w:ind w:firstLine="480" w:firstLineChars="200"/>
        <w:rPr>
          <w:rFonts w:hAnsi="宋体"/>
          <w:color w:val="auto"/>
          <w:sz w:val="24"/>
          <w:highlight w:val="none"/>
          <w:u w:val="single"/>
        </w:rPr>
      </w:pPr>
      <w:r>
        <w:rPr>
          <w:rFonts w:hint="eastAsia" w:hAnsi="宋体"/>
          <w:color w:val="auto"/>
          <w:sz w:val="24"/>
          <w:highlight w:val="none"/>
          <w:u w:val="single"/>
        </w:rPr>
        <w:t>执行国家、省、市及行业现行的有关规范标准、规程。并按如下办法确定适用的标准、规范：“现行标准、规范及有关技术说明”与“合同图纸”之间出现歧义或矛盾时，施工质量要求或工艺标准以两者之间相对较高的为准。“合同图纸”不符合“现行标准，规范及有关技术说明”，承包人有义务及时向发包人提出；标准、规范及有关技术说明有出入的以严格的为准，颁布时间有前后的，以新的为准。</w:t>
      </w:r>
    </w:p>
    <w:p>
      <w:pPr>
        <w:spacing w:line="440" w:lineRule="exact"/>
        <w:ind w:firstLine="480" w:firstLineChars="200"/>
        <w:rPr>
          <w:rFonts w:hAnsi="宋体"/>
          <w:color w:val="auto"/>
          <w:kern w:val="0"/>
          <w:sz w:val="24"/>
          <w:highlight w:val="none"/>
        </w:rPr>
      </w:pPr>
      <w:r>
        <w:rPr>
          <w:rFonts w:hAnsi="宋体"/>
          <w:color w:val="auto"/>
          <w:kern w:val="0"/>
          <w:sz w:val="24"/>
          <w:highlight w:val="none"/>
        </w:rPr>
        <w:t>1.4.2 发包人提供国外标准、规范的名称：</w:t>
      </w:r>
      <w:r>
        <w:rPr>
          <w:rFonts w:hint="eastAsia" w:hAnsi="宋体"/>
          <w:color w:val="auto"/>
          <w:sz w:val="24"/>
          <w:highlight w:val="none"/>
          <w:u w:val="single"/>
        </w:rPr>
        <w:t xml:space="preserve">承包人自备      </w:t>
      </w:r>
      <w:r>
        <w:rPr>
          <w:rFonts w:hAnsi="宋体"/>
          <w:color w:val="auto"/>
          <w:kern w:val="0"/>
          <w:sz w:val="24"/>
          <w:highlight w:val="none"/>
        </w:rPr>
        <w:t>；</w:t>
      </w:r>
    </w:p>
    <w:p>
      <w:pPr>
        <w:spacing w:line="440" w:lineRule="exact"/>
        <w:ind w:firstLine="480" w:firstLineChars="200"/>
        <w:rPr>
          <w:rFonts w:hAnsi="宋体"/>
          <w:color w:val="auto"/>
          <w:kern w:val="0"/>
          <w:sz w:val="24"/>
          <w:highlight w:val="none"/>
        </w:rPr>
      </w:pPr>
      <w:r>
        <w:rPr>
          <w:rFonts w:hAnsi="宋体"/>
          <w:color w:val="auto"/>
          <w:kern w:val="0"/>
          <w:sz w:val="24"/>
          <w:highlight w:val="none"/>
        </w:rPr>
        <w:t>发包人提供国外标准、规范的份数：</w:t>
      </w:r>
      <w:r>
        <w:rPr>
          <w:rFonts w:hAnsi="宋体"/>
          <w:color w:val="auto"/>
          <w:kern w:val="0"/>
          <w:sz w:val="24"/>
          <w:highlight w:val="none"/>
          <w:u w:val="single"/>
        </w:rPr>
        <w:t xml:space="preserve">  </w:t>
      </w:r>
      <w:r>
        <w:rPr>
          <w:rFonts w:hint="eastAsia" w:hAnsi="宋体"/>
          <w:color w:val="auto"/>
          <w:sz w:val="24"/>
          <w:highlight w:val="none"/>
          <w:u w:val="single"/>
        </w:rPr>
        <w:t>承包人自备</w:t>
      </w:r>
      <w:r>
        <w:rPr>
          <w:rFonts w:hint="eastAsia" w:hAnsi="宋体"/>
          <w:color w:val="auto"/>
          <w:kern w:val="0"/>
          <w:sz w:val="24"/>
          <w:highlight w:val="none"/>
          <w:u w:val="single"/>
        </w:rPr>
        <w:t xml:space="preserve"> </w:t>
      </w:r>
      <w:r>
        <w:rPr>
          <w:rFonts w:hAnsi="宋体"/>
          <w:color w:val="auto"/>
          <w:kern w:val="0"/>
          <w:sz w:val="24"/>
          <w:highlight w:val="none"/>
          <w:u w:val="single"/>
        </w:rPr>
        <w:t xml:space="preserve">     </w:t>
      </w:r>
      <w:r>
        <w:rPr>
          <w:rFonts w:hAnsi="宋体"/>
          <w:color w:val="auto"/>
          <w:kern w:val="0"/>
          <w:sz w:val="24"/>
          <w:highlight w:val="none"/>
        </w:rPr>
        <w:t>；</w:t>
      </w:r>
    </w:p>
    <w:p>
      <w:pPr>
        <w:spacing w:line="440" w:lineRule="exact"/>
        <w:ind w:firstLine="480" w:firstLineChars="200"/>
        <w:rPr>
          <w:rFonts w:hAnsi="宋体"/>
          <w:color w:val="auto"/>
          <w:sz w:val="24"/>
          <w:highlight w:val="none"/>
        </w:rPr>
      </w:pPr>
      <w:r>
        <w:rPr>
          <w:rFonts w:hAnsi="宋体"/>
          <w:color w:val="auto"/>
          <w:kern w:val="0"/>
          <w:sz w:val="24"/>
          <w:highlight w:val="none"/>
        </w:rPr>
        <w:t>发包人提供国外标准、规范的</w:t>
      </w:r>
      <w:r>
        <w:rPr>
          <w:rFonts w:hint="eastAsia" w:hAnsi="宋体"/>
          <w:color w:val="auto"/>
          <w:kern w:val="0"/>
          <w:sz w:val="24"/>
          <w:highlight w:val="none"/>
        </w:rPr>
        <w:t>时间</w:t>
      </w:r>
      <w:r>
        <w:rPr>
          <w:rFonts w:hAnsi="宋体"/>
          <w:color w:val="auto"/>
          <w:kern w:val="0"/>
          <w:sz w:val="24"/>
          <w:highlight w:val="none"/>
        </w:rPr>
        <w:t>：</w:t>
      </w:r>
      <w:r>
        <w:rPr>
          <w:rFonts w:hint="eastAsia" w:hAnsi="宋体"/>
          <w:color w:val="auto"/>
          <w:kern w:val="0"/>
          <w:sz w:val="24"/>
          <w:highlight w:val="none"/>
          <w:u w:val="single"/>
        </w:rPr>
        <w:t xml:space="preserve">  </w:t>
      </w:r>
      <w:r>
        <w:rPr>
          <w:rFonts w:hint="eastAsia" w:hAnsi="宋体"/>
          <w:color w:val="auto"/>
          <w:sz w:val="24"/>
          <w:highlight w:val="none"/>
          <w:u w:val="single"/>
        </w:rPr>
        <w:t>承包人自备</w:t>
      </w:r>
      <w:r>
        <w:rPr>
          <w:rFonts w:hAnsi="宋体"/>
          <w:color w:val="auto"/>
          <w:kern w:val="0"/>
          <w:sz w:val="24"/>
          <w:highlight w:val="none"/>
          <w:u w:val="single"/>
        </w:rPr>
        <w:t xml:space="preserve">  </w:t>
      </w:r>
      <w:r>
        <w:rPr>
          <w:rFonts w:hint="eastAsia" w:hAnsi="宋体"/>
          <w:color w:val="auto"/>
          <w:kern w:val="0"/>
          <w:sz w:val="24"/>
          <w:highlight w:val="none"/>
          <w:u w:val="single"/>
        </w:rPr>
        <w:t xml:space="preserve">  </w:t>
      </w:r>
      <w:r>
        <w:rPr>
          <w:rFonts w:hAnsi="宋体"/>
          <w:color w:val="auto"/>
          <w:kern w:val="0"/>
          <w:sz w:val="24"/>
          <w:highlight w:val="none"/>
          <w:u w:val="single"/>
        </w:rPr>
        <w:t xml:space="preserve">   </w:t>
      </w:r>
      <w:r>
        <w:rPr>
          <w:rFonts w:hAnsi="宋体"/>
          <w:color w:val="auto"/>
          <w:kern w:val="0"/>
          <w:sz w:val="24"/>
          <w:highlight w:val="none"/>
        </w:rPr>
        <w:t>。</w:t>
      </w:r>
    </w:p>
    <w:p>
      <w:pPr>
        <w:pStyle w:val="2"/>
        <w:snapToGrid w:val="0"/>
        <w:spacing w:line="440" w:lineRule="exact"/>
        <w:ind w:firstLine="480"/>
        <w:outlineLvl w:val="0"/>
        <w:rPr>
          <w:rFonts w:hint="eastAsia"/>
          <w:color w:val="auto"/>
          <w:highlight w:val="none"/>
          <w:u w:val="single"/>
        </w:rPr>
      </w:pPr>
      <w:r>
        <w:rPr>
          <w:color w:val="auto"/>
          <w:sz w:val="24"/>
          <w:szCs w:val="24"/>
          <w:highlight w:val="none"/>
        </w:rPr>
        <w:t>1.4.3发包人对工程的技术标准和功能要求的特殊要求</w:t>
      </w:r>
      <w:r>
        <w:rPr>
          <w:rFonts w:hint="eastAsia"/>
          <w:color w:val="auto"/>
          <w:sz w:val="24"/>
          <w:szCs w:val="24"/>
          <w:highlight w:val="none"/>
        </w:rPr>
        <w:t>：</w:t>
      </w:r>
      <w:r>
        <w:rPr>
          <w:rFonts w:hint="eastAsia"/>
          <w:color w:val="auto"/>
          <w:sz w:val="24"/>
          <w:szCs w:val="24"/>
          <w:highlight w:val="none"/>
          <w:u w:val="single"/>
        </w:rPr>
        <w:t>由承包人、设计人、监理单位、发包人共同商定，报质监部门认可</w:t>
      </w:r>
      <w:r>
        <w:rPr>
          <w:rFonts w:hint="eastAsia"/>
          <w:bCs/>
          <w:color w:val="auto"/>
          <w:sz w:val="24"/>
          <w:szCs w:val="24"/>
          <w:highlight w:val="none"/>
          <w:u w:val="single"/>
        </w:rPr>
        <w:t xml:space="preserve"> 。</w:t>
      </w:r>
      <w:r>
        <w:rPr>
          <w:color w:val="auto"/>
          <w:sz w:val="24"/>
          <w:szCs w:val="24"/>
          <w:highlight w:val="none"/>
          <w:u w:val="single"/>
        </w:rPr>
        <w:t xml:space="preserve"> </w:t>
      </w:r>
    </w:p>
    <w:p>
      <w:pPr>
        <w:spacing w:line="440" w:lineRule="exact"/>
        <w:ind w:firstLine="480" w:firstLineChars="200"/>
        <w:rPr>
          <w:rFonts w:hAnsi="宋体"/>
          <w:color w:val="auto"/>
          <w:sz w:val="24"/>
          <w:highlight w:val="none"/>
        </w:rPr>
      </w:pPr>
      <w:r>
        <w:rPr>
          <w:rFonts w:hAnsi="宋体"/>
          <w:color w:val="auto"/>
          <w:sz w:val="24"/>
          <w:highlight w:val="none"/>
        </w:rPr>
        <w:t>1.5 合同文件的优先顺序</w:t>
      </w:r>
    </w:p>
    <w:p>
      <w:pPr>
        <w:autoSpaceDE w:val="0"/>
        <w:autoSpaceDN w:val="0"/>
        <w:adjustRightInd w:val="0"/>
        <w:spacing w:line="440" w:lineRule="exact"/>
        <w:ind w:firstLine="480" w:firstLineChars="200"/>
        <w:rPr>
          <w:rFonts w:hint="eastAsia" w:hAnsi="宋体"/>
          <w:color w:val="auto"/>
          <w:kern w:val="0"/>
          <w:sz w:val="24"/>
          <w:highlight w:val="none"/>
          <w:u w:val="single"/>
        </w:rPr>
      </w:pPr>
      <w:r>
        <w:rPr>
          <w:color w:val="auto"/>
          <w:sz w:val="24"/>
          <w:highlight w:val="none"/>
        </w:rPr>
        <w:t>合同文件组成及优先顺序为：</w:t>
      </w:r>
      <w:r>
        <w:rPr>
          <w:rFonts w:hint="eastAsia" w:hAnsi="宋体"/>
          <w:color w:val="auto"/>
          <w:kern w:val="0"/>
          <w:sz w:val="24"/>
          <w:highlight w:val="none"/>
          <w:u w:val="single"/>
        </w:rPr>
        <w:t xml:space="preserve">（1）合同协议书；（2）中标通知书；（3）投标函及其附录（如果有）；（4）专用合同条款及其附件；（5）通用合同条款；（6）技术标准和要求；（7）图纸；（8）已标价工程量清单或预算书；（9）其他合同文件：①施工组织设计；②其他：     </w:t>
      </w:r>
    </w:p>
    <w:p>
      <w:pPr>
        <w:spacing w:line="440" w:lineRule="exact"/>
        <w:ind w:firstLine="480" w:firstLineChars="200"/>
        <w:rPr>
          <w:color w:val="auto"/>
          <w:sz w:val="24"/>
          <w:highlight w:val="none"/>
        </w:rPr>
      </w:pPr>
      <w:r>
        <w:rPr>
          <w:color w:val="auto"/>
          <w:sz w:val="24"/>
          <w:highlight w:val="none"/>
        </w:rPr>
        <w:t>1.6 图纸和承包人文件</w:t>
      </w:r>
      <w:r>
        <w:rPr>
          <w:color w:val="auto"/>
          <w:sz w:val="24"/>
          <w:highlight w:val="none"/>
        </w:rPr>
        <w:tab/>
      </w:r>
    </w:p>
    <w:p>
      <w:pPr>
        <w:spacing w:line="440" w:lineRule="exact"/>
        <w:ind w:firstLine="480" w:firstLineChars="200"/>
        <w:rPr>
          <w:rFonts w:hAnsi="宋体"/>
          <w:color w:val="auto"/>
          <w:sz w:val="24"/>
          <w:highlight w:val="none"/>
        </w:rPr>
      </w:pPr>
      <w:r>
        <w:rPr>
          <w:rFonts w:hAnsi="宋体"/>
          <w:color w:val="auto"/>
          <w:sz w:val="24"/>
          <w:highlight w:val="none"/>
        </w:rPr>
        <w:t>1.6.1 图纸的提供</w:t>
      </w:r>
    </w:p>
    <w:p>
      <w:pPr>
        <w:pStyle w:val="2"/>
        <w:snapToGrid w:val="0"/>
        <w:spacing w:line="440" w:lineRule="exact"/>
        <w:ind w:firstLine="480"/>
        <w:rPr>
          <w:rFonts w:hint="eastAsia"/>
          <w:color w:val="auto"/>
          <w:sz w:val="24"/>
          <w:szCs w:val="24"/>
          <w:highlight w:val="none"/>
          <w:u w:val="single"/>
        </w:rPr>
      </w:pPr>
      <w:r>
        <w:rPr>
          <w:color w:val="auto"/>
          <w:sz w:val="24"/>
          <w:szCs w:val="24"/>
          <w:highlight w:val="none"/>
        </w:rPr>
        <w:t>发包人向承包人提供图纸的期限：</w:t>
      </w:r>
      <w:r>
        <w:rPr>
          <w:rFonts w:hint="eastAsia"/>
          <w:color w:val="auto"/>
          <w:sz w:val="24"/>
          <w:szCs w:val="24"/>
          <w:highlight w:val="none"/>
          <w:u w:val="single"/>
        </w:rPr>
        <w:t>合同签订后；</w:t>
      </w:r>
    </w:p>
    <w:p>
      <w:pPr>
        <w:spacing w:line="440" w:lineRule="exact"/>
        <w:ind w:firstLine="480" w:firstLineChars="200"/>
        <w:rPr>
          <w:rFonts w:hAnsi="宋体"/>
          <w:color w:val="auto"/>
          <w:sz w:val="24"/>
          <w:highlight w:val="none"/>
        </w:rPr>
      </w:pPr>
      <w:r>
        <w:rPr>
          <w:rFonts w:hAnsi="宋体"/>
          <w:color w:val="auto"/>
          <w:sz w:val="24"/>
          <w:highlight w:val="none"/>
        </w:rPr>
        <w:t>发包人向承包人提供图纸的数量：</w:t>
      </w:r>
      <w:r>
        <w:rPr>
          <w:rFonts w:hint="eastAsia" w:hAnsi="宋体"/>
          <w:color w:val="auto"/>
          <w:sz w:val="24"/>
          <w:highlight w:val="none"/>
          <w:u w:val="single"/>
        </w:rPr>
        <w:t>叁 套</w:t>
      </w:r>
      <w:r>
        <w:rPr>
          <w:rFonts w:hAnsi="宋体"/>
          <w:color w:val="auto"/>
          <w:sz w:val="24"/>
          <w:highlight w:val="none"/>
        </w:rPr>
        <w:t>；</w:t>
      </w:r>
    </w:p>
    <w:p>
      <w:pPr>
        <w:spacing w:line="440" w:lineRule="exact"/>
        <w:ind w:firstLine="480" w:firstLineChars="200"/>
        <w:rPr>
          <w:rFonts w:hAnsi="宋体"/>
          <w:color w:val="auto"/>
          <w:sz w:val="24"/>
          <w:highlight w:val="none"/>
        </w:rPr>
      </w:pPr>
      <w:r>
        <w:rPr>
          <w:rFonts w:hAnsi="宋体"/>
          <w:color w:val="auto"/>
          <w:sz w:val="24"/>
          <w:highlight w:val="none"/>
        </w:rPr>
        <w:t>发包人向承包人提供图纸的内容：</w:t>
      </w:r>
      <w:r>
        <w:rPr>
          <w:rFonts w:hint="eastAsia" w:hAnsi="宋体"/>
          <w:color w:val="auto"/>
          <w:sz w:val="24"/>
          <w:highlight w:val="none"/>
          <w:u w:val="single"/>
        </w:rPr>
        <w:t>施工图</w:t>
      </w:r>
      <w:r>
        <w:rPr>
          <w:rFonts w:hAnsi="宋体"/>
          <w:color w:val="auto"/>
          <w:sz w:val="24"/>
          <w:highlight w:val="none"/>
        </w:rPr>
        <w:t>。</w:t>
      </w:r>
    </w:p>
    <w:p>
      <w:pPr>
        <w:spacing w:line="440" w:lineRule="exact"/>
        <w:ind w:firstLine="480" w:firstLineChars="200"/>
        <w:rPr>
          <w:rFonts w:hAnsi="宋体"/>
          <w:color w:val="auto"/>
          <w:sz w:val="24"/>
          <w:highlight w:val="none"/>
        </w:rPr>
      </w:pPr>
      <w:r>
        <w:rPr>
          <w:rFonts w:hAnsi="宋体"/>
          <w:color w:val="auto"/>
          <w:sz w:val="24"/>
          <w:highlight w:val="none"/>
        </w:rPr>
        <w:t>1.6.4 承包人文件</w:t>
      </w:r>
    </w:p>
    <w:p>
      <w:pPr>
        <w:spacing w:line="440" w:lineRule="exact"/>
        <w:ind w:firstLine="480" w:firstLineChars="200"/>
        <w:rPr>
          <w:rFonts w:hint="eastAsia" w:hAnsi="宋体" w:cs="宋体"/>
          <w:color w:val="auto"/>
          <w:sz w:val="24"/>
          <w:highlight w:val="none"/>
          <w:u w:val="single"/>
        </w:rPr>
      </w:pPr>
      <w:r>
        <w:rPr>
          <w:rFonts w:hAnsi="宋体"/>
          <w:color w:val="auto"/>
          <w:sz w:val="24"/>
          <w:highlight w:val="none"/>
        </w:rPr>
        <w:t>需要由承包人提供的文件，包括：</w:t>
      </w:r>
      <w:r>
        <w:rPr>
          <w:rFonts w:hint="eastAsia" w:hAnsi="宋体" w:cs="宋体"/>
          <w:color w:val="auto"/>
          <w:sz w:val="24"/>
          <w:highlight w:val="none"/>
          <w:u w:val="single"/>
        </w:rPr>
        <w:t>提供施工组织计划和进度计划以及材料供应计划等，并上报项目班子人员名单。如工程师另有要求时，还应按工程师指定的进度提交单位工程的进度计划；总体施工计划（网络图和横道图均需标示关键线路）于工程开工前七天提供3套。</w:t>
      </w:r>
    </w:p>
    <w:p>
      <w:pPr>
        <w:spacing w:line="440" w:lineRule="exact"/>
        <w:ind w:firstLine="480" w:firstLineChars="200"/>
        <w:rPr>
          <w:rFonts w:hint="eastAsia" w:hAnsi="宋体" w:cs="宋体"/>
          <w:color w:val="auto"/>
          <w:sz w:val="24"/>
          <w:highlight w:val="none"/>
          <w:u w:val="single"/>
        </w:rPr>
      </w:pPr>
      <w:r>
        <w:rPr>
          <w:rFonts w:hint="eastAsia" w:hAnsi="宋体" w:cs="宋体"/>
          <w:color w:val="auto"/>
          <w:sz w:val="24"/>
          <w:highlight w:val="none"/>
          <w:u w:val="single"/>
        </w:rPr>
        <w:t>承包人编制的工程进度计划内容应全面详实，且应针对工程的全部或分项施工作业和特点提出施工方法、施工穿插顺序及时间安排，并在各节点位置标注相应的工程量、资金使用计划、人机组织及材料消耗量。</w:t>
      </w:r>
    </w:p>
    <w:p>
      <w:pPr>
        <w:spacing w:line="440" w:lineRule="exact"/>
        <w:ind w:firstLine="480" w:firstLineChars="200"/>
        <w:rPr>
          <w:rFonts w:hAnsi="宋体"/>
          <w:color w:val="auto"/>
          <w:sz w:val="24"/>
          <w:highlight w:val="none"/>
        </w:rPr>
      </w:pPr>
      <w:r>
        <w:rPr>
          <w:rFonts w:hAnsi="宋体"/>
          <w:color w:val="auto"/>
          <w:sz w:val="24"/>
          <w:highlight w:val="none"/>
        </w:rPr>
        <w:t>承包人提供的文件的期限为：</w:t>
      </w:r>
      <w:r>
        <w:rPr>
          <w:rFonts w:hint="eastAsia" w:hAnsi="宋体"/>
          <w:color w:val="auto"/>
          <w:sz w:val="24"/>
          <w:highlight w:val="none"/>
          <w:u w:val="single"/>
        </w:rPr>
        <w:t>合同签订后七天内</w:t>
      </w:r>
      <w:r>
        <w:rPr>
          <w:rFonts w:hAnsi="宋体"/>
          <w:color w:val="auto"/>
          <w:sz w:val="24"/>
          <w:highlight w:val="none"/>
        </w:rPr>
        <w:t>；</w:t>
      </w:r>
    </w:p>
    <w:p>
      <w:pPr>
        <w:spacing w:line="440" w:lineRule="exact"/>
        <w:ind w:firstLine="480" w:firstLineChars="200"/>
        <w:rPr>
          <w:rFonts w:hAnsi="宋体"/>
          <w:color w:val="auto"/>
          <w:sz w:val="24"/>
          <w:highlight w:val="none"/>
        </w:rPr>
      </w:pPr>
      <w:r>
        <w:rPr>
          <w:rFonts w:hAnsi="宋体"/>
          <w:color w:val="auto"/>
          <w:sz w:val="24"/>
          <w:highlight w:val="none"/>
        </w:rPr>
        <w:t>承包人提供的文件的数量为：</w:t>
      </w:r>
      <w:r>
        <w:rPr>
          <w:rFonts w:hint="eastAsia" w:hAnsi="宋体"/>
          <w:color w:val="auto"/>
          <w:sz w:val="24"/>
          <w:highlight w:val="none"/>
          <w:u w:val="single"/>
        </w:rPr>
        <w:t>竣工资料五套，电子文档</w:t>
      </w:r>
      <w:r>
        <w:rPr>
          <w:rFonts w:hint="eastAsia" w:hAnsi="宋体"/>
          <w:color w:val="auto"/>
          <w:sz w:val="24"/>
          <w:szCs w:val="24"/>
          <w:highlight w:val="none"/>
          <w:u w:val="single"/>
        </w:rPr>
        <w:t>（竣工图）</w:t>
      </w:r>
      <w:r>
        <w:rPr>
          <w:rFonts w:hint="eastAsia" w:hAnsi="宋体"/>
          <w:color w:val="auto"/>
          <w:sz w:val="24"/>
          <w:highlight w:val="none"/>
          <w:u w:val="single"/>
        </w:rPr>
        <w:t>光盘二份</w:t>
      </w:r>
      <w:r>
        <w:rPr>
          <w:rFonts w:hAnsi="宋体"/>
          <w:color w:val="auto"/>
          <w:sz w:val="24"/>
          <w:highlight w:val="none"/>
        </w:rPr>
        <w:t>；</w:t>
      </w:r>
    </w:p>
    <w:p>
      <w:pPr>
        <w:spacing w:line="440" w:lineRule="exact"/>
        <w:ind w:firstLine="480" w:firstLineChars="200"/>
        <w:rPr>
          <w:rFonts w:hAnsi="宋体"/>
          <w:color w:val="auto"/>
          <w:sz w:val="24"/>
          <w:highlight w:val="none"/>
        </w:rPr>
      </w:pPr>
      <w:r>
        <w:rPr>
          <w:rFonts w:hAnsi="宋体"/>
          <w:color w:val="auto"/>
          <w:sz w:val="24"/>
          <w:highlight w:val="none"/>
        </w:rPr>
        <w:t>承包人提供的文件的形式为：</w:t>
      </w:r>
      <w:r>
        <w:rPr>
          <w:rFonts w:hint="eastAsia" w:hAnsi="宋体"/>
          <w:color w:val="auto"/>
          <w:sz w:val="24"/>
          <w:highlight w:val="none"/>
          <w:u w:val="single"/>
        </w:rPr>
        <w:t>纸质文本</w:t>
      </w:r>
      <w:r>
        <w:rPr>
          <w:rFonts w:hAnsi="宋体"/>
          <w:color w:val="auto"/>
          <w:sz w:val="24"/>
          <w:highlight w:val="none"/>
        </w:rPr>
        <w:t>；</w:t>
      </w:r>
    </w:p>
    <w:p>
      <w:pPr>
        <w:spacing w:line="440" w:lineRule="exact"/>
        <w:ind w:firstLine="480" w:firstLineChars="200"/>
        <w:rPr>
          <w:rFonts w:hAnsi="宋体"/>
          <w:color w:val="auto"/>
          <w:sz w:val="24"/>
          <w:highlight w:val="none"/>
        </w:rPr>
      </w:pPr>
      <w:r>
        <w:rPr>
          <w:rFonts w:hAnsi="宋体"/>
          <w:color w:val="auto"/>
          <w:sz w:val="24"/>
          <w:highlight w:val="none"/>
        </w:rPr>
        <w:t>发包人</w:t>
      </w:r>
      <w:r>
        <w:rPr>
          <w:rFonts w:hint="eastAsia" w:hAnsi="宋体"/>
          <w:color w:val="auto"/>
          <w:sz w:val="24"/>
          <w:highlight w:val="none"/>
        </w:rPr>
        <w:t>审批</w:t>
      </w:r>
      <w:r>
        <w:rPr>
          <w:rFonts w:hAnsi="宋体"/>
          <w:color w:val="auto"/>
          <w:sz w:val="24"/>
          <w:highlight w:val="none"/>
        </w:rPr>
        <w:t>承包人文件的期限：</w:t>
      </w:r>
      <w:r>
        <w:rPr>
          <w:rFonts w:hint="eastAsia" w:hAnsi="宋体"/>
          <w:color w:val="auto"/>
          <w:sz w:val="24"/>
          <w:highlight w:val="none"/>
          <w:u w:val="single"/>
        </w:rPr>
        <w:t>7天内</w:t>
      </w:r>
      <w:r>
        <w:rPr>
          <w:rFonts w:hAnsi="宋体"/>
          <w:color w:val="auto"/>
          <w:sz w:val="24"/>
          <w:highlight w:val="none"/>
        </w:rPr>
        <w:t>。</w:t>
      </w:r>
    </w:p>
    <w:p>
      <w:pPr>
        <w:spacing w:line="440" w:lineRule="exact"/>
        <w:ind w:firstLine="480" w:firstLineChars="200"/>
        <w:rPr>
          <w:rFonts w:hint="eastAsia" w:hAnsi="宋体" w:eastAsia="宋体"/>
          <w:color w:val="auto"/>
          <w:sz w:val="24"/>
          <w:highlight w:val="none"/>
          <w:lang w:val="en-US" w:eastAsia="zh-CN"/>
        </w:rPr>
      </w:pPr>
      <w:r>
        <w:rPr>
          <w:rFonts w:hAnsi="宋体"/>
          <w:color w:val="auto"/>
          <w:sz w:val="24"/>
          <w:highlight w:val="none"/>
        </w:rPr>
        <w:t>1.6.5 现场图纸准备</w:t>
      </w:r>
      <w:r>
        <w:rPr>
          <w:rFonts w:hint="eastAsia" w:hAnsi="宋体"/>
          <w:color w:val="auto"/>
          <w:sz w:val="24"/>
          <w:highlight w:val="none"/>
          <w:lang w:val="en-US" w:eastAsia="zh-CN"/>
        </w:rPr>
        <w:t>.</w:t>
      </w:r>
    </w:p>
    <w:p>
      <w:pPr>
        <w:spacing w:line="440" w:lineRule="exact"/>
        <w:ind w:firstLine="480" w:firstLineChars="200"/>
        <w:rPr>
          <w:rFonts w:hAnsi="宋体"/>
          <w:color w:val="auto"/>
          <w:sz w:val="24"/>
          <w:highlight w:val="none"/>
        </w:rPr>
      </w:pPr>
      <w:r>
        <w:rPr>
          <w:rFonts w:hAnsi="宋体"/>
          <w:color w:val="auto"/>
          <w:sz w:val="24"/>
          <w:highlight w:val="none"/>
        </w:rPr>
        <w:t>关于现场图纸准备的约定：</w:t>
      </w:r>
      <w:r>
        <w:rPr>
          <w:rFonts w:hint="eastAsia" w:hAnsi="宋体"/>
          <w:color w:val="auto"/>
          <w:sz w:val="24"/>
          <w:highlight w:val="none"/>
          <w:u w:val="single"/>
        </w:rPr>
        <w:t>由承包人保存</w:t>
      </w:r>
      <w:r>
        <w:rPr>
          <w:rFonts w:hAnsi="宋体"/>
          <w:color w:val="auto"/>
          <w:sz w:val="24"/>
          <w:highlight w:val="none"/>
        </w:rPr>
        <w:t>。</w:t>
      </w:r>
    </w:p>
    <w:p>
      <w:pPr>
        <w:spacing w:line="440" w:lineRule="exact"/>
        <w:ind w:firstLine="480" w:firstLineChars="200"/>
        <w:rPr>
          <w:rFonts w:hAnsi="宋体"/>
          <w:color w:val="auto"/>
          <w:sz w:val="24"/>
          <w:highlight w:val="none"/>
        </w:rPr>
      </w:pPr>
      <w:r>
        <w:rPr>
          <w:rFonts w:hAnsi="宋体"/>
          <w:color w:val="auto"/>
          <w:sz w:val="24"/>
          <w:highlight w:val="none"/>
        </w:rPr>
        <w:t>1.7 联络</w:t>
      </w:r>
    </w:p>
    <w:p>
      <w:pPr>
        <w:spacing w:line="440" w:lineRule="exact"/>
        <w:ind w:firstLine="480" w:firstLineChars="200"/>
        <w:rPr>
          <w:rFonts w:hint="eastAsia" w:hAnsi="宋体"/>
          <w:color w:val="auto"/>
          <w:kern w:val="0"/>
          <w:sz w:val="24"/>
          <w:highlight w:val="none"/>
        </w:rPr>
      </w:pPr>
      <w:r>
        <w:rPr>
          <w:rFonts w:hAnsi="宋体"/>
          <w:color w:val="auto"/>
          <w:kern w:val="0"/>
          <w:sz w:val="24"/>
          <w:highlight w:val="none"/>
        </w:rPr>
        <w:t>1.7.1发包人和承包人应当在</w:t>
      </w:r>
      <w:r>
        <w:rPr>
          <w:rFonts w:hint="eastAsia" w:hAnsi="宋体"/>
          <w:color w:val="auto"/>
          <w:sz w:val="24"/>
          <w:highlight w:val="none"/>
          <w:u w:val="single"/>
        </w:rPr>
        <w:t>7</w:t>
      </w:r>
      <w:r>
        <w:rPr>
          <w:rFonts w:hAnsi="宋体"/>
          <w:color w:val="auto"/>
          <w:kern w:val="0"/>
          <w:sz w:val="24"/>
          <w:highlight w:val="none"/>
        </w:rPr>
        <w:t>天内将与合同有关的通知、批准、证明、证书、指示、指令、要求、请求、同意、意见、确定和决定等书面函件送达对方当事人</w:t>
      </w:r>
      <w:r>
        <w:rPr>
          <w:rFonts w:hint="eastAsia" w:hAnsi="宋体"/>
          <w:color w:val="auto"/>
          <w:kern w:val="0"/>
          <w:sz w:val="24"/>
          <w:highlight w:val="none"/>
        </w:rPr>
        <w:t>。</w:t>
      </w:r>
    </w:p>
    <w:p>
      <w:pPr>
        <w:spacing w:line="440" w:lineRule="exact"/>
        <w:ind w:firstLine="480" w:firstLineChars="200"/>
        <w:rPr>
          <w:rFonts w:hAnsi="宋体"/>
          <w:color w:val="auto"/>
          <w:kern w:val="0"/>
          <w:sz w:val="24"/>
          <w:highlight w:val="none"/>
        </w:rPr>
      </w:pPr>
      <w:r>
        <w:rPr>
          <w:rFonts w:hAnsi="宋体"/>
          <w:color w:val="auto"/>
          <w:kern w:val="0"/>
          <w:sz w:val="24"/>
          <w:highlight w:val="none"/>
        </w:rPr>
        <w:t>1.7.2 发包人接收文件的地点：</w:t>
      </w:r>
      <w:r>
        <w:rPr>
          <w:rFonts w:hint="eastAsia" w:hAnsi="宋体" w:cs="宋体"/>
          <w:color w:val="auto"/>
          <w:sz w:val="24"/>
          <w:highlight w:val="none"/>
          <w:u w:val="single"/>
        </w:rPr>
        <w:t xml:space="preserve">                   </w:t>
      </w:r>
      <w:r>
        <w:rPr>
          <w:rFonts w:hAnsi="宋体"/>
          <w:color w:val="auto"/>
          <w:kern w:val="0"/>
          <w:sz w:val="24"/>
          <w:highlight w:val="none"/>
        </w:rPr>
        <w:t>；</w:t>
      </w:r>
    </w:p>
    <w:p>
      <w:pPr>
        <w:spacing w:line="440" w:lineRule="exact"/>
        <w:ind w:firstLine="480" w:firstLineChars="200"/>
        <w:rPr>
          <w:rFonts w:hAnsi="宋体"/>
          <w:color w:val="auto"/>
          <w:kern w:val="0"/>
          <w:sz w:val="24"/>
          <w:highlight w:val="none"/>
        </w:rPr>
      </w:pPr>
      <w:r>
        <w:rPr>
          <w:rFonts w:hAnsi="宋体"/>
          <w:color w:val="auto"/>
          <w:kern w:val="0"/>
          <w:sz w:val="24"/>
          <w:highlight w:val="none"/>
        </w:rPr>
        <w:t>发包人指定的接收人为：</w:t>
      </w:r>
      <w:r>
        <w:rPr>
          <w:rFonts w:hint="eastAsia" w:hAnsi="宋体" w:cs="宋体"/>
          <w:color w:val="auto"/>
          <w:sz w:val="24"/>
          <w:highlight w:val="none"/>
          <w:u w:val="single"/>
        </w:rPr>
        <w:t xml:space="preserve">                          </w:t>
      </w:r>
      <w:r>
        <w:rPr>
          <w:rFonts w:hAnsi="宋体"/>
          <w:color w:val="auto"/>
          <w:kern w:val="0"/>
          <w:sz w:val="24"/>
          <w:highlight w:val="none"/>
        </w:rPr>
        <w:t>。</w:t>
      </w:r>
    </w:p>
    <w:p>
      <w:pPr>
        <w:spacing w:line="440" w:lineRule="exact"/>
        <w:ind w:firstLine="480" w:firstLineChars="200"/>
        <w:rPr>
          <w:rFonts w:hAnsi="宋体"/>
          <w:color w:val="auto"/>
          <w:kern w:val="0"/>
          <w:sz w:val="24"/>
          <w:highlight w:val="none"/>
        </w:rPr>
      </w:pPr>
      <w:r>
        <w:rPr>
          <w:rFonts w:hAnsi="宋体"/>
          <w:color w:val="auto"/>
          <w:kern w:val="0"/>
          <w:sz w:val="24"/>
          <w:highlight w:val="none"/>
        </w:rPr>
        <w:t>承包人接收文件的地点：</w:t>
      </w:r>
      <w:r>
        <w:rPr>
          <w:rFonts w:hint="eastAsia" w:hAnsi="宋体" w:cs="宋体"/>
          <w:color w:val="auto"/>
          <w:sz w:val="24"/>
          <w:highlight w:val="none"/>
          <w:u w:val="single"/>
        </w:rPr>
        <w:t xml:space="preserve">                          </w:t>
      </w:r>
      <w:r>
        <w:rPr>
          <w:rFonts w:hAnsi="宋体"/>
          <w:color w:val="auto"/>
          <w:kern w:val="0"/>
          <w:sz w:val="24"/>
          <w:highlight w:val="none"/>
        </w:rPr>
        <w:t>；</w:t>
      </w:r>
    </w:p>
    <w:p>
      <w:pPr>
        <w:spacing w:line="440" w:lineRule="exact"/>
        <w:ind w:firstLine="480" w:firstLineChars="200"/>
        <w:rPr>
          <w:rFonts w:hAnsi="宋体"/>
          <w:color w:val="auto"/>
          <w:kern w:val="0"/>
          <w:sz w:val="24"/>
          <w:highlight w:val="none"/>
        </w:rPr>
      </w:pPr>
      <w:r>
        <w:rPr>
          <w:rFonts w:hAnsi="宋体"/>
          <w:color w:val="auto"/>
          <w:kern w:val="0"/>
          <w:sz w:val="24"/>
          <w:highlight w:val="none"/>
        </w:rPr>
        <w:t>承包人指定的接收人为：</w:t>
      </w:r>
      <w:r>
        <w:rPr>
          <w:rFonts w:hint="eastAsia" w:hAnsi="宋体" w:cs="宋体"/>
          <w:color w:val="auto"/>
          <w:sz w:val="24"/>
          <w:highlight w:val="none"/>
          <w:u w:val="single"/>
        </w:rPr>
        <w:t xml:space="preserve">                          </w:t>
      </w:r>
      <w:r>
        <w:rPr>
          <w:rFonts w:hAnsi="宋体"/>
          <w:color w:val="auto"/>
          <w:kern w:val="0"/>
          <w:sz w:val="24"/>
          <w:highlight w:val="none"/>
        </w:rPr>
        <w:t>。</w:t>
      </w:r>
    </w:p>
    <w:p>
      <w:pPr>
        <w:spacing w:line="440" w:lineRule="exact"/>
        <w:ind w:firstLine="480" w:firstLineChars="200"/>
        <w:rPr>
          <w:rFonts w:hAnsi="宋体"/>
          <w:color w:val="auto"/>
          <w:kern w:val="0"/>
          <w:sz w:val="24"/>
          <w:highlight w:val="none"/>
        </w:rPr>
      </w:pPr>
      <w:r>
        <w:rPr>
          <w:rFonts w:hAnsi="宋体"/>
          <w:color w:val="auto"/>
          <w:kern w:val="0"/>
          <w:sz w:val="24"/>
          <w:highlight w:val="none"/>
        </w:rPr>
        <w:t>监理人接收文件的地点：</w:t>
      </w:r>
      <w:r>
        <w:rPr>
          <w:rFonts w:hint="eastAsia" w:hAnsi="宋体" w:cs="宋体"/>
          <w:color w:val="auto"/>
          <w:sz w:val="24"/>
          <w:highlight w:val="none"/>
          <w:u w:val="single"/>
        </w:rPr>
        <w:t xml:space="preserve">                             </w:t>
      </w:r>
      <w:r>
        <w:rPr>
          <w:rFonts w:hAnsi="宋体"/>
          <w:color w:val="auto"/>
          <w:kern w:val="0"/>
          <w:sz w:val="24"/>
          <w:highlight w:val="none"/>
        </w:rPr>
        <w:t>；</w:t>
      </w:r>
    </w:p>
    <w:p>
      <w:pPr>
        <w:spacing w:line="440" w:lineRule="exact"/>
        <w:ind w:firstLine="480" w:firstLineChars="200"/>
        <w:rPr>
          <w:rFonts w:hAnsi="宋体"/>
          <w:color w:val="auto"/>
          <w:kern w:val="0"/>
          <w:sz w:val="24"/>
          <w:highlight w:val="none"/>
        </w:rPr>
      </w:pPr>
      <w:r>
        <w:rPr>
          <w:rFonts w:hAnsi="宋体"/>
          <w:color w:val="auto"/>
          <w:kern w:val="0"/>
          <w:sz w:val="24"/>
          <w:highlight w:val="none"/>
        </w:rPr>
        <w:t>监理人指定的接收人为：</w:t>
      </w:r>
      <w:r>
        <w:rPr>
          <w:rFonts w:hint="eastAsia" w:hAnsi="宋体" w:cs="宋体"/>
          <w:color w:val="auto"/>
          <w:sz w:val="24"/>
          <w:highlight w:val="none"/>
          <w:u w:val="single"/>
        </w:rPr>
        <w:t xml:space="preserve">                             </w:t>
      </w:r>
      <w:r>
        <w:rPr>
          <w:rFonts w:hAnsi="宋体"/>
          <w:color w:val="auto"/>
          <w:kern w:val="0"/>
          <w:sz w:val="24"/>
          <w:highlight w:val="none"/>
        </w:rPr>
        <w:t>。</w:t>
      </w:r>
    </w:p>
    <w:p>
      <w:pPr>
        <w:spacing w:line="440" w:lineRule="exact"/>
        <w:ind w:firstLine="480" w:firstLineChars="200"/>
        <w:rPr>
          <w:rFonts w:hAnsi="宋体"/>
          <w:color w:val="auto"/>
          <w:sz w:val="24"/>
          <w:highlight w:val="none"/>
        </w:rPr>
      </w:pPr>
      <w:r>
        <w:rPr>
          <w:rFonts w:hAnsi="宋体"/>
          <w:color w:val="auto"/>
          <w:sz w:val="24"/>
          <w:highlight w:val="none"/>
        </w:rPr>
        <w:t>1.10 交通运输</w:t>
      </w:r>
    </w:p>
    <w:p>
      <w:pPr>
        <w:spacing w:line="440" w:lineRule="exact"/>
        <w:ind w:firstLine="480" w:firstLineChars="200"/>
        <w:rPr>
          <w:rFonts w:hAnsi="宋体"/>
          <w:color w:val="auto"/>
          <w:sz w:val="24"/>
          <w:highlight w:val="none"/>
        </w:rPr>
      </w:pPr>
      <w:r>
        <w:rPr>
          <w:rFonts w:hAnsi="宋体"/>
          <w:color w:val="auto"/>
          <w:sz w:val="24"/>
          <w:highlight w:val="none"/>
        </w:rPr>
        <w:t>1</w:t>
      </w:r>
      <w:bookmarkStart w:id="419" w:name="_Toc312677986"/>
      <w:bookmarkStart w:id="420" w:name="_Toc304295521"/>
      <w:bookmarkStart w:id="421" w:name="_Toc300934943"/>
      <w:bookmarkStart w:id="422" w:name="_Toc303539100"/>
      <w:bookmarkStart w:id="423" w:name="_Toc318581155"/>
      <w:r>
        <w:rPr>
          <w:rFonts w:hAnsi="宋体"/>
          <w:color w:val="auto"/>
          <w:sz w:val="24"/>
          <w:highlight w:val="none"/>
        </w:rPr>
        <w:t>.10.1 出入现场的权利</w:t>
      </w:r>
    </w:p>
    <w:p>
      <w:pPr>
        <w:spacing w:line="440" w:lineRule="exact"/>
        <w:ind w:firstLine="480" w:firstLineChars="200"/>
        <w:rPr>
          <w:rFonts w:hAnsi="宋体"/>
          <w:color w:val="auto"/>
          <w:sz w:val="24"/>
          <w:highlight w:val="none"/>
          <w:u w:val="single"/>
        </w:rPr>
      </w:pPr>
      <w:r>
        <w:rPr>
          <w:rFonts w:hAnsi="宋体"/>
          <w:color w:val="auto"/>
          <w:sz w:val="24"/>
          <w:highlight w:val="none"/>
        </w:rPr>
        <w:t>关于出入现场的权利的约定：</w:t>
      </w:r>
      <w:r>
        <w:rPr>
          <w:rFonts w:hint="eastAsia" w:hAnsi="宋体"/>
          <w:color w:val="auto"/>
          <w:sz w:val="24"/>
          <w:highlight w:val="none"/>
          <w:u w:val="single"/>
        </w:rPr>
        <w:t>由承包人负责管理并承担费用</w:t>
      </w:r>
      <w:r>
        <w:rPr>
          <w:rFonts w:hAnsi="宋体"/>
          <w:color w:val="auto"/>
          <w:sz w:val="24"/>
          <w:highlight w:val="none"/>
        </w:rPr>
        <w:t>。</w:t>
      </w:r>
    </w:p>
    <w:bookmarkEnd w:id="419"/>
    <w:bookmarkEnd w:id="420"/>
    <w:bookmarkEnd w:id="421"/>
    <w:bookmarkEnd w:id="422"/>
    <w:bookmarkEnd w:id="423"/>
    <w:p>
      <w:pPr>
        <w:spacing w:line="440" w:lineRule="exact"/>
        <w:ind w:firstLine="480" w:firstLineChars="200"/>
        <w:rPr>
          <w:rFonts w:hAnsi="宋体"/>
          <w:color w:val="auto"/>
          <w:sz w:val="24"/>
          <w:highlight w:val="none"/>
        </w:rPr>
      </w:pPr>
      <w:r>
        <w:rPr>
          <w:rFonts w:hAnsi="宋体"/>
          <w:color w:val="auto"/>
          <w:sz w:val="24"/>
          <w:highlight w:val="none"/>
        </w:rPr>
        <w:t>1</w:t>
      </w:r>
      <w:bookmarkStart w:id="424" w:name="_Toc300934944"/>
      <w:bookmarkStart w:id="425" w:name="_Toc303539101"/>
      <w:bookmarkStart w:id="426" w:name="_Toc318581156"/>
      <w:bookmarkStart w:id="427" w:name="_Toc312677987"/>
      <w:bookmarkStart w:id="428" w:name="_Toc304295522"/>
      <w:r>
        <w:rPr>
          <w:rFonts w:hAnsi="宋体"/>
          <w:color w:val="auto"/>
          <w:sz w:val="24"/>
          <w:highlight w:val="none"/>
        </w:rPr>
        <w:t>.10.3 场内交通</w:t>
      </w:r>
    </w:p>
    <w:p>
      <w:pPr>
        <w:spacing w:line="440" w:lineRule="exact"/>
        <w:ind w:firstLine="480" w:firstLineChars="200"/>
        <w:rPr>
          <w:rFonts w:hAnsi="宋体"/>
          <w:color w:val="auto"/>
          <w:kern w:val="0"/>
          <w:sz w:val="24"/>
          <w:highlight w:val="none"/>
        </w:rPr>
      </w:pPr>
      <w:r>
        <w:rPr>
          <w:rFonts w:hAnsi="宋体"/>
          <w:color w:val="auto"/>
          <w:kern w:val="0"/>
          <w:sz w:val="24"/>
          <w:highlight w:val="none"/>
        </w:rPr>
        <w:t>关于场外交通和场内交通的边界的约定：</w:t>
      </w:r>
      <w:r>
        <w:rPr>
          <w:rFonts w:hint="eastAsia" w:hAnsi="宋体"/>
          <w:color w:val="auto"/>
          <w:sz w:val="24"/>
          <w:highlight w:val="none"/>
          <w:u w:val="single"/>
        </w:rPr>
        <w:t>由承包人负责管理并承担费用</w:t>
      </w:r>
      <w:r>
        <w:rPr>
          <w:rFonts w:hAnsi="宋体"/>
          <w:color w:val="auto"/>
          <w:sz w:val="24"/>
          <w:highlight w:val="none"/>
        </w:rPr>
        <w:t>。</w:t>
      </w:r>
    </w:p>
    <w:p>
      <w:pPr>
        <w:spacing w:line="440" w:lineRule="exact"/>
        <w:ind w:firstLine="480" w:firstLineChars="200"/>
        <w:rPr>
          <w:rFonts w:hAnsi="宋体"/>
          <w:color w:val="auto"/>
          <w:sz w:val="24"/>
          <w:highlight w:val="none"/>
        </w:rPr>
      </w:pPr>
      <w:r>
        <w:rPr>
          <w:rFonts w:hAnsi="宋体"/>
          <w:color w:val="auto"/>
          <w:sz w:val="24"/>
          <w:highlight w:val="none"/>
        </w:rPr>
        <w:t>关于发包人向承包人免费提供满足工程施工需要的场内道路和交通设施的约定：</w:t>
      </w:r>
      <w:r>
        <w:rPr>
          <w:rFonts w:hint="eastAsia" w:hAnsi="宋体"/>
          <w:color w:val="auto"/>
          <w:sz w:val="24"/>
          <w:highlight w:val="none"/>
          <w:u w:val="single"/>
        </w:rPr>
        <w:t>均由承包人自行负责并承担费用</w:t>
      </w:r>
      <w:r>
        <w:rPr>
          <w:rFonts w:hAnsi="宋体"/>
          <w:color w:val="auto"/>
          <w:sz w:val="24"/>
          <w:highlight w:val="none"/>
        </w:rPr>
        <w:t>。</w:t>
      </w:r>
      <w:bookmarkEnd w:id="424"/>
      <w:bookmarkEnd w:id="425"/>
      <w:bookmarkEnd w:id="426"/>
      <w:bookmarkEnd w:id="427"/>
      <w:bookmarkEnd w:id="428"/>
      <w:r>
        <w:rPr>
          <w:rFonts w:hAnsi="宋体"/>
          <w:color w:val="auto"/>
          <w:sz w:val="24"/>
          <w:highlight w:val="none"/>
        </w:rPr>
        <w:t xml:space="preserve"> </w:t>
      </w:r>
      <w:bookmarkStart w:id="429" w:name="_Toc318581157"/>
    </w:p>
    <w:p>
      <w:pPr>
        <w:spacing w:line="440" w:lineRule="exact"/>
        <w:ind w:firstLine="480" w:firstLineChars="200"/>
        <w:rPr>
          <w:rFonts w:hAnsi="宋体"/>
          <w:color w:val="auto"/>
          <w:sz w:val="24"/>
          <w:highlight w:val="none"/>
        </w:rPr>
      </w:pPr>
      <w:r>
        <w:rPr>
          <w:rFonts w:hAnsi="宋体"/>
          <w:color w:val="auto"/>
          <w:sz w:val="24"/>
          <w:highlight w:val="none"/>
        </w:rPr>
        <w:t>1.10.4超大件和超重件的运输</w:t>
      </w:r>
    </w:p>
    <w:p>
      <w:pPr>
        <w:spacing w:line="440" w:lineRule="exact"/>
        <w:ind w:firstLine="480" w:firstLineChars="200"/>
        <w:rPr>
          <w:rFonts w:hAnsi="宋体"/>
          <w:color w:val="auto"/>
          <w:sz w:val="24"/>
          <w:highlight w:val="none"/>
        </w:rPr>
      </w:pPr>
      <w:r>
        <w:rPr>
          <w:rFonts w:hAnsi="宋体"/>
          <w:color w:val="auto"/>
          <w:sz w:val="24"/>
          <w:highlight w:val="none"/>
        </w:rPr>
        <w:t>运输超大件或超重件所需的道路和桥梁临时加固改造费用和其他有关费用由</w:t>
      </w:r>
      <w:r>
        <w:rPr>
          <w:rFonts w:hint="eastAsia" w:hAnsi="宋体"/>
          <w:color w:val="auto"/>
          <w:sz w:val="24"/>
          <w:highlight w:val="none"/>
          <w:u w:val="single"/>
        </w:rPr>
        <w:t>承包人</w:t>
      </w:r>
      <w:r>
        <w:rPr>
          <w:rFonts w:hAnsi="宋体"/>
          <w:color w:val="auto"/>
          <w:sz w:val="24"/>
          <w:highlight w:val="none"/>
        </w:rPr>
        <w:t>承担。</w:t>
      </w:r>
    </w:p>
    <w:p>
      <w:pPr>
        <w:keepNext w:val="0"/>
        <w:keepLines w:val="0"/>
        <w:pageBreakBefore w:val="0"/>
        <w:widowControl w:val="0"/>
        <w:kinsoku/>
        <w:wordWrap/>
        <w:overflowPunct/>
        <w:topLinePunct w:val="0"/>
        <w:bidi w:val="0"/>
        <w:adjustRightInd/>
        <w:snapToGrid/>
        <w:spacing w:line="400" w:lineRule="exact"/>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本工程的超大件：</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bidi w:val="0"/>
        <w:adjustRightInd/>
        <w:snapToGrid/>
        <w:spacing w:line="400" w:lineRule="exact"/>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本工程的超重件：</w:t>
      </w:r>
      <w:r>
        <w:rPr>
          <w:rFonts w:hint="eastAsia" w:ascii="宋体" w:hAnsi="宋体" w:eastAsia="宋体" w:cs="宋体"/>
          <w:b/>
          <w:color w:val="auto"/>
          <w:sz w:val="24"/>
          <w:szCs w:val="24"/>
          <w:highlight w:val="none"/>
          <w:u w:val="single"/>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bookmarkEnd w:id="429"/>
    <w:p>
      <w:pPr>
        <w:spacing w:line="440" w:lineRule="exact"/>
        <w:ind w:firstLine="480" w:firstLineChars="200"/>
        <w:rPr>
          <w:rFonts w:hAnsi="宋体"/>
          <w:color w:val="auto"/>
          <w:sz w:val="24"/>
          <w:highlight w:val="none"/>
        </w:rPr>
      </w:pPr>
      <w:r>
        <w:rPr>
          <w:rFonts w:hAnsi="宋体"/>
          <w:color w:val="auto"/>
          <w:sz w:val="24"/>
          <w:highlight w:val="none"/>
        </w:rPr>
        <w:t>1.11 知识产权</w:t>
      </w:r>
    </w:p>
    <w:p>
      <w:pPr>
        <w:spacing w:line="440" w:lineRule="exact"/>
        <w:ind w:firstLine="480" w:firstLineChars="200"/>
        <w:rPr>
          <w:rFonts w:hint="eastAsia" w:hAnsi="宋体"/>
          <w:color w:val="auto"/>
          <w:sz w:val="24"/>
          <w:highlight w:val="none"/>
          <w:u w:val="single"/>
        </w:rPr>
      </w:pPr>
      <w:r>
        <w:rPr>
          <w:rFonts w:hAnsi="宋体"/>
          <w:color w:val="auto"/>
          <w:sz w:val="24"/>
          <w:highlight w:val="none"/>
        </w:rPr>
        <w:t>1.11.1关于发包人提供给承包人的图纸、发包人为实施工程自行编制或委托编制的技术规范以及反映发包人关于合同要求或其他类似性质的文件的著作权的归属：</w:t>
      </w:r>
      <w:r>
        <w:rPr>
          <w:rFonts w:hint="eastAsia" w:hAnsi="宋体"/>
          <w:color w:val="auto"/>
          <w:sz w:val="24"/>
          <w:highlight w:val="none"/>
          <w:u w:val="single"/>
        </w:rPr>
        <w:t>归发包人所有</w:t>
      </w:r>
      <w:r>
        <w:rPr>
          <w:rFonts w:hAnsi="宋体"/>
          <w:color w:val="auto"/>
          <w:sz w:val="24"/>
          <w:highlight w:val="none"/>
        </w:rPr>
        <w:t>。</w:t>
      </w:r>
    </w:p>
    <w:p>
      <w:pPr>
        <w:spacing w:line="440" w:lineRule="exact"/>
        <w:ind w:firstLine="480" w:firstLineChars="200"/>
        <w:rPr>
          <w:rFonts w:hAnsi="宋体"/>
          <w:color w:val="auto"/>
          <w:sz w:val="24"/>
          <w:highlight w:val="none"/>
          <w:u w:val="single"/>
        </w:rPr>
      </w:pPr>
      <w:r>
        <w:rPr>
          <w:rFonts w:hAnsi="宋体"/>
          <w:color w:val="auto"/>
          <w:sz w:val="24"/>
          <w:highlight w:val="none"/>
        </w:rPr>
        <w:t>关于发包人提供的上述文件的使用限制的要求：</w:t>
      </w:r>
      <w:r>
        <w:rPr>
          <w:rFonts w:hint="eastAsia" w:hAnsi="宋体"/>
          <w:color w:val="auto"/>
          <w:sz w:val="24"/>
          <w:highlight w:val="none"/>
          <w:u w:val="single"/>
        </w:rPr>
        <w:t>须经发包人书面同意</w:t>
      </w:r>
      <w:r>
        <w:rPr>
          <w:rFonts w:hAnsi="宋体"/>
          <w:color w:val="auto"/>
          <w:sz w:val="24"/>
          <w:highlight w:val="none"/>
        </w:rPr>
        <w:t>。</w:t>
      </w:r>
    </w:p>
    <w:p>
      <w:pPr>
        <w:spacing w:line="440" w:lineRule="exact"/>
        <w:ind w:firstLine="480" w:firstLineChars="200"/>
        <w:rPr>
          <w:rFonts w:hAnsi="宋体"/>
          <w:color w:val="auto"/>
          <w:sz w:val="24"/>
          <w:highlight w:val="none"/>
        </w:rPr>
      </w:pPr>
      <w:r>
        <w:rPr>
          <w:rFonts w:hAnsi="宋体"/>
          <w:color w:val="auto"/>
          <w:sz w:val="24"/>
          <w:highlight w:val="none"/>
        </w:rPr>
        <w:t>1.11.2 关于承包人为实施工程所编制文件的著作权的归属：</w:t>
      </w:r>
      <w:r>
        <w:rPr>
          <w:rFonts w:hint="eastAsia" w:hAnsi="宋体"/>
          <w:color w:val="auto"/>
          <w:sz w:val="24"/>
          <w:highlight w:val="none"/>
          <w:u w:val="single"/>
        </w:rPr>
        <w:t>归发包人</w:t>
      </w:r>
      <w:r>
        <w:rPr>
          <w:rFonts w:hAnsi="宋体"/>
          <w:color w:val="auto"/>
          <w:sz w:val="24"/>
          <w:highlight w:val="none"/>
        </w:rPr>
        <w:t>。</w:t>
      </w:r>
    </w:p>
    <w:p>
      <w:pPr>
        <w:spacing w:line="440" w:lineRule="exact"/>
        <w:ind w:firstLine="480" w:firstLineChars="200"/>
        <w:rPr>
          <w:rFonts w:hAnsi="宋体"/>
          <w:color w:val="auto"/>
          <w:sz w:val="24"/>
          <w:highlight w:val="none"/>
          <w:u w:val="single"/>
        </w:rPr>
      </w:pPr>
      <w:r>
        <w:rPr>
          <w:rFonts w:hAnsi="宋体"/>
          <w:color w:val="auto"/>
          <w:sz w:val="24"/>
          <w:highlight w:val="none"/>
        </w:rPr>
        <w:t>关于承包人提供的上述文件的使用限制的要求：</w:t>
      </w:r>
      <w:r>
        <w:rPr>
          <w:rFonts w:hint="eastAsia" w:hAnsi="宋体"/>
          <w:color w:val="auto"/>
          <w:sz w:val="24"/>
          <w:highlight w:val="none"/>
          <w:u w:val="single"/>
        </w:rPr>
        <w:t>须经发包人书面同意</w:t>
      </w:r>
      <w:r>
        <w:rPr>
          <w:rFonts w:hAnsi="宋体"/>
          <w:color w:val="auto"/>
          <w:sz w:val="24"/>
          <w:highlight w:val="none"/>
        </w:rPr>
        <w:t>。</w:t>
      </w:r>
    </w:p>
    <w:p>
      <w:pPr>
        <w:spacing w:line="440" w:lineRule="exact"/>
        <w:ind w:firstLine="480" w:firstLineChars="200"/>
        <w:rPr>
          <w:rFonts w:hAnsi="宋体"/>
          <w:color w:val="auto"/>
          <w:kern w:val="0"/>
          <w:sz w:val="24"/>
          <w:highlight w:val="none"/>
        </w:rPr>
      </w:pPr>
      <w:r>
        <w:rPr>
          <w:rFonts w:hAnsi="宋体"/>
          <w:color w:val="auto"/>
          <w:sz w:val="24"/>
          <w:highlight w:val="none"/>
        </w:rPr>
        <w:t>1.11.4 承包人在施工过程中所采用的专利、专有技术、技术秘密的使用费的承担方式：</w:t>
      </w:r>
      <w:r>
        <w:rPr>
          <w:rFonts w:hint="eastAsia" w:hAnsi="宋体"/>
          <w:b/>
          <w:color w:val="auto"/>
          <w:sz w:val="24"/>
          <w:highlight w:val="none"/>
          <w:u w:val="single"/>
        </w:rPr>
        <w:t xml:space="preserve">（除发包人指明外）承包人在施工过程中所采用的专利、专有技术、技术秘密的使用费包含在合同价款内  </w:t>
      </w:r>
      <w:r>
        <w:rPr>
          <w:rFonts w:hAnsi="宋体"/>
          <w:color w:val="auto"/>
          <w:kern w:val="0"/>
          <w:sz w:val="24"/>
          <w:highlight w:val="none"/>
        </w:rPr>
        <w:t>。</w:t>
      </w:r>
    </w:p>
    <w:p>
      <w:pPr>
        <w:spacing w:line="440" w:lineRule="exact"/>
        <w:ind w:firstLine="480" w:firstLineChars="200"/>
        <w:rPr>
          <w:rFonts w:hAnsi="宋体"/>
          <w:color w:val="auto"/>
          <w:sz w:val="24"/>
          <w:highlight w:val="none"/>
        </w:rPr>
      </w:pPr>
      <w:r>
        <w:rPr>
          <w:rFonts w:hAnsi="宋体"/>
          <w:color w:val="auto"/>
          <w:sz w:val="24"/>
          <w:highlight w:val="none"/>
        </w:rPr>
        <w:t>1.13工程量清单错误的修正</w:t>
      </w:r>
    </w:p>
    <w:p>
      <w:pPr>
        <w:spacing w:line="440" w:lineRule="exact"/>
        <w:ind w:firstLine="480" w:firstLineChars="200"/>
        <w:rPr>
          <w:rFonts w:hint="eastAsia" w:hAnsi="宋体"/>
          <w:color w:val="auto"/>
          <w:kern w:val="0"/>
          <w:sz w:val="24"/>
          <w:highlight w:val="none"/>
        </w:rPr>
      </w:pPr>
      <w:r>
        <w:rPr>
          <w:rFonts w:hint="eastAsia" w:hAnsi="宋体"/>
          <w:color w:val="auto"/>
          <w:sz w:val="24"/>
          <w:highlight w:val="none"/>
        </w:rPr>
        <w:t>出现工程量清单错误时，是否调整合同价格：</w:t>
      </w:r>
      <w:r>
        <w:rPr>
          <w:rFonts w:hint="eastAsia" w:hAnsi="宋体"/>
          <w:b/>
          <w:color w:val="auto"/>
          <w:sz w:val="24"/>
          <w:highlight w:val="none"/>
          <w:u w:val="single"/>
        </w:rPr>
        <w:t xml:space="preserve"> </w:t>
      </w:r>
      <w:r>
        <w:rPr>
          <w:rFonts w:hint="eastAsia" w:hAnsi="宋体" w:cs="宋体"/>
          <w:color w:val="auto"/>
          <w:sz w:val="24"/>
          <w:highlight w:val="none"/>
          <w:u w:val="single"/>
        </w:rPr>
        <w:t xml:space="preserve">工程量确有错误的，工程量经相关部门对工程结算审核确认后调整  </w:t>
      </w:r>
      <w:r>
        <w:rPr>
          <w:rFonts w:hint="eastAsia" w:hAnsi="宋体" w:cs="宋体"/>
          <w:color w:val="auto"/>
          <w:sz w:val="24"/>
          <w:highlight w:val="none"/>
        </w:rPr>
        <w:t>。</w:t>
      </w:r>
    </w:p>
    <w:p>
      <w:pPr>
        <w:spacing w:line="440" w:lineRule="exact"/>
        <w:ind w:firstLine="480" w:firstLineChars="200"/>
        <w:rPr>
          <w:rFonts w:hAnsi="宋体"/>
          <w:color w:val="auto"/>
          <w:kern w:val="0"/>
          <w:sz w:val="24"/>
          <w:highlight w:val="none"/>
        </w:rPr>
      </w:pPr>
      <w:r>
        <w:rPr>
          <w:rFonts w:hAnsi="宋体"/>
          <w:color w:val="auto"/>
          <w:sz w:val="24"/>
          <w:highlight w:val="none"/>
        </w:rPr>
        <w:t>允许调整合同价格的工程量偏差范围：</w:t>
      </w:r>
      <w:r>
        <w:rPr>
          <w:rFonts w:hint="eastAsia" w:hAnsi="宋体"/>
          <w:color w:val="auto"/>
          <w:sz w:val="24"/>
          <w:highlight w:val="none"/>
          <w:u w:val="single"/>
        </w:rPr>
        <w:t>工程量按实结算，单价不变</w:t>
      </w:r>
      <w:r>
        <w:rPr>
          <w:rFonts w:hAnsi="宋体"/>
          <w:color w:val="auto"/>
          <w:kern w:val="0"/>
          <w:sz w:val="24"/>
          <w:highlight w:val="none"/>
        </w:rPr>
        <w:t>。</w:t>
      </w:r>
    </w:p>
    <w:p>
      <w:pPr>
        <w:keepNext w:val="0"/>
        <w:keepLines w:val="0"/>
        <w:pageBreakBefore w:val="0"/>
        <w:widowControl w:val="0"/>
        <w:kinsoku/>
        <w:wordWrap/>
        <w:overflowPunct/>
        <w:topLinePunct w:val="0"/>
        <w:bidi w:val="0"/>
        <w:adjustRightInd/>
        <w:snapToGrid/>
        <w:spacing w:line="400" w:lineRule="exact"/>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调整合同价格的修正时间：</w:t>
      </w:r>
      <w:r>
        <w:rPr>
          <w:rFonts w:hint="eastAsia" w:ascii="宋体" w:hAnsi="宋体" w:eastAsia="宋体" w:cs="宋体"/>
          <w:b/>
          <w:bCs/>
          <w:color w:val="auto"/>
          <w:sz w:val="24"/>
          <w:szCs w:val="24"/>
          <w:highlight w:val="none"/>
          <w:u w:val="single"/>
        </w:rPr>
        <w:t xml:space="preserve">          </w:t>
      </w:r>
      <w:r>
        <w:rPr>
          <w:rFonts w:hint="eastAsia" w:hAnsi="宋体" w:eastAsia="宋体" w:cs="宋体"/>
          <w:b/>
          <w:bCs/>
          <w:color w:val="auto"/>
          <w:sz w:val="24"/>
          <w:szCs w:val="24"/>
          <w:highlight w:val="none"/>
          <w:u w:val="single"/>
          <w:lang w:val="en-US" w:eastAsia="zh-CN"/>
        </w:rPr>
        <w:t>/</w:t>
      </w:r>
      <w:r>
        <w:rPr>
          <w:rFonts w:hint="eastAsia" w:ascii="宋体" w:hAnsi="宋体" w:eastAsia="宋体" w:cs="宋体"/>
          <w:b/>
          <w:bCs/>
          <w:color w:val="auto"/>
          <w:sz w:val="24"/>
          <w:szCs w:val="24"/>
          <w:highlight w:val="none"/>
          <w:u w:val="single"/>
        </w:rPr>
        <w:t xml:space="preserve">            </w:t>
      </w:r>
      <w:r>
        <w:rPr>
          <w:rFonts w:hint="eastAsia" w:ascii="宋体" w:hAnsi="宋体" w:eastAsia="宋体" w:cs="宋体"/>
          <w:b/>
          <w:bCs/>
          <w:color w:val="auto"/>
          <w:sz w:val="24"/>
          <w:szCs w:val="24"/>
          <w:highlight w:val="none"/>
        </w:rPr>
        <w:t xml:space="preserve"> 。</w:t>
      </w:r>
    </w:p>
    <w:p>
      <w:pPr>
        <w:spacing w:line="440" w:lineRule="exact"/>
        <w:ind w:firstLine="480" w:firstLineChars="200"/>
        <w:rPr>
          <w:rFonts w:hint="eastAsia" w:hAnsi="宋体"/>
          <w:color w:val="auto"/>
          <w:sz w:val="24"/>
          <w:highlight w:val="none"/>
        </w:rPr>
      </w:pPr>
      <w:r>
        <w:rPr>
          <w:rFonts w:hint="eastAsia" w:hAnsi="宋体"/>
          <w:color w:val="auto"/>
          <w:sz w:val="24"/>
          <w:highlight w:val="none"/>
        </w:rPr>
        <w:t>1.14 合同价款</w:t>
      </w:r>
    </w:p>
    <w:p>
      <w:pPr>
        <w:spacing w:line="440" w:lineRule="exact"/>
        <w:ind w:firstLine="480" w:firstLineChars="200"/>
        <w:rPr>
          <w:rFonts w:hAnsi="宋体"/>
          <w:color w:val="auto"/>
          <w:sz w:val="24"/>
          <w:highlight w:val="none"/>
          <w:u w:val="single"/>
        </w:rPr>
      </w:pPr>
      <w:r>
        <w:rPr>
          <w:rFonts w:hint="eastAsia" w:hAnsi="宋体"/>
          <w:color w:val="auto"/>
          <w:sz w:val="24"/>
          <w:highlight w:val="none"/>
          <w:u w:val="single"/>
        </w:rPr>
        <w:t>本合同为单价合同，工程量按实调整。合同价仅为进度款支付依据，最终结算价以建设单位委托的审价公司出具的审核报告为准。</w:t>
      </w:r>
    </w:p>
    <w:p>
      <w:pPr>
        <w:spacing w:line="440" w:lineRule="exact"/>
        <w:ind w:firstLine="480" w:firstLineChars="200"/>
        <w:rPr>
          <w:rFonts w:hint="eastAsia"/>
          <w:color w:val="auto"/>
          <w:sz w:val="24"/>
          <w:highlight w:val="none"/>
        </w:rPr>
      </w:pPr>
      <w:bookmarkStart w:id="430" w:name="_Toc351203634"/>
      <w:r>
        <w:rPr>
          <w:color w:val="auto"/>
          <w:sz w:val="24"/>
          <w:highlight w:val="none"/>
        </w:rPr>
        <w:t>2</w:t>
      </w:r>
      <w:bookmarkStart w:id="431" w:name="_Toc292559867"/>
      <w:bookmarkStart w:id="432" w:name="_Toc296944496"/>
      <w:bookmarkStart w:id="433" w:name="_Toc296346658"/>
      <w:bookmarkStart w:id="434" w:name="_Toc297120457"/>
      <w:bookmarkStart w:id="435" w:name="_Toc292559362"/>
      <w:bookmarkStart w:id="436" w:name="_Toc296891197"/>
      <w:bookmarkStart w:id="437" w:name="_Toc297048343"/>
      <w:bookmarkStart w:id="438" w:name="_Toc296890985"/>
      <w:bookmarkStart w:id="439" w:name="_Toc296347156"/>
      <w:bookmarkStart w:id="440" w:name="_Toc296503157"/>
      <w:r>
        <w:rPr>
          <w:color w:val="auto"/>
          <w:sz w:val="24"/>
          <w:highlight w:val="none"/>
        </w:rPr>
        <w:t>. 发包人</w:t>
      </w:r>
      <w:bookmarkEnd w:id="430"/>
    </w:p>
    <w:p>
      <w:pPr>
        <w:keepNext w:val="0"/>
        <w:keepLines w:val="0"/>
        <w:pageBreakBefore w:val="0"/>
        <w:widowControl w:val="0"/>
        <w:kinsoku/>
        <w:wordWrap/>
        <w:overflowPunct/>
        <w:topLinePunct w:val="0"/>
        <w:bidi w:val="0"/>
        <w:adjustRightInd/>
        <w:snapToGrid/>
        <w:spacing w:line="400" w:lineRule="exact"/>
        <w:ind w:firstLine="354" w:firstLineChars="147"/>
        <w:textAlignment w:val="auto"/>
        <w:rPr>
          <w:rFonts w:hint="eastAsia" w:ascii="宋体" w:hAnsi="宋体" w:eastAsia="宋体" w:cs="宋体"/>
          <w:b/>
          <w:bCs/>
          <w:color w:val="auto"/>
          <w:sz w:val="24"/>
          <w:szCs w:val="24"/>
          <w:highlight w:val="none"/>
        </w:rPr>
      </w:pPr>
      <w:r>
        <w:rPr>
          <w:rFonts w:hint="eastAsia" w:hAnsi="宋体"/>
          <w:b/>
          <w:color w:val="auto"/>
          <w:sz w:val="24"/>
          <w:highlight w:val="none"/>
        </w:rPr>
        <w:t>发包人应根据工程所需配备发包人代表，同时配备1-2名相关人员到岗履职。</w:t>
      </w:r>
      <w:r>
        <w:rPr>
          <w:rFonts w:hint="eastAsia" w:ascii="宋体" w:hAnsi="宋体" w:eastAsia="宋体" w:cs="宋体"/>
          <w:b/>
          <w:bCs/>
          <w:color w:val="auto"/>
          <w:sz w:val="24"/>
          <w:szCs w:val="24"/>
          <w:highlight w:val="none"/>
        </w:rPr>
        <w:t>发包人应做好承包人农民工工资保证金缴存情况的审核工作，督促未缴存农民工工资保证金的承包人及时缴存。</w:t>
      </w:r>
    </w:p>
    <w:bookmarkEnd w:id="431"/>
    <w:bookmarkEnd w:id="432"/>
    <w:bookmarkEnd w:id="433"/>
    <w:bookmarkEnd w:id="434"/>
    <w:bookmarkEnd w:id="435"/>
    <w:bookmarkEnd w:id="436"/>
    <w:bookmarkEnd w:id="437"/>
    <w:bookmarkEnd w:id="438"/>
    <w:bookmarkEnd w:id="439"/>
    <w:bookmarkEnd w:id="440"/>
    <w:p>
      <w:pPr>
        <w:spacing w:line="440" w:lineRule="exact"/>
        <w:ind w:firstLine="480" w:firstLineChars="200"/>
        <w:rPr>
          <w:rFonts w:hAnsi="宋体"/>
          <w:color w:val="auto"/>
          <w:sz w:val="24"/>
          <w:highlight w:val="none"/>
        </w:rPr>
      </w:pPr>
      <w:r>
        <w:rPr>
          <w:rFonts w:hAnsi="宋体"/>
          <w:color w:val="auto"/>
          <w:sz w:val="24"/>
          <w:highlight w:val="none"/>
        </w:rPr>
        <w:t>2.2 发包人代表</w:t>
      </w:r>
    </w:p>
    <w:p>
      <w:pPr>
        <w:spacing w:line="440" w:lineRule="exact"/>
        <w:ind w:firstLine="480" w:firstLineChars="200"/>
        <w:rPr>
          <w:rFonts w:hAnsi="宋体"/>
          <w:color w:val="auto"/>
          <w:sz w:val="24"/>
          <w:highlight w:val="none"/>
        </w:rPr>
      </w:pPr>
      <w:r>
        <w:rPr>
          <w:rFonts w:hAnsi="宋体"/>
          <w:color w:val="auto"/>
          <w:sz w:val="24"/>
          <w:highlight w:val="none"/>
        </w:rPr>
        <w:t>发包人代表：</w:t>
      </w:r>
    </w:p>
    <w:p>
      <w:pPr>
        <w:spacing w:line="440" w:lineRule="exact"/>
        <w:ind w:firstLine="480" w:firstLineChars="200"/>
        <w:rPr>
          <w:rFonts w:hAnsi="宋体"/>
          <w:color w:val="auto"/>
          <w:sz w:val="24"/>
          <w:highlight w:val="none"/>
        </w:rPr>
      </w:pPr>
      <w:r>
        <w:rPr>
          <w:rFonts w:hAnsi="宋体"/>
          <w:color w:val="auto"/>
          <w:sz w:val="24"/>
          <w:highlight w:val="none"/>
        </w:rPr>
        <w:t>姓    名：</w:t>
      </w:r>
      <w:r>
        <w:rPr>
          <w:rFonts w:hint="eastAsia" w:hAnsi="宋体" w:cs="宋体"/>
          <w:color w:val="auto"/>
          <w:sz w:val="24"/>
          <w:highlight w:val="none"/>
          <w:u w:val="single"/>
        </w:rPr>
        <w:t xml:space="preserve">                                 </w:t>
      </w:r>
      <w:r>
        <w:rPr>
          <w:rFonts w:hAnsi="宋体"/>
          <w:color w:val="auto"/>
          <w:sz w:val="24"/>
          <w:highlight w:val="none"/>
        </w:rPr>
        <w:t>；</w:t>
      </w:r>
    </w:p>
    <w:p>
      <w:pPr>
        <w:spacing w:line="440" w:lineRule="exact"/>
        <w:ind w:firstLine="480" w:firstLineChars="200"/>
        <w:rPr>
          <w:rFonts w:hAnsi="宋体"/>
          <w:color w:val="auto"/>
          <w:sz w:val="24"/>
          <w:highlight w:val="none"/>
        </w:rPr>
      </w:pPr>
      <w:r>
        <w:rPr>
          <w:rFonts w:hAnsi="宋体"/>
          <w:color w:val="auto"/>
          <w:sz w:val="24"/>
          <w:highlight w:val="none"/>
        </w:rPr>
        <w:t>身份证号：</w:t>
      </w:r>
      <w:r>
        <w:rPr>
          <w:rFonts w:hint="eastAsia" w:hAnsi="宋体" w:cs="宋体"/>
          <w:color w:val="auto"/>
          <w:sz w:val="24"/>
          <w:highlight w:val="none"/>
          <w:u w:val="single"/>
        </w:rPr>
        <w:t xml:space="preserve">                                 </w:t>
      </w:r>
      <w:r>
        <w:rPr>
          <w:rFonts w:hAnsi="宋体"/>
          <w:color w:val="auto"/>
          <w:sz w:val="24"/>
          <w:highlight w:val="none"/>
        </w:rPr>
        <w:t>；</w:t>
      </w:r>
    </w:p>
    <w:p>
      <w:pPr>
        <w:spacing w:line="440" w:lineRule="exact"/>
        <w:ind w:firstLine="480" w:firstLineChars="200"/>
        <w:rPr>
          <w:rFonts w:hAnsi="宋体"/>
          <w:color w:val="auto"/>
          <w:sz w:val="24"/>
          <w:highlight w:val="none"/>
        </w:rPr>
      </w:pPr>
      <w:r>
        <w:rPr>
          <w:rFonts w:hAnsi="宋体"/>
          <w:color w:val="auto"/>
          <w:sz w:val="24"/>
          <w:highlight w:val="none"/>
        </w:rPr>
        <w:t>职    务：</w:t>
      </w:r>
      <w:r>
        <w:rPr>
          <w:rFonts w:hint="eastAsia" w:hAnsi="宋体" w:cs="宋体"/>
          <w:color w:val="auto"/>
          <w:sz w:val="24"/>
          <w:highlight w:val="none"/>
          <w:u w:val="single"/>
        </w:rPr>
        <w:t xml:space="preserve">                                 </w:t>
      </w:r>
      <w:r>
        <w:rPr>
          <w:rFonts w:hAnsi="宋体"/>
          <w:color w:val="auto"/>
          <w:sz w:val="24"/>
          <w:highlight w:val="none"/>
        </w:rPr>
        <w:t>；</w:t>
      </w:r>
    </w:p>
    <w:p>
      <w:pPr>
        <w:spacing w:line="440" w:lineRule="exact"/>
        <w:ind w:firstLine="480" w:firstLineChars="200"/>
        <w:rPr>
          <w:rFonts w:hAnsi="宋体"/>
          <w:color w:val="auto"/>
          <w:sz w:val="24"/>
          <w:highlight w:val="none"/>
        </w:rPr>
      </w:pPr>
      <w:r>
        <w:rPr>
          <w:rFonts w:hAnsi="宋体"/>
          <w:color w:val="auto"/>
          <w:sz w:val="24"/>
          <w:highlight w:val="none"/>
        </w:rPr>
        <w:t>联系电话：</w:t>
      </w:r>
      <w:r>
        <w:rPr>
          <w:rFonts w:hint="eastAsia" w:hAnsi="宋体" w:cs="宋体"/>
          <w:color w:val="auto"/>
          <w:sz w:val="24"/>
          <w:highlight w:val="none"/>
          <w:u w:val="single"/>
        </w:rPr>
        <w:t xml:space="preserve">                                 </w:t>
      </w:r>
      <w:r>
        <w:rPr>
          <w:rFonts w:hAnsi="宋体"/>
          <w:color w:val="auto"/>
          <w:sz w:val="24"/>
          <w:highlight w:val="none"/>
        </w:rPr>
        <w:t>；</w:t>
      </w:r>
    </w:p>
    <w:p>
      <w:pPr>
        <w:spacing w:line="440" w:lineRule="exact"/>
        <w:ind w:firstLine="480" w:firstLineChars="200"/>
        <w:rPr>
          <w:rFonts w:hAnsi="宋体"/>
          <w:color w:val="auto"/>
          <w:sz w:val="24"/>
          <w:highlight w:val="none"/>
        </w:rPr>
      </w:pPr>
      <w:r>
        <w:rPr>
          <w:rFonts w:hAnsi="宋体"/>
          <w:color w:val="auto"/>
          <w:sz w:val="24"/>
          <w:highlight w:val="none"/>
        </w:rPr>
        <w:t>电子信箱：</w:t>
      </w:r>
      <w:r>
        <w:rPr>
          <w:rFonts w:hint="eastAsia" w:hAnsi="宋体" w:cs="宋体"/>
          <w:color w:val="auto"/>
          <w:sz w:val="24"/>
          <w:highlight w:val="none"/>
          <w:u w:val="single"/>
        </w:rPr>
        <w:t xml:space="preserve">                                 </w:t>
      </w:r>
      <w:r>
        <w:rPr>
          <w:rFonts w:hAnsi="宋体"/>
          <w:color w:val="auto"/>
          <w:sz w:val="24"/>
          <w:highlight w:val="none"/>
        </w:rPr>
        <w:t>；</w:t>
      </w:r>
    </w:p>
    <w:p>
      <w:pPr>
        <w:spacing w:line="440" w:lineRule="exact"/>
        <w:ind w:firstLine="480" w:firstLineChars="200"/>
        <w:rPr>
          <w:rFonts w:hAnsi="宋体"/>
          <w:color w:val="auto"/>
          <w:sz w:val="24"/>
          <w:highlight w:val="none"/>
        </w:rPr>
      </w:pPr>
      <w:r>
        <w:rPr>
          <w:rFonts w:hAnsi="宋体"/>
          <w:color w:val="auto"/>
          <w:sz w:val="24"/>
          <w:highlight w:val="none"/>
        </w:rPr>
        <w:t>通信地址：</w:t>
      </w:r>
      <w:r>
        <w:rPr>
          <w:rFonts w:hint="eastAsia" w:hAnsi="宋体" w:cs="宋体"/>
          <w:color w:val="auto"/>
          <w:sz w:val="24"/>
          <w:highlight w:val="none"/>
          <w:u w:val="single"/>
        </w:rPr>
        <w:t xml:space="preserve">                                 </w:t>
      </w:r>
      <w:r>
        <w:rPr>
          <w:rFonts w:hAnsi="宋体"/>
          <w:color w:val="auto"/>
          <w:sz w:val="24"/>
          <w:highlight w:val="none"/>
        </w:rPr>
        <w:t>。</w:t>
      </w:r>
    </w:p>
    <w:p>
      <w:pPr>
        <w:spacing w:line="440" w:lineRule="exact"/>
        <w:ind w:firstLine="480" w:firstLineChars="200"/>
        <w:rPr>
          <w:rFonts w:hint="eastAsia"/>
          <w:color w:val="auto"/>
          <w:sz w:val="24"/>
          <w:highlight w:val="none"/>
        </w:rPr>
      </w:pPr>
      <w:r>
        <w:rPr>
          <w:rFonts w:hAnsi="宋体"/>
          <w:color w:val="auto"/>
          <w:sz w:val="24"/>
          <w:highlight w:val="none"/>
        </w:rPr>
        <w:t>发包人对发包人代表的授权范围如下：</w:t>
      </w:r>
      <w:r>
        <w:rPr>
          <w:rFonts w:hint="eastAsia" w:hAnsi="宋体"/>
          <w:color w:val="auto"/>
          <w:sz w:val="24"/>
          <w:highlight w:val="none"/>
          <w:u w:val="single"/>
        </w:rPr>
        <w:t>对工程进度、质量、成本及合同执行情况进行监督和检查，负责设计问题的联络处理，代表发包人履行设计变更、联系单及工程进度款的签证等职责（以上需经工程师核定签字，并由发包方盖章后方为有效。详细的权限根据发包人公司相关制度的规定）。</w:t>
      </w:r>
    </w:p>
    <w:p>
      <w:pPr>
        <w:spacing w:line="440" w:lineRule="exact"/>
        <w:ind w:firstLine="480" w:firstLineChars="200"/>
        <w:rPr>
          <w:rFonts w:hAnsi="宋体"/>
          <w:color w:val="auto"/>
          <w:sz w:val="24"/>
          <w:highlight w:val="none"/>
        </w:rPr>
      </w:pPr>
      <w:r>
        <w:rPr>
          <w:rFonts w:hAnsi="宋体"/>
          <w:color w:val="auto"/>
          <w:sz w:val="24"/>
          <w:highlight w:val="none"/>
        </w:rPr>
        <w:t>2.4 施工现场、施工条件和基础资料的提供</w:t>
      </w:r>
    </w:p>
    <w:p>
      <w:pPr>
        <w:spacing w:line="440" w:lineRule="exact"/>
        <w:ind w:firstLine="480" w:firstLineChars="200"/>
        <w:rPr>
          <w:rFonts w:hAnsi="宋体"/>
          <w:color w:val="auto"/>
          <w:sz w:val="24"/>
          <w:highlight w:val="none"/>
        </w:rPr>
      </w:pPr>
      <w:r>
        <w:rPr>
          <w:rFonts w:hAnsi="宋体"/>
          <w:color w:val="auto"/>
          <w:sz w:val="24"/>
          <w:highlight w:val="none"/>
        </w:rPr>
        <w:t>2.4.1 提供施工现场</w:t>
      </w:r>
    </w:p>
    <w:p>
      <w:pPr>
        <w:spacing w:line="440" w:lineRule="exact"/>
        <w:ind w:firstLine="480" w:firstLineChars="200"/>
        <w:rPr>
          <w:rFonts w:hAnsi="宋体"/>
          <w:color w:val="auto"/>
          <w:sz w:val="24"/>
          <w:highlight w:val="none"/>
        </w:rPr>
      </w:pPr>
      <w:r>
        <w:rPr>
          <w:rFonts w:hAnsi="宋体"/>
          <w:color w:val="auto"/>
          <w:sz w:val="24"/>
          <w:highlight w:val="none"/>
        </w:rPr>
        <w:t>关于发包人移交施工现场的期限要求：</w:t>
      </w:r>
      <w:r>
        <w:rPr>
          <w:rFonts w:hint="eastAsia"/>
          <w:color w:val="auto"/>
          <w:sz w:val="24"/>
          <w:highlight w:val="none"/>
          <w:u w:val="single"/>
        </w:rPr>
        <w:t>合同签订后5天内</w:t>
      </w:r>
      <w:r>
        <w:rPr>
          <w:rFonts w:hAnsi="宋体"/>
          <w:color w:val="auto"/>
          <w:sz w:val="24"/>
          <w:highlight w:val="none"/>
        </w:rPr>
        <w:t>。</w:t>
      </w:r>
    </w:p>
    <w:p>
      <w:pPr>
        <w:spacing w:line="440" w:lineRule="exact"/>
        <w:ind w:firstLine="480" w:firstLineChars="200"/>
        <w:rPr>
          <w:rFonts w:hAnsi="宋体"/>
          <w:color w:val="auto"/>
          <w:sz w:val="24"/>
          <w:highlight w:val="none"/>
        </w:rPr>
      </w:pPr>
      <w:r>
        <w:rPr>
          <w:rFonts w:hAnsi="宋体"/>
          <w:color w:val="auto"/>
          <w:sz w:val="24"/>
          <w:highlight w:val="none"/>
        </w:rPr>
        <w:t>2.4.2 提供施工条件</w:t>
      </w:r>
    </w:p>
    <w:p>
      <w:pPr>
        <w:spacing w:line="440" w:lineRule="exact"/>
        <w:ind w:firstLine="480" w:firstLineChars="200"/>
        <w:rPr>
          <w:rFonts w:hAnsi="宋体"/>
          <w:color w:val="auto"/>
          <w:sz w:val="24"/>
          <w:highlight w:val="none"/>
        </w:rPr>
      </w:pPr>
      <w:r>
        <w:rPr>
          <w:rFonts w:hAnsi="宋体"/>
          <w:color w:val="auto"/>
          <w:sz w:val="24"/>
          <w:highlight w:val="none"/>
        </w:rPr>
        <w:t>关于发包人应负责提供施工</w:t>
      </w:r>
      <w:r>
        <w:rPr>
          <w:rFonts w:hint="eastAsia" w:hAnsi="宋体"/>
          <w:color w:val="auto"/>
          <w:sz w:val="24"/>
          <w:highlight w:val="none"/>
        </w:rPr>
        <w:t>所需要的条件，</w:t>
      </w:r>
      <w:r>
        <w:rPr>
          <w:rFonts w:hAnsi="宋体"/>
          <w:color w:val="auto"/>
          <w:sz w:val="24"/>
          <w:highlight w:val="none"/>
        </w:rPr>
        <w:t>包括：</w:t>
      </w:r>
    </w:p>
    <w:p>
      <w:pPr>
        <w:spacing w:line="440" w:lineRule="exact"/>
        <w:ind w:firstLine="480" w:firstLineChars="200"/>
        <w:rPr>
          <w:rFonts w:hint="eastAsia" w:hAnsi="宋体"/>
          <w:color w:val="auto"/>
          <w:kern w:val="0"/>
          <w:sz w:val="24"/>
          <w:highlight w:val="none"/>
          <w:u w:val="single"/>
        </w:rPr>
      </w:pPr>
      <w:r>
        <w:rPr>
          <w:rFonts w:hint="eastAsia" w:hAnsi="宋体"/>
          <w:color w:val="auto"/>
          <w:kern w:val="0"/>
          <w:sz w:val="24"/>
          <w:highlight w:val="none"/>
          <w:u w:val="single"/>
        </w:rPr>
        <w:t>（1）施工场地已具备施工条件的要求及完成的时间：现场已具备开工条件，有关进场准备工作由承包人负责做好，费用已含在承包人的投标报价中。</w:t>
      </w:r>
    </w:p>
    <w:p>
      <w:pPr>
        <w:spacing w:line="440" w:lineRule="exact"/>
        <w:ind w:firstLine="480" w:firstLineChars="200"/>
        <w:rPr>
          <w:rFonts w:hint="eastAsia" w:hAnsi="宋体"/>
          <w:color w:val="auto"/>
          <w:kern w:val="0"/>
          <w:sz w:val="24"/>
          <w:highlight w:val="none"/>
          <w:u w:val="single"/>
        </w:rPr>
      </w:pPr>
      <w:r>
        <w:rPr>
          <w:rFonts w:hint="eastAsia" w:hAnsi="宋体"/>
          <w:color w:val="auto"/>
          <w:kern w:val="0"/>
          <w:sz w:val="24"/>
          <w:highlight w:val="none"/>
          <w:u w:val="single"/>
        </w:rPr>
        <w:t>承包人已对施工现场勘查完毕并充分了解，认为具备施工条件。施工前，发包人已要求承包人自行到工地现场勘查，承包人已充分了解工地位置、情况、道路、装卸限制及任何其他足以影响承包价的现场情况，任何忽视或误解工地现场情况而导致的索赔或工期延长申请将不获批准。</w:t>
      </w:r>
    </w:p>
    <w:p>
      <w:pPr>
        <w:spacing w:line="440" w:lineRule="exact"/>
        <w:ind w:firstLine="480" w:firstLineChars="200"/>
        <w:rPr>
          <w:rFonts w:hint="eastAsia" w:hAnsi="宋体"/>
          <w:color w:val="auto"/>
          <w:kern w:val="0"/>
          <w:sz w:val="24"/>
          <w:highlight w:val="none"/>
          <w:u w:val="single"/>
        </w:rPr>
      </w:pPr>
      <w:r>
        <w:rPr>
          <w:rFonts w:hint="eastAsia" w:hAnsi="宋体"/>
          <w:color w:val="auto"/>
          <w:kern w:val="0"/>
          <w:sz w:val="24"/>
          <w:highlight w:val="none"/>
          <w:u w:val="single"/>
        </w:rPr>
        <w:t>（2）施工现场水、电、通迅线路接到施工现场的时间、地点和供应要求：发包人负责提供电源、水源，由承包人接入施工现场，设置分电源箱，并单独装表计量。安装费、线路、设备购置费及施工过程中发生的所有电费、水费，均已含在投标报价中。</w:t>
      </w:r>
    </w:p>
    <w:p>
      <w:pPr>
        <w:spacing w:line="440" w:lineRule="exact"/>
        <w:ind w:firstLine="480" w:firstLineChars="200"/>
        <w:rPr>
          <w:rFonts w:hint="eastAsia" w:hAnsi="宋体"/>
          <w:color w:val="auto"/>
          <w:kern w:val="0"/>
          <w:sz w:val="24"/>
          <w:highlight w:val="none"/>
          <w:u w:val="single"/>
        </w:rPr>
      </w:pPr>
      <w:r>
        <w:rPr>
          <w:rFonts w:hint="eastAsia" w:hAnsi="宋体"/>
          <w:color w:val="auto"/>
          <w:kern w:val="0"/>
          <w:sz w:val="24"/>
          <w:highlight w:val="none"/>
          <w:u w:val="single"/>
        </w:rPr>
        <w:t>（3）施工场地与公共道路的通道开通时间和要求：</w:t>
      </w:r>
    </w:p>
    <w:p>
      <w:pPr>
        <w:spacing w:line="440" w:lineRule="exact"/>
        <w:ind w:firstLine="480" w:firstLineChars="200"/>
        <w:rPr>
          <w:rFonts w:hint="eastAsia" w:hAnsi="宋体"/>
          <w:color w:val="auto"/>
          <w:kern w:val="0"/>
          <w:sz w:val="24"/>
          <w:highlight w:val="none"/>
          <w:u w:val="single"/>
        </w:rPr>
      </w:pPr>
      <w:r>
        <w:rPr>
          <w:rFonts w:hint="eastAsia" w:hAnsi="宋体"/>
          <w:color w:val="auto"/>
          <w:kern w:val="0"/>
          <w:sz w:val="24"/>
          <w:highlight w:val="none"/>
          <w:u w:val="single"/>
        </w:rPr>
        <w:t>（4）工程地质和地下管线资料（如有）的提供时间：</w:t>
      </w:r>
    </w:p>
    <w:p>
      <w:pPr>
        <w:spacing w:line="440" w:lineRule="exact"/>
        <w:ind w:firstLine="480" w:firstLineChars="200"/>
        <w:rPr>
          <w:rFonts w:hint="eastAsia" w:hAnsi="宋体"/>
          <w:color w:val="auto"/>
          <w:kern w:val="0"/>
          <w:sz w:val="24"/>
          <w:highlight w:val="none"/>
          <w:u w:val="single"/>
        </w:rPr>
      </w:pPr>
      <w:r>
        <w:rPr>
          <w:rFonts w:hint="eastAsia" w:hAnsi="宋体"/>
          <w:color w:val="auto"/>
          <w:kern w:val="0"/>
          <w:sz w:val="24"/>
          <w:highlight w:val="none"/>
          <w:u w:val="single"/>
        </w:rPr>
        <w:t>（5）图纸会审和设计交底</w:t>
      </w:r>
    </w:p>
    <w:p>
      <w:pPr>
        <w:spacing w:line="440" w:lineRule="exact"/>
        <w:ind w:firstLine="480" w:firstLineChars="200"/>
        <w:rPr>
          <w:rFonts w:hint="eastAsia" w:hAnsi="宋体"/>
          <w:color w:val="auto"/>
          <w:kern w:val="0"/>
          <w:sz w:val="24"/>
          <w:highlight w:val="none"/>
          <w:u w:val="single"/>
        </w:rPr>
      </w:pPr>
      <w:r>
        <w:rPr>
          <w:rFonts w:hint="eastAsia" w:hAnsi="宋体"/>
          <w:color w:val="auto"/>
          <w:kern w:val="0"/>
          <w:sz w:val="24"/>
          <w:highlight w:val="none"/>
          <w:u w:val="single"/>
        </w:rPr>
        <w:t>（6）协调处理施工场地周围地下管线和邻近建筑物、构筑物、古树名木保护等工作：由承包人自行解决。</w:t>
      </w:r>
    </w:p>
    <w:p>
      <w:pPr>
        <w:spacing w:line="440" w:lineRule="exact"/>
        <w:ind w:firstLine="480" w:firstLineChars="200"/>
        <w:rPr>
          <w:rFonts w:hAnsi="宋体"/>
          <w:color w:val="auto"/>
          <w:sz w:val="24"/>
          <w:highlight w:val="none"/>
        </w:rPr>
      </w:pPr>
      <w:r>
        <w:rPr>
          <w:rFonts w:hAnsi="宋体"/>
          <w:color w:val="auto"/>
          <w:sz w:val="24"/>
          <w:highlight w:val="none"/>
        </w:rPr>
        <w:t>2.5 资金来源证明及支付担保</w:t>
      </w:r>
    </w:p>
    <w:p>
      <w:pPr>
        <w:spacing w:line="440" w:lineRule="exact"/>
        <w:ind w:firstLine="480" w:firstLineChars="200"/>
        <w:rPr>
          <w:rFonts w:hAnsi="宋体"/>
          <w:color w:val="auto"/>
          <w:sz w:val="24"/>
          <w:highlight w:val="none"/>
        </w:rPr>
      </w:pPr>
      <w:r>
        <w:rPr>
          <w:rFonts w:hAnsi="宋体"/>
          <w:color w:val="auto"/>
          <w:sz w:val="24"/>
          <w:highlight w:val="none"/>
        </w:rPr>
        <w:t>发包人提供资金来源证明的期限要求：</w:t>
      </w:r>
      <w:r>
        <w:rPr>
          <w:rFonts w:hint="eastAsia" w:hAnsi="宋体" w:cs="宋体"/>
          <w:color w:val="auto"/>
          <w:sz w:val="24"/>
          <w:highlight w:val="none"/>
          <w:u w:val="single"/>
        </w:rPr>
        <w:t xml:space="preserve"> </w:t>
      </w:r>
      <w:r>
        <w:rPr>
          <w:rFonts w:hint="eastAsia" w:hAnsi="宋体"/>
          <w:color w:val="auto"/>
          <w:sz w:val="24"/>
          <w:highlight w:val="none"/>
          <w:u w:val="single"/>
        </w:rPr>
        <w:t>/</w:t>
      </w:r>
      <w:r>
        <w:rPr>
          <w:rFonts w:hAnsi="宋体"/>
          <w:color w:val="auto"/>
          <w:sz w:val="24"/>
          <w:highlight w:val="none"/>
        </w:rPr>
        <w:t>。</w:t>
      </w:r>
    </w:p>
    <w:p>
      <w:pPr>
        <w:spacing w:line="440" w:lineRule="exact"/>
        <w:ind w:firstLine="480" w:firstLineChars="200"/>
        <w:rPr>
          <w:rFonts w:hAnsi="宋体"/>
          <w:color w:val="auto"/>
          <w:sz w:val="24"/>
          <w:highlight w:val="none"/>
        </w:rPr>
      </w:pPr>
      <w:r>
        <w:rPr>
          <w:rFonts w:hAnsi="宋体"/>
          <w:color w:val="auto"/>
          <w:sz w:val="24"/>
          <w:highlight w:val="none"/>
        </w:rPr>
        <w:t>发包人是否提供支付担保：</w:t>
      </w:r>
      <w:r>
        <w:rPr>
          <w:rFonts w:hint="eastAsia" w:hAnsi="宋体" w:cs="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r>
        <w:rPr>
          <w:rFonts w:hAnsi="宋体"/>
          <w:color w:val="auto"/>
          <w:sz w:val="24"/>
          <w:highlight w:val="none"/>
        </w:rPr>
        <w:t>。</w:t>
      </w:r>
    </w:p>
    <w:p>
      <w:pPr>
        <w:spacing w:line="440" w:lineRule="exact"/>
        <w:ind w:firstLine="480" w:firstLineChars="200"/>
        <w:rPr>
          <w:rFonts w:hAnsi="宋体"/>
          <w:color w:val="auto"/>
          <w:sz w:val="24"/>
          <w:highlight w:val="none"/>
          <w:u w:val="single"/>
        </w:rPr>
      </w:pPr>
      <w:r>
        <w:rPr>
          <w:rFonts w:hAnsi="宋体"/>
          <w:color w:val="auto"/>
          <w:sz w:val="24"/>
          <w:highlight w:val="none"/>
        </w:rPr>
        <w:t>发包人提供支付担保的形式：</w:t>
      </w:r>
      <w:r>
        <w:rPr>
          <w:rFonts w:hint="eastAsia" w:hAnsi="宋体" w:cs="宋体"/>
          <w:color w:val="auto"/>
          <w:sz w:val="24"/>
          <w:highlight w:val="none"/>
          <w:u w:val="single"/>
        </w:rPr>
        <w:t xml:space="preserve"> </w:t>
      </w:r>
      <w:r>
        <w:rPr>
          <w:rFonts w:hint="eastAsia" w:hAnsi="宋体"/>
          <w:color w:val="auto"/>
          <w:sz w:val="24"/>
          <w:highlight w:val="none"/>
          <w:u w:val="single"/>
        </w:rPr>
        <w:t>/</w:t>
      </w:r>
      <w:r>
        <w:rPr>
          <w:rFonts w:hAnsi="宋体"/>
          <w:color w:val="auto"/>
          <w:sz w:val="24"/>
          <w:highlight w:val="none"/>
        </w:rPr>
        <w:t>。</w:t>
      </w:r>
    </w:p>
    <w:p>
      <w:pPr>
        <w:spacing w:line="440" w:lineRule="exact"/>
        <w:ind w:firstLine="480" w:firstLineChars="200"/>
        <w:rPr>
          <w:color w:val="auto"/>
          <w:sz w:val="24"/>
          <w:highlight w:val="none"/>
        </w:rPr>
      </w:pPr>
      <w:bookmarkStart w:id="441" w:name="_Toc351203635"/>
      <w:r>
        <w:rPr>
          <w:color w:val="auto"/>
          <w:sz w:val="24"/>
          <w:highlight w:val="none"/>
        </w:rPr>
        <w:t>3</w:t>
      </w:r>
      <w:bookmarkStart w:id="442" w:name="_Toc296347157"/>
      <w:bookmarkStart w:id="443" w:name="_Toc296944497"/>
      <w:bookmarkStart w:id="444" w:name="_Toc292559363"/>
      <w:bookmarkStart w:id="445" w:name="_Toc292559868"/>
      <w:bookmarkStart w:id="446" w:name="_Toc296890986"/>
      <w:bookmarkStart w:id="447" w:name="_Toc296891198"/>
      <w:bookmarkStart w:id="448" w:name="_Toc296503158"/>
      <w:bookmarkStart w:id="449" w:name="_Toc297048344"/>
      <w:bookmarkStart w:id="450" w:name="_Toc296346659"/>
      <w:bookmarkStart w:id="451" w:name="_Toc297120458"/>
      <w:r>
        <w:rPr>
          <w:color w:val="auto"/>
          <w:sz w:val="24"/>
          <w:highlight w:val="none"/>
        </w:rPr>
        <w:t>. 承包人</w:t>
      </w:r>
      <w:bookmarkEnd w:id="441"/>
    </w:p>
    <w:bookmarkEnd w:id="442"/>
    <w:bookmarkEnd w:id="443"/>
    <w:bookmarkEnd w:id="444"/>
    <w:bookmarkEnd w:id="445"/>
    <w:bookmarkEnd w:id="446"/>
    <w:bookmarkEnd w:id="447"/>
    <w:bookmarkEnd w:id="448"/>
    <w:bookmarkEnd w:id="449"/>
    <w:bookmarkEnd w:id="450"/>
    <w:bookmarkEnd w:id="451"/>
    <w:p>
      <w:pPr>
        <w:spacing w:line="440" w:lineRule="exact"/>
        <w:ind w:firstLine="480" w:firstLineChars="200"/>
        <w:rPr>
          <w:rFonts w:hAnsi="宋体"/>
          <w:color w:val="auto"/>
          <w:sz w:val="24"/>
          <w:highlight w:val="none"/>
        </w:rPr>
      </w:pPr>
      <w:r>
        <w:rPr>
          <w:rFonts w:hAnsi="宋体"/>
          <w:color w:val="auto"/>
          <w:sz w:val="24"/>
          <w:highlight w:val="none"/>
        </w:rPr>
        <w:t>3.1 承包人的一般义务</w:t>
      </w:r>
    </w:p>
    <w:p>
      <w:pPr>
        <w:pStyle w:val="26"/>
        <w:spacing w:after="0" w:line="440" w:lineRule="exact"/>
        <w:ind w:firstLine="480" w:firstLineChars="200"/>
        <w:rPr>
          <w:rFonts w:hint="eastAsia" w:hAnsi="宋体"/>
          <w:color w:val="auto"/>
          <w:sz w:val="24"/>
          <w:highlight w:val="none"/>
          <w:u w:val="single"/>
        </w:rPr>
      </w:pPr>
      <w:r>
        <w:rPr>
          <w:rFonts w:hAnsi="宋体"/>
          <w:color w:val="auto"/>
          <w:sz w:val="24"/>
          <w:highlight w:val="none"/>
        </w:rPr>
        <w:t>（</w:t>
      </w:r>
      <w:r>
        <w:rPr>
          <w:rFonts w:hint="eastAsia" w:hAnsi="宋体"/>
          <w:color w:val="auto"/>
          <w:sz w:val="24"/>
          <w:highlight w:val="none"/>
          <w:lang w:val="en-US" w:eastAsia="zh-CN"/>
        </w:rPr>
        <w:t>9</w:t>
      </w:r>
      <w:r>
        <w:rPr>
          <w:rFonts w:hAnsi="宋体"/>
          <w:color w:val="auto"/>
          <w:sz w:val="24"/>
          <w:highlight w:val="none"/>
        </w:rPr>
        <w:t>）承包人提交的竣工资料的内容：</w:t>
      </w:r>
      <w:r>
        <w:rPr>
          <w:rFonts w:hint="eastAsia" w:hAnsi="宋体"/>
          <w:color w:val="auto"/>
          <w:sz w:val="24"/>
          <w:highlight w:val="none"/>
          <w:u w:val="single"/>
        </w:rPr>
        <w:t>在工程竣工前免费向发包人提供符合城建档案等部门要求的竣工资料。</w:t>
      </w:r>
    </w:p>
    <w:p>
      <w:pPr>
        <w:spacing w:line="440" w:lineRule="exact"/>
        <w:ind w:firstLine="480" w:firstLineChars="200"/>
        <w:rPr>
          <w:rFonts w:hint="eastAsia" w:hAnsi="宋体"/>
          <w:color w:val="auto"/>
          <w:sz w:val="24"/>
          <w:highlight w:val="none"/>
        </w:rPr>
      </w:pPr>
      <w:r>
        <w:rPr>
          <w:rFonts w:hAnsi="宋体"/>
          <w:color w:val="auto"/>
          <w:sz w:val="24"/>
          <w:highlight w:val="none"/>
        </w:rPr>
        <w:t>承包人需要提交的竣工资料套数：</w:t>
      </w:r>
      <w:r>
        <w:rPr>
          <w:rFonts w:hint="eastAsia" w:hAnsi="宋体"/>
          <w:color w:val="auto"/>
          <w:sz w:val="24"/>
          <w:highlight w:val="none"/>
          <w:u w:val="single"/>
        </w:rPr>
        <w:t>各五套（包括电子文档五套），其中一套必须是原件及电子光盘一套）</w:t>
      </w:r>
      <w:r>
        <w:rPr>
          <w:rFonts w:hint="eastAsia" w:hAnsi="宋体"/>
          <w:color w:val="auto"/>
          <w:sz w:val="24"/>
          <w:highlight w:val="none"/>
        </w:rPr>
        <w:t>。</w:t>
      </w:r>
    </w:p>
    <w:p>
      <w:pPr>
        <w:spacing w:line="440" w:lineRule="exact"/>
        <w:ind w:firstLine="480" w:firstLineChars="200"/>
        <w:rPr>
          <w:rFonts w:hAnsi="宋体"/>
          <w:color w:val="auto"/>
          <w:sz w:val="24"/>
          <w:highlight w:val="none"/>
        </w:rPr>
      </w:pPr>
      <w:r>
        <w:rPr>
          <w:rFonts w:hAnsi="宋体"/>
          <w:color w:val="auto"/>
          <w:sz w:val="24"/>
          <w:highlight w:val="none"/>
        </w:rPr>
        <w:t>承包人提交的竣工资料的费用承担：</w:t>
      </w:r>
      <w:r>
        <w:rPr>
          <w:rFonts w:hint="eastAsia" w:hAnsi="宋体"/>
          <w:color w:val="auto"/>
          <w:sz w:val="24"/>
          <w:highlight w:val="none"/>
          <w:u w:val="single"/>
        </w:rPr>
        <w:t>自行承担</w:t>
      </w:r>
      <w:r>
        <w:rPr>
          <w:rFonts w:hAnsi="宋体"/>
          <w:color w:val="auto"/>
          <w:sz w:val="24"/>
          <w:highlight w:val="none"/>
          <w:u w:val="single"/>
        </w:rPr>
        <w:t xml:space="preserve"> </w:t>
      </w:r>
      <w:r>
        <w:rPr>
          <w:rFonts w:hAnsi="宋体"/>
          <w:color w:val="auto"/>
          <w:sz w:val="24"/>
          <w:highlight w:val="none"/>
        </w:rPr>
        <w:t>。</w:t>
      </w:r>
    </w:p>
    <w:p>
      <w:pPr>
        <w:spacing w:line="440" w:lineRule="exact"/>
        <w:ind w:firstLine="480" w:firstLineChars="200"/>
        <w:rPr>
          <w:rFonts w:hAnsi="宋体"/>
          <w:color w:val="auto"/>
          <w:sz w:val="24"/>
          <w:highlight w:val="none"/>
        </w:rPr>
      </w:pPr>
      <w:r>
        <w:rPr>
          <w:rFonts w:hAnsi="宋体"/>
          <w:color w:val="auto"/>
          <w:sz w:val="24"/>
          <w:highlight w:val="none"/>
        </w:rPr>
        <w:t>承包人提交的竣工资料移交时间：</w:t>
      </w:r>
      <w:r>
        <w:rPr>
          <w:rFonts w:hint="eastAsia" w:hAnsi="宋体"/>
          <w:color w:val="auto"/>
          <w:sz w:val="24"/>
          <w:highlight w:val="none"/>
          <w:u w:val="single"/>
        </w:rPr>
        <w:t xml:space="preserve">竣工验收后5天内及相应的进度款支付前  </w:t>
      </w:r>
      <w:r>
        <w:rPr>
          <w:rFonts w:hAnsi="宋体"/>
          <w:color w:val="auto"/>
          <w:sz w:val="24"/>
          <w:highlight w:val="none"/>
        </w:rPr>
        <w:t>。</w:t>
      </w:r>
    </w:p>
    <w:p>
      <w:pPr>
        <w:spacing w:line="440" w:lineRule="exact"/>
        <w:ind w:firstLine="480" w:firstLineChars="200"/>
        <w:rPr>
          <w:rFonts w:hint="eastAsia" w:hAnsi="宋体"/>
          <w:color w:val="auto"/>
          <w:sz w:val="24"/>
          <w:highlight w:val="none"/>
        </w:rPr>
      </w:pPr>
      <w:r>
        <w:rPr>
          <w:rFonts w:hAnsi="宋体"/>
          <w:color w:val="auto"/>
          <w:sz w:val="24"/>
          <w:highlight w:val="none"/>
        </w:rPr>
        <w:t>承包人提交的竣工资料形式要求：</w:t>
      </w:r>
      <w:r>
        <w:rPr>
          <w:rFonts w:hint="eastAsia" w:hAnsi="宋体"/>
          <w:color w:val="auto"/>
          <w:sz w:val="24"/>
          <w:highlight w:val="none"/>
          <w:u w:val="single"/>
        </w:rPr>
        <w:t>纸质文本、电子光盘</w:t>
      </w:r>
      <w:r>
        <w:rPr>
          <w:rFonts w:hAnsi="宋体"/>
          <w:color w:val="auto"/>
          <w:sz w:val="24"/>
          <w:highlight w:val="none"/>
        </w:rPr>
        <w:t>。</w:t>
      </w:r>
    </w:p>
    <w:p>
      <w:pPr>
        <w:spacing w:line="440" w:lineRule="exact"/>
        <w:ind w:firstLine="480" w:firstLineChars="200"/>
        <w:rPr>
          <w:rFonts w:hint="eastAsia" w:hAnsi="宋体" w:cs="宋体"/>
          <w:color w:val="auto"/>
          <w:sz w:val="24"/>
          <w:highlight w:val="none"/>
          <w:u w:val="single"/>
        </w:rPr>
      </w:pPr>
      <w:r>
        <w:rPr>
          <w:rFonts w:hint="eastAsia" w:hAnsi="宋体" w:cs="宋体"/>
          <w:color w:val="auto"/>
          <w:sz w:val="24"/>
          <w:highlight w:val="none"/>
          <w:u w:val="single"/>
        </w:rPr>
        <w:t>承包人提交的竣工资料必须按临安城建档案馆归档要求提供。如因资料不符合城建档案馆及其他有关部门的要求，而产生的资料整理费用由承包人承担，承包人还应承担由此给发包人造成的其它损失。</w:t>
      </w:r>
    </w:p>
    <w:p>
      <w:pPr>
        <w:numPr>
          <w:ilvl w:val="0"/>
          <w:numId w:val="0"/>
        </w:numPr>
        <w:tabs>
          <w:tab w:val="left" w:pos="2856"/>
        </w:tabs>
        <w:spacing w:line="440" w:lineRule="exact"/>
        <w:ind w:firstLine="480" w:firstLineChars="200"/>
        <w:rPr>
          <w:rFonts w:hAnsi="宋体"/>
          <w:color w:val="auto"/>
          <w:kern w:val="0"/>
          <w:sz w:val="24"/>
          <w:highlight w:val="none"/>
        </w:rPr>
      </w:pPr>
      <w:r>
        <w:rPr>
          <w:rFonts w:hint="eastAsia" w:hAnsi="宋体"/>
          <w:color w:val="auto"/>
          <w:kern w:val="0"/>
          <w:sz w:val="24"/>
          <w:highlight w:val="none"/>
          <w:lang w:eastAsia="zh-CN"/>
        </w:rPr>
        <w:t>（</w:t>
      </w:r>
      <w:r>
        <w:rPr>
          <w:rFonts w:hint="eastAsia" w:hAnsi="宋体"/>
          <w:color w:val="auto"/>
          <w:kern w:val="0"/>
          <w:sz w:val="24"/>
          <w:highlight w:val="none"/>
          <w:lang w:val="en-US" w:eastAsia="zh-CN"/>
        </w:rPr>
        <w:t>10</w:t>
      </w:r>
      <w:r>
        <w:rPr>
          <w:rFonts w:hint="eastAsia" w:hAnsi="宋体"/>
          <w:color w:val="auto"/>
          <w:kern w:val="0"/>
          <w:sz w:val="24"/>
          <w:highlight w:val="none"/>
          <w:lang w:eastAsia="zh-CN"/>
        </w:rPr>
        <w:t>）</w:t>
      </w:r>
      <w:r>
        <w:rPr>
          <w:rFonts w:hAnsi="宋体"/>
          <w:color w:val="auto"/>
          <w:kern w:val="0"/>
          <w:sz w:val="24"/>
          <w:highlight w:val="none"/>
        </w:rPr>
        <w:t>承包人应履行的其他义务：</w:t>
      </w:r>
    </w:p>
    <w:p>
      <w:pPr>
        <w:spacing w:line="420" w:lineRule="exact"/>
        <w:ind w:firstLine="482" w:firstLineChars="200"/>
        <w:rPr>
          <w:rFonts w:hint="eastAsia"/>
          <w:b/>
          <w:bCs/>
          <w:color w:val="auto"/>
          <w:sz w:val="24"/>
          <w:szCs w:val="24"/>
          <w:highlight w:val="none"/>
          <w:u w:val="single"/>
        </w:rPr>
      </w:pPr>
      <w:r>
        <w:rPr>
          <w:rFonts w:hint="eastAsia"/>
          <w:b/>
          <w:bCs/>
          <w:color w:val="auto"/>
          <w:sz w:val="24"/>
          <w:szCs w:val="24"/>
          <w:highlight w:val="none"/>
          <w:u w:val="single"/>
          <w:lang w:val="en-US" w:eastAsia="zh-CN"/>
        </w:rPr>
        <w:t>1）</w:t>
      </w:r>
      <w:r>
        <w:rPr>
          <w:rFonts w:hint="eastAsia"/>
          <w:b/>
          <w:bCs/>
          <w:color w:val="auto"/>
          <w:sz w:val="24"/>
          <w:szCs w:val="24"/>
          <w:highlight w:val="none"/>
          <w:u w:val="single"/>
        </w:rPr>
        <w:t>承包人应当在工程开工建设前，到项目所在地商业银行开设农民工工资专用账户，专项用于支付该工程建设项目农民工工资。</w:t>
      </w:r>
    </w:p>
    <w:p>
      <w:pPr>
        <w:spacing w:line="420" w:lineRule="exact"/>
        <w:ind w:firstLine="482" w:firstLineChars="200"/>
        <w:rPr>
          <w:rFonts w:hint="eastAsia"/>
          <w:b/>
          <w:bCs/>
          <w:color w:val="auto"/>
          <w:sz w:val="24"/>
          <w:szCs w:val="24"/>
          <w:highlight w:val="none"/>
          <w:u w:val="single"/>
        </w:rPr>
      </w:pPr>
      <w:r>
        <w:rPr>
          <w:rFonts w:hint="eastAsia"/>
          <w:b/>
          <w:bCs/>
          <w:color w:val="auto"/>
          <w:sz w:val="24"/>
          <w:szCs w:val="24"/>
          <w:highlight w:val="none"/>
          <w:u w:val="single"/>
          <w:lang w:val="en-US" w:eastAsia="zh-CN"/>
        </w:rPr>
        <w:t>2）</w:t>
      </w:r>
      <w:r>
        <w:rPr>
          <w:rFonts w:hint="eastAsia"/>
          <w:b/>
          <w:bCs/>
          <w:color w:val="auto"/>
          <w:sz w:val="24"/>
          <w:szCs w:val="24"/>
          <w:highlight w:val="none"/>
          <w:u w:val="single"/>
        </w:rPr>
        <w:t>承包人应建立实名制电子考勤系统，做好与杭州市智慧工地实名制管理应用系统以及全国建筑工人管理服务信息平台的数据对接工作。</w:t>
      </w:r>
    </w:p>
    <w:p>
      <w:pPr>
        <w:spacing w:line="420" w:lineRule="exact"/>
        <w:ind w:firstLine="482" w:firstLineChars="200"/>
        <w:rPr>
          <w:rFonts w:hint="eastAsia"/>
          <w:b/>
          <w:bCs/>
          <w:color w:val="auto"/>
          <w:sz w:val="24"/>
          <w:szCs w:val="24"/>
          <w:highlight w:val="none"/>
          <w:u w:val="single"/>
        </w:rPr>
      </w:pPr>
      <w:r>
        <w:rPr>
          <w:rFonts w:hint="eastAsia"/>
          <w:b/>
          <w:bCs/>
          <w:color w:val="auto"/>
          <w:sz w:val="24"/>
          <w:szCs w:val="24"/>
          <w:highlight w:val="none"/>
          <w:u w:val="single"/>
          <w:lang w:val="en-US" w:eastAsia="zh-CN"/>
        </w:rPr>
        <w:t>3）</w:t>
      </w:r>
      <w:r>
        <w:rPr>
          <w:rFonts w:hint="eastAsia"/>
          <w:b/>
          <w:bCs/>
          <w:color w:val="auto"/>
          <w:sz w:val="24"/>
          <w:szCs w:val="24"/>
          <w:highlight w:val="none"/>
          <w:u w:val="single"/>
        </w:rPr>
        <w:t>承包人应及时向项目所在地保证金管理部门缴存农民工工资保证金，并做好分包单位农民工工资保证金缴存的查验工作。</w:t>
      </w:r>
    </w:p>
    <w:p>
      <w:pPr>
        <w:spacing w:line="420" w:lineRule="exact"/>
        <w:ind w:firstLine="482" w:firstLineChars="200"/>
        <w:rPr>
          <w:rFonts w:hint="eastAsia"/>
          <w:b/>
          <w:bCs/>
          <w:color w:val="auto"/>
          <w:sz w:val="24"/>
          <w:szCs w:val="24"/>
          <w:highlight w:val="none"/>
          <w:u w:val="single"/>
        </w:rPr>
      </w:pPr>
      <w:r>
        <w:rPr>
          <w:rFonts w:hint="eastAsia"/>
          <w:b/>
          <w:bCs/>
          <w:color w:val="auto"/>
          <w:sz w:val="24"/>
          <w:szCs w:val="24"/>
          <w:highlight w:val="none"/>
          <w:u w:val="single"/>
          <w:lang w:val="en-US" w:eastAsia="zh-CN"/>
        </w:rPr>
        <w:t>4）</w:t>
      </w:r>
      <w:r>
        <w:rPr>
          <w:rFonts w:hint="eastAsia"/>
          <w:b/>
          <w:bCs/>
          <w:color w:val="auto"/>
          <w:sz w:val="24"/>
          <w:szCs w:val="24"/>
          <w:highlight w:val="none"/>
          <w:u w:val="single"/>
        </w:rPr>
        <w:t>承包人应当在工程项目部配备劳资专管员，对分包单位劳动用工实施监督管理。实行分包单位农民工工资委托施工总承包单位代发制度。承包人应当按照与农民工依法约定的工资支付周期和具体支付日期支付工资，且每月至少向农民工足额支付一次工资。</w:t>
      </w:r>
    </w:p>
    <w:p>
      <w:pPr>
        <w:spacing w:line="420" w:lineRule="exact"/>
        <w:ind w:firstLine="482" w:firstLineChars="200"/>
        <w:rPr>
          <w:rFonts w:hint="eastAsia"/>
          <w:b/>
          <w:bCs/>
          <w:color w:val="auto"/>
          <w:sz w:val="24"/>
          <w:szCs w:val="24"/>
          <w:highlight w:val="none"/>
          <w:u w:val="single"/>
        </w:rPr>
      </w:pPr>
      <w:r>
        <w:rPr>
          <w:rFonts w:hint="eastAsia"/>
          <w:b/>
          <w:bCs/>
          <w:color w:val="auto"/>
          <w:sz w:val="24"/>
          <w:szCs w:val="24"/>
          <w:highlight w:val="none"/>
          <w:u w:val="single"/>
          <w:lang w:val="en-US" w:eastAsia="zh-CN"/>
        </w:rPr>
        <w:t>5）</w:t>
      </w:r>
      <w:r>
        <w:rPr>
          <w:rFonts w:hint="eastAsia"/>
          <w:b/>
          <w:bCs/>
          <w:color w:val="auto"/>
          <w:sz w:val="24"/>
          <w:szCs w:val="24"/>
          <w:highlight w:val="none"/>
          <w:u w:val="single"/>
        </w:rPr>
        <w:t>承包人应当在施工现场醒目位置设立维权信息告示牌，明示：（1）建设单位、施工总承包单位及所在项目部、分包单位、行业监管部门、劳资专管员等基本信息；（2）劳动用工相关法律法规、当地最低工资标准、工资支付日期等基本信息；（3）属地行业监管部门和劳动保障监察投诉举报电话、劳动争议调解仲裁申请渠道等信息。</w:t>
      </w:r>
    </w:p>
    <w:p>
      <w:pPr>
        <w:numPr>
          <w:ilvl w:val="0"/>
          <w:numId w:val="0"/>
        </w:numPr>
        <w:tabs>
          <w:tab w:val="left" w:pos="2856"/>
        </w:tabs>
        <w:spacing w:line="440" w:lineRule="exact"/>
        <w:ind w:firstLine="480" w:firstLineChars="200"/>
        <w:rPr>
          <w:rFonts w:hint="eastAsia" w:hAnsi="宋体"/>
          <w:color w:val="auto"/>
          <w:sz w:val="24"/>
          <w:highlight w:val="none"/>
        </w:rPr>
      </w:pPr>
      <w:r>
        <w:rPr>
          <w:rFonts w:hint="eastAsia" w:hAnsi="宋体"/>
          <w:color w:val="auto"/>
          <w:sz w:val="24"/>
          <w:highlight w:val="none"/>
          <w:u w:val="single"/>
        </w:rPr>
        <w:t>承包人负责安装在施工过程中为自己所用的供水管网、线路及其设施，并严格按供水供电的有关规定执行，否则一切后果均由承包人负责。施工场地内的施工便道由承包人负责，费用已含在投标总价中。如工程师另有要求时，还应按工程师指定的进度提交单位工程的进度计划等及</w:t>
      </w:r>
      <w:r>
        <w:rPr>
          <w:rFonts w:hint="eastAsia"/>
          <w:color w:val="auto"/>
          <w:sz w:val="24"/>
          <w:highlight w:val="none"/>
          <w:u w:val="single"/>
        </w:rPr>
        <w:t>工程报监、施工许可证办理、工程竣工备案资料整理等有关手续。</w:t>
      </w:r>
      <w:r>
        <w:rPr>
          <w:color w:val="auto"/>
          <w:sz w:val="24"/>
          <w:highlight w:val="none"/>
          <w:u w:val="single"/>
        </w:rPr>
        <w:t xml:space="preserve">  </w:t>
      </w:r>
    </w:p>
    <w:p>
      <w:pPr>
        <w:spacing w:line="440" w:lineRule="exact"/>
        <w:ind w:firstLine="480" w:firstLineChars="200"/>
        <w:rPr>
          <w:rFonts w:hint="eastAsia" w:hAnsi="宋体"/>
          <w:color w:val="auto"/>
          <w:sz w:val="24"/>
          <w:highlight w:val="none"/>
          <w:u w:val="single"/>
        </w:rPr>
      </w:pPr>
      <w:r>
        <w:rPr>
          <w:rFonts w:hint="eastAsia" w:hAnsi="宋体"/>
          <w:color w:val="auto"/>
          <w:sz w:val="24"/>
          <w:highlight w:val="none"/>
          <w:u w:val="single"/>
        </w:rPr>
        <w:t xml:space="preserve">如因资料不符合城建档案馆及其他有关部门的要求，而产生的资料整理费用，由承包人承担。并提供竣工资料电子档一份 。 </w:t>
      </w:r>
    </w:p>
    <w:p>
      <w:pPr>
        <w:spacing w:line="440" w:lineRule="exact"/>
        <w:ind w:firstLine="480" w:firstLineChars="200"/>
        <w:rPr>
          <w:rFonts w:hint="eastAsia" w:hAnsi="宋体"/>
          <w:color w:val="auto"/>
          <w:sz w:val="24"/>
          <w:highlight w:val="none"/>
          <w:u w:val="single"/>
        </w:rPr>
      </w:pPr>
      <w:r>
        <w:rPr>
          <w:rFonts w:hint="eastAsia" w:hAnsi="宋体"/>
          <w:color w:val="auto"/>
          <w:sz w:val="24"/>
          <w:highlight w:val="none"/>
          <w:u w:val="single"/>
        </w:rPr>
        <w:t>施工中发生的水、电费用，由施工单位自装水表、电表，自行支付。</w:t>
      </w:r>
    </w:p>
    <w:p>
      <w:pPr>
        <w:spacing w:line="440" w:lineRule="exact"/>
        <w:ind w:firstLine="480" w:firstLineChars="200"/>
        <w:rPr>
          <w:rFonts w:hint="eastAsia" w:hAnsi="宋体"/>
          <w:color w:val="auto"/>
          <w:kern w:val="0"/>
          <w:sz w:val="24"/>
          <w:highlight w:val="none"/>
          <w:u w:val="single"/>
        </w:rPr>
      </w:pPr>
      <w:r>
        <w:rPr>
          <w:rFonts w:hint="eastAsia" w:hAnsi="宋体"/>
          <w:color w:val="auto"/>
          <w:kern w:val="0"/>
          <w:sz w:val="24"/>
          <w:highlight w:val="none"/>
          <w:u w:val="single"/>
        </w:rPr>
        <w:t>承包单位必须做好与有关专业单位的配合工作。必须严格遵守安全施工的操作规程,完善安全施工措施，如发现安全事故，由施工单位承担一切责任。水源、电源的接入口到施工、生活现场的费用，已在报价时考虑，结算时不再增加。</w:t>
      </w:r>
    </w:p>
    <w:p>
      <w:pPr>
        <w:spacing w:line="440" w:lineRule="exact"/>
        <w:ind w:firstLine="480" w:firstLineChars="200"/>
        <w:rPr>
          <w:rFonts w:hint="eastAsia" w:hAnsi="宋体"/>
          <w:color w:val="auto"/>
          <w:kern w:val="0"/>
          <w:sz w:val="24"/>
          <w:highlight w:val="none"/>
          <w:u w:val="single"/>
        </w:rPr>
      </w:pPr>
      <w:r>
        <w:rPr>
          <w:rFonts w:hint="eastAsia" w:hAnsi="宋体"/>
          <w:color w:val="auto"/>
          <w:kern w:val="0"/>
          <w:sz w:val="24"/>
          <w:highlight w:val="none"/>
          <w:u w:val="single"/>
        </w:rPr>
        <w:t>承包人必须对施工场地周边设施妥善保护，如出现损坏由承包负责赔偿及处理。</w:t>
      </w:r>
    </w:p>
    <w:p>
      <w:pPr>
        <w:spacing w:line="440" w:lineRule="exact"/>
        <w:ind w:firstLine="480" w:firstLineChars="200"/>
        <w:rPr>
          <w:rFonts w:hint="eastAsia" w:hAnsi="宋体"/>
          <w:color w:val="auto"/>
          <w:sz w:val="24"/>
          <w:highlight w:val="none"/>
          <w:u w:val="single"/>
        </w:rPr>
      </w:pPr>
      <w:r>
        <w:rPr>
          <w:rFonts w:hint="eastAsia" w:hAnsi="宋体"/>
          <w:color w:val="auto"/>
          <w:sz w:val="24"/>
          <w:highlight w:val="none"/>
          <w:u w:val="single"/>
        </w:rPr>
        <w:t xml:space="preserve">工程在具备一定完工条件或竣工验收条件之前，承包单位如接到发包人和监理单位要求其清场并撤离的通知后7日内，必须完成机械设备的撤离施工现场、建筑垃圾的清运出场等场地清理工作（场地清理要符合发包人和监理单位的现场代表的要求），修复场内的交通道路，撤离所有施工人员。如逾期仍未撤离完的，应赔偿发包人每日2000元的赔偿金。同时，发包人有权采取强制手段清除现场，且无须征得承包人的许可，为此所发生的费用从未付工程款中扣除。 </w:t>
      </w:r>
    </w:p>
    <w:p>
      <w:pPr>
        <w:spacing w:line="440" w:lineRule="exact"/>
        <w:ind w:firstLine="480" w:firstLineChars="200"/>
        <w:rPr>
          <w:rFonts w:hint="eastAsia" w:hAnsi="宋体"/>
          <w:color w:val="auto"/>
          <w:sz w:val="24"/>
          <w:highlight w:val="none"/>
          <w:u w:val="single"/>
        </w:rPr>
      </w:pPr>
      <w:r>
        <w:rPr>
          <w:rFonts w:hint="eastAsia" w:hAnsi="宋体"/>
          <w:color w:val="auto"/>
          <w:sz w:val="24"/>
          <w:highlight w:val="none"/>
          <w:u w:val="single"/>
        </w:rPr>
        <w:t>施工承包单位应严格按已确认的设计图纸和施工技术方案组织施工，并无条件的接受发包人及发包人委托的监理单位对施工质量的监督和管理。</w:t>
      </w:r>
    </w:p>
    <w:p>
      <w:pPr>
        <w:spacing w:line="440" w:lineRule="exact"/>
        <w:ind w:firstLine="480" w:firstLineChars="200"/>
        <w:rPr>
          <w:rFonts w:hint="eastAsia" w:hAnsi="宋体"/>
          <w:color w:val="auto"/>
          <w:sz w:val="24"/>
          <w:highlight w:val="none"/>
          <w:u w:val="single"/>
        </w:rPr>
      </w:pPr>
      <w:r>
        <w:rPr>
          <w:rFonts w:hint="eastAsia" w:hAnsi="宋体"/>
          <w:color w:val="auto"/>
          <w:sz w:val="24"/>
          <w:highlight w:val="none"/>
          <w:u w:val="single"/>
        </w:rPr>
        <w:t>由于本工程施工而对道路及其它设施设备的影响、破坏，其修复费用由承包人自行承担。</w:t>
      </w:r>
    </w:p>
    <w:p>
      <w:pPr>
        <w:spacing w:line="440" w:lineRule="exact"/>
        <w:ind w:firstLine="480" w:firstLineChars="200"/>
        <w:rPr>
          <w:rFonts w:hint="eastAsia" w:hAnsi="宋体"/>
          <w:color w:val="auto"/>
          <w:sz w:val="24"/>
          <w:highlight w:val="none"/>
          <w:u w:val="single"/>
        </w:rPr>
      </w:pPr>
      <w:r>
        <w:rPr>
          <w:rFonts w:hint="eastAsia" w:hAnsi="宋体"/>
          <w:color w:val="auto"/>
          <w:sz w:val="24"/>
          <w:highlight w:val="none"/>
          <w:u w:val="single"/>
        </w:rPr>
        <w:t>承包人应依法为本合同下雇佣的职员和工人提供适当和充分的劳动保护。</w:t>
      </w:r>
    </w:p>
    <w:p>
      <w:pPr>
        <w:spacing w:line="440" w:lineRule="exact"/>
        <w:ind w:firstLine="480" w:firstLineChars="200"/>
        <w:rPr>
          <w:rFonts w:hint="eastAsia" w:hAnsi="宋体"/>
          <w:color w:val="auto"/>
          <w:sz w:val="24"/>
          <w:highlight w:val="none"/>
          <w:u w:val="single"/>
        </w:rPr>
      </w:pPr>
      <w:r>
        <w:rPr>
          <w:rFonts w:hint="eastAsia" w:hAnsi="宋体"/>
          <w:color w:val="auto"/>
          <w:sz w:val="24"/>
          <w:highlight w:val="none"/>
          <w:u w:val="single"/>
        </w:rPr>
        <w:t>承包人为本合同所雇佣的特殊工种的工人和操作人员应受过专门的培训并已取得有关管理机构规定的上岗证书。严格执行施工规范、安全操作规程、防火安全规定、环境保护规定，严格按图施工，做好各项质量检查记录。</w:t>
      </w:r>
    </w:p>
    <w:p>
      <w:pPr>
        <w:spacing w:line="440" w:lineRule="exact"/>
        <w:ind w:firstLine="480" w:firstLineChars="200"/>
        <w:rPr>
          <w:rFonts w:hint="eastAsia" w:hAnsi="宋体"/>
          <w:color w:val="auto"/>
          <w:sz w:val="24"/>
          <w:highlight w:val="none"/>
          <w:u w:val="single"/>
        </w:rPr>
      </w:pPr>
      <w:r>
        <w:rPr>
          <w:rFonts w:hint="eastAsia" w:hAnsi="宋体"/>
          <w:color w:val="auto"/>
          <w:sz w:val="24"/>
          <w:highlight w:val="none"/>
          <w:u w:val="single"/>
        </w:rPr>
        <w:t>材料的运输、保管、装卸及二次运输等涉及的费用已含在投标总价内，结算时不再增加。</w:t>
      </w:r>
    </w:p>
    <w:p>
      <w:pPr>
        <w:spacing w:line="440" w:lineRule="exact"/>
        <w:ind w:firstLine="480" w:firstLineChars="200"/>
        <w:rPr>
          <w:rFonts w:hAnsi="宋体"/>
          <w:color w:val="auto"/>
          <w:sz w:val="24"/>
          <w:highlight w:val="none"/>
        </w:rPr>
      </w:pPr>
      <w:r>
        <w:rPr>
          <w:rFonts w:hAnsi="宋体"/>
          <w:color w:val="auto"/>
          <w:sz w:val="24"/>
          <w:highlight w:val="none"/>
        </w:rPr>
        <w:t>3.2 项目经理</w:t>
      </w:r>
    </w:p>
    <w:p>
      <w:pPr>
        <w:spacing w:line="440" w:lineRule="exact"/>
        <w:ind w:firstLine="480" w:firstLineChars="200"/>
        <w:rPr>
          <w:rFonts w:hAnsi="宋体"/>
          <w:color w:val="auto"/>
          <w:sz w:val="24"/>
          <w:highlight w:val="none"/>
        </w:rPr>
      </w:pPr>
      <w:r>
        <w:rPr>
          <w:rFonts w:hAnsi="宋体"/>
          <w:color w:val="auto"/>
          <w:kern w:val="0"/>
          <w:sz w:val="24"/>
          <w:highlight w:val="none"/>
        </w:rPr>
        <w:t xml:space="preserve">3.2.1 </w:t>
      </w:r>
      <w:r>
        <w:rPr>
          <w:rFonts w:hAnsi="宋体"/>
          <w:color w:val="auto"/>
          <w:sz w:val="24"/>
          <w:highlight w:val="none"/>
        </w:rPr>
        <w:t>项目经理：</w:t>
      </w:r>
    </w:p>
    <w:p>
      <w:pPr>
        <w:spacing w:line="440" w:lineRule="exact"/>
        <w:ind w:firstLine="480" w:firstLineChars="200"/>
        <w:rPr>
          <w:rFonts w:hAnsi="宋体"/>
          <w:color w:val="auto"/>
          <w:sz w:val="24"/>
          <w:highlight w:val="none"/>
        </w:rPr>
      </w:pPr>
      <w:r>
        <w:rPr>
          <w:rFonts w:hAnsi="宋体"/>
          <w:color w:val="auto"/>
          <w:sz w:val="24"/>
          <w:highlight w:val="none"/>
        </w:rPr>
        <w:t>姓    名：</w:t>
      </w:r>
      <w:r>
        <w:rPr>
          <w:rFonts w:hint="eastAsia" w:hAnsi="宋体" w:cs="宋体"/>
          <w:color w:val="auto"/>
          <w:sz w:val="24"/>
          <w:highlight w:val="none"/>
          <w:u w:val="single"/>
        </w:rPr>
        <w:t xml:space="preserve">                      </w:t>
      </w:r>
      <w:r>
        <w:rPr>
          <w:rFonts w:hAnsi="宋体"/>
          <w:color w:val="auto"/>
          <w:sz w:val="24"/>
          <w:highlight w:val="none"/>
        </w:rPr>
        <w:t>；</w:t>
      </w:r>
    </w:p>
    <w:p>
      <w:pPr>
        <w:spacing w:line="440" w:lineRule="exact"/>
        <w:ind w:firstLine="480" w:firstLineChars="200"/>
        <w:rPr>
          <w:rFonts w:hAnsi="宋体"/>
          <w:color w:val="auto"/>
          <w:sz w:val="24"/>
          <w:highlight w:val="none"/>
        </w:rPr>
      </w:pPr>
      <w:r>
        <w:rPr>
          <w:rFonts w:hAnsi="宋体"/>
          <w:color w:val="auto"/>
          <w:sz w:val="24"/>
          <w:highlight w:val="none"/>
        </w:rPr>
        <w:t>身份证号：</w:t>
      </w:r>
      <w:r>
        <w:rPr>
          <w:rFonts w:hint="eastAsia" w:hAnsi="宋体" w:cs="宋体"/>
          <w:color w:val="auto"/>
          <w:sz w:val="24"/>
          <w:highlight w:val="none"/>
          <w:u w:val="single"/>
        </w:rPr>
        <w:t xml:space="preserve">                      </w:t>
      </w:r>
      <w:r>
        <w:rPr>
          <w:rFonts w:hAnsi="宋体"/>
          <w:color w:val="auto"/>
          <w:sz w:val="24"/>
          <w:highlight w:val="none"/>
        </w:rPr>
        <w:t>；</w:t>
      </w:r>
    </w:p>
    <w:p>
      <w:pPr>
        <w:spacing w:line="440" w:lineRule="exact"/>
        <w:ind w:firstLine="480" w:firstLineChars="200"/>
        <w:rPr>
          <w:rFonts w:hAnsi="宋体"/>
          <w:color w:val="auto"/>
          <w:sz w:val="24"/>
          <w:highlight w:val="none"/>
        </w:rPr>
      </w:pPr>
      <w:r>
        <w:rPr>
          <w:rFonts w:hAnsi="宋体"/>
          <w:color w:val="auto"/>
          <w:sz w:val="24"/>
          <w:highlight w:val="none"/>
        </w:rPr>
        <w:t>建造师执业资格等级：</w:t>
      </w:r>
      <w:r>
        <w:rPr>
          <w:rFonts w:hint="eastAsia" w:hAnsi="宋体" w:cs="宋体"/>
          <w:color w:val="auto"/>
          <w:sz w:val="24"/>
          <w:highlight w:val="none"/>
          <w:u w:val="single"/>
        </w:rPr>
        <w:t xml:space="preserve">                  </w:t>
      </w:r>
      <w:r>
        <w:rPr>
          <w:rFonts w:hAnsi="宋体"/>
          <w:color w:val="auto"/>
          <w:sz w:val="24"/>
          <w:highlight w:val="none"/>
        </w:rPr>
        <w:t>；</w:t>
      </w:r>
    </w:p>
    <w:p>
      <w:pPr>
        <w:spacing w:line="440" w:lineRule="exact"/>
        <w:ind w:firstLine="480" w:firstLineChars="200"/>
        <w:rPr>
          <w:rFonts w:hAnsi="宋体"/>
          <w:color w:val="auto"/>
          <w:sz w:val="24"/>
          <w:highlight w:val="none"/>
        </w:rPr>
      </w:pPr>
      <w:r>
        <w:rPr>
          <w:rFonts w:hAnsi="宋体"/>
          <w:color w:val="auto"/>
          <w:sz w:val="24"/>
          <w:highlight w:val="none"/>
        </w:rPr>
        <w:t>建造师注册证书号：</w:t>
      </w:r>
      <w:r>
        <w:rPr>
          <w:rFonts w:hint="eastAsia" w:hAnsi="宋体" w:cs="宋体"/>
          <w:color w:val="auto"/>
          <w:sz w:val="24"/>
          <w:highlight w:val="none"/>
          <w:u w:val="single"/>
        </w:rPr>
        <w:t xml:space="preserve">                    </w:t>
      </w:r>
      <w:r>
        <w:rPr>
          <w:rFonts w:hAnsi="宋体"/>
          <w:color w:val="auto"/>
          <w:sz w:val="24"/>
          <w:highlight w:val="none"/>
        </w:rPr>
        <w:t>；</w:t>
      </w:r>
    </w:p>
    <w:p>
      <w:pPr>
        <w:spacing w:line="440" w:lineRule="exact"/>
        <w:ind w:firstLine="480" w:firstLineChars="200"/>
        <w:rPr>
          <w:rFonts w:hAnsi="宋体"/>
          <w:color w:val="auto"/>
          <w:sz w:val="24"/>
          <w:highlight w:val="none"/>
        </w:rPr>
      </w:pPr>
      <w:r>
        <w:rPr>
          <w:rFonts w:hAnsi="宋体"/>
          <w:color w:val="auto"/>
          <w:sz w:val="24"/>
          <w:highlight w:val="none"/>
        </w:rPr>
        <w:t>建造师执业印章号：</w:t>
      </w:r>
      <w:r>
        <w:rPr>
          <w:rFonts w:hint="eastAsia" w:hAnsi="宋体" w:cs="宋体"/>
          <w:color w:val="auto"/>
          <w:sz w:val="24"/>
          <w:highlight w:val="none"/>
          <w:u w:val="single"/>
        </w:rPr>
        <w:t xml:space="preserve">                    </w:t>
      </w:r>
      <w:r>
        <w:rPr>
          <w:rFonts w:hAnsi="宋体"/>
          <w:color w:val="auto"/>
          <w:sz w:val="24"/>
          <w:highlight w:val="none"/>
        </w:rPr>
        <w:t>；</w:t>
      </w:r>
    </w:p>
    <w:p>
      <w:pPr>
        <w:spacing w:line="440" w:lineRule="exact"/>
        <w:ind w:firstLine="480" w:firstLineChars="200"/>
        <w:rPr>
          <w:rFonts w:hAnsi="宋体"/>
          <w:color w:val="auto"/>
          <w:sz w:val="24"/>
          <w:highlight w:val="none"/>
        </w:rPr>
      </w:pPr>
      <w:r>
        <w:rPr>
          <w:rFonts w:hAnsi="宋体"/>
          <w:color w:val="auto"/>
          <w:sz w:val="24"/>
          <w:highlight w:val="none"/>
        </w:rPr>
        <w:t>安全生产考核合格证书号：</w:t>
      </w:r>
      <w:r>
        <w:rPr>
          <w:rFonts w:hint="eastAsia" w:hAnsi="宋体" w:cs="宋体"/>
          <w:color w:val="auto"/>
          <w:sz w:val="24"/>
          <w:highlight w:val="none"/>
          <w:u w:val="single"/>
        </w:rPr>
        <w:t xml:space="preserve">                  </w:t>
      </w:r>
      <w:r>
        <w:rPr>
          <w:rFonts w:hAnsi="宋体"/>
          <w:color w:val="auto"/>
          <w:sz w:val="24"/>
          <w:highlight w:val="none"/>
        </w:rPr>
        <w:t>；</w:t>
      </w:r>
    </w:p>
    <w:p>
      <w:pPr>
        <w:spacing w:line="440" w:lineRule="exact"/>
        <w:ind w:firstLine="480" w:firstLineChars="200"/>
        <w:rPr>
          <w:rFonts w:hAnsi="宋体"/>
          <w:color w:val="auto"/>
          <w:sz w:val="24"/>
          <w:highlight w:val="none"/>
        </w:rPr>
      </w:pPr>
      <w:r>
        <w:rPr>
          <w:rFonts w:hAnsi="宋体"/>
          <w:color w:val="auto"/>
          <w:sz w:val="24"/>
          <w:highlight w:val="none"/>
        </w:rPr>
        <w:t>联系电话：</w:t>
      </w:r>
      <w:r>
        <w:rPr>
          <w:rFonts w:hint="eastAsia" w:hAnsi="宋体" w:cs="宋体"/>
          <w:color w:val="auto"/>
          <w:sz w:val="24"/>
          <w:highlight w:val="none"/>
          <w:u w:val="single"/>
        </w:rPr>
        <w:t xml:space="preserve">                                  </w:t>
      </w:r>
      <w:r>
        <w:rPr>
          <w:rFonts w:hAnsi="宋体"/>
          <w:color w:val="auto"/>
          <w:sz w:val="24"/>
          <w:highlight w:val="none"/>
        </w:rPr>
        <w:t>；</w:t>
      </w:r>
    </w:p>
    <w:p>
      <w:pPr>
        <w:spacing w:line="440" w:lineRule="exact"/>
        <w:ind w:firstLine="480" w:firstLineChars="200"/>
        <w:rPr>
          <w:rFonts w:hAnsi="宋体"/>
          <w:color w:val="auto"/>
          <w:sz w:val="24"/>
          <w:highlight w:val="none"/>
        </w:rPr>
      </w:pPr>
      <w:r>
        <w:rPr>
          <w:rFonts w:hAnsi="宋体"/>
          <w:color w:val="auto"/>
          <w:sz w:val="24"/>
          <w:highlight w:val="none"/>
        </w:rPr>
        <w:t>电子信箱：</w:t>
      </w:r>
      <w:r>
        <w:rPr>
          <w:rFonts w:hint="eastAsia" w:hAnsi="宋体" w:cs="宋体"/>
          <w:color w:val="auto"/>
          <w:sz w:val="24"/>
          <w:highlight w:val="none"/>
          <w:u w:val="single"/>
        </w:rPr>
        <w:t xml:space="preserve">                                  </w:t>
      </w:r>
      <w:r>
        <w:rPr>
          <w:rFonts w:hAnsi="宋体"/>
          <w:color w:val="auto"/>
          <w:sz w:val="24"/>
          <w:highlight w:val="none"/>
        </w:rPr>
        <w:t>；</w:t>
      </w:r>
    </w:p>
    <w:p>
      <w:pPr>
        <w:spacing w:line="440" w:lineRule="exact"/>
        <w:ind w:firstLine="480" w:firstLineChars="200"/>
        <w:rPr>
          <w:rFonts w:hAnsi="宋体"/>
          <w:color w:val="auto"/>
          <w:sz w:val="24"/>
          <w:highlight w:val="none"/>
        </w:rPr>
      </w:pPr>
      <w:r>
        <w:rPr>
          <w:rFonts w:hAnsi="宋体"/>
          <w:color w:val="auto"/>
          <w:sz w:val="24"/>
          <w:highlight w:val="none"/>
        </w:rPr>
        <w:t>通信地址：</w:t>
      </w:r>
      <w:r>
        <w:rPr>
          <w:rFonts w:hint="eastAsia" w:hAnsi="宋体" w:cs="宋体"/>
          <w:color w:val="auto"/>
          <w:sz w:val="24"/>
          <w:highlight w:val="none"/>
          <w:u w:val="single"/>
        </w:rPr>
        <w:t xml:space="preserve">                                  </w:t>
      </w:r>
      <w:r>
        <w:rPr>
          <w:rFonts w:hAnsi="宋体"/>
          <w:color w:val="auto"/>
          <w:sz w:val="24"/>
          <w:highlight w:val="none"/>
        </w:rPr>
        <w:t>；</w:t>
      </w:r>
    </w:p>
    <w:p>
      <w:pPr>
        <w:spacing w:line="440" w:lineRule="exact"/>
        <w:ind w:firstLine="480" w:firstLineChars="200"/>
        <w:rPr>
          <w:rFonts w:hint="eastAsia"/>
          <w:color w:val="auto"/>
          <w:sz w:val="24"/>
          <w:highlight w:val="none"/>
          <w:u w:val="single"/>
        </w:rPr>
      </w:pPr>
      <w:r>
        <w:rPr>
          <w:rFonts w:hAnsi="宋体"/>
          <w:color w:val="auto"/>
          <w:sz w:val="24"/>
          <w:highlight w:val="none"/>
        </w:rPr>
        <w:t>承包人对项目经理的授权范围如下：</w:t>
      </w:r>
      <w:r>
        <w:rPr>
          <w:rFonts w:hint="eastAsia"/>
          <w:color w:val="auto"/>
          <w:sz w:val="24"/>
          <w:highlight w:val="none"/>
          <w:u w:val="single"/>
        </w:rPr>
        <w:t>按合同约定的项目进度计划，并按发包人代表和</w:t>
      </w:r>
      <w:r>
        <w:rPr>
          <w:color w:val="auto"/>
          <w:sz w:val="24"/>
          <w:highlight w:val="none"/>
          <w:u w:val="single"/>
        </w:rPr>
        <w:t>（</w:t>
      </w:r>
      <w:r>
        <w:rPr>
          <w:rFonts w:hint="eastAsia"/>
          <w:color w:val="auto"/>
          <w:sz w:val="24"/>
          <w:highlight w:val="none"/>
          <w:u w:val="single"/>
        </w:rPr>
        <w:t>或</w:t>
      </w:r>
      <w:r>
        <w:rPr>
          <w:color w:val="auto"/>
          <w:sz w:val="24"/>
          <w:highlight w:val="none"/>
          <w:u w:val="single"/>
        </w:rPr>
        <w:t>)</w:t>
      </w:r>
      <w:r>
        <w:rPr>
          <w:rFonts w:hint="eastAsia"/>
          <w:color w:val="auto"/>
          <w:sz w:val="24"/>
          <w:highlight w:val="none"/>
          <w:u w:val="single"/>
        </w:rPr>
        <w:t>工程总监依据合同发出的指令组织项目实施。在紧急情况下，且无法与发包人代表和</w:t>
      </w:r>
      <w:r>
        <w:rPr>
          <w:color w:val="auto"/>
          <w:sz w:val="24"/>
          <w:highlight w:val="none"/>
          <w:u w:val="single"/>
        </w:rPr>
        <w:t>（</w:t>
      </w:r>
      <w:r>
        <w:rPr>
          <w:rFonts w:hint="eastAsia"/>
          <w:color w:val="auto"/>
          <w:sz w:val="24"/>
          <w:highlight w:val="none"/>
          <w:u w:val="single"/>
        </w:rPr>
        <w:t>或</w:t>
      </w:r>
      <w:r>
        <w:rPr>
          <w:color w:val="auto"/>
          <w:sz w:val="24"/>
          <w:highlight w:val="none"/>
          <w:u w:val="single"/>
        </w:rPr>
        <w:t>)</w:t>
      </w:r>
      <w:r>
        <w:rPr>
          <w:rFonts w:hint="eastAsia"/>
          <w:color w:val="auto"/>
          <w:sz w:val="24"/>
          <w:highlight w:val="none"/>
          <w:u w:val="single"/>
        </w:rPr>
        <w:t>工程总监取得联系时，项目经理有权采取必要的措施保证人身、工程和财产的安全，但须在事后24小时内向发包人代表和（或)工程总监送交书面报告。保障项目的顺利实施，做好与各相关单位的协调工作。</w:t>
      </w:r>
    </w:p>
    <w:p>
      <w:pPr>
        <w:spacing w:line="440" w:lineRule="exact"/>
        <w:ind w:firstLine="480" w:firstLineChars="200"/>
        <w:rPr>
          <w:rFonts w:hint="eastAsia" w:hAnsi="宋体" w:cs="宋体"/>
          <w:color w:val="auto"/>
          <w:sz w:val="24"/>
          <w:highlight w:val="none"/>
        </w:rPr>
      </w:pPr>
      <w:r>
        <w:rPr>
          <w:rFonts w:hAnsi="宋体"/>
          <w:color w:val="auto"/>
          <w:kern w:val="0"/>
          <w:sz w:val="24"/>
          <w:highlight w:val="none"/>
        </w:rPr>
        <w:t>关于项目经理每月在施工现场的时间要求：</w:t>
      </w:r>
      <w:r>
        <w:rPr>
          <w:rFonts w:hint="eastAsia" w:hAnsi="宋体"/>
          <w:color w:val="auto"/>
          <w:sz w:val="24"/>
          <w:highlight w:val="none"/>
          <w:u w:val="single"/>
        </w:rPr>
        <w:t>每月不少于26天</w:t>
      </w:r>
      <w:r>
        <w:rPr>
          <w:rFonts w:hint="eastAsia" w:hAnsi="宋体" w:cs="宋体"/>
          <w:color w:val="auto"/>
          <w:sz w:val="24"/>
          <w:highlight w:val="none"/>
        </w:rPr>
        <w:t>。</w:t>
      </w:r>
    </w:p>
    <w:p>
      <w:pPr>
        <w:spacing w:line="440" w:lineRule="exact"/>
        <w:ind w:firstLine="480" w:firstLineChars="200"/>
        <w:rPr>
          <w:rFonts w:hAnsi="宋体"/>
          <w:color w:val="auto"/>
          <w:sz w:val="24"/>
          <w:szCs w:val="21"/>
          <w:highlight w:val="none"/>
          <w:u w:val="single"/>
        </w:rPr>
      </w:pPr>
      <w:r>
        <w:rPr>
          <w:rFonts w:hAnsi="宋体"/>
          <w:color w:val="auto"/>
          <w:kern w:val="0"/>
          <w:sz w:val="24"/>
          <w:highlight w:val="none"/>
        </w:rPr>
        <w:t>承包人未提交劳动合同，以及没有为项目经理缴纳社会保险证明的违约责任：</w:t>
      </w:r>
      <w:r>
        <w:rPr>
          <w:rFonts w:hint="eastAsia"/>
          <w:color w:val="auto"/>
          <w:sz w:val="24"/>
          <w:highlight w:val="none"/>
          <w:u w:val="single"/>
        </w:rPr>
        <w:t>责令补缴</w:t>
      </w:r>
      <w:r>
        <w:rPr>
          <w:rFonts w:hint="eastAsia"/>
          <w:color w:val="auto"/>
          <w:sz w:val="24"/>
          <w:szCs w:val="24"/>
          <w:highlight w:val="none"/>
          <w:u w:val="single"/>
        </w:rPr>
        <w:t>，由承包人承担责任</w:t>
      </w:r>
      <w:r>
        <w:rPr>
          <w:rFonts w:hAnsi="宋体"/>
          <w:color w:val="auto"/>
          <w:sz w:val="24"/>
          <w:highlight w:val="none"/>
        </w:rPr>
        <w:t>。</w:t>
      </w:r>
    </w:p>
    <w:p>
      <w:pPr>
        <w:spacing w:line="440" w:lineRule="exact"/>
        <w:ind w:firstLine="480" w:firstLineChars="200"/>
        <w:rPr>
          <w:rFonts w:hint="eastAsia" w:hAnsi="宋体"/>
          <w:color w:val="auto"/>
          <w:sz w:val="24"/>
          <w:highlight w:val="none"/>
          <w:u w:val="single"/>
        </w:rPr>
      </w:pPr>
      <w:r>
        <w:rPr>
          <w:rFonts w:hAnsi="宋体"/>
          <w:color w:val="auto"/>
          <w:kern w:val="0"/>
          <w:sz w:val="24"/>
          <w:highlight w:val="none"/>
        </w:rPr>
        <w:t>项目经理未经批准，擅自离开施工现场的违约责任：</w:t>
      </w:r>
      <w:r>
        <w:rPr>
          <w:rFonts w:hint="eastAsia" w:hAnsi="宋体"/>
          <w:color w:val="auto"/>
          <w:kern w:val="0"/>
          <w:sz w:val="24"/>
          <w:highlight w:val="none"/>
          <w:u w:val="single"/>
        </w:rPr>
        <w:t>每少一天应向发包人支付违约金2000元，累计三次未在岗即终止合同，清退出场，由发包人确定其它承包人施工，并通报相关部门。</w:t>
      </w:r>
    </w:p>
    <w:p>
      <w:pPr>
        <w:spacing w:line="440" w:lineRule="exact"/>
        <w:ind w:firstLine="480" w:firstLineChars="200"/>
        <w:rPr>
          <w:rFonts w:hint="eastAsia" w:hAnsi="宋体"/>
          <w:color w:val="auto"/>
          <w:sz w:val="24"/>
          <w:highlight w:val="none"/>
        </w:rPr>
      </w:pPr>
      <w:r>
        <w:rPr>
          <w:rFonts w:hint="eastAsia" w:hAnsi="宋体"/>
          <w:color w:val="auto"/>
          <w:sz w:val="24"/>
          <w:highlight w:val="none"/>
        </w:rPr>
        <w:t>3.2.3 承包人擅自更换项目经理的违约责任：</w:t>
      </w:r>
    </w:p>
    <w:p>
      <w:pPr>
        <w:spacing w:line="440" w:lineRule="exact"/>
        <w:ind w:firstLine="482" w:firstLineChars="200"/>
        <w:rPr>
          <w:rFonts w:hint="eastAsia" w:hAnsi="宋体"/>
          <w:color w:val="auto"/>
          <w:sz w:val="24"/>
          <w:szCs w:val="21"/>
          <w:highlight w:val="none"/>
          <w:u w:val="single"/>
        </w:rPr>
      </w:pPr>
      <w:r>
        <w:rPr>
          <w:rFonts w:hint="eastAsia" w:hAnsi="宋体"/>
          <w:b/>
          <w:color w:val="auto"/>
          <w:sz w:val="24"/>
          <w:highlight w:val="none"/>
        </w:rPr>
        <w:t>（1）</w:t>
      </w:r>
      <w:r>
        <w:rPr>
          <w:rFonts w:hint="eastAsia" w:hAnsi="宋体"/>
          <w:b/>
          <w:color w:val="auto"/>
          <w:kern w:val="0"/>
          <w:sz w:val="24"/>
          <w:highlight w:val="none"/>
        </w:rPr>
        <w:t>承包人确需更换项目经理的，继任项目经理注册执业资格、管理经验的约定：</w:t>
      </w:r>
      <w:r>
        <w:rPr>
          <w:rFonts w:hint="eastAsia" w:hAnsi="宋体"/>
          <w:color w:val="auto"/>
          <w:sz w:val="24"/>
          <w:szCs w:val="21"/>
          <w:highlight w:val="none"/>
          <w:u w:val="single"/>
        </w:rPr>
        <w:t>经发包人同意，且更换的项目经理资格、经验等须同等及以上，</w:t>
      </w:r>
      <w:r>
        <w:rPr>
          <w:rFonts w:hint="eastAsia" w:hAnsi="宋体"/>
          <w:color w:val="auto"/>
          <w:sz w:val="24"/>
          <w:highlight w:val="none"/>
          <w:u w:val="single"/>
        </w:rPr>
        <w:t>须追加10万元项目班子保证金</w:t>
      </w:r>
      <w:r>
        <w:rPr>
          <w:rFonts w:hint="eastAsia" w:hAnsi="宋体"/>
          <w:color w:val="auto"/>
          <w:sz w:val="24"/>
          <w:szCs w:val="21"/>
          <w:highlight w:val="none"/>
          <w:u w:val="single"/>
        </w:rPr>
        <w:t>。</w:t>
      </w:r>
    </w:p>
    <w:p>
      <w:pPr>
        <w:spacing w:line="440" w:lineRule="exact"/>
        <w:ind w:firstLine="480" w:firstLineChars="200"/>
        <w:rPr>
          <w:rFonts w:hint="eastAsia" w:hAnsi="宋体"/>
          <w:color w:val="auto"/>
          <w:sz w:val="24"/>
          <w:szCs w:val="21"/>
          <w:highlight w:val="none"/>
          <w:u w:val="single"/>
        </w:rPr>
      </w:pPr>
      <w:r>
        <w:rPr>
          <w:rFonts w:hint="eastAsia" w:hAnsi="宋体"/>
          <w:color w:val="auto"/>
          <w:sz w:val="24"/>
          <w:szCs w:val="21"/>
          <w:highlight w:val="none"/>
          <w:u w:val="single"/>
        </w:rPr>
        <w:t>（2）承包人擅自更换项目经理的违约责任：处以签约合同价1%的罚金并承担由此增加的费用和延误的工期 。</w:t>
      </w:r>
    </w:p>
    <w:p>
      <w:pPr>
        <w:spacing w:line="440" w:lineRule="exact"/>
        <w:ind w:firstLine="480" w:firstLineChars="200"/>
        <w:rPr>
          <w:rFonts w:hint="eastAsia" w:hAnsi="宋体"/>
          <w:color w:val="auto"/>
          <w:sz w:val="24"/>
          <w:szCs w:val="21"/>
          <w:highlight w:val="none"/>
          <w:u w:val="single"/>
        </w:rPr>
      </w:pPr>
      <w:r>
        <w:rPr>
          <w:rFonts w:hint="eastAsia" w:hAnsi="宋体"/>
          <w:color w:val="auto"/>
          <w:sz w:val="24"/>
          <w:szCs w:val="21"/>
          <w:highlight w:val="none"/>
          <w:u w:val="single"/>
        </w:rPr>
        <w:t>3.2.4 承包人无正当理由拒绝更换项目经理的违约责任：处以签约合同价1%的罚金并承担由此增加的费用和延误的工期。</w:t>
      </w:r>
    </w:p>
    <w:p>
      <w:pPr>
        <w:spacing w:line="440" w:lineRule="exact"/>
        <w:ind w:firstLine="480" w:firstLineChars="200"/>
        <w:rPr>
          <w:rFonts w:hAnsi="宋体"/>
          <w:color w:val="auto"/>
          <w:sz w:val="24"/>
          <w:highlight w:val="none"/>
        </w:rPr>
      </w:pPr>
      <w:r>
        <w:rPr>
          <w:rFonts w:hAnsi="宋体"/>
          <w:color w:val="auto"/>
          <w:sz w:val="24"/>
          <w:highlight w:val="none"/>
        </w:rPr>
        <w:t>3.3 承包人人员</w:t>
      </w:r>
    </w:p>
    <w:p>
      <w:pPr>
        <w:spacing w:line="440" w:lineRule="exact"/>
        <w:ind w:firstLine="480" w:firstLineChars="200"/>
        <w:rPr>
          <w:rFonts w:hint="eastAsia" w:hAnsi="宋体"/>
          <w:color w:val="auto"/>
          <w:sz w:val="24"/>
          <w:highlight w:val="none"/>
          <w:u w:val="single"/>
        </w:rPr>
      </w:pPr>
      <w:r>
        <w:rPr>
          <w:rFonts w:hAnsi="宋体"/>
          <w:color w:val="auto"/>
          <w:sz w:val="24"/>
          <w:highlight w:val="none"/>
        </w:rPr>
        <w:t>3.3.1 承包人提交项目管理机构及施工现场管理人员安排报告的期限：</w:t>
      </w:r>
      <w:r>
        <w:rPr>
          <w:rFonts w:hint="eastAsia" w:hAnsi="宋体"/>
          <w:color w:val="auto"/>
          <w:sz w:val="24"/>
          <w:highlight w:val="none"/>
          <w:u w:val="single"/>
        </w:rPr>
        <w:t>中标通知书发出后3天内，到岗率必须</w:t>
      </w:r>
      <w:r>
        <w:rPr>
          <w:rFonts w:hint="eastAsia" w:hAnsi="宋体"/>
          <w:color w:val="auto"/>
          <w:sz w:val="24"/>
          <w:szCs w:val="21"/>
          <w:highlight w:val="none"/>
          <w:u w:val="single"/>
        </w:rPr>
        <w:t>达到100%，到岗</w:t>
      </w:r>
      <w:r>
        <w:rPr>
          <w:rFonts w:hint="eastAsia" w:hAnsi="宋体"/>
          <w:color w:val="auto"/>
          <w:sz w:val="24"/>
          <w:highlight w:val="none"/>
          <w:u w:val="single"/>
        </w:rPr>
        <w:t xml:space="preserve">率按月计算，并由建设单位本工程管理人员或委托监理人考核。  </w:t>
      </w:r>
    </w:p>
    <w:p>
      <w:pPr>
        <w:spacing w:line="440" w:lineRule="exact"/>
        <w:ind w:firstLine="482" w:firstLineChars="200"/>
        <w:rPr>
          <w:rFonts w:hint="eastAsia" w:hAnsi="宋体"/>
          <w:b/>
          <w:color w:val="auto"/>
          <w:sz w:val="24"/>
          <w:highlight w:val="none"/>
          <w:u w:val="single"/>
        </w:rPr>
      </w:pPr>
      <w:r>
        <w:rPr>
          <w:rFonts w:hint="eastAsia" w:hAnsi="宋体"/>
          <w:b/>
          <w:color w:val="auto"/>
          <w:sz w:val="24"/>
          <w:highlight w:val="none"/>
        </w:rPr>
        <w:t>3.3.2 承包人需更换主要施工管理人员的，继任人员的数量、注册执业资格、管理经验的约定：</w:t>
      </w:r>
      <w:r>
        <w:rPr>
          <w:rFonts w:hint="eastAsia" w:hAnsi="宋体"/>
          <w:b/>
          <w:color w:val="auto"/>
          <w:sz w:val="24"/>
          <w:highlight w:val="none"/>
          <w:u w:val="single"/>
        </w:rPr>
        <w:t>须经发包人同意，且更换的资格、经验等须同等及以上，</w:t>
      </w:r>
      <w:r>
        <w:rPr>
          <w:rFonts w:hint="eastAsia" w:hAnsi="宋体"/>
          <w:color w:val="auto"/>
          <w:sz w:val="24"/>
          <w:highlight w:val="none"/>
          <w:u w:val="single"/>
        </w:rPr>
        <w:t>但须追加10万元项目班子保证金</w:t>
      </w:r>
      <w:r>
        <w:rPr>
          <w:rFonts w:hint="eastAsia" w:hAnsi="宋体"/>
          <w:b/>
          <w:color w:val="auto"/>
          <w:sz w:val="24"/>
          <w:highlight w:val="none"/>
          <w:u w:val="single"/>
        </w:rPr>
        <w:t>。</w:t>
      </w:r>
    </w:p>
    <w:p>
      <w:pPr>
        <w:spacing w:line="440" w:lineRule="exact"/>
        <w:ind w:firstLine="480" w:firstLineChars="200"/>
        <w:rPr>
          <w:rFonts w:hint="eastAsia" w:hAnsi="宋体"/>
          <w:color w:val="auto"/>
          <w:sz w:val="24"/>
          <w:highlight w:val="none"/>
          <w:u w:val="single"/>
        </w:rPr>
      </w:pPr>
      <w:r>
        <w:rPr>
          <w:rFonts w:hAnsi="宋体"/>
          <w:color w:val="auto"/>
          <w:sz w:val="24"/>
          <w:highlight w:val="none"/>
        </w:rPr>
        <w:t>3.3.3 承包人无正当理由拒绝撤换主要施工管理人员的违约责任：</w:t>
      </w:r>
      <w:r>
        <w:rPr>
          <w:rFonts w:hint="eastAsia" w:hAnsi="宋体"/>
          <w:color w:val="auto"/>
          <w:sz w:val="24"/>
          <w:highlight w:val="none"/>
          <w:u w:val="single"/>
        </w:rPr>
        <w:t>直接扣除10%履约保证金.</w:t>
      </w:r>
    </w:p>
    <w:p>
      <w:pPr>
        <w:spacing w:line="440" w:lineRule="exact"/>
        <w:ind w:firstLine="480" w:firstLineChars="200"/>
        <w:rPr>
          <w:rFonts w:hAnsi="宋体"/>
          <w:color w:val="auto"/>
          <w:sz w:val="24"/>
          <w:highlight w:val="none"/>
          <w:u w:val="single"/>
        </w:rPr>
      </w:pPr>
      <w:r>
        <w:rPr>
          <w:rFonts w:hAnsi="宋体"/>
          <w:color w:val="auto"/>
          <w:sz w:val="24"/>
          <w:highlight w:val="none"/>
        </w:rPr>
        <w:t>3.3.4 承包人主要施工管理人员离开施工现场的批准要求：</w:t>
      </w:r>
      <w:r>
        <w:rPr>
          <w:rFonts w:hint="eastAsia" w:hAnsi="宋体"/>
          <w:color w:val="auto"/>
          <w:sz w:val="24"/>
          <w:highlight w:val="none"/>
          <w:u w:val="single"/>
        </w:rPr>
        <w:t>须经现场监理工程师和发包人代表同意</w:t>
      </w:r>
      <w:r>
        <w:rPr>
          <w:rFonts w:hAnsi="宋体"/>
          <w:color w:val="auto"/>
          <w:sz w:val="24"/>
          <w:highlight w:val="none"/>
        </w:rPr>
        <w:t>。</w:t>
      </w:r>
    </w:p>
    <w:p>
      <w:pPr>
        <w:spacing w:line="440" w:lineRule="exact"/>
        <w:ind w:firstLine="480" w:firstLineChars="200"/>
        <w:rPr>
          <w:rFonts w:hint="eastAsia" w:hAnsi="宋体"/>
          <w:color w:val="auto"/>
          <w:sz w:val="24"/>
          <w:highlight w:val="none"/>
          <w:u w:val="single"/>
        </w:rPr>
      </w:pPr>
      <w:r>
        <w:rPr>
          <w:rFonts w:hint="eastAsia" w:hAnsi="宋体" w:cs="宋体"/>
          <w:color w:val="auto"/>
          <w:sz w:val="24"/>
          <w:highlight w:val="none"/>
        </w:rPr>
        <w:t>3.3.5</w:t>
      </w:r>
      <w:r>
        <w:rPr>
          <w:rFonts w:hint="eastAsia" w:hAnsi="宋体"/>
          <w:color w:val="auto"/>
          <w:sz w:val="24"/>
          <w:highlight w:val="none"/>
        </w:rPr>
        <w:t>承包人擅自更换主要施工管理人员的违约责任：</w:t>
      </w:r>
      <w:r>
        <w:rPr>
          <w:rFonts w:hint="eastAsia" w:hAnsi="宋体"/>
          <w:color w:val="auto"/>
          <w:sz w:val="24"/>
          <w:highlight w:val="none"/>
          <w:u w:val="single"/>
        </w:rPr>
        <w:t>处以签约合同价0.5%的罚金并承担由此增加的费用和延误的工期 。</w:t>
      </w:r>
    </w:p>
    <w:p>
      <w:pPr>
        <w:spacing w:line="440" w:lineRule="exact"/>
        <w:ind w:firstLine="480" w:firstLineChars="200"/>
        <w:rPr>
          <w:rFonts w:hint="eastAsia" w:hAnsi="宋体"/>
          <w:color w:val="auto"/>
          <w:sz w:val="24"/>
          <w:highlight w:val="none"/>
        </w:rPr>
      </w:pPr>
      <w:r>
        <w:rPr>
          <w:rFonts w:hint="eastAsia" w:hAnsi="宋体"/>
          <w:color w:val="auto"/>
          <w:sz w:val="24"/>
          <w:highlight w:val="none"/>
        </w:rPr>
        <w:t>承包人主要施工管理人员擅自离开施工现场的违约责任：</w:t>
      </w:r>
      <w:r>
        <w:rPr>
          <w:rFonts w:hint="eastAsia" w:hAnsi="宋体"/>
          <w:color w:val="auto"/>
          <w:sz w:val="24"/>
          <w:highlight w:val="none"/>
          <w:u w:val="single"/>
        </w:rPr>
        <w:t>每人次扣除人员履约保证金的1%</w:t>
      </w:r>
      <w:r>
        <w:rPr>
          <w:rFonts w:hint="eastAsia" w:hAnsi="宋体"/>
          <w:color w:val="auto"/>
          <w:sz w:val="24"/>
          <w:highlight w:val="none"/>
        </w:rPr>
        <w:t>。</w:t>
      </w:r>
    </w:p>
    <w:p>
      <w:pPr>
        <w:spacing w:line="440" w:lineRule="exact"/>
        <w:ind w:firstLine="480" w:firstLineChars="200"/>
        <w:rPr>
          <w:rFonts w:hint="eastAsia" w:hAnsi="宋体"/>
          <w:color w:val="auto"/>
          <w:sz w:val="24"/>
          <w:highlight w:val="none"/>
          <w:u w:val="single"/>
        </w:rPr>
      </w:pPr>
      <w:r>
        <w:rPr>
          <w:rFonts w:hint="eastAsia" w:hAnsi="宋体"/>
          <w:color w:val="auto"/>
          <w:sz w:val="24"/>
          <w:highlight w:val="none"/>
          <w:u w:val="single"/>
        </w:rPr>
        <w:t>主要施工管理人员包括项目副经理、专职技术负责人、质量检查员、安全生产管理人员、施工试验管理人员等。</w:t>
      </w:r>
    </w:p>
    <w:p>
      <w:pPr>
        <w:spacing w:line="440" w:lineRule="exact"/>
        <w:ind w:firstLine="480" w:firstLineChars="200"/>
        <w:rPr>
          <w:rFonts w:hint="eastAsia" w:hAnsi="宋体"/>
          <w:color w:val="auto"/>
          <w:sz w:val="24"/>
          <w:highlight w:val="none"/>
          <w:u w:val="single"/>
        </w:rPr>
      </w:pPr>
      <w:r>
        <w:rPr>
          <w:rFonts w:hint="eastAsia" w:hAnsi="宋体" w:cs="宋体"/>
          <w:color w:val="auto"/>
          <w:sz w:val="24"/>
          <w:highlight w:val="none"/>
          <w:u w:val="single"/>
        </w:rPr>
        <w:t>机械设备到位：机械设备的到位率须达到100%或以上（即每月到位至少30天），到位率未达到要求的扣罚到位率保证金的20%/次。由发包人代表或委托监理人考核。</w:t>
      </w:r>
    </w:p>
    <w:p>
      <w:pPr>
        <w:spacing w:line="440" w:lineRule="exact"/>
        <w:ind w:firstLine="480" w:firstLineChars="200"/>
        <w:rPr>
          <w:rFonts w:hAnsi="宋体"/>
          <w:color w:val="auto"/>
          <w:sz w:val="24"/>
          <w:highlight w:val="none"/>
        </w:rPr>
      </w:pPr>
      <w:r>
        <w:rPr>
          <w:rFonts w:hAnsi="宋体"/>
          <w:color w:val="auto"/>
          <w:sz w:val="24"/>
          <w:highlight w:val="none"/>
        </w:rPr>
        <w:t>3</w:t>
      </w:r>
      <w:bookmarkStart w:id="452" w:name="_Toc303539102"/>
      <w:bookmarkStart w:id="453" w:name="_Toc297048345"/>
      <w:bookmarkStart w:id="454" w:name="_Toc312677988"/>
      <w:bookmarkStart w:id="455" w:name="_Toc300934945"/>
      <w:bookmarkStart w:id="456" w:name="_Toc296890987"/>
      <w:bookmarkStart w:id="457" w:name="_Toc304295523"/>
      <w:bookmarkStart w:id="458" w:name="_Toc292559869"/>
      <w:bookmarkStart w:id="459" w:name="_Toc296503159"/>
      <w:bookmarkStart w:id="460" w:name="_Toc297120459"/>
      <w:bookmarkStart w:id="461" w:name="_Toc297123492"/>
      <w:bookmarkStart w:id="462" w:name="_Toc296346660"/>
      <w:bookmarkStart w:id="463" w:name="_Toc297216151"/>
      <w:bookmarkStart w:id="464" w:name="_Toc296944498"/>
      <w:bookmarkStart w:id="465" w:name="_Toc296891199"/>
      <w:bookmarkStart w:id="466" w:name="_Toc292559364"/>
      <w:bookmarkStart w:id="467" w:name="_Toc296347158"/>
      <w:r>
        <w:rPr>
          <w:rFonts w:hAnsi="宋体"/>
          <w:color w:val="auto"/>
          <w:sz w:val="24"/>
          <w:highlight w:val="none"/>
        </w:rPr>
        <w:t>.5 分包</w:t>
      </w:r>
    </w:p>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Pr>
        <w:spacing w:line="440" w:lineRule="exact"/>
        <w:ind w:firstLine="480" w:firstLineChars="200"/>
        <w:rPr>
          <w:rFonts w:hAnsi="宋体"/>
          <w:color w:val="auto"/>
          <w:sz w:val="24"/>
          <w:highlight w:val="none"/>
        </w:rPr>
      </w:pPr>
      <w:r>
        <w:rPr>
          <w:rFonts w:hAnsi="宋体"/>
          <w:color w:val="auto"/>
          <w:sz w:val="24"/>
          <w:highlight w:val="none"/>
        </w:rPr>
        <w:t>3</w:t>
      </w:r>
      <w:bookmarkStart w:id="468" w:name="_Toc296503160"/>
      <w:bookmarkStart w:id="469" w:name="_Toc304295524"/>
      <w:bookmarkStart w:id="470" w:name="_Toc303539103"/>
      <w:bookmarkStart w:id="471" w:name="_Toc297216152"/>
      <w:bookmarkStart w:id="472" w:name="_Toc297048346"/>
      <w:bookmarkStart w:id="473" w:name="_Toc296346661"/>
      <w:bookmarkStart w:id="474" w:name="_Toc296891200"/>
      <w:bookmarkStart w:id="475" w:name="_Toc292559870"/>
      <w:bookmarkStart w:id="476" w:name="_Toc297123493"/>
      <w:bookmarkStart w:id="477" w:name="_Toc300934946"/>
      <w:bookmarkStart w:id="478" w:name="_Toc296890988"/>
      <w:bookmarkStart w:id="479" w:name="_Toc296944499"/>
      <w:bookmarkStart w:id="480" w:name="_Toc296347159"/>
      <w:bookmarkStart w:id="481" w:name="_Toc297120460"/>
      <w:bookmarkStart w:id="482" w:name="_Toc292559365"/>
      <w:bookmarkStart w:id="483" w:name="_Toc318581158"/>
      <w:bookmarkStart w:id="484" w:name="_Toc312677989"/>
      <w:r>
        <w:rPr>
          <w:rFonts w:hAnsi="宋体"/>
          <w:color w:val="auto"/>
          <w:sz w:val="24"/>
          <w:highlight w:val="none"/>
        </w:rPr>
        <w:t>.5.1 分包的一般约定</w:t>
      </w:r>
    </w:p>
    <w:p>
      <w:pPr>
        <w:spacing w:line="440" w:lineRule="exact"/>
        <w:ind w:firstLine="480" w:firstLineChars="200"/>
        <w:rPr>
          <w:rFonts w:hint="eastAsia" w:hAnsi="宋体" w:cs="宋体"/>
          <w:color w:val="auto"/>
          <w:sz w:val="24"/>
          <w:highlight w:val="none"/>
        </w:rPr>
      </w:pPr>
      <w:r>
        <w:rPr>
          <w:rFonts w:hAnsi="宋体"/>
          <w:color w:val="auto"/>
          <w:sz w:val="24"/>
          <w:highlight w:val="none"/>
        </w:rPr>
        <w:t>禁止分包的工程包括：</w:t>
      </w:r>
      <w:r>
        <w:rPr>
          <w:rFonts w:hint="eastAsia" w:hAnsi="宋体" w:cs="宋体"/>
          <w:color w:val="auto"/>
          <w:sz w:val="24"/>
          <w:highlight w:val="none"/>
          <w:u w:val="single"/>
        </w:rPr>
        <w:t>本工程主体、关键部分工程内容</w:t>
      </w:r>
      <w:r>
        <w:rPr>
          <w:rFonts w:hint="eastAsia" w:hAnsi="宋体" w:cs="宋体"/>
          <w:color w:val="auto"/>
          <w:sz w:val="24"/>
          <w:highlight w:val="none"/>
        </w:rPr>
        <w:t>。</w:t>
      </w:r>
    </w:p>
    <w:p>
      <w:pPr>
        <w:spacing w:line="440" w:lineRule="exact"/>
        <w:ind w:firstLine="480" w:firstLineChars="200"/>
        <w:rPr>
          <w:rFonts w:hAnsi="宋体"/>
          <w:color w:val="auto"/>
          <w:sz w:val="24"/>
          <w:highlight w:val="none"/>
          <w:u w:val="single"/>
        </w:rPr>
      </w:pPr>
      <w:r>
        <w:rPr>
          <w:rFonts w:hAnsi="宋体"/>
          <w:color w:val="auto"/>
          <w:sz w:val="24"/>
          <w:highlight w:val="none"/>
        </w:rPr>
        <w:t>主体结构、关键性工作的范围：</w:t>
      </w:r>
      <w:r>
        <w:rPr>
          <w:rFonts w:hint="eastAsia" w:hAnsi="宋体"/>
          <w:color w:val="auto"/>
          <w:sz w:val="24"/>
          <w:highlight w:val="none"/>
          <w:u w:val="single"/>
        </w:rPr>
        <w:t>见工程量清单及施工图纸</w:t>
      </w:r>
      <w:r>
        <w:rPr>
          <w:rFonts w:hAnsi="宋体"/>
          <w:color w:val="auto"/>
          <w:sz w:val="24"/>
          <w:highlight w:val="none"/>
        </w:rPr>
        <w:t>。</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Start w:id="485" w:name="_Toc297123494"/>
      <w:bookmarkStart w:id="486" w:name="_Toc297216153"/>
      <w:bookmarkStart w:id="487" w:name="_Toc296890989"/>
      <w:bookmarkStart w:id="488" w:name="_Toc296347160"/>
      <w:bookmarkStart w:id="489" w:name="_Toc296891201"/>
      <w:bookmarkStart w:id="490" w:name="_Toc300934947"/>
      <w:bookmarkStart w:id="491" w:name="_Toc296346662"/>
      <w:bookmarkStart w:id="492" w:name="_Toc304295525"/>
      <w:bookmarkStart w:id="493" w:name="_Toc296944500"/>
      <w:bookmarkStart w:id="494" w:name="_Toc297120461"/>
      <w:bookmarkStart w:id="495" w:name="_Toc303539104"/>
      <w:bookmarkStart w:id="496" w:name="_Toc296503161"/>
      <w:bookmarkStart w:id="497" w:name="_Toc297048347"/>
    </w:p>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Pr>
        <w:spacing w:line="440" w:lineRule="exact"/>
        <w:ind w:firstLine="480" w:firstLineChars="200"/>
        <w:rPr>
          <w:rFonts w:hAnsi="宋体"/>
          <w:color w:val="auto"/>
          <w:sz w:val="24"/>
          <w:highlight w:val="none"/>
        </w:rPr>
      </w:pPr>
      <w:r>
        <w:rPr>
          <w:rFonts w:hAnsi="宋体"/>
          <w:color w:val="auto"/>
          <w:sz w:val="24"/>
          <w:highlight w:val="none"/>
        </w:rPr>
        <w:t>3</w:t>
      </w:r>
      <w:bookmarkStart w:id="498" w:name="_Toc318581159"/>
      <w:bookmarkStart w:id="499" w:name="_Toc312677990"/>
      <w:r>
        <w:rPr>
          <w:rFonts w:hAnsi="宋体"/>
          <w:color w:val="auto"/>
          <w:sz w:val="24"/>
          <w:highlight w:val="none"/>
        </w:rPr>
        <w:t>.5.2分包的确定</w:t>
      </w:r>
    </w:p>
    <w:p>
      <w:pPr>
        <w:spacing w:line="440" w:lineRule="exact"/>
        <w:ind w:firstLine="480" w:firstLineChars="200"/>
        <w:rPr>
          <w:rFonts w:hAnsi="宋体"/>
          <w:color w:val="auto"/>
          <w:sz w:val="24"/>
          <w:highlight w:val="none"/>
          <w:u w:val="single"/>
        </w:rPr>
      </w:pPr>
      <w:r>
        <w:rPr>
          <w:rFonts w:hAnsi="宋体"/>
          <w:color w:val="auto"/>
          <w:sz w:val="24"/>
          <w:highlight w:val="none"/>
        </w:rPr>
        <w:t>允许分包的专业工程包括：</w:t>
      </w:r>
      <w:r>
        <w:rPr>
          <w:rFonts w:hint="eastAsia" w:hAnsi="宋体" w:cs="宋体"/>
          <w:color w:val="auto"/>
          <w:sz w:val="24"/>
          <w:highlight w:val="none"/>
          <w:u w:val="single"/>
        </w:rPr>
        <w:t xml:space="preserve">   </w:t>
      </w:r>
      <w:r>
        <w:rPr>
          <w:rFonts w:hint="eastAsia" w:hAnsi="宋体"/>
          <w:color w:val="auto"/>
          <w:sz w:val="24"/>
          <w:highlight w:val="none"/>
          <w:u w:val="single"/>
        </w:rPr>
        <w:t>/</w:t>
      </w:r>
      <w:r>
        <w:rPr>
          <w:rFonts w:hAnsi="宋体"/>
          <w:color w:val="auto"/>
          <w:sz w:val="24"/>
          <w:highlight w:val="none"/>
          <w:u w:val="single"/>
        </w:rPr>
        <w:t xml:space="preserve">                   </w:t>
      </w:r>
      <w:r>
        <w:rPr>
          <w:rFonts w:hAnsi="宋体"/>
          <w:color w:val="auto"/>
          <w:sz w:val="24"/>
          <w:highlight w:val="none"/>
        </w:rPr>
        <w:t>。</w:t>
      </w:r>
    </w:p>
    <w:p>
      <w:pPr>
        <w:spacing w:line="440" w:lineRule="exact"/>
        <w:ind w:firstLine="480" w:firstLineChars="200"/>
        <w:rPr>
          <w:rFonts w:hAnsi="宋体"/>
          <w:color w:val="auto"/>
          <w:sz w:val="24"/>
          <w:highlight w:val="none"/>
        </w:rPr>
      </w:pPr>
      <w:r>
        <w:rPr>
          <w:rFonts w:hAnsi="宋体"/>
          <w:color w:val="auto"/>
          <w:sz w:val="24"/>
          <w:highlight w:val="none"/>
        </w:rPr>
        <w:t>其他关于分包的约定：</w:t>
      </w:r>
      <w:r>
        <w:rPr>
          <w:rFonts w:hint="eastAsia" w:hAnsi="宋体"/>
          <w:color w:val="auto"/>
          <w:sz w:val="24"/>
          <w:highlight w:val="none"/>
          <w:u w:val="single"/>
        </w:rPr>
        <w:t xml:space="preserve">   /     </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r>
        <w:rPr>
          <w:rFonts w:hAnsi="宋体"/>
          <w:color w:val="auto"/>
          <w:sz w:val="24"/>
          <w:highlight w:val="none"/>
        </w:rPr>
        <w:t>。</w:t>
      </w:r>
    </w:p>
    <w:p>
      <w:pPr>
        <w:spacing w:line="440" w:lineRule="exact"/>
        <w:ind w:firstLine="480" w:firstLineChars="200"/>
        <w:rPr>
          <w:rFonts w:hAnsi="宋体"/>
          <w:color w:val="auto"/>
          <w:sz w:val="24"/>
          <w:highlight w:val="none"/>
        </w:rPr>
      </w:pPr>
      <w:r>
        <w:rPr>
          <w:rFonts w:hAnsi="宋体"/>
          <w:color w:val="auto"/>
          <w:sz w:val="24"/>
          <w:highlight w:val="none"/>
        </w:rPr>
        <w:t>3.5.4 分包合同价款</w:t>
      </w:r>
    </w:p>
    <w:p>
      <w:pPr>
        <w:spacing w:line="440" w:lineRule="exact"/>
        <w:ind w:firstLine="480" w:firstLineChars="200"/>
        <w:rPr>
          <w:rFonts w:hAnsi="宋体"/>
          <w:color w:val="auto"/>
          <w:sz w:val="24"/>
          <w:highlight w:val="none"/>
        </w:rPr>
      </w:pPr>
      <w:r>
        <w:rPr>
          <w:rFonts w:hAnsi="宋体"/>
          <w:color w:val="auto"/>
          <w:sz w:val="24"/>
          <w:highlight w:val="none"/>
        </w:rPr>
        <w:t>关于分包合同价款支付的约定：</w:t>
      </w:r>
      <w:r>
        <w:rPr>
          <w:rFonts w:hint="eastAsia" w:hAnsi="宋体" w:cs="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r>
        <w:rPr>
          <w:rFonts w:hAnsi="宋体"/>
          <w:color w:val="auto"/>
          <w:sz w:val="24"/>
          <w:highlight w:val="none"/>
        </w:rPr>
        <w:t>。</w:t>
      </w:r>
    </w:p>
    <w:bookmarkEnd w:id="498"/>
    <w:bookmarkEnd w:id="499"/>
    <w:p>
      <w:pPr>
        <w:spacing w:line="440" w:lineRule="exact"/>
        <w:ind w:firstLine="480" w:firstLineChars="200"/>
        <w:rPr>
          <w:rFonts w:hAnsi="宋体"/>
          <w:color w:val="auto"/>
          <w:sz w:val="24"/>
          <w:highlight w:val="none"/>
        </w:rPr>
      </w:pPr>
      <w:r>
        <w:rPr>
          <w:rFonts w:hAnsi="宋体"/>
          <w:color w:val="auto"/>
          <w:sz w:val="24"/>
          <w:highlight w:val="none"/>
        </w:rPr>
        <w:t>3.6 工程照管与成品、半成品保护</w:t>
      </w:r>
    </w:p>
    <w:p>
      <w:pPr>
        <w:spacing w:line="440" w:lineRule="exact"/>
        <w:ind w:firstLine="480" w:firstLineChars="200"/>
        <w:rPr>
          <w:rFonts w:hAnsi="宋体"/>
          <w:color w:val="auto"/>
          <w:kern w:val="0"/>
          <w:sz w:val="24"/>
          <w:highlight w:val="none"/>
          <w:u w:val="single"/>
        </w:rPr>
      </w:pPr>
      <w:r>
        <w:rPr>
          <w:rFonts w:hAnsi="宋体"/>
          <w:color w:val="auto"/>
          <w:kern w:val="0"/>
          <w:sz w:val="24"/>
          <w:highlight w:val="none"/>
        </w:rPr>
        <w:t>承包人负责照管工程及工程相关的材料、工程设备的起始时间：</w:t>
      </w:r>
      <w:r>
        <w:rPr>
          <w:rFonts w:hint="eastAsia" w:hAnsi="宋体"/>
          <w:color w:val="auto"/>
          <w:kern w:val="0"/>
          <w:sz w:val="24"/>
          <w:highlight w:val="none"/>
          <w:u w:val="single"/>
        </w:rPr>
        <w:t>从发包人移交施工现场之日起，直到颁发工程接收证书之日止</w:t>
      </w:r>
      <w:r>
        <w:rPr>
          <w:rFonts w:hAnsi="宋体"/>
          <w:color w:val="auto"/>
          <w:kern w:val="0"/>
          <w:sz w:val="24"/>
          <w:highlight w:val="none"/>
          <w:u w:val="single"/>
        </w:rPr>
        <w:t>。</w:t>
      </w:r>
      <w:r>
        <w:rPr>
          <w:rFonts w:hint="eastAsia" w:hAnsi="宋体"/>
          <w:color w:val="auto"/>
          <w:kern w:val="0"/>
          <w:sz w:val="24"/>
          <w:highlight w:val="none"/>
          <w:u w:val="single"/>
        </w:rPr>
        <w:t>保护期间发生损坏，承包人自费予以修复。如果由此造成的工期延误，承包人自行承担相应违约责任。</w:t>
      </w:r>
    </w:p>
    <w:p>
      <w:pPr>
        <w:spacing w:line="440" w:lineRule="exact"/>
        <w:ind w:firstLine="480" w:firstLineChars="200"/>
        <w:rPr>
          <w:rFonts w:hAnsi="宋体"/>
          <w:color w:val="auto"/>
          <w:sz w:val="24"/>
          <w:highlight w:val="none"/>
        </w:rPr>
      </w:pPr>
      <w:r>
        <w:rPr>
          <w:rFonts w:hAnsi="宋体"/>
          <w:color w:val="auto"/>
          <w:sz w:val="24"/>
          <w:highlight w:val="none"/>
        </w:rPr>
        <w:t>3.7 履约担保</w:t>
      </w:r>
    </w:p>
    <w:p>
      <w:pPr>
        <w:spacing w:line="440" w:lineRule="exact"/>
        <w:ind w:firstLine="480" w:firstLineChars="200"/>
        <w:rPr>
          <w:rFonts w:hAnsi="宋体"/>
          <w:color w:val="auto"/>
          <w:sz w:val="24"/>
          <w:highlight w:val="none"/>
        </w:rPr>
      </w:pPr>
      <w:r>
        <w:rPr>
          <w:rFonts w:hint="eastAsia" w:hAnsi="宋体"/>
          <w:color w:val="auto"/>
          <w:sz w:val="24"/>
          <w:highlight w:val="none"/>
        </w:rPr>
        <w:t>承包人是否提供履约担保：</w:t>
      </w:r>
      <w:r>
        <w:rPr>
          <w:rFonts w:hint="eastAsia" w:hAnsi="宋体"/>
          <w:color w:val="auto"/>
          <w:sz w:val="24"/>
          <w:highlight w:val="none"/>
          <w:u w:val="single"/>
        </w:rPr>
        <w:t xml:space="preserve">是              </w:t>
      </w:r>
      <w:r>
        <w:rPr>
          <w:rFonts w:hAnsi="宋体"/>
          <w:color w:val="auto"/>
          <w:sz w:val="24"/>
          <w:highlight w:val="none"/>
        </w:rPr>
        <w:t>。</w:t>
      </w:r>
    </w:p>
    <w:p>
      <w:pPr>
        <w:keepNext w:val="0"/>
        <w:keepLines w:val="0"/>
        <w:pageBreakBefore w:val="0"/>
        <w:widowControl w:val="0"/>
        <w:kinsoku/>
        <w:wordWrap/>
        <w:overflowPunct/>
        <w:topLinePunct w:val="0"/>
        <w:bidi w:val="0"/>
        <w:adjustRightInd/>
        <w:snapToGrid/>
        <w:spacing w:line="400" w:lineRule="exact"/>
        <w:ind w:firstLine="482" w:firstLineChars="200"/>
        <w:textAlignment w:val="auto"/>
        <w:rPr>
          <w:rFonts w:hint="eastAsia" w:ascii="宋体" w:hAnsi="宋体" w:eastAsia="宋体" w:cs="宋体"/>
          <w:b/>
          <w:bCs/>
          <w:color w:val="auto"/>
          <w:sz w:val="24"/>
          <w:szCs w:val="24"/>
          <w:highlight w:val="none"/>
        </w:rPr>
      </w:pPr>
      <w:r>
        <w:rPr>
          <w:rFonts w:hint="eastAsia" w:hAnsi="宋体"/>
          <w:b/>
          <w:bCs/>
          <w:color w:val="auto"/>
          <w:sz w:val="24"/>
          <w:szCs w:val="24"/>
          <w:highlight w:val="none"/>
        </w:rPr>
        <w:t>承包人提供履约担保的形式、金额及期限的</w:t>
      </w:r>
      <w:r>
        <w:rPr>
          <w:rFonts w:hint="eastAsia" w:ascii="宋体" w:hAnsi="宋体" w:eastAsia="宋体" w:cs="宋体"/>
          <w:b/>
          <w:bCs/>
          <w:color w:val="auto"/>
          <w:sz w:val="24"/>
          <w:szCs w:val="24"/>
          <w:highlight w:val="none"/>
        </w:rPr>
        <w:t>，采用以下第</w:t>
      </w:r>
      <w:r>
        <w:rPr>
          <w:rFonts w:hint="eastAsia" w:ascii="宋体" w:hAnsi="宋体" w:eastAsia="宋体" w:cs="宋体"/>
          <w:b/>
          <w:bCs/>
          <w:color w:val="auto"/>
          <w:sz w:val="24"/>
          <w:szCs w:val="24"/>
          <w:highlight w:val="none"/>
          <w:u w:val="single"/>
        </w:rPr>
        <w:t xml:space="preserve"> </w:t>
      </w:r>
      <w:r>
        <w:rPr>
          <w:rFonts w:hint="eastAsia" w:hAnsi="宋体" w:eastAsia="宋体" w:cs="宋体"/>
          <w:b/>
          <w:bCs/>
          <w:color w:val="auto"/>
          <w:sz w:val="24"/>
          <w:szCs w:val="24"/>
          <w:highlight w:val="none"/>
          <w:u w:val="single"/>
          <w:lang w:val="en-US" w:eastAsia="zh-CN"/>
        </w:rPr>
        <w:t xml:space="preserve"> （2） </w:t>
      </w:r>
      <w:r>
        <w:rPr>
          <w:rFonts w:hint="eastAsia" w:ascii="宋体" w:hAnsi="宋体" w:eastAsia="宋体" w:cs="宋体"/>
          <w:b/>
          <w:bCs/>
          <w:color w:val="auto"/>
          <w:sz w:val="24"/>
          <w:szCs w:val="24"/>
          <w:highlight w:val="none"/>
          <w:u w:val="single"/>
          <w:lang w:val="en-US" w:eastAsia="zh-CN"/>
        </w:rPr>
        <w:t xml:space="preserve"> </w:t>
      </w:r>
      <w:r>
        <w:rPr>
          <w:rFonts w:hint="eastAsia" w:ascii="宋体" w:hAnsi="宋体" w:eastAsia="宋体" w:cs="宋体"/>
          <w:b/>
          <w:bCs/>
          <w:color w:val="auto"/>
          <w:sz w:val="24"/>
          <w:szCs w:val="24"/>
          <w:highlight w:val="none"/>
          <w:u w:val="single"/>
        </w:rPr>
        <w:t xml:space="preserve"> </w:t>
      </w:r>
      <w:r>
        <w:rPr>
          <w:rFonts w:hint="eastAsia" w:ascii="宋体" w:hAnsi="宋体" w:eastAsia="宋体" w:cs="宋体"/>
          <w:b/>
          <w:bCs/>
          <w:color w:val="auto"/>
          <w:sz w:val="24"/>
          <w:szCs w:val="24"/>
          <w:highlight w:val="none"/>
        </w:rPr>
        <w:t>种方式：</w:t>
      </w:r>
    </w:p>
    <w:p>
      <w:pPr>
        <w:keepNext w:val="0"/>
        <w:keepLines w:val="0"/>
        <w:pageBreakBefore w:val="0"/>
        <w:widowControl w:val="0"/>
        <w:kinsoku/>
        <w:wordWrap/>
        <w:overflowPunct/>
        <w:topLinePunct w:val="0"/>
        <w:autoSpaceDE w:val="0"/>
        <w:autoSpaceDN w:val="0"/>
        <w:bidi w:val="0"/>
        <w:adjustRightInd/>
        <w:snapToGrid/>
        <w:spacing w:line="400" w:lineRule="exact"/>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w:t>
      </w:r>
      <w:r>
        <w:rPr>
          <w:rFonts w:hint="eastAsia" w:ascii="宋体" w:hAnsi="宋体" w:eastAsia="宋体" w:cs="宋体"/>
          <w:b/>
          <w:bCs/>
          <w:color w:val="auto"/>
          <w:sz w:val="24"/>
          <w:szCs w:val="24"/>
          <w:highlight w:val="none"/>
          <w:u w:val="single"/>
        </w:rPr>
        <w:t>保证保险，金额及期限为：</w:t>
      </w:r>
      <w:r>
        <w:rPr>
          <w:rFonts w:hint="eastAsia" w:hAnsi="宋体" w:eastAsia="宋体"/>
          <w:b/>
          <w:bCs/>
          <w:color w:val="auto"/>
          <w:sz w:val="24"/>
          <w:szCs w:val="24"/>
          <w:highlight w:val="none"/>
          <w:u w:val="single"/>
          <w:lang w:val="en-US" w:eastAsia="zh-CN"/>
        </w:rPr>
        <w:t>/</w:t>
      </w:r>
      <w:r>
        <w:rPr>
          <w:rFonts w:hint="eastAsia" w:hAnsi="宋体"/>
          <w:b/>
          <w:bCs/>
          <w:color w:val="auto"/>
          <w:sz w:val="24"/>
          <w:szCs w:val="24"/>
          <w:highlight w:val="none"/>
          <w:u w:val="single"/>
        </w:rPr>
        <w:t xml:space="preserve"> </w:t>
      </w:r>
      <w:r>
        <w:rPr>
          <w:rFonts w:hint="eastAsia" w:ascii="宋体" w:hAnsi="宋体" w:eastAsia="宋体" w:cs="宋体"/>
          <w:b/>
          <w:bCs/>
          <w:color w:val="auto"/>
          <w:sz w:val="24"/>
          <w:szCs w:val="24"/>
          <w:highlight w:val="none"/>
        </w:rPr>
        <w:t>；</w:t>
      </w:r>
    </w:p>
    <w:p>
      <w:pPr>
        <w:spacing w:line="420" w:lineRule="exact"/>
        <w:ind w:firstLine="482" w:firstLineChars="200"/>
        <w:rPr>
          <w:rFonts w:hint="eastAsia" w:hAnsi="宋体" w:cs="宋体"/>
          <w:color w:val="auto"/>
          <w:sz w:val="24"/>
          <w:highlight w:val="none"/>
          <w:u w:val="single"/>
        </w:rPr>
      </w:pPr>
      <w:r>
        <w:rPr>
          <w:rFonts w:hint="eastAsia" w:ascii="宋体" w:hAnsi="宋体" w:eastAsia="宋体" w:cs="宋体"/>
          <w:b/>
          <w:bCs/>
          <w:color w:val="auto"/>
          <w:sz w:val="24"/>
          <w:szCs w:val="24"/>
          <w:highlight w:val="none"/>
        </w:rPr>
        <w:t>（2）</w:t>
      </w:r>
      <w:r>
        <w:rPr>
          <w:rFonts w:hint="eastAsia" w:ascii="宋体" w:hAnsi="宋体" w:eastAsia="宋体" w:cs="宋体"/>
          <w:b/>
          <w:bCs/>
          <w:color w:val="auto"/>
          <w:sz w:val="24"/>
          <w:szCs w:val="24"/>
          <w:highlight w:val="none"/>
          <w:u w:val="single"/>
        </w:rPr>
        <w:t xml:space="preserve">银行保函，金额及期限为： </w:t>
      </w:r>
      <w:r>
        <w:rPr>
          <w:rFonts w:hint="eastAsia" w:hAnsi="宋体"/>
          <w:b/>
          <w:bCs/>
          <w:color w:val="auto"/>
          <w:sz w:val="24"/>
          <w:szCs w:val="24"/>
          <w:highlight w:val="none"/>
          <w:u w:val="single"/>
        </w:rPr>
        <w:t>合同总价的</w:t>
      </w:r>
      <w:r>
        <w:rPr>
          <w:rFonts w:hint="eastAsia" w:hAnsi="宋体"/>
          <w:b/>
          <w:bCs/>
          <w:color w:val="auto"/>
          <w:sz w:val="24"/>
          <w:szCs w:val="24"/>
          <w:highlight w:val="none"/>
          <w:u w:val="single"/>
          <w:lang w:val="en-US" w:eastAsia="zh-CN"/>
        </w:rPr>
        <w:t>2</w:t>
      </w:r>
      <w:r>
        <w:rPr>
          <w:rFonts w:hint="eastAsia" w:hAnsi="宋体"/>
          <w:b/>
          <w:bCs/>
          <w:color w:val="auto"/>
          <w:sz w:val="24"/>
          <w:szCs w:val="24"/>
          <w:highlight w:val="none"/>
          <w:u w:val="single"/>
        </w:rPr>
        <w:t>%，</w:t>
      </w:r>
      <w:r>
        <w:rPr>
          <w:rFonts w:hint="eastAsia" w:hAnsi="宋体" w:cs="宋体"/>
          <w:color w:val="auto"/>
          <w:sz w:val="24"/>
          <w:highlight w:val="none"/>
          <w:u w:val="single"/>
        </w:rPr>
        <w:t>在收到</w:t>
      </w:r>
      <w:r>
        <w:rPr>
          <w:rFonts w:hint="eastAsia" w:hAnsi="宋体" w:cs="宋体"/>
          <w:color w:val="auto"/>
          <w:sz w:val="24"/>
          <w:highlight w:val="none"/>
          <w:u w:val="single"/>
          <w:lang w:val="en-US" w:eastAsia="zh-CN"/>
        </w:rPr>
        <w:t>成交通知书（</w:t>
      </w:r>
      <w:r>
        <w:rPr>
          <w:rFonts w:hint="eastAsia" w:hAnsi="宋体" w:cs="宋体"/>
          <w:color w:val="auto"/>
          <w:sz w:val="24"/>
          <w:highlight w:val="none"/>
          <w:u w:val="single"/>
        </w:rPr>
        <w:t>中标通知书</w:t>
      </w:r>
      <w:r>
        <w:rPr>
          <w:rFonts w:hint="eastAsia" w:hAnsi="宋体" w:cs="宋体"/>
          <w:color w:val="auto"/>
          <w:sz w:val="24"/>
          <w:highlight w:val="none"/>
          <w:u w:val="single"/>
          <w:lang w:eastAsia="zh-CN"/>
        </w:rPr>
        <w:t>）</w:t>
      </w:r>
      <w:r>
        <w:rPr>
          <w:rFonts w:hint="eastAsia" w:hAnsi="宋体" w:cs="宋体"/>
          <w:color w:val="auto"/>
          <w:sz w:val="24"/>
          <w:highlight w:val="none"/>
          <w:u w:val="single"/>
        </w:rPr>
        <w:t>后5天内必须提交</w:t>
      </w:r>
      <w:r>
        <w:rPr>
          <w:rFonts w:hint="eastAsia" w:hAnsi="宋体" w:cs="宋体"/>
          <w:color w:val="auto"/>
          <w:sz w:val="24"/>
          <w:highlight w:val="none"/>
          <w:u w:val="single"/>
          <w:lang w:eastAsia="zh-CN"/>
        </w:rPr>
        <w:t>，</w:t>
      </w:r>
      <w:r>
        <w:rPr>
          <w:rFonts w:hint="eastAsia" w:hAnsi="宋体" w:cs="宋体"/>
          <w:color w:val="auto"/>
          <w:sz w:val="24"/>
          <w:highlight w:val="none"/>
          <w:u w:val="single"/>
        </w:rPr>
        <w:t>保函须由国有或股份制商业银行出具</w:t>
      </w:r>
      <w:r>
        <w:rPr>
          <w:rFonts w:hint="eastAsia" w:hAnsi="宋体" w:cs="宋体"/>
          <w:color w:val="auto"/>
          <w:sz w:val="24"/>
          <w:highlight w:val="none"/>
          <w:u w:val="single"/>
          <w:lang w:eastAsia="zh-CN"/>
        </w:rPr>
        <w:t>，</w:t>
      </w:r>
      <w:r>
        <w:rPr>
          <w:rFonts w:hint="eastAsia" w:hAnsi="宋体" w:cs="宋体"/>
          <w:color w:val="auto"/>
          <w:sz w:val="24"/>
          <w:highlight w:val="none"/>
          <w:u w:val="single"/>
        </w:rPr>
        <w:t>保函须以竣工验收证书为保函到期解除条件，不得以合同工期为到期条件。</w:t>
      </w:r>
    </w:p>
    <w:p>
      <w:pPr>
        <w:keepNext w:val="0"/>
        <w:keepLines w:val="0"/>
        <w:pageBreakBefore w:val="0"/>
        <w:widowControl w:val="0"/>
        <w:kinsoku/>
        <w:wordWrap/>
        <w:overflowPunct/>
        <w:topLinePunct w:val="0"/>
        <w:autoSpaceDE w:val="0"/>
        <w:autoSpaceDN w:val="0"/>
        <w:bidi w:val="0"/>
        <w:adjustRightInd/>
        <w:snapToGrid/>
        <w:spacing w:line="400" w:lineRule="exact"/>
        <w:ind w:firstLine="482" w:firstLineChars="200"/>
        <w:textAlignment w:val="auto"/>
        <w:rPr>
          <w:rFonts w:hint="eastAsia" w:hAnsi="宋体" w:cs="宋体"/>
          <w:b/>
          <w:bCs/>
          <w:color w:val="auto"/>
          <w:sz w:val="24"/>
          <w:szCs w:val="22"/>
          <w:highlight w:val="none"/>
          <w:u w:val="single"/>
        </w:rPr>
      </w:pPr>
      <w:r>
        <w:rPr>
          <w:rFonts w:hint="eastAsia" w:ascii="宋体" w:hAnsi="宋体" w:eastAsia="宋体" w:cs="宋体"/>
          <w:b/>
          <w:bCs/>
          <w:color w:val="auto"/>
          <w:sz w:val="24"/>
          <w:szCs w:val="24"/>
          <w:highlight w:val="none"/>
        </w:rPr>
        <w:t>（3）</w:t>
      </w:r>
      <w:r>
        <w:rPr>
          <w:rFonts w:hint="eastAsia" w:ascii="宋体" w:hAnsi="宋体" w:eastAsia="宋体" w:cs="宋体"/>
          <w:b/>
          <w:bCs/>
          <w:color w:val="auto"/>
          <w:sz w:val="24"/>
          <w:szCs w:val="24"/>
          <w:highlight w:val="none"/>
          <w:u w:val="single"/>
        </w:rPr>
        <w:t xml:space="preserve">其他方式: </w:t>
      </w:r>
      <w:r>
        <w:rPr>
          <w:rFonts w:hint="eastAsia" w:hAnsi="宋体" w:eastAsia="宋体"/>
          <w:b/>
          <w:bCs/>
          <w:color w:val="auto"/>
          <w:sz w:val="24"/>
          <w:szCs w:val="24"/>
          <w:highlight w:val="none"/>
          <w:u w:val="single"/>
          <w:lang w:val="en-US" w:eastAsia="zh-CN"/>
        </w:rPr>
        <w:t>/</w:t>
      </w:r>
      <w:r>
        <w:rPr>
          <w:rFonts w:hint="eastAsia" w:hAnsi="宋体" w:cs="宋体"/>
          <w:b/>
          <w:bCs/>
          <w:color w:val="auto"/>
          <w:sz w:val="24"/>
          <w:szCs w:val="22"/>
          <w:highlight w:val="none"/>
          <w:u w:val="none"/>
        </w:rPr>
        <w:t>。</w:t>
      </w:r>
    </w:p>
    <w:p>
      <w:pPr>
        <w:pStyle w:val="34"/>
        <w:ind w:firstLine="480"/>
        <w:rPr>
          <w:rFonts w:hint="eastAsia" w:ascii="Times New Roman" w:hAnsi="宋体" w:eastAsia="宋体" w:cs="Times New Roman"/>
          <w:snapToGrid/>
          <w:color w:val="auto"/>
          <w:kern w:val="2"/>
          <w:sz w:val="24"/>
          <w:szCs w:val="24"/>
          <w:highlight w:val="none"/>
          <w:u w:val="single"/>
          <w:lang w:val="en-US" w:eastAsia="zh-CN" w:bidi="ar-SA"/>
        </w:rPr>
      </w:pPr>
      <w:bookmarkStart w:id="500" w:name="_Toc351203636"/>
      <w:r>
        <w:rPr>
          <w:rFonts w:hint="eastAsia" w:ascii="Times New Roman" w:hAnsi="宋体" w:eastAsia="宋体" w:cs="Times New Roman"/>
          <w:snapToGrid/>
          <w:color w:val="auto"/>
          <w:kern w:val="2"/>
          <w:sz w:val="24"/>
          <w:szCs w:val="24"/>
          <w:highlight w:val="none"/>
          <w:u w:val="single"/>
          <w:lang w:val="en-US" w:eastAsia="zh-CN" w:bidi="ar-SA"/>
        </w:rPr>
        <w:t xml:space="preserve">1、承包人在收到成交通知书（中标通知书）后5天内，应先向发包人提交中标金额2%的履约保证金，若不按发包人规定时间内交纳的，取消其中标资格；且执行本条各项要求所需的费用由承包人承担，此保证金发包方在承包方如期完成全部工程内容，按发包人规定期限退还承包方（无息）。 </w:t>
      </w:r>
    </w:p>
    <w:p>
      <w:pPr>
        <w:spacing w:line="440" w:lineRule="exact"/>
        <w:ind w:firstLine="480" w:firstLineChars="200"/>
        <w:rPr>
          <w:rFonts w:hint="eastAsia" w:hAnsi="宋体"/>
          <w:color w:val="auto"/>
          <w:sz w:val="24"/>
          <w:highlight w:val="none"/>
          <w:u w:val="single"/>
        </w:rPr>
      </w:pPr>
      <w:r>
        <w:rPr>
          <w:rFonts w:hint="eastAsia" w:hAnsi="宋体"/>
          <w:color w:val="auto"/>
          <w:sz w:val="24"/>
          <w:highlight w:val="none"/>
          <w:u w:val="single"/>
        </w:rPr>
        <w:t>2、履约保证金内容包括：工程质量履约担保占履约担保总额的35%，工期履约担保占履约担保总额的30%，安全、文明、环境保护施工履约担保占履约担保总额的20%，项目班子、机械设备到岗率履约担保占履约担保总额的10%，工程资料保证金占履约担保总额的5%。</w:t>
      </w:r>
    </w:p>
    <w:p>
      <w:pPr>
        <w:spacing w:line="440" w:lineRule="exact"/>
        <w:ind w:firstLine="480" w:firstLineChars="200"/>
        <w:rPr>
          <w:rFonts w:hint="eastAsia" w:hAnsi="宋体"/>
          <w:color w:val="auto"/>
          <w:sz w:val="24"/>
          <w:highlight w:val="none"/>
          <w:u w:val="single"/>
        </w:rPr>
      </w:pPr>
      <w:r>
        <w:rPr>
          <w:rFonts w:hint="eastAsia" w:hAnsi="宋体"/>
          <w:color w:val="auto"/>
          <w:sz w:val="24"/>
          <w:highlight w:val="none"/>
          <w:u w:val="single"/>
        </w:rPr>
        <w:t>3、履约保证金在工程竣工验收通过、工程和工程资料移交后 1 个月内，发包人扣除应扣罚的违约金后，退还剩余的履约保证金，履约保证金不计利息。</w:t>
      </w:r>
    </w:p>
    <w:p>
      <w:pPr>
        <w:spacing w:line="440" w:lineRule="exact"/>
        <w:ind w:firstLine="480" w:firstLineChars="200"/>
        <w:rPr>
          <w:rFonts w:hint="eastAsia" w:hAnsi="宋体"/>
          <w:color w:val="auto"/>
          <w:sz w:val="24"/>
          <w:highlight w:val="none"/>
          <w:u w:val="single"/>
        </w:rPr>
      </w:pPr>
      <w:r>
        <w:rPr>
          <w:rFonts w:hint="eastAsia" w:hAnsi="宋体"/>
          <w:color w:val="auto"/>
          <w:sz w:val="24"/>
          <w:highlight w:val="none"/>
          <w:u w:val="single"/>
        </w:rPr>
        <w:t>4、有下列违约情形的，相应的工程履约保证金发包人不予退还，并可在当期工程款（进度款）中扣除承包人给发包人造成的损失：</w:t>
      </w:r>
    </w:p>
    <w:p>
      <w:pPr>
        <w:spacing w:line="440" w:lineRule="exact"/>
        <w:ind w:firstLine="480" w:firstLineChars="200"/>
        <w:rPr>
          <w:rFonts w:hint="eastAsia" w:hAnsi="宋体"/>
          <w:color w:val="auto"/>
          <w:sz w:val="24"/>
          <w:highlight w:val="none"/>
          <w:u w:val="single"/>
        </w:rPr>
      </w:pPr>
      <w:r>
        <w:rPr>
          <w:rFonts w:hint="eastAsia" w:hAnsi="宋体"/>
          <w:color w:val="auto"/>
          <w:sz w:val="24"/>
          <w:highlight w:val="none"/>
          <w:u w:val="single"/>
        </w:rPr>
        <w:t>A、由于承包人原因在执行过程中解除合同，工程履约保证金不予退还；</w:t>
      </w:r>
    </w:p>
    <w:p>
      <w:pPr>
        <w:spacing w:line="440" w:lineRule="exact"/>
        <w:ind w:firstLine="480" w:firstLineChars="200"/>
        <w:rPr>
          <w:rFonts w:hint="eastAsia" w:hAnsi="宋体"/>
          <w:color w:val="auto"/>
          <w:sz w:val="24"/>
          <w:highlight w:val="none"/>
          <w:u w:val="single"/>
        </w:rPr>
      </w:pPr>
      <w:r>
        <w:rPr>
          <w:rFonts w:hint="eastAsia" w:hAnsi="宋体"/>
          <w:color w:val="auto"/>
          <w:sz w:val="24"/>
          <w:highlight w:val="none"/>
          <w:u w:val="single"/>
        </w:rPr>
        <w:t>B、竣工验收，未能一次性验收合格，质量履约保证金不予退还；</w:t>
      </w:r>
    </w:p>
    <w:p>
      <w:pPr>
        <w:spacing w:line="440" w:lineRule="exact"/>
        <w:ind w:firstLine="480" w:firstLineChars="200"/>
        <w:rPr>
          <w:rFonts w:hint="eastAsia" w:hAnsi="宋体"/>
          <w:color w:val="auto"/>
          <w:sz w:val="24"/>
          <w:highlight w:val="none"/>
          <w:u w:val="single"/>
        </w:rPr>
      </w:pPr>
      <w:r>
        <w:rPr>
          <w:rFonts w:hint="eastAsia" w:hAnsi="宋体"/>
          <w:color w:val="auto"/>
          <w:sz w:val="24"/>
          <w:highlight w:val="none"/>
          <w:u w:val="single"/>
        </w:rPr>
        <w:t>C、承包人在施工期间发生重大质量事故的，工程质量履约保证金不予退还；</w:t>
      </w:r>
    </w:p>
    <w:p>
      <w:pPr>
        <w:spacing w:line="440" w:lineRule="exact"/>
        <w:ind w:firstLine="480" w:firstLineChars="200"/>
        <w:rPr>
          <w:rFonts w:hint="eastAsia" w:hAnsi="宋体"/>
          <w:color w:val="auto"/>
          <w:sz w:val="24"/>
          <w:highlight w:val="none"/>
          <w:u w:val="single"/>
        </w:rPr>
      </w:pPr>
      <w:r>
        <w:rPr>
          <w:rFonts w:hint="eastAsia" w:hAnsi="宋体"/>
          <w:color w:val="auto"/>
          <w:sz w:val="24"/>
          <w:highlight w:val="none"/>
          <w:u w:val="single"/>
        </w:rPr>
        <w:t>D、工程未能在合同约定的期限内完工，按合同有关条款处罚，工期履约保证金若不足以抵扣工期违约金的，在工程价款中相应扣足；</w:t>
      </w:r>
    </w:p>
    <w:p>
      <w:pPr>
        <w:spacing w:line="440" w:lineRule="exact"/>
        <w:ind w:firstLine="480" w:firstLineChars="200"/>
        <w:rPr>
          <w:rFonts w:hint="eastAsia" w:hAnsi="宋体"/>
          <w:color w:val="auto"/>
          <w:sz w:val="24"/>
          <w:highlight w:val="none"/>
          <w:u w:val="single"/>
        </w:rPr>
      </w:pPr>
      <w:r>
        <w:rPr>
          <w:rFonts w:hint="eastAsia" w:hAnsi="宋体"/>
          <w:color w:val="auto"/>
          <w:sz w:val="24"/>
          <w:highlight w:val="none"/>
          <w:u w:val="single"/>
        </w:rPr>
        <w:t>E、在施工期间发生重大安全事故的，安全、文明、环境保护施工履约保证金不予退还；</w:t>
      </w:r>
    </w:p>
    <w:p>
      <w:pPr>
        <w:spacing w:line="440" w:lineRule="exact"/>
        <w:ind w:firstLine="480" w:firstLineChars="200"/>
        <w:rPr>
          <w:rFonts w:hint="eastAsia" w:hAnsi="宋体"/>
          <w:color w:val="auto"/>
          <w:sz w:val="24"/>
          <w:highlight w:val="none"/>
          <w:u w:val="single"/>
        </w:rPr>
      </w:pPr>
      <w:r>
        <w:rPr>
          <w:rFonts w:hint="eastAsia" w:hAnsi="宋体"/>
          <w:color w:val="auto"/>
          <w:sz w:val="24"/>
          <w:highlight w:val="none"/>
          <w:u w:val="single"/>
        </w:rPr>
        <w:t>F、承包人在合同履行期间不能及时填写、整理、提交完整的工程技术资料，工程资料保证金不予退还。若承包人在投标时提供了虚假资料，一经发现，工程资料保证金不予退还，并承担一切法律责任。</w:t>
      </w:r>
    </w:p>
    <w:p>
      <w:pPr>
        <w:spacing w:line="440" w:lineRule="exact"/>
        <w:ind w:firstLine="480" w:firstLineChars="200"/>
        <w:rPr>
          <w:rFonts w:hAnsi="宋体"/>
          <w:color w:val="auto"/>
          <w:sz w:val="24"/>
          <w:highlight w:val="none"/>
          <w:u w:val="single"/>
        </w:rPr>
      </w:pPr>
      <w:r>
        <w:rPr>
          <w:color w:val="auto"/>
          <w:sz w:val="24"/>
          <w:highlight w:val="none"/>
        </w:rPr>
        <w:t>4</w:t>
      </w:r>
      <w:bookmarkStart w:id="501" w:name="_Toc296503162"/>
      <w:bookmarkStart w:id="502" w:name="_Toc292559366"/>
      <w:bookmarkStart w:id="503" w:name="_Toc296890990"/>
      <w:bookmarkStart w:id="504" w:name="_Toc297048348"/>
      <w:bookmarkStart w:id="505" w:name="_Toc267251413"/>
      <w:bookmarkStart w:id="506" w:name="_Toc296944501"/>
      <w:bookmarkStart w:id="507" w:name="_Toc297120462"/>
      <w:bookmarkStart w:id="508" w:name="_Toc296891202"/>
      <w:bookmarkStart w:id="509" w:name="_Toc296346663"/>
      <w:bookmarkStart w:id="510" w:name="_Toc292559871"/>
      <w:bookmarkStart w:id="511" w:name="_Toc296347161"/>
      <w:r>
        <w:rPr>
          <w:color w:val="auto"/>
          <w:sz w:val="24"/>
          <w:highlight w:val="none"/>
        </w:rPr>
        <w:t>. 监</w:t>
      </w:r>
      <w:bookmarkEnd w:id="501"/>
      <w:bookmarkEnd w:id="502"/>
      <w:bookmarkEnd w:id="503"/>
      <w:bookmarkEnd w:id="504"/>
      <w:bookmarkEnd w:id="505"/>
      <w:bookmarkEnd w:id="506"/>
      <w:bookmarkEnd w:id="507"/>
      <w:bookmarkEnd w:id="508"/>
      <w:bookmarkEnd w:id="509"/>
      <w:bookmarkEnd w:id="510"/>
      <w:bookmarkEnd w:id="511"/>
      <w:r>
        <w:rPr>
          <w:color w:val="auto"/>
          <w:sz w:val="24"/>
          <w:highlight w:val="none"/>
        </w:rPr>
        <w:t>理人</w:t>
      </w:r>
      <w:bookmarkEnd w:id="500"/>
    </w:p>
    <w:p>
      <w:pPr>
        <w:spacing w:line="440" w:lineRule="exact"/>
        <w:ind w:firstLine="480" w:firstLineChars="200"/>
        <w:rPr>
          <w:rFonts w:hAnsi="宋体"/>
          <w:color w:val="auto"/>
          <w:sz w:val="24"/>
          <w:highlight w:val="none"/>
        </w:rPr>
      </w:pPr>
      <w:r>
        <w:rPr>
          <w:rFonts w:hAnsi="宋体"/>
          <w:color w:val="auto"/>
          <w:sz w:val="24"/>
          <w:highlight w:val="none"/>
        </w:rPr>
        <w:t>4.1监理人的一般规定</w:t>
      </w:r>
    </w:p>
    <w:p>
      <w:pPr>
        <w:spacing w:line="440" w:lineRule="exact"/>
        <w:ind w:firstLine="480" w:firstLineChars="200"/>
        <w:rPr>
          <w:rFonts w:hAnsi="宋体"/>
          <w:color w:val="auto"/>
          <w:sz w:val="24"/>
          <w:highlight w:val="none"/>
        </w:rPr>
      </w:pPr>
      <w:r>
        <w:rPr>
          <w:rFonts w:hAnsi="宋体"/>
          <w:color w:val="auto"/>
          <w:sz w:val="24"/>
          <w:highlight w:val="none"/>
        </w:rPr>
        <w:t>关于监理人的监理内容：</w:t>
      </w:r>
      <w:r>
        <w:rPr>
          <w:rFonts w:hint="eastAsia" w:hAnsi="宋体"/>
          <w:color w:val="auto"/>
          <w:sz w:val="24"/>
          <w:highlight w:val="none"/>
          <w:u w:val="single"/>
        </w:rPr>
        <w:t>按监理规范、上级文件要求和监理合同执行</w:t>
      </w:r>
      <w:r>
        <w:rPr>
          <w:rFonts w:hAnsi="宋体"/>
          <w:color w:val="auto"/>
          <w:sz w:val="24"/>
          <w:highlight w:val="none"/>
        </w:rPr>
        <w:t>。</w:t>
      </w:r>
    </w:p>
    <w:p>
      <w:pPr>
        <w:pStyle w:val="57"/>
        <w:tabs>
          <w:tab w:val="left" w:pos="2856"/>
        </w:tabs>
        <w:snapToGrid w:val="0"/>
        <w:spacing w:before="0" w:beforeAutospacing="0" w:after="0" w:afterAutospacing="0" w:line="440" w:lineRule="exact"/>
        <w:ind w:firstLine="480" w:firstLineChars="200"/>
        <w:jc w:val="both"/>
        <w:rPr>
          <w:rFonts w:cs="Courier New"/>
          <w:color w:val="auto"/>
          <w:kern w:val="2"/>
          <w:highlight w:val="none"/>
          <w:u w:val="single"/>
        </w:rPr>
      </w:pPr>
      <w:r>
        <w:rPr>
          <w:color w:val="auto"/>
          <w:highlight w:val="none"/>
        </w:rPr>
        <w:t>关于监理人的监理权限：</w:t>
      </w:r>
      <w:r>
        <w:rPr>
          <w:rFonts w:hint="eastAsia" w:cs="Courier New"/>
          <w:color w:val="auto"/>
          <w:kern w:val="2"/>
          <w:highlight w:val="none"/>
          <w:u w:val="single"/>
        </w:rPr>
        <w:t xml:space="preserve">对工程的质量、安全、造价、进度等所有内容进行全面控制和管理及施工协调（如下）。                                        </w:t>
      </w:r>
    </w:p>
    <w:p>
      <w:pPr>
        <w:pStyle w:val="56"/>
        <w:numPr>
          <w:ilvl w:val="0"/>
          <w:numId w:val="0"/>
        </w:numPr>
        <w:tabs>
          <w:tab w:val="left" w:pos="285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440" w:lineRule="exact"/>
        <w:ind w:left="48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 xml:space="preserve">(1)参加由发包人组织的设计技术交底会，并负责技术交底纪要的整理；          </w:t>
      </w:r>
    </w:p>
    <w:p>
      <w:pPr>
        <w:pStyle w:val="56"/>
        <w:numPr>
          <w:ilvl w:val="0"/>
          <w:numId w:val="0"/>
        </w:numPr>
        <w:tabs>
          <w:tab w:val="left" w:pos="285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440" w:lineRule="exact"/>
        <w:ind w:left="48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 xml:space="preserve">(2)审核承包人报送的施工组织设计、技术方案、进度计划；                    </w:t>
      </w:r>
    </w:p>
    <w:p>
      <w:pPr>
        <w:pStyle w:val="56"/>
        <w:numPr>
          <w:ilvl w:val="0"/>
          <w:numId w:val="0"/>
        </w:numPr>
        <w:tabs>
          <w:tab w:val="left" w:pos="285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440" w:lineRule="exact"/>
        <w:ind w:left="48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 xml:space="preserve">(3)报经发包人同意后，发布开工令、停工令、复工令。如在紧急情况下未能事先报告，则应在24小时内向发包人作出书面报告；                                    </w:t>
      </w:r>
    </w:p>
    <w:p>
      <w:pPr>
        <w:pStyle w:val="56"/>
        <w:numPr>
          <w:ilvl w:val="0"/>
          <w:numId w:val="0"/>
        </w:numPr>
        <w:tabs>
          <w:tab w:val="left" w:pos="285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440" w:lineRule="exact"/>
        <w:ind w:left="48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 xml:space="preserve">(4)进场材料、半成品、成品及设备的检验、验收；                            </w:t>
      </w:r>
    </w:p>
    <w:p>
      <w:pPr>
        <w:pStyle w:val="56"/>
        <w:numPr>
          <w:ilvl w:val="0"/>
          <w:numId w:val="0"/>
        </w:numPr>
        <w:tabs>
          <w:tab w:val="left" w:pos="285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440" w:lineRule="exact"/>
        <w:ind w:left="48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 xml:space="preserve">(5)工程质量的监督、检验；                                                </w:t>
      </w:r>
    </w:p>
    <w:p>
      <w:pPr>
        <w:pStyle w:val="56"/>
        <w:numPr>
          <w:ilvl w:val="0"/>
          <w:numId w:val="0"/>
        </w:numPr>
        <w:tabs>
          <w:tab w:val="left" w:pos="285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440" w:lineRule="exact"/>
        <w:ind w:left="48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 xml:space="preserve">(6)审核签署承包人的申请、支付证书；未经总监理工程师书面签字确认，发包人不支付工程款；                                                                 </w:t>
      </w:r>
    </w:p>
    <w:p>
      <w:pPr>
        <w:pStyle w:val="56"/>
        <w:numPr>
          <w:ilvl w:val="0"/>
          <w:numId w:val="0"/>
        </w:numPr>
        <w:tabs>
          <w:tab w:val="left" w:pos="285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440" w:lineRule="exact"/>
        <w:ind w:left="48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 xml:space="preserve">(7)审查和处理工程变更；                                                  </w:t>
      </w:r>
    </w:p>
    <w:p>
      <w:pPr>
        <w:pStyle w:val="56"/>
        <w:numPr>
          <w:ilvl w:val="0"/>
          <w:numId w:val="0"/>
        </w:numPr>
        <w:tabs>
          <w:tab w:val="left" w:pos="285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440" w:lineRule="exact"/>
        <w:ind w:left="48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 xml:space="preserve">(8)调解发包人与承包人的合同争议、处理索赔、审批工程延期；                </w:t>
      </w:r>
    </w:p>
    <w:p>
      <w:pPr>
        <w:pStyle w:val="56"/>
        <w:numPr>
          <w:ilvl w:val="0"/>
          <w:numId w:val="0"/>
        </w:numPr>
        <w:tabs>
          <w:tab w:val="left" w:pos="285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440" w:lineRule="exact"/>
        <w:ind w:left="48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 xml:space="preserve">(9)主题会议的主持权，并负责相关纪要的整理；                              </w:t>
      </w:r>
    </w:p>
    <w:p>
      <w:pPr>
        <w:pStyle w:val="56"/>
        <w:numPr>
          <w:ilvl w:val="0"/>
          <w:numId w:val="0"/>
        </w:numPr>
        <w:tabs>
          <w:tab w:val="left" w:pos="0"/>
          <w:tab w:val="left" w:pos="285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440" w:lineRule="exact"/>
        <w:ind w:left="480"/>
        <w:rPr>
          <w:rFonts w:hAnsi="宋体"/>
          <w:color w:val="auto"/>
          <w:sz w:val="24"/>
          <w:szCs w:val="24"/>
          <w:highlight w:val="none"/>
          <w:u w:val="single"/>
        </w:rPr>
      </w:pPr>
      <w:r>
        <w:rPr>
          <w:rFonts w:hint="eastAsia" w:ascii="宋体" w:hAnsi="宋体" w:eastAsia="宋体" w:cs="宋体"/>
          <w:color w:val="auto"/>
          <w:sz w:val="24"/>
          <w:szCs w:val="24"/>
          <w:highlight w:val="none"/>
          <w:u w:val="single"/>
        </w:rPr>
        <w:t xml:space="preserve">(10)主持或参与工程质量事故的调查。                                       </w:t>
      </w:r>
    </w:p>
    <w:p>
      <w:pPr>
        <w:pStyle w:val="57"/>
        <w:tabs>
          <w:tab w:val="left" w:pos="0"/>
          <w:tab w:val="left" w:pos="2856"/>
        </w:tabs>
        <w:snapToGrid w:val="0"/>
        <w:spacing w:before="0" w:beforeAutospacing="0" w:after="0" w:afterAutospacing="0" w:line="440" w:lineRule="exact"/>
        <w:ind w:firstLine="480" w:firstLineChars="200"/>
        <w:jc w:val="both"/>
        <w:rPr>
          <w:color w:val="auto"/>
          <w:highlight w:val="none"/>
          <w:u w:val="single"/>
        </w:rPr>
      </w:pPr>
      <w:r>
        <w:rPr>
          <w:color w:val="auto"/>
          <w:highlight w:val="none"/>
        </w:rPr>
        <w:t>需要取得</w:t>
      </w:r>
      <w:r>
        <w:rPr>
          <w:rFonts w:hint="eastAsia"/>
          <w:color w:val="auto"/>
          <w:highlight w:val="none"/>
        </w:rPr>
        <w:t>业主</w:t>
      </w:r>
      <w:r>
        <w:rPr>
          <w:color w:val="auto"/>
          <w:highlight w:val="none"/>
        </w:rPr>
        <w:t>批准才能行使的职权：</w:t>
      </w:r>
    </w:p>
    <w:p>
      <w:pPr>
        <w:pStyle w:val="56"/>
        <w:numPr>
          <w:ilvl w:val="0"/>
          <w:numId w:val="0"/>
        </w:numPr>
        <w:tabs>
          <w:tab w:val="left" w:pos="1560"/>
          <w:tab w:val="left" w:pos="285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440" w:lineRule="exact"/>
        <w:ind w:left="48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 xml:space="preserve">(1)发布停、复工令应当事先向发包人报告。报经发包人同意后，发布开工令、停工令、复工令。当对设计单位或承包人提出建议时，该建议会提高工程造价或延长工期的，必须事先报经发包人同意。      </w:t>
      </w:r>
    </w:p>
    <w:p>
      <w:pPr>
        <w:pStyle w:val="56"/>
        <w:numPr>
          <w:ilvl w:val="0"/>
          <w:numId w:val="0"/>
        </w:numPr>
        <w:tabs>
          <w:tab w:val="left" w:pos="1560"/>
          <w:tab w:val="left" w:pos="285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440" w:lineRule="exact"/>
        <w:ind w:left="48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 xml:space="preserve">(2)监理人在发包人的书面授权下可对承包人合同规定的义务提出变更。          </w:t>
      </w:r>
    </w:p>
    <w:p>
      <w:pPr>
        <w:pStyle w:val="56"/>
        <w:numPr>
          <w:ilvl w:val="0"/>
          <w:numId w:val="0"/>
        </w:numPr>
        <w:tabs>
          <w:tab w:val="left" w:pos="1560"/>
          <w:tab w:val="left" w:pos="285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440" w:lineRule="exact"/>
        <w:ind w:left="48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(3)总监理工程师行使除上述职权外还包括通用条款中明确规定由总监理工程师行使的职权和义务。总监理工程师在履行上述授权的任何行为都不会额外增加发包人的义务，更不会解除或减轻合同中承包人的义务，否则该行为不会对发包人有任何约束力。</w:t>
      </w:r>
    </w:p>
    <w:p>
      <w:pPr>
        <w:pStyle w:val="56"/>
        <w:numPr>
          <w:ilvl w:val="0"/>
          <w:numId w:val="0"/>
        </w:numPr>
        <w:tabs>
          <w:tab w:val="left" w:pos="1560"/>
          <w:tab w:val="left" w:pos="285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440" w:lineRule="exact"/>
        <w:ind w:left="48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(4)监理人的任何批准、检查、证书、同意、通知、建议、检验、指令、决定和要求等不解除承包商在合同中的责任。</w:t>
      </w:r>
    </w:p>
    <w:p>
      <w:pPr>
        <w:pStyle w:val="56"/>
        <w:numPr>
          <w:ilvl w:val="0"/>
          <w:numId w:val="0"/>
        </w:numPr>
        <w:tabs>
          <w:tab w:val="left" w:pos="1560"/>
          <w:tab w:val="left" w:pos="285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440" w:lineRule="exact"/>
        <w:ind w:left="480"/>
        <w:rPr>
          <w:rFonts w:hint="eastAsia" w:ascii="宋体" w:hAnsi="宋体" w:eastAsia="宋体" w:cs="宋体"/>
          <w:color w:val="auto"/>
          <w:highlight w:val="none"/>
          <w:u w:val="single"/>
        </w:rPr>
      </w:pPr>
      <w:r>
        <w:rPr>
          <w:rFonts w:hint="eastAsia" w:ascii="宋体" w:hAnsi="宋体" w:eastAsia="宋体" w:cs="宋体"/>
          <w:color w:val="auto"/>
          <w:sz w:val="24"/>
          <w:szCs w:val="24"/>
          <w:highlight w:val="none"/>
          <w:u w:val="single"/>
        </w:rPr>
        <w:t>(5)工程变更所引起的工程量及价款的调整，监理工程师只能对工程量进行确定，工程变更价款须由发包人确定。</w:t>
      </w:r>
    </w:p>
    <w:p>
      <w:pPr>
        <w:pStyle w:val="56"/>
        <w:numPr>
          <w:ilvl w:val="0"/>
          <w:numId w:val="0"/>
        </w:numPr>
        <w:tabs>
          <w:tab w:val="left" w:pos="1560"/>
          <w:tab w:val="left" w:pos="285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440" w:lineRule="exact"/>
        <w:ind w:left="480"/>
        <w:rPr>
          <w:rFonts w:hint="eastAsia"/>
          <w:color w:val="auto"/>
          <w:sz w:val="24"/>
          <w:szCs w:val="24"/>
          <w:highlight w:val="none"/>
          <w:u w:val="single"/>
        </w:rPr>
      </w:pPr>
      <w:r>
        <w:rPr>
          <w:rFonts w:hint="eastAsia" w:ascii="宋体" w:hAnsi="宋体" w:eastAsia="宋体" w:cs="宋体"/>
          <w:color w:val="auto"/>
          <w:sz w:val="24"/>
          <w:szCs w:val="24"/>
          <w:highlight w:val="none"/>
        </w:rPr>
        <w:t>关于监理人在施工现场的办公场所、生活场所的提供和费用承担的约定：</w:t>
      </w:r>
      <w:r>
        <w:rPr>
          <w:rFonts w:hint="eastAsia" w:ascii="宋体" w:hAnsi="宋体" w:eastAsia="宋体" w:cs="宋体"/>
          <w:color w:val="auto"/>
          <w:sz w:val="24"/>
          <w:szCs w:val="24"/>
          <w:highlight w:val="none"/>
          <w:u w:val="single"/>
        </w:rPr>
        <w:t>由承包人提供。</w:t>
      </w:r>
    </w:p>
    <w:p>
      <w:pPr>
        <w:spacing w:line="440" w:lineRule="exact"/>
        <w:ind w:firstLine="480" w:firstLineChars="200"/>
        <w:rPr>
          <w:rFonts w:hAnsi="宋体"/>
          <w:color w:val="auto"/>
          <w:sz w:val="24"/>
          <w:highlight w:val="none"/>
        </w:rPr>
      </w:pPr>
      <w:r>
        <w:rPr>
          <w:rFonts w:hAnsi="宋体"/>
          <w:color w:val="auto"/>
          <w:sz w:val="24"/>
          <w:highlight w:val="none"/>
        </w:rPr>
        <w:t>4.2 监理人员</w:t>
      </w:r>
    </w:p>
    <w:p>
      <w:pPr>
        <w:spacing w:line="440" w:lineRule="exact"/>
        <w:ind w:firstLine="480" w:firstLineChars="200"/>
        <w:rPr>
          <w:rFonts w:hAnsi="宋体"/>
          <w:color w:val="auto"/>
          <w:sz w:val="24"/>
          <w:highlight w:val="none"/>
        </w:rPr>
      </w:pPr>
      <w:r>
        <w:rPr>
          <w:rFonts w:hAnsi="宋体"/>
          <w:color w:val="auto"/>
          <w:sz w:val="24"/>
          <w:highlight w:val="none"/>
        </w:rPr>
        <w:t>总监理工程师：</w:t>
      </w:r>
    </w:p>
    <w:p>
      <w:pPr>
        <w:spacing w:line="440" w:lineRule="exact"/>
        <w:ind w:firstLine="480" w:firstLineChars="200"/>
        <w:rPr>
          <w:rFonts w:hAnsi="宋体"/>
          <w:color w:val="auto"/>
          <w:sz w:val="24"/>
          <w:highlight w:val="none"/>
        </w:rPr>
      </w:pPr>
      <w:r>
        <w:rPr>
          <w:rFonts w:hAnsi="宋体"/>
          <w:color w:val="auto"/>
          <w:sz w:val="24"/>
          <w:highlight w:val="none"/>
        </w:rPr>
        <w:t>姓    名：</w:t>
      </w:r>
      <w:r>
        <w:rPr>
          <w:rFonts w:hint="eastAsia" w:hAnsi="宋体" w:cs="宋体"/>
          <w:color w:val="auto"/>
          <w:sz w:val="24"/>
          <w:highlight w:val="none"/>
          <w:u w:val="single"/>
        </w:rPr>
        <w:t xml:space="preserve">                           </w:t>
      </w:r>
      <w:r>
        <w:rPr>
          <w:rFonts w:hAnsi="宋体"/>
          <w:color w:val="auto"/>
          <w:sz w:val="24"/>
          <w:highlight w:val="none"/>
        </w:rPr>
        <w:t>；</w:t>
      </w:r>
    </w:p>
    <w:p>
      <w:pPr>
        <w:spacing w:line="440" w:lineRule="exact"/>
        <w:ind w:firstLine="480" w:firstLineChars="200"/>
        <w:rPr>
          <w:rFonts w:hAnsi="宋体"/>
          <w:color w:val="auto"/>
          <w:sz w:val="24"/>
          <w:highlight w:val="none"/>
        </w:rPr>
      </w:pPr>
      <w:r>
        <w:rPr>
          <w:rFonts w:hAnsi="宋体"/>
          <w:color w:val="auto"/>
          <w:sz w:val="24"/>
          <w:highlight w:val="none"/>
        </w:rPr>
        <w:t>职    务：</w:t>
      </w:r>
      <w:r>
        <w:rPr>
          <w:rFonts w:hint="eastAsia" w:hAnsi="宋体" w:cs="宋体"/>
          <w:color w:val="auto"/>
          <w:sz w:val="24"/>
          <w:highlight w:val="none"/>
          <w:u w:val="single"/>
        </w:rPr>
        <w:t xml:space="preserve">                          </w:t>
      </w:r>
      <w:r>
        <w:rPr>
          <w:rFonts w:hAnsi="宋体"/>
          <w:color w:val="auto"/>
          <w:sz w:val="24"/>
          <w:highlight w:val="none"/>
        </w:rPr>
        <w:t>；</w:t>
      </w:r>
    </w:p>
    <w:p>
      <w:pPr>
        <w:spacing w:line="440" w:lineRule="exact"/>
        <w:ind w:firstLine="480" w:firstLineChars="200"/>
        <w:rPr>
          <w:rFonts w:hAnsi="宋体"/>
          <w:color w:val="auto"/>
          <w:sz w:val="24"/>
          <w:highlight w:val="none"/>
        </w:rPr>
      </w:pPr>
      <w:r>
        <w:rPr>
          <w:rFonts w:hAnsi="宋体"/>
          <w:color w:val="auto"/>
          <w:sz w:val="24"/>
          <w:highlight w:val="none"/>
        </w:rPr>
        <w:t>监理工程师执业资格证书号：</w:t>
      </w:r>
      <w:r>
        <w:rPr>
          <w:rFonts w:hint="eastAsia" w:hAnsi="宋体" w:cs="宋体"/>
          <w:color w:val="auto"/>
          <w:sz w:val="24"/>
          <w:highlight w:val="none"/>
          <w:u w:val="single"/>
        </w:rPr>
        <w:t xml:space="preserve">                 </w:t>
      </w:r>
      <w:r>
        <w:rPr>
          <w:rFonts w:hAnsi="宋体"/>
          <w:color w:val="auto"/>
          <w:sz w:val="24"/>
          <w:highlight w:val="none"/>
        </w:rPr>
        <w:t>；</w:t>
      </w:r>
    </w:p>
    <w:p>
      <w:pPr>
        <w:spacing w:line="440" w:lineRule="exact"/>
        <w:ind w:firstLine="480" w:firstLineChars="200"/>
        <w:rPr>
          <w:rFonts w:hAnsi="宋体"/>
          <w:color w:val="auto"/>
          <w:sz w:val="24"/>
          <w:highlight w:val="none"/>
        </w:rPr>
      </w:pPr>
      <w:r>
        <w:rPr>
          <w:rFonts w:hAnsi="宋体"/>
          <w:color w:val="auto"/>
          <w:sz w:val="24"/>
          <w:highlight w:val="none"/>
        </w:rPr>
        <w:t>联系电话：</w:t>
      </w:r>
      <w:r>
        <w:rPr>
          <w:rFonts w:hint="eastAsia" w:hAnsi="宋体" w:cs="宋体"/>
          <w:color w:val="auto"/>
          <w:sz w:val="24"/>
          <w:highlight w:val="none"/>
          <w:u w:val="single"/>
        </w:rPr>
        <w:t xml:space="preserve">                                 </w:t>
      </w:r>
      <w:r>
        <w:rPr>
          <w:rFonts w:hAnsi="宋体"/>
          <w:color w:val="auto"/>
          <w:sz w:val="24"/>
          <w:highlight w:val="none"/>
        </w:rPr>
        <w:t>；</w:t>
      </w:r>
    </w:p>
    <w:p>
      <w:pPr>
        <w:spacing w:line="440" w:lineRule="exact"/>
        <w:ind w:firstLine="480" w:firstLineChars="200"/>
        <w:rPr>
          <w:rFonts w:hAnsi="宋体"/>
          <w:color w:val="auto"/>
          <w:sz w:val="24"/>
          <w:highlight w:val="none"/>
        </w:rPr>
      </w:pPr>
      <w:r>
        <w:rPr>
          <w:rFonts w:hAnsi="宋体"/>
          <w:color w:val="auto"/>
          <w:sz w:val="24"/>
          <w:highlight w:val="none"/>
        </w:rPr>
        <w:t>电子信箱：</w:t>
      </w:r>
      <w:r>
        <w:rPr>
          <w:rFonts w:hint="eastAsia" w:hAnsi="宋体" w:cs="宋体"/>
          <w:color w:val="auto"/>
          <w:sz w:val="24"/>
          <w:highlight w:val="none"/>
          <w:u w:val="single"/>
        </w:rPr>
        <w:t xml:space="preserve">                                 </w:t>
      </w:r>
      <w:r>
        <w:rPr>
          <w:rFonts w:hAnsi="宋体"/>
          <w:color w:val="auto"/>
          <w:sz w:val="24"/>
          <w:highlight w:val="none"/>
        </w:rPr>
        <w:t>；</w:t>
      </w:r>
    </w:p>
    <w:p>
      <w:pPr>
        <w:spacing w:line="440" w:lineRule="exact"/>
        <w:ind w:firstLine="480" w:firstLineChars="200"/>
        <w:rPr>
          <w:rFonts w:hAnsi="宋体"/>
          <w:color w:val="auto"/>
          <w:sz w:val="24"/>
          <w:highlight w:val="none"/>
        </w:rPr>
      </w:pPr>
      <w:r>
        <w:rPr>
          <w:rFonts w:hAnsi="宋体"/>
          <w:color w:val="auto"/>
          <w:sz w:val="24"/>
          <w:highlight w:val="none"/>
        </w:rPr>
        <w:t>通信地址：</w:t>
      </w:r>
      <w:r>
        <w:rPr>
          <w:rFonts w:hint="eastAsia" w:hAnsi="宋体" w:cs="宋体"/>
          <w:color w:val="auto"/>
          <w:sz w:val="24"/>
          <w:highlight w:val="none"/>
          <w:u w:val="single"/>
        </w:rPr>
        <w:t xml:space="preserve">                                 </w:t>
      </w:r>
      <w:r>
        <w:rPr>
          <w:rFonts w:hAnsi="宋体"/>
          <w:color w:val="auto"/>
          <w:sz w:val="24"/>
          <w:highlight w:val="none"/>
        </w:rPr>
        <w:t>；</w:t>
      </w:r>
    </w:p>
    <w:p>
      <w:pPr>
        <w:spacing w:line="440" w:lineRule="exact"/>
        <w:ind w:firstLine="480" w:firstLineChars="200"/>
        <w:rPr>
          <w:rFonts w:hAnsi="宋体"/>
          <w:color w:val="auto"/>
          <w:sz w:val="24"/>
          <w:highlight w:val="none"/>
        </w:rPr>
      </w:pPr>
      <w:r>
        <w:rPr>
          <w:rFonts w:hAnsi="宋体"/>
          <w:color w:val="auto"/>
          <w:sz w:val="24"/>
          <w:highlight w:val="none"/>
        </w:rPr>
        <w:t>关于监理人的其他约定：</w:t>
      </w:r>
      <w:r>
        <w:rPr>
          <w:rFonts w:hint="eastAsia" w:hAnsi="宋体" w:cs="宋体"/>
          <w:color w:val="auto"/>
          <w:sz w:val="24"/>
          <w:highlight w:val="none"/>
          <w:u w:val="single"/>
        </w:rPr>
        <w:t xml:space="preserve">                     </w:t>
      </w:r>
      <w:r>
        <w:rPr>
          <w:rFonts w:hAnsi="宋体"/>
          <w:color w:val="auto"/>
          <w:sz w:val="24"/>
          <w:highlight w:val="none"/>
        </w:rPr>
        <w:t>。</w:t>
      </w:r>
    </w:p>
    <w:p>
      <w:pPr>
        <w:spacing w:line="440" w:lineRule="exact"/>
        <w:ind w:firstLine="480" w:firstLineChars="200"/>
        <w:rPr>
          <w:rFonts w:hAnsi="宋体"/>
          <w:color w:val="auto"/>
          <w:sz w:val="24"/>
          <w:highlight w:val="none"/>
        </w:rPr>
      </w:pPr>
      <w:r>
        <w:rPr>
          <w:rFonts w:hAnsi="宋体"/>
          <w:color w:val="auto"/>
          <w:sz w:val="24"/>
          <w:highlight w:val="none"/>
        </w:rPr>
        <w:t>4.4 商定或确定</w:t>
      </w:r>
    </w:p>
    <w:p>
      <w:pPr>
        <w:spacing w:line="440" w:lineRule="exact"/>
        <w:ind w:firstLine="480" w:firstLineChars="200"/>
        <w:rPr>
          <w:rFonts w:hAnsi="宋体"/>
          <w:color w:val="auto"/>
          <w:sz w:val="24"/>
          <w:highlight w:val="none"/>
        </w:rPr>
      </w:pPr>
      <w:bookmarkStart w:id="512" w:name="_Toc267251418"/>
      <w:r>
        <w:rPr>
          <w:rFonts w:hAnsi="宋体"/>
          <w:color w:val="auto"/>
          <w:sz w:val="24"/>
          <w:highlight w:val="none"/>
        </w:rPr>
        <w:t>在发包人和承包人不能通过协商达成一致意见时，发包人授权监理人对以下事项进行确定：</w:t>
      </w:r>
    </w:p>
    <w:p>
      <w:pPr>
        <w:autoSpaceDE w:val="0"/>
        <w:autoSpaceDN w:val="0"/>
        <w:adjustRightInd w:val="0"/>
        <w:spacing w:line="440" w:lineRule="exact"/>
        <w:ind w:firstLine="480" w:firstLineChars="200"/>
        <w:rPr>
          <w:rFonts w:hAnsi="宋体"/>
          <w:color w:val="auto"/>
          <w:kern w:val="0"/>
          <w:sz w:val="24"/>
          <w:highlight w:val="none"/>
        </w:rPr>
      </w:pPr>
      <w:r>
        <w:rPr>
          <w:rFonts w:hAnsi="宋体"/>
          <w:color w:val="auto"/>
          <w:kern w:val="0"/>
          <w:sz w:val="24"/>
          <w:highlight w:val="none"/>
        </w:rPr>
        <w:t>（1）</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r>
        <w:rPr>
          <w:rFonts w:hAnsi="宋体"/>
          <w:color w:val="auto"/>
          <w:sz w:val="24"/>
          <w:highlight w:val="none"/>
        </w:rPr>
        <w:t>；</w:t>
      </w:r>
    </w:p>
    <w:p>
      <w:pPr>
        <w:autoSpaceDE w:val="0"/>
        <w:autoSpaceDN w:val="0"/>
        <w:adjustRightInd w:val="0"/>
        <w:spacing w:line="440" w:lineRule="exact"/>
        <w:ind w:firstLine="480" w:firstLineChars="200"/>
        <w:rPr>
          <w:rFonts w:hAnsi="宋体"/>
          <w:color w:val="auto"/>
          <w:kern w:val="0"/>
          <w:sz w:val="24"/>
          <w:highlight w:val="none"/>
        </w:rPr>
      </w:pPr>
      <w:r>
        <w:rPr>
          <w:rFonts w:hAnsi="宋体"/>
          <w:color w:val="auto"/>
          <w:kern w:val="0"/>
          <w:sz w:val="24"/>
          <w:highlight w:val="none"/>
        </w:rPr>
        <w:t>（2）</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r>
        <w:rPr>
          <w:rFonts w:hAnsi="宋体"/>
          <w:color w:val="auto"/>
          <w:sz w:val="24"/>
          <w:highlight w:val="none"/>
        </w:rPr>
        <w:t>；</w:t>
      </w:r>
    </w:p>
    <w:p>
      <w:pPr>
        <w:autoSpaceDE w:val="0"/>
        <w:autoSpaceDN w:val="0"/>
        <w:adjustRightInd w:val="0"/>
        <w:spacing w:line="440" w:lineRule="exact"/>
        <w:ind w:firstLine="480" w:firstLineChars="200"/>
        <w:rPr>
          <w:rFonts w:hAnsi="宋体"/>
          <w:color w:val="auto"/>
          <w:kern w:val="0"/>
          <w:sz w:val="24"/>
          <w:highlight w:val="none"/>
        </w:rPr>
      </w:pPr>
      <w:r>
        <w:rPr>
          <w:rFonts w:hAnsi="宋体"/>
          <w:color w:val="auto"/>
          <w:kern w:val="0"/>
          <w:sz w:val="24"/>
          <w:highlight w:val="none"/>
        </w:rPr>
        <w:t>（3）</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r>
        <w:rPr>
          <w:rFonts w:hAnsi="宋体"/>
          <w:color w:val="auto"/>
          <w:sz w:val="24"/>
          <w:highlight w:val="none"/>
        </w:rPr>
        <w:t>。</w:t>
      </w:r>
    </w:p>
    <w:p>
      <w:pPr>
        <w:spacing w:line="440" w:lineRule="exact"/>
        <w:ind w:firstLine="480" w:firstLineChars="200"/>
        <w:rPr>
          <w:color w:val="auto"/>
          <w:sz w:val="24"/>
          <w:highlight w:val="none"/>
        </w:rPr>
      </w:pPr>
      <w:bookmarkStart w:id="513" w:name="_Toc351203637"/>
      <w:r>
        <w:rPr>
          <w:color w:val="auto"/>
          <w:sz w:val="24"/>
          <w:highlight w:val="none"/>
        </w:rPr>
        <w:t>5</w:t>
      </w:r>
      <w:bookmarkEnd w:id="512"/>
      <w:bookmarkStart w:id="514" w:name="_Toc297120463"/>
      <w:bookmarkStart w:id="515" w:name="_Toc292559367"/>
      <w:bookmarkStart w:id="516" w:name="_Toc296347162"/>
      <w:bookmarkStart w:id="517" w:name="_Toc296890991"/>
      <w:bookmarkStart w:id="518" w:name="_Toc292559872"/>
      <w:bookmarkStart w:id="519" w:name="_Toc296503163"/>
      <w:bookmarkStart w:id="520" w:name="_Toc297048349"/>
      <w:bookmarkStart w:id="521" w:name="_Toc296891203"/>
      <w:bookmarkStart w:id="522" w:name="_Toc296944502"/>
      <w:bookmarkStart w:id="523" w:name="_Toc296346664"/>
      <w:r>
        <w:rPr>
          <w:color w:val="auto"/>
          <w:sz w:val="24"/>
          <w:highlight w:val="none"/>
        </w:rPr>
        <w:t>. 工程质量</w:t>
      </w:r>
      <w:bookmarkEnd w:id="513"/>
    </w:p>
    <w:p>
      <w:pPr>
        <w:spacing w:line="440" w:lineRule="exact"/>
        <w:ind w:firstLine="480" w:firstLineChars="200"/>
        <w:rPr>
          <w:rFonts w:hAnsi="宋体"/>
          <w:color w:val="auto"/>
          <w:sz w:val="24"/>
          <w:highlight w:val="none"/>
        </w:rPr>
      </w:pPr>
      <w:r>
        <w:rPr>
          <w:rFonts w:hAnsi="宋体"/>
          <w:color w:val="auto"/>
          <w:sz w:val="24"/>
          <w:highlight w:val="none"/>
        </w:rPr>
        <w:t>5.1 质量要求</w:t>
      </w:r>
    </w:p>
    <w:p>
      <w:pPr>
        <w:spacing w:line="440" w:lineRule="exact"/>
        <w:ind w:firstLine="480" w:firstLineChars="200"/>
        <w:rPr>
          <w:rFonts w:hint="eastAsia" w:hAnsi="宋体"/>
          <w:color w:val="auto"/>
          <w:sz w:val="24"/>
          <w:highlight w:val="none"/>
        </w:rPr>
      </w:pPr>
      <w:r>
        <w:rPr>
          <w:rFonts w:hAnsi="宋体"/>
          <w:color w:val="auto"/>
          <w:sz w:val="24"/>
          <w:highlight w:val="none"/>
        </w:rPr>
        <w:t>5</w:t>
      </w:r>
      <w:bookmarkStart w:id="524" w:name="_Toc297123496"/>
      <w:bookmarkStart w:id="525" w:name="_Toc312677997"/>
      <w:bookmarkStart w:id="526" w:name="_Toc304295527"/>
      <w:bookmarkStart w:id="527" w:name="_Toc303539106"/>
      <w:bookmarkStart w:id="528" w:name="_Toc318581164"/>
      <w:bookmarkStart w:id="529" w:name="_Toc297216155"/>
      <w:bookmarkStart w:id="530" w:name="_Toc300934949"/>
      <w:r>
        <w:rPr>
          <w:rFonts w:hAnsi="宋体"/>
          <w:color w:val="auto"/>
          <w:sz w:val="24"/>
          <w:highlight w:val="none"/>
        </w:rPr>
        <w:t>.1.1 特殊质量标准和要求：</w:t>
      </w:r>
      <w:r>
        <w:rPr>
          <w:rFonts w:hint="eastAsia" w:hAnsi="宋体"/>
          <w:bCs/>
          <w:color w:val="auto"/>
          <w:sz w:val="24"/>
          <w:highlight w:val="none"/>
          <w:u w:val="single"/>
        </w:rPr>
        <w:t>合格标准</w:t>
      </w:r>
      <w:r>
        <w:rPr>
          <w:rFonts w:hAnsi="宋体"/>
          <w:color w:val="auto"/>
          <w:sz w:val="24"/>
          <w:highlight w:val="none"/>
        </w:rPr>
        <w:t>。</w:t>
      </w:r>
    </w:p>
    <w:p>
      <w:pPr>
        <w:spacing w:line="440" w:lineRule="exact"/>
        <w:ind w:firstLine="480" w:firstLineChars="200"/>
        <w:rPr>
          <w:rFonts w:hint="eastAsia" w:hAnsi="宋体"/>
          <w:color w:val="auto"/>
          <w:sz w:val="24"/>
          <w:highlight w:val="none"/>
          <w:u w:val="single"/>
        </w:rPr>
      </w:pPr>
      <w:r>
        <w:rPr>
          <w:rFonts w:hAnsi="宋体"/>
          <w:color w:val="auto"/>
          <w:sz w:val="24"/>
          <w:highlight w:val="none"/>
        </w:rPr>
        <w:t>关于工程奖项的约定：</w:t>
      </w:r>
      <w:r>
        <w:rPr>
          <w:rFonts w:hint="eastAsia" w:hAnsi="宋体"/>
          <w:color w:val="auto"/>
          <w:sz w:val="24"/>
          <w:highlight w:val="none"/>
        </w:rPr>
        <w:t>/</w:t>
      </w:r>
      <w:r>
        <w:rPr>
          <w:rFonts w:hint="eastAsia" w:hAnsi="宋体"/>
          <w:color w:val="auto"/>
          <w:sz w:val="24"/>
          <w:highlight w:val="none"/>
          <w:u w:val="single"/>
        </w:rPr>
        <w:t>。</w:t>
      </w:r>
    </w:p>
    <w:p>
      <w:pPr>
        <w:spacing w:line="440" w:lineRule="exact"/>
        <w:ind w:firstLine="480" w:firstLineChars="200"/>
        <w:rPr>
          <w:rFonts w:hAnsi="宋体"/>
          <w:color w:val="auto"/>
          <w:sz w:val="24"/>
          <w:highlight w:val="none"/>
        </w:rPr>
      </w:pPr>
      <w:r>
        <w:rPr>
          <w:rFonts w:hAnsi="宋体"/>
          <w:color w:val="auto"/>
          <w:sz w:val="24"/>
          <w:highlight w:val="none"/>
        </w:rPr>
        <w:t>5.3 隐蔽工程检查</w:t>
      </w:r>
    </w:p>
    <w:p>
      <w:pPr>
        <w:spacing w:line="440" w:lineRule="exact"/>
        <w:ind w:firstLine="480" w:firstLineChars="200"/>
        <w:rPr>
          <w:rFonts w:hint="eastAsia" w:hAnsi="宋体" w:cs="宋体"/>
          <w:color w:val="auto"/>
          <w:sz w:val="24"/>
          <w:highlight w:val="none"/>
        </w:rPr>
      </w:pPr>
      <w:r>
        <w:rPr>
          <w:rFonts w:hAnsi="宋体"/>
          <w:color w:val="auto"/>
          <w:sz w:val="24"/>
          <w:highlight w:val="none"/>
        </w:rPr>
        <w:t>5.3.2承包人提前通知监理人隐蔽工程检查的期限的约定：</w:t>
      </w:r>
      <w:r>
        <w:rPr>
          <w:rFonts w:hint="eastAsia" w:hAnsi="宋体" w:cs="宋体"/>
          <w:color w:val="auto"/>
          <w:sz w:val="24"/>
          <w:highlight w:val="none"/>
          <w:u w:val="single"/>
        </w:rPr>
        <w:t xml:space="preserve">经承包人自检确认后，48 小时内书面通知监理人检查，质检按现行规范规定和临安区建设工程质量安全监督站的规定执行。  </w:t>
      </w:r>
    </w:p>
    <w:p>
      <w:pPr>
        <w:spacing w:line="440" w:lineRule="exact"/>
        <w:ind w:firstLine="480" w:firstLineChars="200"/>
        <w:rPr>
          <w:rFonts w:hAnsi="宋体"/>
          <w:color w:val="auto"/>
          <w:sz w:val="24"/>
          <w:highlight w:val="none"/>
        </w:rPr>
      </w:pPr>
      <w:r>
        <w:rPr>
          <w:rFonts w:hAnsi="宋体"/>
          <w:color w:val="auto"/>
          <w:sz w:val="24"/>
          <w:highlight w:val="none"/>
        </w:rPr>
        <w:t>监理人不能按时进行检查时，应提前</w:t>
      </w:r>
      <w:r>
        <w:rPr>
          <w:rFonts w:hAnsi="宋体"/>
          <w:color w:val="auto"/>
          <w:sz w:val="24"/>
          <w:highlight w:val="none"/>
          <w:u w:val="single"/>
        </w:rPr>
        <w:t xml:space="preserve"> </w:t>
      </w:r>
      <w:r>
        <w:rPr>
          <w:rFonts w:hint="eastAsia" w:hAnsi="宋体"/>
          <w:color w:val="auto"/>
          <w:sz w:val="24"/>
          <w:highlight w:val="none"/>
          <w:u w:val="single"/>
        </w:rPr>
        <w:t>24</w:t>
      </w:r>
      <w:r>
        <w:rPr>
          <w:rFonts w:hAnsi="宋体"/>
          <w:color w:val="auto"/>
          <w:sz w:val="24"/>
          <w:highlight w:val="none"/>
          <w:u w:val="single"/>
        </w:rPr>
        <w:t xml:space="preserve"> </w:t>
      </w:r>
      <w:r>
        <w:rPr>
          <w:rFonts w:hAnsi="宋体"/>
          <w:color w:val="auto"/>
          <w:sz w:val="24"/>
          <w:highlight w:val="none"/>
        </w:rPr>
        <w:t>小时提交书面延期要求。</w:t>
      </w:r>
    </w:p>
    <w:p>
      <w:pPr>
        <w:spacing w:line="440" w:lineRule="exact"/>
        <w:ind w:firstLine="480" w:firstLineChars="200"/>
        <w:rPr>
          <w:rFonts w:hAnsi="宋体"/>
          <w:color w:val="auto"/>
          <w:sz w:val="24"/>
          <w:highlight w:val="none"/>
        </w:rPr>
      </w:pPr>
      <w:r>
        <w:rPr>
          <w:rFonts w:hAnsi="宋体"/>
          <w:color w:val="auto"/>
          <w:sz w:val="24"/>
          <w:highlight w:val="none"/>
        </w:rPr>
        <w:t>关于延期最长不得超过：</w:t>
      </w:r>
      <w:r>
        <w:rPr>
          <w:rFonts w:hAnsi="宋体"/>
          <w:color w:val="auto"/>
          <w:sz w:val="24"/>
          <w:highlight w:val="none"/>
          <w:u w:val="single"/>
        </w:rPr>
        <w:t xml:space="preserve"> </w:t>
      </w:r>
      <w:r>
        <w:rPr>
          <w:rFonts w:hint="eastAsia" w:hAnsi="宋体"/>
          <w:color w:val="auto"/>
          <w:sz w:val="24"/>
          <w:highlight w:val="none"/>
          <w:u w:val="single"/>
        </w:rPr>
        <w:t>48</w:t>
      </w:r>
      <w:r>
        <w:rPr>
          <w:rFonts w:hAnsi="宋体"/>
          <w:color w:val="auto"/>
          <w:sz w:val="24"/>
          <w:highlight w:val="none"/>
          <w:u w:val="single"/>
        </w:rPr>
        <w:t xml:space="preserve"> </w:t>
      </w:r>
      <w:r>
        <w:rPr>
          <w:rFonts w:hAnsi="宋体"/>
          <w:color w:val="auto"/>
          <w:sz w:val="24"/>
          <w:highlight w:val="none"/>
        </w:rPr>
        <w:t>小时。</w:t>
      </w:r>
    </w:p>
    <w:p>
      <w:pPr>
        <w:spacing w:line="440" w:lineRule="exact"/>
        <w:ind w:firstLine="480" w:firstLineChars="200"/>
        <w:rPr>
          <w:color w:val="auto"/>
          <w:sz w:val="24"/>
          <w:highlight w:val="none"/>
        </w:rPr>
      </w:pPr>
      <w:bookmarkStart w:id="531" w:name="_Toc351203638"/>
      <w:r>
        <w:rPr>
          <w:color w:val="auto"/>
          <w:sz w:val="24"/>
          <w:highlight w:val="none"/>
        </w:rPr>
        <w:t>6. 安全文明施工与环境保护</w:t>
      </w:r>
      <w:bookmarkEnd w:id="531"/>
    </w:p>
    <w:p>
      <w:pPr>
        <w:spacing w:line="440" w:lineRule="exact"/>
        <w:ind w:firstLine="480" w:firstLineChars="200"/>
        <w:rPr>
          <w:rFonts w:hAnsi="宋体"/>
          <w:color w:val="auto"/>
          <w:sz w:val="24"/>
          <w:highlight w:val="none"/>
        </w:rPr>
      </w:pPr>
      <w:r>
        <w:rPr>
          <w:rFonts w:hAnsi="宋体"/>
          <w:color w:val="auto"/>
          <w:sz w:val="24"/>
          <w:highlight w:val="none"/>
        </w:rPr>
        <w:t>6.1安全文明施工</w:t>
      </w:r>
    </w:p>
    <w:p>
      <w:pPr>
        <w:tabs>
          <w:tab w:val="left" w:pos="2856"/>
        </w:tabs>
        <w:spacing w:line="440" w:lineRule="exact"/>
        <w:ind w:firstLine="480" w:firstLineChars="200"/>
        <w:rPr>
          <w:rFonts w:hAnsi="宋体"/>
          <w:color w:val="auto"/>
          <w:sz w:val="24"/>
          <w:highlight w:val="none"/>
        </w:rPr>
      </w:pPr>
      <w:r>
        <w:rPr>
          <w:rFonts w:hAnsi="宋体"/>
          <w:color w:val="auto"/>
          <w:sz w:val="24"/>
          <w:highlight w:val="none"/>
        </w:rPr>
        <w:t>6.1.1 项目安全生产的达标目标及相应事项的约定：</w:t>
      </w:r>
    </w:p>
    <w:p>
      <w:pPr>
        <w:tabs>
          <w:tab w:val="left" w:pos="2856"/>
        </w:tabs>
        <w:spacing w:line="440" w:lineRule="exact"/>
        <w:ind w:firstLine="480" w:firstLineChars="200"/>
        <w:rPr>
          <w:rFonts w:hint="eastAsia" w:hAnsi="宋体"/>
          <w:color w:val="auto"/>
          <w:sz w:val="24"/>
          <w:highlight w:val="none"/>
          <w:u w:val="single"/>
        </w:rPr>
      </w:pPr>
      <w:r>
        <w:rPr>
          <w:rFonts w:hint="eastAsia" w:hAnsi="宋体"/>
          <w:color w:val="auto"/>
          <w:sz w:val="24"/>
          <w:highlight w:val="none"/>
          <w:u w:val="single"/>
        </w:rPr>
        <w:t>承包人应认真执行当地有关施工安全生产条例和规定及发包人的有关要求，做好安全管理工作，杜绝安全事故的发生，同时做好社会综合治理工作，确保本工程达到安全文明施工标准化工地，并明确相关措施：</w:t>
      </w:r>
    </w:p>
    <w:p>
      <w:pPr>
        <w:tabs>
          <w:tab w:val="left" w:pos="2856"/>
        </w:tabs>
        <w:spacing w:line="440" w:lineRule="exact"/>
        <w:ind w:firstLine="480" w:firstLineChars="200"/>
        <w:rPr>
          <w:rFonts w:hint="eastAsia" w:hAnsi="宋体"/>
          <w:color w:val="auto"/>
          <w:sz w:val="24"/>
          <w:highlight w:val="none"/>
          <w:u w:val="single"/>
        </w:rPr>
      </w:pPr>
      <w:r>
        <w:rPr>
          <w:rFonts w:hint="eastAsia" w:hAnsi="宋体"/>
          <w:color w:val="auto"/>
          <w:sz w:val="24"/>
          <w:highlight w:val="none"/>
          <w:u w:val="single"/>
        </w:rPr>
        <w:t>1）做好安全、防火教育工作，确保无火灾事故发生。</w:t>
      </w:r>
    </w:p>
    <w:p>
      <w:pPr>
        <w:tabs>
          <w:tab w:val="left" w:pos="2856"/>
        </w:tabs>
        <w:spacing w:line="440" w:lineRule="exact"/>
        <w:ind w:firstLine="480" w:firstLineChars="200"/>
        <w:rPr>
          <w:rFonts w:hint="eastAsia" w:hAnsi="宋体"/>
          <w:color w:val="auto"/>
          <w:sz w:val="24"/>
          <w:highlight w:val="none"/>
          <w:u w:val="single"/>
        </w:rPr>
      </w:pPr>
      <w:r>
        <w:rPr>
          <w:rFonts w:hint="eastAsia" w:hAnsi="宋体"/>
          <w:color w:val="auto"/>
          <w:sz w:val="24"/>
          <w:highlight w:val="none"/>
          <w:u w:val="single"/>
        </w:rPr>
        <w:t>2）承包人应对施工安全负责，加强施工的安全生产管理，制定安全操作规程，保证工程施工的安全。承包人应教育其职工进行文明施工，配备必要的安全生产设施和劳动保护用具，并配备专职安全负责人，以确保生产安全。</w:t>
      </w:r>
    </w:p>
    <w:p>
      <w:pPr>
        <w:tabs>
          <w:tab w:val="left" w:pos="2856"/>
        </w:tabs>
        <w:spacing w:line="440" w:lineRule="exact"/>
        <w:ind w:firstLine="480" w:firstLineChars="200"/>
        <w:rPr>
          <w:rFonts w:hint="eastAsia" w:hAnsi="宋体"/>
          <w:color w:val="auto"/>
          <w:sz w:val="24"/>
          <w:highlight w:val="none"/>
          <w:u w:val="single"/>
        </w:rPr>
      </w:pPr>
      <w:r>
        <w:rPr>
          <w:rFonts w:hint="eastAsia" w:hAnsi="宋体"/>
          <w:color w:val="auto"/>
          <w:sz w:val="24"/>
          <w:highlight w:val="none"/>
          <w:u w:val="single"/>
        </w:rPr>
        <w:t>3）承包人应对其管辖范围内的人员和设备（包括进入施工场地内及施工场地附近人员和财产）以及工程的安全负责。应负责做好其所辖人员的工作场所和居住区的日常治安管理和安全保护工作，设置必要的消防水源和简易消防设备。承包人必须注意保护工地、邻近建筑物和附近居民的安全，防止因施工措施不当使附近居民的人员财产遭受损失，否则承包人负全责。</w:t>
      </w:r>
    </w:p>
    <w:p>
      <w:pPr>
        <w:tabs>
          <w:tab w:val="left" w:pos="2856"/>
        </w:tabs>
        <w:spacing w:line="440" w:lineRule="exact"/>
        <w:ind w:firstLine="480" w:firstLineChars="200"/>
        <w:rPr>
          <w:rFonts w:hint="eastAsia" w:hAnsi="宋体"/>
          <w:color w:val="auto"/>
          <w:sz w:val="24"/>
          <w:highlight w:val="none"/>
          <w:u w:val="single"/>
        </w:rPr>
      </w:pPr>
      <w:r>
        <w:rPr>
          <w:rFonts w:hint="eastAsia" w:hAnsi="宋体"/>
          <w:color w:val="auto"/>
          <w:sz w:val="24"/>
          <w:highlight w:val="none"/>
          <w:u w:val="single"/>
        </w:rPr>
        <w:t>4）承包人必须对施工现场的用电安全负责，配备专职用电管理员，全面负责施工用电的管理。施工现场用电必须遵照相关的施工现场用电管理条例执行，无触电伤人事故。</w:t>
      </w:r>
    </w:p>
    <w:p>
      <w:pPr>
        <w:tabs>
          <w:tab w:val="left" w:pos="2856"/>
        </w:tabs>
        <w:spacing w:line="440" w:lineRule="exact"/>
        <w:ind w:firstLine="480" w:firstLineChars="200"/>
        <w:rPr>
          <w:rFonts w:hint="eastAsia" w:hAnsi="宋体"/>
          <w:color w:val="auto"/>
          <w:sz w:val="24"/>
          <w:highlight w:val="none"/>
          <w:u w:val="single"/>
        </w:rPr>
      </w:pPr>
      <w:r>
        <w:rPr>
          <w:rFonts w:hint="eastAsia" w:hAnsi="宋体"/>
          <w:color w:val="auto"/>
          <w:sz w:val="24"/>
          <w:highlight w:val="none"/>
          <w:u w:val="single"/>
        </w:rPr>
        <w:t>5）承包人在工地现场做好警戒告示牌，提醒过往行人、通行车辆以及进入施工现场人员注意，承担所有安全保卫责任。在施工过程中无人员重大伤亡事故，无重大行车交通事故，无重大居民投诉治安事件。在施工过程中由于承包人原因而发生的人身伤亡、财产损失及其它一切事故，均由承包人承担一切经济及法律责任。</w:t>
      </w:r>
    </w:p>
    <w:p>
      <w:pPr>
        <w:tabs>
          <w:tab w:val="left" w:pos="2856"/>
        </w:tabs>
        <w:spacing w:line="440" w:lineRule="exact"/>
        <w:ind w:firstLine="480" w:firstLineChars="200"/>
        <w:rPr>
          <w:rFonts w:hint="eastAsia" w:hAnsi="宋体"/>
          <w:color w:val="auto"/>
          <w:sz w:val="24"/>
          <w:highlight w:val="none"/>
          <w:u w:val="single"/>
        </w:rPr>
      </w:pPr>
      <w:r>
        <w:rPr>
          <w:rFonts w:hint="eastAsia" w:hAnsi="宋体"/>
          <w:color w:val="auto"/>
          <w:sz w:val="24"/>
          <w:highlight w:val="none"/>
          <w:u w:val="single"/>
        </w:rPr>
        <w:t>6）工程施工及投入使用期间，由于工程施工质量问题造成安全事故或第三方人员伤亡及其它损失的，均由承包人承担一切经济及法律责任。</w:t>
      </w:r>
    </w:p>
    <w:p>
      <w:pPr>
        <w:tabs>
          <w:tab w:val="left" w:pos="2856"/>
        </w:tabs>
        <w:spacing w:line="440" w:lineRule="exact"/>
        <w:ind w:firstLine="480" w:firstLineChars="200"/>
        <w:rPr>
          <w:rFonts w:hint="eastAsia" w:hAnsi="宋体"/>
          <w:color w:val="auto"/>
          <w:sz w:val="24"/>
          <w:highlight w:val="none"/>
          <w:u w:val="single"/>
        </w:rPr>
      </w:pPr>
      <w:r>
        <w:rPr>
          <w:rFonts w:hint="eastAsia" w:hAnsi="宋体"/>
          <w:color w:val="auto"/>
          <w:sz w:val="24"/>
          <w:highlight w:val="none"/>
          <w:u w:val="single"/>
        </w:rPr>
        <w:t>7）管理人员、班组长、施工人员、特殊工种等应有上岗证（国家有明确规定须经培训获得上岗资格的全部施工人员必须持证上岗）。</w:t>
      </w:r>
    </w:p>
    <w:p>
      <w:pPr>
        <w:spacing w:line="420" w:lineRule="exact"/>
        <w:ind w:firstLine="480" w:firstLineChars="200"/>
        <w:rPr>
          <w:rFonts w:hint="eastAsia" w:hAnsi="宋体"/>
          <w:color w:val="auto"/>
          <w:sz w:val="24"/>
          <w:szCs w:val="24"/>
          <w:highlight w:val="none"/>
          <w:u w:val="single"/>
        </w:rPr>
      </w:pPr>
      <w:r>
        <w:rPr>
          <w:rFonts w:hint="eastAsia" w:hAnsi="宋体"/>
          <w:color w:val="auto"/>
          <w:sz w:val="24"/>
          <w:szCs w:val="24"/>
          <w:highlight w:val="none"/>
          <w:u w:val="single"/>
        </w:rPr>
        <w:t>8）本项目施工时，承包人负责处理好与周边社区、居民的关系及其安全、预见规避一切安全风险，避免安全事故的发生，并充分考虑施工对周边村庄、建（构）筑物、道路、地上地下管线、设备、人员等人身、财产的损害赔偿，费用与投标报价时考虑在内，一旦中标，结算时不再增加此类费用。若实际施工时对周边、建（构）筑物、道路、地上地下管线、设备、人员等人身、财产产生损害的，一切经济、法律后果均由承包人负责处理并承担费用，发包人仅给予必要的协助但不承担费用。</w:t>
      </w:r>
    </w:p>
    <w:p>
      <w:pPr>
        <w:spacing w:line="440" w:lineRule="exact"/>
        <w:ind w:firstLine="480" w:firstLineChars="200"/>
        <w:rPr>
          <w:rFonts w:hint="eastAsia" w:hAnsi="宋体"/>
          <w:color w:val="auto"/>
          <w:sz w:val="24"/>
          <w:highlight w:val="none"/>
          <w:u w:val="single"/>
        </w:rPr>
      </w:pPr>
      <w:r>
        <w:rPr>
          <w:rFonts w:hAnsi="宋体"/>
          <w:color w:val="auto"/>
          <w:sz w:val="24"/>
          <w:highlight w:val="none"/>
        </w:rPr>
        <w:t>6.1.4 关于治安保卫的特别约定：</w:t>
      </w:r>
      <w:r>
        <w:rPr>
          <w:rFonts w:hint="eastAsia" w:hAnsi="宋体"/>
          <w:color w:val="auto"/>
          <w:sz w:val="24"/>
          <w:highlight w:val="none"/>
          <w:u w:val="single"/>
          <w:lang w:val="en-US" w:eastAsia="zh-CN"/>
        </w:rPr>
        <w:t>/</w:t>
      </w:r>
      <w:r>
        <w:rPr>
          <w:rFonts w:hint="eastAsia" w:hAnsi="宋体"/>
          <w:color w:val="auto"/>
          <w:sz w:val="24"/>
          <w:highlight w:val="none"/>
          <w:u w:val="single"/>
        </w:rPr>
        <w:t xml:space="preserve">。         </w:t>
      </w:r>
    </w:p>
    <w:p>
      <w:pPr>
        <w:spacing w:line="440" w:lineRule="exact"/>
        <w:ind w:firstLine="480" w:firstLineChars="200"/>
        <w:rPr>
          <w:rFonts w:hint="eastAsia" w:hAnsi="宋体"/>
          <w:color w:val="auto"/>
          <w:sz w:val="24"/>
          <w:highlight w:val="none"/>
        </w:rPr>
      </w:pPr>
      <w:r>
        <w:rPr>
          <w:rFonts w:hAnsi="宋体"/>
          <w:color w:val="auto"/>
          <w:sz w:val="24"/>
          <w:highlight w:val="none"/>
        </w:rPr>
        <w:t>关于编制施工场地治安管理计划的约定：</w:t>
      </w:r>
      <w:r>
        <w:rPr>
          <w:rFonts w:hint="eastAsia" w:hAnsi="宋体"/>
          <w:color w:val="auto"/>
          <w:sz w:val="24"/>
          <w:highlight w:val="none"/>
          <w:u w:val="single"/>
        </w:rPr>
        <w:t>承包人应在开工后7天内编制施工场地治安管理计划，并制定应对突发治安事件的紧急预案，报监理工程师和发包人确认</w:t>
      </w:r>
      <w:r>
        <w:rPr>
          <w:rFonts w:hAnsi="宋体"/>
          <w:color w:val="auto"/>
          <w:sz w:val="24"/>
          <w:highlight w:val="none"/>
        </w:rPr>
        <w:t>。</w:t>
      </w:r>
    </w:p>
    <w:p>
      <w:pPr>
        <w:spacing w:line="440" w:lineRule="exact"/>
        <w:ind w:firstLine="480" w:firstLineChars="200"/>
        <w:rPr>
          <w:rFonts w:hint="eastAsia" w:hAnsi="宋体"/>
          <w:color w:val="auto"/>
          <w:sz w:val="24"/>
          <w:highlight w:val="none"/>
        </w:rPr>
      </w:pPr>
      <w:r>
        <w:rPr>
          <w:rFonts w:hint="eastAsia" w:hAnsi="宋体"/>
          <w:color w:val="auto"/>
          <w:sz w:val="24"/>
          <w:highlight w:val="none"/>
        </w:rPr>
        <w:t>6.1.5 文明施工</w:t>
      </w:r>
    </w:p>
    <w:p>
      <w:pPr>
        <w:spacing w:line="440" w:lineRule="exact"/>
        <w:ind w:firstLine="480" w:firstLineChars="200"/>
        <w:rPr>
          <w:rFonts w:hint="eastAsia" w:hAnsi="宋体"/>
          <w:b/>
          <w:color w:val="auto"/>
          <w:sz w:val="24"/>
          <w:highlight w:val="none"/>
          <w:u w:val="single"/>
          <w:lang w:val="zh-CN"/>
        </w:rPr>
      </w:pPr>
      <w:r>
        <w:rPr>
          <w:rFonts w:hint="eastAsia" w:hAnsi="宋体"/>
          <w:color w:val="auto"/>
          <w:sz w:val="24"/>
          <w:highlight w:val="none"/>
        </w:rPr>
        <w:t>合同当事人对文明施工的要求：</w:t>
      </w:r>
      <w:r>
        <w:rPr>
          <w:rFonts w:hint="eastAsia" w:hAnsi="宋体"/>
          <w:b/>
          <w:color w:val="auto"/>
          <w:sz w:val="24"/>
          <w:highlight w:val="none"/>
          <w:u w:val="single"/>
        </w:rPr>
        <w:t>（1）</w:t>
      </w:r>
      <w:r>
        <w:rPr>
          <w:rFonts w:hint="eastAsia" w:hAnsi="宋体"/>
          <w:b/>
          <w:color w:val="auto"/>
          <w:sz w:val="24"/>
          <w:highlight w:val="none"/>
          <w:u w:val="single"/>
          <w:lang w:val="zh-CN"/>
        </w:rPr>
        <w:t>遵守地方政府和有关部门对施工场地交通、环卫、安全和施工噪音等管理规定，并办理相关审批手续</w:t>
      </w:r>
      <w:r>
        <w:rPr>
          <w:rFonts w:hint="eastAsia" w:hAnsi="宋体"/>
          <w:b/>
          <w:color w:val="auto"/>
          <w:sz w:val="24"/>
          <w:highlight w:val="none"/>
          <w:lang w:val="zh-CN"/>
        </w:rPr>
        <w:t>。</w:t>
      </w:r>
    </w:p>
    <w:p>
      <w:pPr>
        <w:spacing w:line="440" w:lineRule="exact"/>
        <w:ind w:firstLine="482" w:firstLineChars="200"/>
        <w:rPr>
          <w:rFonts w:hint="eastAsia" w:hAnsi="宋体"/>
          <w:b/>
          <w:color w:val="auto"/>
          <w:sz w:val="24"/>
          <w:highlight w:val="none"/>
          <w:lang w:val="zh-CN"/>
        </w:rPr>
      </w:pPr>
      <w:r>
        <w:rPr>
          <w:rFonts w:hint="eastAsia" w:hAnsi="宋体"/>
          <w:b/>
          <w:color w:val="auto"/>
          <w:sz w:val="24"/>
          <w:highlight w:val="none"/>
          <w:u w:val="single"/>
          <w:lang w:val="zh-CN"/>
        </w:rPr>
        <w:t>（2）承包人应采取有效措施尽量减小尘土和噪音污染，需要进行夜间作业时应经有关部门批准</w:t>
      </w:r>
      <w:r>
        <w:rPr>
          <w:rFonts w:hint="eastAsia" w:hAnsi="宋体"/>
          <w:b/>
          <w:color w:val="auto"/>
          <w:sz w:val="24"/>
          <w:highlight w:val="none"/>
          <w:lang w:val="zh-CN"/>
        </w:rPr>
        <w:t>。</w:t>
      </w:r>
    </w:p>
    <w:p>
      <w:pPr>
        <w:spacing w:line="440" w:lineRule="exact"/>
        <w:ind w:firstLine="482" w:firstLineChars="200"/>
        <w:rPr>
          <w:rFonts w:hint="eastAsia" w:hAnsi="宋体"/>
          <w:color w:val="auto"/>
          <w:sz w:val="24"/>
          <w:highlight w:val="none"/>
        </w:rPr>
      </w:pPr>
      <w:r>
        <w:rPr>
          <w:rFonts w:hint="eastAsia" w:hAnsi="宋体"/>
          <w:b/>
          <w:color w:val="auto"/>
          <w:sz w:val="24"/>
          <w:highlight w:val="none"/>
          <w:u w:val="single"/>
          <w:lang w:val="zh-CN"/>
        </w:rPr>
        <w:t>（3）其他：</w:t>
      </w:r>
      <w:r>
        <w:rPr>
          <w:rFonts w:hint="eastAsia" w:hAnsi="宋体"/>
          <w:color w:val="auto"/>
          <w:sz w:val="24"/>
          <w:highlight w:val="none"/>
          <w:u w:val="single"/>
        </w:rPr>
        <w:t>承包人在工程施工期间，应当采取措施保持施工现场平整，物料堆放整齐。工程所在地有关政府行政管理部门有特殊要求的，按照其要求执行</w:t>
      </w:r>
      <w:r>
        <w:rPr>
          <w:rFonts w:hint="eastAsia" w:hAnsi="宋体"/>
          <w:color w:val="auto"/>
          <w:sz w:val="24"/>
          <w:highlight w:val="none"/>
        </w:rPr>
        <w:t>。</w:t>
      </w:r>
    </w:p>
    <w:p>
      <w:pPr>
        <w:spacing w:line="440" w:lineRule="exact"/>
        <w:ind w:firstLine="480" w:firstLineChars="200"/>
        <w:rPr>
          <w:rFonts w:hint="eastAsia" w:hAnsi="宋体"/>
          <w:color w:val="auto"/>
          <w:sz w:val="24"/>
          <w:highlight w:val="none"/>
          <w:u w:val="single"/>
        </w:rPr>
      </w:pPr>
      <w:r>
        <w:rPr>
          <w:rFonts w:hint="eastAsia" w:hAnsi="宋体"/>
          <w:color w:val="auto"/>
          <w:sz w:val="24"/>
          <w:highlight w:val="none"/>
          <w:u w:val="single"/>
        </w:rPr>
        <w:t>场地须硬化，并每天专人清理，对发包人分配的包干区必须派专人清扫，办公室外、厕所、食堂、生活设施等要整洁。如承包人接到书面通知后不积极配合，发包人有权安排其他施工单位进行场地清理和垃圾外运，所发生的费用从承包人的结算中双倍扣除。</w:t>
      </w:r>
    </w:p>
    <w:p>
      <w:pPr>
        <w:spacing w:line="420" w:lineRule="exact"/>
        <w:ind w:firstLine="480" w:firstLineChars="200"/>
        <w:rPr>
          <w:rFonts w:hint="eastAsia" w:hAnsi="宋体"/>
          <w:color w:val="auto"/>
          <w:sz w:val="24"/>
          <w:szCs w:val="24"/>
          <w:highlight w:val="none"/>
        </w:rPr>
      </w:pPr>
      <w:r>
        <w:rPr>
          <w:rFonts w:hint="eastAsia" w:hAnsi="宋体" w:cs="宋体"/>
          <w:color w:val="auto"/>
          <w:sz w:val="24"/>
          <w:highlight w:val="none"/>
        </w:rPr>
        <w:t>6.1.6 关于安全文明施工费支付比例和支付期限的约定：</w:t>
      </w:r>
      <w:r>
        <w:rPr>
          <w:rFonts w:hint="eastAsia" w:hAnsi="宋体"/>
          <w:color w:val="auto"/>
          <w:sz w:val="24"/>
          <w:szCs w:val="24"/>
          <w:highlight w:val="none"/>
          <w:u w:val="single"/>
        </w:rPr>
        <w:t>承包人应加大安全文明施工的投入并确保投标书中的安全文明费用的投入，否则发包人有权扣除安全文明未投入部分费用</w:t>
      </w:r>
      <w:r>
        <w:rPr>
          <w:rFonts w:hint="eastAsia" w:hAnsi="宋体"/>
          <w:color w:val="auto"/>
          <w:sz w:val="24"/>
          <w:szCs w:val="24"/>
          <w:highlight w:val="none"/>
        </w:rPr>
        <w:t>。</w:t>
      </w:r>
    </w:p>
    <w:p>
      <w:pPr>
        <w:spacing w:line="400" w:lineRule="exact"/>
        <w:ind w:firstLine="480" w:firstLineChars="200"/>
        <w:rPr>
          <w:rFonts w:hint="eastAsia" w:hAnsi="宋体"/>
          <w:color w:val="auto"/>
          <w:sz w:val="24"/>
          <w:szCs w:val="24"/>
          <w:highlight w:val="none"/>
          <w:u w:val="single"/>
        </w:rPr>
      </w:pPr>
      <w:r>
        <w:rPr>
          <w:rFonts w:hint="eastAsia" w:hAnsi="宋体"/>
          <w:color w:val="auto"/>
          <w:sz w:val="24"/>
          <w:szCs w:val="24"/>
          <w:highlight w:val="none"/>
          <w:u w:val="single"/>
        </w:rPr>
        <w:t>发包人有权在工程实施中不定期抽查安全文明施工情况，若发现安全文明施工未到位一次处以3000元的违约金，三次以上扣罚所有安全文明施工履约保证金；在施工期间发生重大质量、安全事故的，安全施工履约保证金不予退还。</w:t>
      </w:r>
    </w:p>
    <w:p>
      <w:pPr>
        <w:spacing w:line="400" w:lineRule="exact"/>
        <w:ind w:firstLine="480" w:firstLineChars="200"/>
        <w:rPr>
          <w:rFonts w:hint="eastAsia" w:hAnsi="宋体"/>
          <w:color w:val="auto"/>
          <w:sz w:val="24"/>
          <w:szCs w:val="24"/>
          <w:highlight w:val="none"/>
          <w:u w:val="single"/>
        </w:rPr>
      </w:pPr>
      <w:r>
        <w:rPr>
          <w:rFonts w:hint="eastAsia" w:hAnsi="宋体"/>
          <w:color w:val="auto"/>
          <w:sz w:val="24"/>
          <w:szCs w:val="24"/>
          <w:highlight w:val="none"/>
          <w:u w:val="single"/>
        </w:rPr>
        <w:t>不得拖欠民工工资、分包商各种款项，因拖欠民工工资、分包商各种款项造成的一切后果均由承包人承担，发包人有权暂扣工程款（进度款），代付清工资。拖欠民工工资的，还要扣罚承包人40-50万元。同时，文明施工履约保证金不予退还。</w:t>
      </w:r>
    </w:p>
    <w:p>
      <w:pPr>
        <w:spacing w:line="400" w:lineRule="exact"/>
        <w:ind w:firstLine="480" w:firstLineChars="200"/>
        <w:rPr>
          <w:rFonts w:hint="eastAsia" w:hAnsi="宋体"/>
          <w:color w:val="auto"/>
          <w:sz w:val="24"/>
          <w:szCs w:val="24"/>
          <w:highlight w:val="none"/>
          <w:u w:val="single"/>
        </w:rPr>
      </w:pPr>
      <w:r>
        <w:rPr>
          <w:rFonts w:hint="eastAsia" w:hAnsi="宋体"/>
          <w:color w:val="auto"/>
          <w:sz w:val="24"/>
          <w:szCs w:val="24"/>
          <w:highlight w:val="none"/>
          <w:u w:val="single"/>
        </w:rPr>
        <w:t>安全防护、文明施工措施费和建设工程质量检验试验费不得挪作他用，实施过程中根据投标文件的承诺和合同规定，经监理单位审查认可后由发包人足额支付。</w:t>
      </w:r>
    </w:p>
    <w:bookmarkEnd w:id="524"/>
    <w:bookmarkEnd w:id="525"/>
    <w:bookmarkEnd w:id="526"/>
    <w:bookmarkEnd w:id="527"/>
    <w:bookmarkEnd w:id="528"/>
    <w:bookmarkEnd w:id="529"/>
    <w:bookmarkEnd w:id="530"/>
    <w:p>
      <w:pPr>
        <w:spacing w:line="440" w:lineRule="exact"/>
        <w:ind w:firstLine="480" w:firstLineChars="200"/>
        <w:rPr>
          <w:color w:val="auto"/>
          <w:sz w:val="24"/>
          <w:highlight w:val="none"/>
        </w:rPr>
      </w:pPr>
      <w:bookmarkStart w:id="532" w:name="_Toc351203639"/>
      <w:r>
        <w:rPr>
          <w:rFonts w:hint="eastAsia"/>
          <w:color w:val="auto"/>
          <w:sz w:val="24"/>
          <w:highlight w:val="none"/>
        </w:rPr>
        <w:t>6.3 环境保护</w:t>
      </w:r>
    </w:p>
    <w:p>
      <w:pPr>
        <w:spacing w:line="440" w:lineRule="exact"/>
        <w:ind w:firstLine="480" w:firstLineChars="200"/>
        <w:rPr>
          <w:color w:val="auto"/>
          <w:sz w:val="24"/>
          <w:highlight w:val="none"/>
        </w:rPr>
      </w:pPr>
      <w:r>
        <w:rPr>
          <w:rFonts w:hint="eastAsia"/>
          <w:color w:val="auto"/>
          <w:sz w:val="24"/>
          <w:highlight w:val="none"/>
          <w:u w:val="single"/>
        </w:rPr>
        <w:t>承包人应按要求实施标化管理，做好现场公共部位的清洁绿化工作并承担费用。工程完工交付前现场应清除所有不再需要的临时工程、临时设施、承包人的设备和多余材料、全部建筑和生活垃圾、施工机械等，达到工程师要求，所需费用承包人自理。如承包人不履行，发包人可自行清除，发生的费用和损失由承包人双倍承担。</w:t>
      </w:r>
    </w:p>
    <w:p>
      <w:pPr>
        <w:spacing w:line="440" w:lineRule="exact"/>
        <w:ind w:firstLine="480" w:firstLineChars="200"/>
        <w:rPr>
          <w:color w:val="auto"/>
          <w:sz w:val="24"/>
          <w:highlight w:val="none"/>
        </w:rPr>
      </w:pPr>
      <w:r>
        <w:rPr>
          <w:color w:val="auto"/>
          <w:sz w:val="24"/>
          <w:highlight w:val="none"/>
        </w:rPr>
        <w:t>7. 工期和进度</w:t>
      </w:r>
      <w:bookmarkEnd w:id="532"/>
    </w:p>
    <w:p>
      <w:pPr>
        <w:spacing w:line="440" w:lineRule="exact"/>
        <w:ind w:firstLine="480" w:firstLineChars="200"/>
        <w:rPr>
          <w:rFonts w:hAnsi="宋体"/>
          <w:color w:val="auto"/>
          <w:sz w:val="24"/>
          <w:highlight w:val="none"/>
        </w:rPr>
      </w:pPr>
      <w:r>
        <w:rPr>
          <w:rFonts w:hAnsi="宋体"/>
          <w:color w:val="auto"/>
          <w:sz w:val="24"/>
          <w:highlight w:val="none"/>
        </w:rPr>
        <w:t>7.1 施工组织设计</w:t>
      </w:r>
    </w:p>
    <w:p>
      <w:pPr>
        <w:autoSpaceDE w:val="0"/>
        <w:autoSpaceDN w:val="0"/>
        <w:adjustRightInd w:val="0"/>
        <w:spacing w:line="440" w:lineRule="exact"/>
        <w:ind w:firstLine="480" w:firstLineChars="200"/>
        <w:rPr>
          <w:rFonts w:hAnsi="宋体"/>
          <w:color w:val="auto"/>
          <w:kern w:val="0"/>
          <w:sz w:val="24"/>
          <w:highlight w:val="none"/>
        </w:rPr>
      </w:pPr>
      <w:r>
        <w:rPr>
          <w:rFonts w:hAnsi="宋体"/>
          <w:color w:val="auto"/>
          <w:sz w:val="24"/>
          <w:highlight w:val="none"/>
        </w:rPr>
        <w:t>7.1.</w:t>
      </w:r>
      <w:r>
        <w:rPr>
          <w:rFonts w:hint="eastAsia" w:hAnsi="宋体"/>
          <w:color w:val="auto"/>
          <w:sz w:val="24"/>
          <w:highlight w:val="none"/>
        </w:rPr>
        <w:t>1 合</w:t>
      </w:r>
      <w:r>
        <w:rPr>
          <w:rFonts w:hint="eastAsia" w:hAnsi="宋体"/>
          <w:color w:val="auto"/>
          <w:kern w:val="0"/>
          <w:sz w:val="24"/>
          <w:highlight w:val="none"/>
        </w:rPr>
        <w:t>同当事人约定的</w:t>
      </w:r>
      <w:r>
        <w:rPr>
          <w:rFonts w:hAnsi="宋体"/>
          <w:color w:val="auto"/>
          <w:kern w:val="0"/>
          <w:sz w:val="24"/>
          <w:highlight w:val="none"/>
        </w:rPr>
        <w:t>施工组织设计</w:t>
      </w:r>
      <w:r>
        <w:rPr>
          <w:rFonts w:hint="eastAsia" w:hAnsi="宋体"/>
          <w:color w:val="auto"/>
          <w:kern w:val="0"/>
          <w:sz w:val="24"/>
          <w:highlight w:val="none"/>
        </w:rPr>
        <w:t>应包括的其他内容</w:t>
      </w:r>
      <w:r>
        <w:rPr>
          <w:rFonts w:hAnsi="宋体"/>
          <w:color w:val="auto"/>
          <w:kern w:val="0"/>
          <w:sz w:val="24"/>
          <w:highlight w:val="none"/>
        </w:rPr>
        <w:t>：</w:t>
      </w:r>
      <w:r>
        <w:rPr>
          <w:rFonts w:hint="eastAsia" w:hAnsi="宋体"/>
          <w:color w:val="auto"/>
          <w:sz w:val="24"/>
          <w:highlight w:val="none"/>
          <w:u w:val="single"/>
        </w:rPr>
        <w:t>/</w:t>
      </w:r>
      <w:r>
        <w:rPr>
          <w:rFonts w:hAnsi="宋体"/>
          <w:color w:val="auto"/>
          <w:sz w:val="24"/>
          <w:highlight w:val="none"/>
        </w:rPr>
        <w:t>。</w:t>
      </w:r>
    </w:p>
    <w:p>
      <w:pPr>
        <w:autoSpaceDE w:val="0"/>
        <w:autoSpaceDN w:val="0"/>
        <w:adjustRightInd w:val="0"/>
        <w:spacing w:line="440" w:lineRule="exact"/>
        <w:ind w:firstLine="480" w:firstLineChars="200"/>
        <w:rPr>
          <w:rFonts w:hAnsi="宋体"/>
          <w:color w:val="auto"/>
          <w:kern w:val="0"/>
          <w:sz w:val="24"/>
          <w:highlight w:val="none"/>
        </w:rPr>
      </w:pPr>
      <w:r>
        <w:rPr>
          <w:rFonts w:hAnsi="宋体"/>
          <w:color w:val="auto"/>
          <w:sz w:val="24"/>
          <w:highlight w:val="none"/>
        </w:rPr>
        <w:t xml:space="preserve">7.1.2 </w:t>
      </w:r>
      <w:r>
        <w:rPr>
          <w:rFonts w:hAnsi="宋体"/>
          <w:color w:val="auto"/>
          <w:kern w:val="0"/>
          <w:sz w:val="24"/>
          <w:highlight w:val="none"/>
        </w:rPr>
        <w:t>施工组织设计的提交和修改</w:t>
      </w:r>
    </w:p>
    <w:p>
      <w:pPr>
        <w:pStyle w:val="2"/>
        <w:snapToGrid w:val="0"/>
        <w:spacing w:line="440" w:lineRule="exact"/>
        <w:ind w:firstLine="480"/>
        <w:outlineLvl w:val="0"/>
        <w:rPr>
          <w:rFonts w:hint="eastAsia"/>
          <w:color w:val="auto"/>
          <w:sz w:val="24"/>
          <w:szCs w:val="24"/>
          <w:highlight w:val="none"/>
          <w:u w:val="single"/>
        </w:rPr>
      </w:pPr>
      <w:r>
        <w:rPr>
          <w:color w:val="auto"/>
          <w:sz w:val="24"/>
          <w:szCs w:val="24"/>
          <w:highlight w:val="none"/>
        </w:rPr>
        <w:t>承包人提交详细施工组织设计的期限的约定：</w:t>
      </w:r>
      <w:r>
        <w:rPr>
          <w:rFonts w:hint="eastAsia"/>
          <w:color w:val="auto"/>
          <w:sz w:val="24"/>
          <w:szCs w:val="24"/>
          <w:highlight w:val="none"/>
          <w:u w:val="single"/>
        </w:rPr>
        <w:t>合同签定后7天内，承包人提交施工组织设计（施工方案）和施工进度计划一式五份。</w:t>
      </w:r>
    </w:p>
    <w:p>
      <w:pPr>
        <w:pStyle w:val="2"/>
        <w:snapToGrid w:val="0"/>
        <w:spacing w:line="440" w:lineRule="exact"/>
        <w:ind w:firstLine="480"/>
        <w:outlineLvl w:val="0"/>
        <w:rPr>
          <w:color w:val="auto"/>
          <w:sz w:val="24"/>
          <w:szCs w:val="24"/>
          <w:highlight w:val="none"/>
          <w:u w:val="single"/>
        </w:rPr>
      </w:pPr>
      <w:r>
        <w:rPr>
          <w:rFonts w:hint="eastAsia"/>
          <w:color w:val="auto"/>
          <w:sz w:val="24"/>
          <w:szCs w:val="24"/>
          <w:highlight w:val="none"/>
          <w:u w:val="single"/>
        </w:rPr>
        <w:t>承包人提交的施工组织设计应当载明如下内容（包括但不限于）：</w:t>
      </w:r>
    </w:p>
    <w:p>
      <w:pPr>
        <w:pStyle w:val="2"/>
        <w:snapToGrid w:val="0"/>
        <w:spacing w:line="440" w:lineRule="exact"/>
        <w:ind w:firstLine="480"/>
        <w:outlineLvl w:val="0"/>
        <w:rPr>
          <w:color w:val="auto"/>
          <w:sz w:val="24"/>
          <w:szCs w:val="24"/>
          <w:highlight w:val="none"/>
          <w:u w:val="single"/>
        </w:rPr>
      </w:pPr>
      <w:r>
        <w:rPr>
          <w:rFonts w:hint="eastAsia"/>
          <w:color w:val="auto"/>
          <w:sz w:val="24"/>
          <w:szCs w:val="24"/>
          <w:highlight w:val="none"/>
          <w:u w:val="single"/>
        </w:rPr>
        <w:t>（</w:t>
      </w:r>
      <w:r>
        <w:rPr>
          <w:color w:val="auto"/>
          <w:sz w:val="24"/>
          <w:szCs w:val="24"/>
          <w:highlight w:val="none"/>
          <w:u w:val="single"/>
        </w:rPr>
        <w:t>1</w:t>
      </w:r>
      <w:r>
        <w:rPr>
          <w:rFonts w:hint="eastAsia"/>
          <w:color w:val="auto"/>
          <w:sz w:val="24"/>
          <w:szCs w:val="24"/>
          <w:highlight w:val="none"/>
          <w:u w:val="single"/>
        </w:rPr>
        <w:t>）各分部分项工程的完整的施工方案和施工组织设计包括：①施工总平面布置；②主要分项工程的施工方案、施工方法和工艺；③质量、安全生产目标及保证体系和保证措施；④文明施工管理方案；⑤工程施工管理方案。⑥与其他专业工程承包人的交叉施工与协调管理工作方案和措施。⑦对甲供设备材料等安装过程中的配合协调方案和措施。</w:t>
      </w:r>
    </w:p>
    <w:p>
      <w:pPr>
        <w:pStyle w:val="2"/>
        <w:snapToGrid w:val="0"/>
        <w:spacing w:line="440" w:lineRule="exact"/>
        <w:ind w:firstLine="480"/>
        <w:outlineLvl w:val="0"/>
        <w:rPr>
          <w:color w:val="auto"/>
          <w:sz w:val="24"/>
          <w:szCs w:val="24"/>
          <w:highlight w:val="none"/>
          <w:u w:val="single"/>
        </w:rPr>
      </w:pPr>
      <w:r>
        <w:rPr>
          <w:rFonts w:hint="eastAsia"/>
          <w:color w:val="auto"/>
          <w:sz w:val="24"/>
          <w:szCs w:val="24"/>
          <w:highlight w:val="none"/>
          <w:u w:val="single"/>
        </w:rPr>
        <w:t>（2）施工资源投入计划包括：机械设备进场计划、机电设备材料和物料进场计划、施工人员进场计划等；</w:t>
      </w:r>
    </w:p>
    <w:p>
      <w:pPr>
        <w:pStyle w:val="2"/>
        <w:snapToGrid w:val="0"/>
        <w:spacing w:line="440" w:lineRule="exact"/>
        <w:ind w:firstLine="480"/>
        <w:outlineLvl w:val="0"/>
        <w:rPr>
          <w:color w:val="auto"/>
          <w:sz w:val="24"/>
          <w:szCs w:val="24"/>
          <w:highlight w:val="none"/>
          <w:u w:val="single"/>
        </w:rPr>
      </w:pPr>
      <w:r>
        <w:rPr>
          <w:rFonts w:hint="eastAsia"/>
          <w:color w:val="auto"/>
          <w:sz w:val="24"/>
          <w:szCs w:val="24"/>
          <w:highlight w:val="none"/>
          <w:u w:val="single"/>
        </w:rPr>
        <w:t>（3）施工现场平面布置图及施工道路平面图；</w:t>
      </w:r>
    </w:p>
    <w:p>
      <w:pPr>
        <w:pStyle w:val="2"/>
        <w:snapToGrid w:val="0"/>
        <w:spacing w:line="440" w:lineRule="exact"/>
        <w:ind w:firstLine="480"/>
        <w:outlineLvl w:val="0"/>
        <w:rPr>
          <w:color w:val="auto"/>
          <w:sz w:val="24"/>
          <w:szCs w:val="24"/>
          <w:highlight w:val="none"/>
          <w:u w:val="single"/>
        </w:rPr>
      </w:pPr>
      <w:r>
        <w:rPr>
          <w:rFonts w:hint="eastAsia"/>
          <w:color w:val="auto"/>
          <w:sz w:val="24"/>
          <w:szCs w:val="24"/>
          <w:highlight w:val="none"/>
          <w:u w:val="single"/>
        </w:rPr>
        <w:t>（4）季节性施工措施；</w:t>
      </w:r>
    </w:p>
    <w:p>
      <w:pPr>
        <w:pStyle w:val="2"/>
        <w:snapToGrid w:val="0"/>
        <w:spacing w:line="440" w:lineRule="exact"/>
        <w:ind w:firstLine="480"/>
        <w:outlineLvl w:val="0"/>
        <w:rPr>
          <w:color w:val="auto"/>
          <w:sz w:val="24"/>
          <w:szCs w:val="24"/>
          <w:highlight w:val="none"/>
          <w:u w:val="single"/>
        </w:rPr>
      </w:pPr>
      <w:r>
        <w:rPr>
          <w:rFonts w:hint="eastAsia"/>
          <w:color w:val="auto"/>
          <w:sz w:val="24"/>
          <w:szCs w:val="24"/>
          <w:highlight w:val="none"/>
          <w:u w:val="single"/>
        </w:rPr>
        <w:t>（5）地下管线及其他地下设施的加固措施；</w:t>
      </w:r>
    </w:p>
    <w:p>
      <w:pPr>
        <w:pStyle w:val="2"/>
        <w:snapToGrid w:val="0"/>
        <w:spacing w:line="440" w:lineRule="exact"/>
        <w:ind w:firstLine="480"/>
        <w:outlineLvl w:val="0"/>
        <w:rPr>
          <w:color w:val="auto"/>
          <w:sz w:val="24"/>
          <w:szCs w:val="24"/>
          <w:highlight w:val="none"/>
          <w:u w:val="single"/>
        </w:rPr>
      </w:pPr>
      <w:r>
        <w:rPr>
          <w:rFonts w:hint="eastAsia"/>
          <w:color w:val="auto"/>
          <w:sz w:val="24"/>
          <w:szCs w:val="24"/>
          <w:highlight w:val="none"/>
          <w:u w:val="single"/>
        </w:rPr>
        <w:t>（6）保证工期、质量的措施；</w:t>
      </w:r>
    </w:p>
    <w:p>
      <w:pPr>
        <w:pStyle w:val="2"/>
        <w:snapToGrid w:val="0"/>
        <w:spacing w:line="440" w:lineRule="exact"/>
        <w:ind w:firstLine="480"/>
        <w:outlineLvl w:val="0"/>
        <w:rPr>
          <w:rFonts w:hint="eastAsia"/>
          <w:color w:val="auto"/>
          <w:sz w:val="24"/>
          <w:szCs w:val="24"/>
          <w:highlight w:val="none"/>
          <w:u w:val="single"/>
        </w:rPr>
      </w:pPr>
      <w:r>
        <w:rPr>
          <w:rFonts w:hint="eastAsia"/>
          <w:color w:val="auto"/>
          <w:sz w:val="24"/>
          <w:szCs w:val="24"/>
          <w:highlight w:val="none"/>
          <w:u w:val="single"/>
        </w:rPr>
        <w:t xml:space="preserve">（7）保证安全生产，文明施工，减少扰民降低环境污染和噪音的措施； </w:t>
      </w:r>
    </w:p>
    <w:p>
      <w:pPr>
        <w:pStyle w:val="2"/>
        <w:snapToGrid w:val="0"/>
        <w:spacing w:line="440" w:lineRule="exact"/>
        <w:ind w:firstLine="480"/>
        <w:outlineLvl w:val="0"/>
        <w:rPr>
          <w:color w:val="auto"/>
          <w:sz w:val="24"/>
          <w:szCs w:val="24"/>
          <w:highlight w:val="none"/>
          <w:u w:val="single"/>
        </w:rPr>
      </w:pPr>
      <w:r>
        <w:rPr>
          <w:rFonts w:hint="eastAsia"/>
          <w:color w:val="auto"/>
          <w:sz w:val="24"/>
          <w:szCs w:val="24"/>
          <w:highlight w:val="none"/>
          <w:u w:val="single"/>
        </w:rPr>
        <w:t>（8）妥善处理与相邻施工地作业现场关系的措施；</w:t>
      </w:r>
    </w:p>
    <w:p>
      <w:pPr>
        <w:pStyle w:val="2"/>
        <w:snapToGrid w:val="0"/>
        <w:spacing w:line="440" w:lineRule="exact"/>
        <w:ind w:firstLine="480"/>
        <w:outlineLvl w:val="0"/>
        <w:rPr>
          <w:color w:val="auto"/>
          <w:sz w:val="24"/>
          <w:szCs w:val="24"/>
          <w:highlight w:val="none"/>
          <w:u w:val="single"/>
        </w:rPr>
      </w:pPr>
      <w:r>
        <w:rPr>
          <w:rFonts w:hint="eastAsia"/>
          <w:color w:val="auto"/>
          <w:sz w:val="24"/>
          <w:szCs w:val="24"/>
          <w:highlight w:val="none"/>
          <w:u w:val="single"/>
        </w:rPr>
        <w:t>（9）其他与工程施工有关的管理方案、措施。</w:t>
      </w:r>
    </w:p>
    <w:p>
      <w:pPr>
        <w:pStyle w:val="2"/>
        <w:snapToGrid w:val="0"/>
        <w:spacing w:line="440" w:lineRule="exact"/>
        <w:ind w:firstLine="480"/>
        <w:outlineLvl w:val="0"/>
        <w:rPr>
          <w:color w:val="auto"/>
          <w:sz w:val="24"/>
          <w:szCs w:val="24"/>
          <w:highlight w:val="none"/>
          <w:u w:val="single"/>
        </w:rPr>
      </w:pPr>
      <w:r>
        <w:rPr>
          <w:rFonts w:hint="eastAsia"/>
          <w:color w:val="auto"/>
          <w:sz w:val="24"/>
          <w:szCs w:val="24"/>
          <w:highlight w:val="none"/>
          <w:u w:val="single"/>
        </w:rPr>
        <w:t>承包人编制的工程进度计划内容应全面详实，且应针对工程的全部或分项施工作业和特点提出施工方法、施工穿插顺序及时间安排，并在各节点位置标注相应的工程量、资金使用计划、人机组织及材料消耗量。</w:t>
      </w:r>
    </w:p>
    <w:p>
      <w:pPr>
        <w:pStyle w:val="2"/>
        <w:snapToGrid w:val="0"/>
        <w:spacing w:line="440" w:lineRule="exact"/>
        <w:ind w:firstLine="480"/>
        <w:outlineLvl w:val="0"/>
        <w:rPr>
          <w:rFonts w:hint="eastAsia"/>
          <w:color w:val="auto"/>
          <w:sz w:val="24"/>
          <w:szCs w:val="24"/>
          <w:highlight w:val="none"/>
        </w:rPr>
      </w:pPr>
      <w:r>
        <w:rPr>
          <w:color w:val="auto"/>
          <w:sz w:val="24"/>
          <w:szCs w:val="24"/>
          <w:highlight w:val="none"/>
        </w:rPr>
        <w:t>发包人和监理人在收到</w:t>
      </w:r>
      <w:r>
        <w:rPr>
          <w:rFonts w:hint="eastAsia"/>
          <w:color w:val="auto"/>
          <w:sz w:val="24"/>
          <w:szCs w:val="24"/>
          <w:highlight w:val="none"/>
        </w:rPr>
        <w:t>详细的施工组织设计</w:t>
      </w:r>
      <w:r>
        <w:rPr>
          <w:color w:val="auto"/>
          <w:sz w:val="24"/>
          <w:szCs w:val="24"/>
          <w:highlight w:val="none"/>
        </w:rPr>
        <w:t>后确认或提出修改意见的期限：</w:t>
      </w:r>
      <w:r>
        <w:rPr>
          <w:rFonts w:hint="eastAsia"/>
          <w:color w:val="auto"/>
          <w:sz w:val="24"/>
          <w:szCs w:val="24"/>
          <w:highlight w:val="none"/>
          <w:u w:val="single"/>
        </w:rPr>
        <w:t>收到施工组织设计后</w:t>
      </w:r>
      <w:r>
        <w:rPr>
          <w:color w:val="auto"/>
          <w:sz w:val="24"/>
          <w:szCs w:val="24"/>
          <w:highlight w:val="none"/>
          <w:u w:val="single"/>
        </w:rPr>
        <w:t xml:space="preserve">10 </w:t>
      </w:r>
      <w:r>
        <w:rPr>
          <w:rFonts w:hint="eastAsia"/>
          <w:color w:val="auto"/>
          <w:sz w:val="24"/>
          <w:szCs w:val="24"/>
          <w:highlight w:val="none"/>
          <w:u w:val="single"/>
        </w:rPr>
        <w:t>天内给予批复。对施工组织设计方案的确认是对施工组织设计方案可行性的确认，并不是对所涉及费用的确认，施工组织设计方案属承包人自身的施工措施，所增加人工、材料、机械等措施费用均由承包人自身承担并已考虑在报价中。</w:t>
      </w:r>
    </w:p>
    <w:p>
      <w:pPr>
        <w:autoSpaceDE w:val="0"/>
        <w:autoSpaceDN w:val="0"/>
        <w:adjustRightInd w:val="0"/>
        <w:spacing w:line="440" w:lineRule="exact"/>
        <w:ind w:firstLine="480" w:firstLineChars="200"/>
        <w:rPr>
          <w:rFonts w:hAnsi="宋体"/>
          <w:color w:val="auto"/>
          <w:sz w:val="24"/>
          <w:highlight w:val="none"/>
        </w:rPr>
      </w:pPr>
      <w:r>
        <w:rPr>
          <w:rFonts w:hAnsi="宋体"/>
          <w:color w:val="auto"/>
          <w:sz w:val="24"/>
          <w:highlight w:val="none"/>
        </w:rPr>
        <w:t>7</w:t>
      </w:r>
      <w:bookmarkStart w:id="533" w:name="_Toc300934966"/>
      <w:bookmarkStart w:id="534" w:name="_Toc297123514"/>
      <w:bookmarkStart w:id="535" w:name="_Toc312678005"/>
      <w:bookmarkStart w:id="536" w:name="_Toc312677479"/>
      <w:bookmarkStart w:id="537" w:name="_Toc297216173"/>
      <w:bookmarkStart w:id="538" w:name="_Toc303539123"/>
      <w:bookmarkStart w:id="539" w:name="_Toc304295541"/>
      <w:r>
        <w:rPr>
          <w:rFonts w:hAnsi="宋体"/>
          <w:color w:val="auto"/>
          <w:sz w:val="24"/>
          <w:highlight w:val="none"/>
        </w:rPr>
        <w:t>.2 施工进度计划</w:t>
      </w:r>
    </w:p>
    <w:p>
      <w:pPr>
        <w:spacing w:line="440" w:lineRule="exact"/>
        <w:ind w:firstLine="480" w:firstLineChars="200"/>
        <w:rPr>
          <w:rFonts w:hAnsi="宋体"/>
          <w:color w:val="auto"/>
          <w:sz w:val="24"/>
          <w:highlight w:val="none"/>
        </w:rPr>
      </w:pPr>
      <w:r>
        <w:rPr>
          <w:rFonts w:hAnsi="宋体"/>
          <w:color w:val="auto"/>
          <w:sz w:val="24"/>
          <w:highlight w:val="none"/>
        </w:rPr>
        <w:t>7.2.2 施工进度计划的修订</w:t>
      </w:r>
    </w:p>
    <w:p>
      <w:pPr>
        <w:pStyle w:val="2"/>
        <w:snapToGrid w:val="0"/>
        <w:spacing w:line="440" w:lineRule="exact"/>
        <w:ind w:firstLine="480"/>
        <w:outlineLvl w:val="0"/>
        <w:rPr>
          <w:rFonts w:hint="eastAsia"/>
          <w:color w:val="auto"/>
          <w:sz w:val="24"/>
          <w:szCs w:val="24"/>
          <w:highlight w:val="none"/>
        </w:rPr>
      </w:pPr>
      <w:r>
        <w:rPr>
          <w:color w:val="auto"/>
          <w:sz w:val="24"/>
          <w:szCs w:val="24"/>
          <w:highlight w:val="none"/>
        </w:rPr>
        <w:t>发包人和监理人在收到修订的施工进度计划后确认或提出修改意见的期限：</w:t>
      </w:r>
      <w:r>
        <w:rPr>
          <w:rFonts w:hint="eastAsia"/>
          <w:color w:val="auto"/>
          <w:sz w:val="24"/>
          <w:szCs w:val="24"/>
          <w:highlight w:val="none"/>
          <w:u w:val="single"/>
        </w:rPr>
        <w:t>收到施工进度计划后</w:t>
      </w:r>
      <w:r>
        <w:rPr>
          <w:color w:val="auto"/>
          <w:sz w:val="24"/>
          <w:szCs w:val="24"/>
          <w:highlight w:val="none"/>
          <w:u w:val="single"/>
        </w:rPr>
        <w:t xml:space="preserve">10 </w:t>
      </w:r>
      <w:r>
        <w:rPr>
          <w:rFonts w:hint="eastAsia"/>
          <w:color w:val="auto"/>
          <w:sz w:val="24"/>
          <w:szCs w:val="24"/>
          <w:highlight w:val="none"/>
          <w:u w:val="single"/>
        </w:rPr>
        <w:t xml:space="preserve">天内给予批复。 </w:t>
      </w:r>
    </w:p>
    <w:p>
      <w:pPr>
        <w:spacing w:line="440" w:lineRule="exact"/>
        <w:ind w:firstLine="480" w:firstLineChars="200"/>
        <w:rPr>
          <w:rFonts w:hAnsi="宋体"/>
          <w:color w:val="auto"/>
          <w:sz w:val="24"/>
          <w:highlight w:val="none"/>
        </w:rPr>
      </w:pPr>
      <w:r>
        <w:rPr>
          <w:rFonts w:hAnsi="宋体"/>
          <w:color w:val="auto"/>
          <w:sz w:val="24"/>
          <w:highlight w:val="none"/>
        </w:rPr>
        <w:t>7.3 开工</w:t>
      </w:r>
    </w:p>
    <w:p>
      <w:pPr>
        <w:spacing w:line="440" w:lineRule="exact"/>
        <w:ind w:firstLine="480" w:firstLineChars="200"/>
        <w:rPr>
          <w:rFonts w:hAnsi="宋体"/>
          <w:color w:val="auto"/>
          <w:sz w:val="24"/>
          <w:highlight w:val="none"/>
        </w:rPr>
      </w:pPr>
      <w:r>
        <w:rPr>
          <w:rFonts w:hAnsi="宋体"/>
          <w:color w:val="auto"/>
          <w:sz w:val="24"/>
          <w:highlight w:val="none"/>
        </w:rPr>
        <w:t>7.3.1 开工准备</w:t>
      </w:r>
    </w:p>
    <w:p>
      <w:pPr>
        <w:spacing w:line="440" w:lineRule="exact"/>
        <w:ind w:firstLine="480" w:firstLineChars="200"/>
        <w:rPr>
          <w:rFonts w:hAnsi="宋体"/>
          <w:color w:val="auto"/>
          <w:sz w:val="24"/>
          <w:highlight w:val="none"/>
          <w:u w:val="single"/>
        </w:rPr>
      </w:pPr>
      <w:r>
        <w:rPr>
          <w:rFonts w:hAnsi="宋体"/>
          <w:color w:val="auto"/>
          <w:sz w:val="24"/>
          <w:highlight w:val="none"/>
        </w:rPr>
        <w:t>关于承包人提交</w:t>
      </w:r>
      <w:r>
        <w:rPr>
          <w:rFonts w:hAnsi="宋体"/>
          <w:color w:val="auto"/>
          <w:kern w:val="0"/>
          <w:sz w:val="24"/>
          <w:highlight w:val="none"/>
        </w:rPr>
        <w:t>工程开工报审表的期限：</w:t>
      </w:r>
      <w:r>
        <w:rPr>
          <w:rFonts w:hint="eastAsia" w:hAnsi="宋体"/>
          <w:color w:val="auto"/>
          <w:sz w:val="24"/>
          <w:highlight w:val="none"/>
          <w:u w:val="single"/>
        </w:rPr>
        <w:t>合同签订后7天内</w:t>
      </w:r>
      <w:r>
        <w:rPr>
          <w:rFonts w:hAnsi="宋体"/>
          <w:color w:val="auto"/>
          <w:sz w:val="24"/>
          <w:highlight w:val="none"/>
        </w:rPr>
        <w:t>。</w:t>
      </w:r>
    </w:p>
    <w:p>
      <w:pPr>
        <w:spacing w:line="440" w:lineRule="exact"/>
        <w:ind w:firstLine="480" w:firstLineChars="200"/>
        <w:rPr>
          <w:rFonts w:hAnsi="宋体"/>
          <w:color w:val="auto"/>
          <w:sz w:val="24"/>
          <w:highlight w:val="none"/>
        </w:rPr>
      </w:pPr>
      <w:r>
        <w:rPr>
          <w:rFonts w:hAnsi="宋体"/>
          <w:color w:val="auto"/>
          <w:sz w:val="24"/>
          <w:highlight w:val="none"/>
        </w:rPr>
        <w:t>关于发包人应完成的其他开工准备工作及期限：</w:t>
      </w:r>
      <w:r>
        <w:rPr>
          <w:rFonts w:hint="eastAsia" w:hAnsi="宋体"/>
          <w:color w:val="auto"/>
          <w:sz w:val="24"/>
          <w:highlight w:val="none"/>
          <w:u w:val="single"/>
        </w:rPr>
        <w:t>/</w:t>
      </w:r>
      <w:r>
        <w:rPr>
          <w:rFonts w:hAnsi="宋体"/>
          <w:color w:val="auto"/>
          <w:sz w:val="24"/>
          <w:highlight w:val="none"/>
        </w:rPr>
        <w:t>。</w:t>
      </w:r>
    </w:p>
    <w:p>
      <w:pPr>
        <w:spacing w:line="440" w:lineRule="exact"/>
        <w:ind w:firstLine="480" w:firstLineChars="200"/>
        <w:rPr>
          <w:rFonts w:hAnsi="宋体"/>
          <w:color w:val="auto"/>
          <w:sz w:val="24"/>
          <w:highlight w:val="none"/>
        </w:rPr>
      </w:pPr>
      <w:r>
        <w:rPr>
          <w:rFonts w:hAnsi="宋体"/>
          <w:color w:val="auto"/>
          <w:sz w:val="24"/>
          <w:highlight w:val="none"/>
        </w:rPr>
        <w:t>关于承包人应完成的其他开工准备工作及期限：</w:t>
      </w:r>
      <w:r>
        <w:rPr>
          <w:rFonts w:hint="eastAsia" w:hAnsi="宋体"/>
          <w:color w:val="auto"/>
          <w:sz w:val="24"/>
          <w:highlight w:val="none"/>
          <w:u w:val="single"/>
        </w:rPr>
        <w:t>根据施工需要或发包人要求提供</w:t>
      </w:r>
      <w:r>
        <w:rPr>
          <w:rFonts w:hAnsi="宋体"/>
          <w:color w:val="auto"/>
          <w:sz w:val="24"/>
          <w:highlight w:val="none"/>
        </w:rPr>
        <w:t>。</w:t>
      </w:r>
    </w:p>
    <w:p>
      <w:pPr>
        <w:spacing w:line="440" w:lineRule="exact"/>
        <w:ind w:firstLine="480" w:firstLineChars="200"/>
        <w:rPr>
          <w:rFonts w:hAnsi="宋体"/>
          <w:color w:val="auto"/>
          <w:sz w:val="24"/>
          <w:highlight w:val="none"/>
        </w:rPr>
      </w:pPr>
      <w:r>
        <w:rPr>
          <w:rFonts w:hAnsi="宋体"/>
          <w:color w:val="auto"/>
          <w:sz w:val="24"/>
          <w:highlight w:val="none"/>
        </w:rPr>
        <w:t>7.3.2开工通知</w:t>
      </w:r>
    </w:p>
    <w:p>
      <w:pPr>
        <w:spacing w:line="440" w:lineRule="exact"/>
        <w:ind w:firstLine="480" w:firstLineChars="200"/>
        <w:rPr>
          <w:rFonts w:hint="eastAsia" w:hAnsi="宋体"/>
          <w:color w:val="auto"/>
          <w:sz w:val="24"/>
          <w:highlight w:val="none"/>
        </w:rPr>
      </w:pPr>
      <w:r>
        <w:rPr>
          <w:rFonts w:hAnsi="宋体"/>
          <w:color w:val="auto"/>
          <w:sz w:val="24"/>
          <w:highlight w:val="none"/>
        </w:rPr>
        <w:t>因发包人原因造成监理人未能在计划开工日期之日起</w:t>
      </w:r>
      <w:r>
        <w:rPr>
          <w:rFonts w:hint="eastAsia" w:hAnsi="宋体"/>
          <w:color w:val="auto"/>
          <w:sz w:val="24"/>
          <w:highlight w:val="none"/>
          <w:u w:val="single"/>
        </w:rPr>
        <w:t xml:space="preserve"> / </w:t>
      </w:r>
      <w:r>
        <w:rPr>
          <w:rFonts w:hAnsi="宋体"/>
          <w:color w:val="auto"/>
          <w:sz w:val="24"/>
          <w:highlight w:val="none"/>
        </w:rPr>
        <w:t>天内发出开工通知的，承包人有权提出价格调整要求，或者解除合同。</w:t>
      </w:r>
    </w:p>
    <w:p>
      <w:pPr>
        <w:spacing w:line="440" w:lineRule="exact"/>
        <w:ind w:firstLine="480" w:firstLineChars="200"/>
        <w:rPr>
          <w:rFonts w:hint="eastAsia" w:hAnsi="宋体" w:cs="宋体"/>
          <w:color w:val="auto"/>
          <w:sz w:val="24"/>
          <w:highlight w:val="none"/>
        </w:rPr>
      </w:pPr>
      <w:r>
        <w:rPr>
          <w:rFonts w:hint="eastAsia" w:hAnsi="宋体" w:cs="宋体"/>
          <w:color w:val="auto"/>
          <w:sz w:val="24"/>
          <w:highlight w:val="none"/>
          <w:u w:val="single"/>
        </w:rPr>
        <w:t>工程师应以书面形式通知承包人开工日期，若在书面通知后推迟开工日期的，工期顺延。若在约定的开工日期承包人没有进场的，发包人不承担任何费用。如在工程施工过程中，由于发包人原因或非承包人原因致使工程停工或者窝工的（不可抗力因素除外），15天以内的，由承包人通过赶工和其他施工组织设计，保证工程在合同约定工期内完工；超过15天的，经发包人签证后，延长工期超过15天的部分予以顺延，但不补偿承包人任何损失。</w:t>
      </w:r>
    </w:p>
    <w:bookmarkEnd w:id="533"/>
    <w:bookmarkEnd w:id="534"/>
    <w:bookmarkEnd w:id="535"/>
    <w:bookmarkEnd w:id="536"/>
    <w:bookmarkEnd w:id="537"/>
    <w:bookmarkEnd w:id="538"/>
    <w:bookmarkEnd w:id="539"/>
    <w:p>
      <w:pPr>
        <w:spacing w:line="440" w:lineRule="exact"/>
        <w:ind w:firstLine="480" w:firstLineChars="200"/>
        <w:rPr>
          <w:rFonts w:hAnsi="宋体"/>
          <w:color w:val="auto"/>
          <w:sz w:val="24"/>
          <w:highlight w:val="none"/>
        </w:rPr>
      </w:pPr>
      <w:r>
        <w:rPr>
          <w:rFonts w:hAnsi="宋体"/>
          <w:color w:val="auto"/>
          <w:sz w:val="24"/>
          <w:highlight w:val="none"/>
        </w:rPr>
        <w:t>7.4 测量放线</w:t>
      </w:r>
    </w:p>
    <w:p>
      <w:pPr>
        <w:spacing w:line="440" w:lineRule="exact"/>
        <w:ind w:firstLine="480" w:firstLineChars="200"/>
        <w:rPr>
          <w:rFonts w:hint="eastAsia" w:hAnsi="宋体"/>
          <w:color w:val="auto"/>
          <w:sz w:val="24"/>
          <w:highlight w:val="none"/>
          <w:u w:val="single"/>
        </w:rPr>
      </w:pPr>
      <w:r>
        <w:rPr>
          <w:rFonts w:hAnsi="宋体"/>
          <w:color w:val="auto"/>
          <w:sz w:val="24"/>
          <w:highlight w:val="none"/>
        </w:rPr>
        <w:t>7.4.1发包人通过监理人向承包人提供测量基准点、基准线和水准点及其书面资料的期限：</w:t>
      </w:r>
      <w:r>
        <w:rPr>
          <w:rFonts w:hint="eastAsia" w:hAnsi="宋体"/>
          <w:color w:val="auto"/>
          <w:sz w:val="24"/>
          <w:highlight w:val="none"/>
          <w:u w:val="single"/>
        </w:rPr>
        <w:t>开工日期前7天</w:t>
      </w:r>
      <w:r>
        <w:rPr>
          <w:rFonts w:hAnsi="宋体"/>
          <w:color w:val="auto"/>
          <w:sz w:val="24"/>
          <w:highlight w:val="none"/>
        </w:rPr>
        <w:t>。</w:t>
      </w:r>
    </w:p>
    <w:p>
      <w:pPr>
        <w:spacing w:line="440" w:lineRule="exact"/>
        <w:ind w:firstLine="480" w:firstLineChars="200"/>
        <w:rPr>
          <w:rFonts w:hAnsi="宋体"/>
          <w:color w:val="auto"/>
          <w:sz w:val="24"/>
          <w:highlight w:val="none"/>
        </w:rPr>
      </w:pPr>
      <w:r>
        <w:rPr>
          <w:rFonts w:hAnsi="宋体"/>
          <w:color w:val="auto"/>
          <w:sz w:val="24"/>
          <w:highlight w:val="none"/>
        </w:rPr>
        <w:t>7</w:t>
      </w:r>
      <w:bookmarkStart w:id="540" w:name="_Toc312677484"/>
      <w:bookmarkStart w:id="541" w:name="_Toc300934968"/>
      <w:bookmarkStart w:id="542" w:name="_Toc297216175"/>
      <w:bookmarkStart w:id="543" w:name="_Toc312678010"/>
      <w:bookmarkStart w:id="544" w:name="_Toc304295546"/>
      <w:bookmarkStart w:id="545" w:name="_Toc303539125"/>
      <w:bookmarkStart w:id="546" w:name="_Toc297123516"/>
      <w:r>
        <w:rPr>
          <w:rFonts w:hAnsi="宋体"/>
          <w:color w:val="auto"/>
          <w:sz w:val="24"/>
          <w:highlight w:val="none"/>
        </w:rPr>
        <w:t>.5 工期延误</w:t>
      </w:r>
    </w:p>
    <w:bookmarkEnd w:id="540"/>
    <w:bookmarkEnd w:id="541"/>
    <w:bookmarkEnd w:id="542"/>
    <w:bookmarkEnd w:id="543"/>
    <w:bookmarkEnd w:id="544"/>
    <w:bookmarkEnd w:id="545"/>
    <w:bookmarkEnd w:id="546"/>
    <w:p>
      <w:pPr>
        <w:spacing w:line="440" w:lineRule="exact"/>
        <w:ind w:firstLine="480" w:firstLineChars="200"/>
        <w:rPr>
          <w:rFonts w:hAnsi="宋体"/>
          <w:color w:val="auto"/>
          <w:sz w:val="24"/>
          <w:highlight w:val="none"/>
        </w:rPr>
      </w:pPr>
      <w:r>
        <w:rPr>
          <w:rFonts w:hAnsi="宋体"/>
          <w:color w:val="auto"/>
          <w:sz w:val="24"/>
          <w:highlight w:val="none"/>
        </w:rPr>
        <w:t>7.5.1 因发包人原因导致工期延误</w:t>
      </w:r>
    </w:p>
    <w:p>
      <w:pPr>
        <w:spacing w:line="440" w:lineRule="exact"/>
        <w:ind w:firstLine="480" w:firstLineChars="200"/>
        <w:rPr>
          <w:rFonts w:hint="eastAsia" w:hAnsi="宋体"/>
          <w:color w:val="auto"/>
          <w:sz w:val="24"/>
          <w:highlight w:val="none"/>
        </w:rPr>
      </w:pPr>
      <w:r>
        <w:rPr>
          <w:rFonts w:hAnsi="宋体"/>
          <w:color w:val="auto"/>
          <w:sz w:val="24"/>
          <w:highlight w:val="none"/>
        </w:rPr>
        <w:t>（7）因发包人原因导致工期延误的其他情形：</w:t>
      </w:r>
    </w:p>
    <w:p>
      <w:pPr>
        <w:spacing w:line="440" w:lineRule="exact"/>
        <w:ind w:firstLine="482" w:firstLineChars="200"/>
        <w:rPr>
          <w:rFonts w:hint="eastAsia" w:hAnsi="宋体"/>
          <w:b/>
          <w:color w:val="auto"/>
          <w:sz w:val="24"/>
          <w:highlight w:val="none"/>
          <w:u w:val="single"/>
        </w:rPr>
      </w:pPr>
      <w:r>
        <w:rPr>
          <w:rFonts w:hint="eastAsia" w:hAnsi="宋体"/>
          <w:b/>
          <w:color w:val="auto"/>
          <w:sz w:val="24"/>
          <w:highlight w:val="none"/>
          <w:u w:val="single"/>
        </w:rPr>
        <w:t xml:space="preserve">①重大设计变更引起的工期延误                        </w:t>
      </w:r>
      <w:r>
        <w:rPr>
          <w:rFonts w:hint="eastAsia" w:hAnsi="宋体"/>
          <w:b/>
          <w:color w:val="auto"/>
          <w:sz w:val="24"/>
          <w:highlight w:val="none"/>
        </w:rPr>
        <w:t>；</w:t>
      </w:r>
    </w:p>
    <w:p>
      <w:pPr>
        <w:spacing w:line="440" w:lineRule="exact"/>
        <w:ind w:firstLine="482" w:firstLineChars="200"/>
        <w:rPr>
          <w:rFonts w:hint="eastAsia" w:hAnsi="宋体"/>
          <w:b/>
          <w:color w:val="auto"/>
          <w:sz w:val="24"/>
          <w:highlight w:val="none"/>
          <w:u w:val="single"/>
        </w:rPr>
      </w:pPr>
      <w:r>
        <w:rPr>
          <w:rFonts w:hint="eastAsia" w:hAnsi="宋体"/>
          <w:b/>
          <w:color w:val="auto"/>
          <w:sz w:val="24"/>
          <w:highlight w:val="none"/>
          <w:u w:val="single"/>
        </w:rPr>
        <w:t xml:space="preserve">②其他：                                           </w:t>
      </w:r>
      <w:r>
        <w:rPr>
          <w:rFonts w:hint="eastAsia" w:hAnsi="宋体"/>
          <w:b/>
          <w:color w:val="auto"/>
          <w:sz w:val="24"/>
          <w:highlight w:val="none"/>
        </w:rPr>
        <w:t>。</w:t>
      </w:r>
    </w:p>
    <w:p>
      <w:pPr>
        <w:spacing w:line="440" w:lineRule="exact"/>
        <w:ind w:firstLine="480" w:firstLineChars="200"/>
        <w:rPr>
          <w:rFonts w:hAnsi="宋体"/>
          <w:color w:val="auto"/>
          <w:sz w:val="24"/>
          <w:highlight w:val="none"/>
        </w:rPr>
      </w:pPr>
      <w:r>
        <w:rPr>
          <w:rFonts w:hAnsi="宋体"/>
          <w:color w:val="auto"/>
          <w:sz w:val="24"/>
          <w:highlight w:val="none"/>
        </w:rPr>
        <w:t>7</w:t>
      </w:r>
      <w:bookmarkStart w:id="547" w:name="_Toc318581169"/>
      <w:bookmarkStart w:id="548" w:name="_Toc312678012"/>
      <w:bookmarkStart w:id="549" w:name="_Toc312677486"/>
      <w:bookmarkStart w:id="550" w:name="_Toc304295548"/>
      <w:bookmarkStart w:id="551" w:name="_Toc303539127"/>
      <w:bookmarkStart w:id="552" w:name="_Toc297216177"/>
      <w:bookmarkStart w:id="553" w:name="_Toc300934970"/>
      <w:bookmarkStart w:id="554" w:name="_Toc297123518"/>
      <w:r>
        <w:rPr>
          <w:rFonts w:hAnsi="宋体"/>
          <w:color w:val="auto"/>
          <w:sz w:val="24"/>
          <w:highlight w:val="none"/>
        </w:rPr>
        <w:t>.5.2 因承包人原因导致工期延误</w:t>
      </w:r>
    </w:p>
    <w:bookmarkEnd w:id="547"/>
    <w:bookmarkEnd w:id="548"/>
    <w:bookmarkEnd w:id="549"/>
    <w:p>
      <w:pPr>
        <w:spacing w:line="440" w:lineRule="exact"/>
        <w:ind w:firstLine="480" w:firstLineChars="200"/>
        <w:rPr>
          <w:rFonts w:hint="eastAsia" w:hAnsi="宋体" w:cs="宋体"/>
          <w:color w:val="auto"/>
          <w:sz w:val="24"/>
          <w:highlight w:val="none"/>
          <w:u w:val="single"/>
        </w:rPr>
      </w:pPr>
      <w:r>
        <w:rPr>
          <w:rFonts w:hAnsi="宋体" w:cs="宋体"/>
          <w:color w:val="auto"/>
          <w:sz w:val="24"/>
          <w:highlight w:val="none"/>
          <w:u w:val="single"/>
        </w:rPr>
        <w:t>因</w:t>
      </w:r>
      <w:bookmarkStart w:id="555" w:name="_Toc312677487"/>
      <w:bookmarkStart w:id="556" w:name="_Toc318581170"/>
      <w:bookmarkStart w:id="557" w:name="_Toc312678013"/>
      <w:r>
        <w:rPr>
          <w:rFonts w:hAnsi="宋体" w:cs="宋体"/>
          <w:color w:val="auto"/>
          <w:sz w:val="24"/>
          <w:highlight w:val="none"/>
          <w:u w:val="single"/>
        </w:rPr>
        <w:t>承包人原因造成工期延误，逾期竣工违约金的计算方法为：</w:t>
      </w:r>
      <w:bookmarkEnd w:id="550"/>
      <w:bookmarkEnd w:id="551"/>
      <w:bookmarkEnd w:id="552"/>
      <w:bookmarkEnd w:id="553"/>
      <w:bookmarkEnd w:id="554"/>
      <w:bookmarkEnd w:id="555"/>
      <w:bookmarkEnd w:id="556"/>
      <w:bookmarkEnd w:id="557"/>
      <w:r>
        <w:rPr>
          <w:rFonts w:hint="eastAsia" w:hAnsi="宋体" w:cs="宋体"/>
          <w:color w:val="auto"/>
          <w:sz w:val="24"/>
          <w:highlight w:val="none"/>
          <w:u w:val="single"/>
        </w:rPr>
        <w:t>因承包人原因造成工期延误，逾期竣工违约金的计算方法为：每延误 1 天发包人按2000元/天向承包人计取违约金，延期7天以上的发包人有权扣除全部工期履约保证金。</w:t>
      </w:r>
    </w:p>
    <w:p>
      <w:pPr>
        <w:spacing w:line="440" w:lineRule="exact"/>
        <w:ind w:firstLine="480" w:firstLineChars="200"/>
        <w:rPr>
          <w:rFonts w:hint="eastAsia" w:hAnsi="宋体"/>
          <w:color w:val="auto"/>
          <w:sz w:val="24"/>
          <w:highlight w:val="none"/>
        </w:rPr>
      </w:pPr>
      <w:r>
        <w:rPr>
          <w:rFonts w:hAnsi="宋体"/>
          <w:color w:val="auto"/>
          <w:sz w:val="24"/>
          <w:highlight w:val="none"/>
        </w:rPr>
        <w:t>因承包人原因造成工期延误，逾</w:t>
      </w:r>
      <w:bookmarkStart w:id="558" w:name="_Toc318581171"/>
      <w:bookmarkStart w:id="559" w:name="_Toc312678014"/>
      <w:r>
        <w:rPr>
          <w:rFonts w:hAnsi="宋体"/>
          <w:color w:val="auto"/>
          <w:sz w:val="24"/>
          <w:highlight w:val="none"/>
        </w:rPr>
        <w:t>期竣工违约金的上限：</w:t>
      </w:r>
      <w:r>
        <w:rPr>
          <w:rFonts w:hint="eastAsia" w:hAnsi="宋体"/>
          <w:color w:val="auto"/>
          <w:sz w:val="24"/>
          <w:highlight w:val="none"/>
        </w:rPr>
        <w:t xml:space="preserve">合同价格的 </w:t>
      </w:r>
      <w:r>
        <w:rPr>
          <w:rFonts w:hint="eastAsia" w:hAnsi="宋体"/>
          <w:color w:val="auto"/>
          <w:sz w:val="24"/>
          <w:highlight w:val="none"/>
          <w:u w:val="single"/>
        </w:rPr>
        <w:t>10</w:t>
      </w:r>
      <w:r>
        <w:rPr>
          <w:rFonts w:hint="eastAsia" w:hAnsi="宋体"/>
          <w:color w:val="auto"/>
          <w:sz w:val="24"/>
          <w:highlight w:val="none"/>
        </w:rPr>
        <w:t xml:space="preserve"> %</w:t>
      </w:r>
      <w:r>
        <w:rPr>
          <w:rFonts w:hAnsi="宋体"/>
          <w:color w:val="auto"/>
          <w:sz w:val="24"/>
          <w:highlight w:val="none"/>
        </w:rPr>
        <w:t>。</w:t>
      </w:r>
    </w:p>
    <w:bookmarkEnd w:id="558"/>
    <w:bookmarkEnd w:id="559"/>
    <w:p>
      <w:pPr>
        <w:spacing w:line="440" w:lineRule="exact"/>
        <w:ind w:firstLine="480" w:firstLineChars="200"/>
        <w:rPr>
          <w:rFonts w:hAnsi="宋体"/>
          <w:color w:val="auto"/>
          <w:sz w:val="24"/>
          <w:highlight w:val="none"/>
        </w:rPr>
      </w:pPr>
      <w:r>
        <w:rPr>
          <w:rFonts w:hAnsi="宋体"/>
          <w:color w:val="auto"/>
          <w:sz w:val="24"/>
          <w:highlight w:val="none"/>
        </w:rPr>
        <w:t>7</w:t>
      </w:r>
      <w:bookmarkStart w:id="560" w:name="_Toc300934971"/>
      <w:bookmarkStart w:id="561" w:name="_Toc303539128"/>
      <w:bookmarkStart w:id="562" w:name="_Toc312678015"/>
      <w:bookmarkStart w:id="563" w:name="_Toc297123519"/>
      <w:bookmarkStart w:id="564" w:name="_Toc297216178"/>
      <w:bookmarkStart w:id="565" w:name="_Toc304295549"/>
      <w:r>
        <w:rPr>
          <w:rFonts w:hAnsi="宋体"/>
          <w:color w:val="auto"/>
          <w:sz w:val="24"/>
          <w:highlight w:val="none"/>
        </w:rPr>
        <w:t>.6 不</w:t>
      </w:r>
      <w:bookmarkEnd w:id="560"/>
      <w:bookmarkEnd w:id="561"/>
      <w:bookmarkEnd w:id="562"/>
      <w:bookmarkEnd w:id="563"/>
      <w:bookmarkEnd w:id="564"/>
      <w:bookmarkEnd w:id="565"/>
      <w:r>
        <w:rPr>
          <w:rFonts w:hAnsi="宋体"/>
          <w:color w:val="auto"/>
          <w:sz w:val="24"/>
          <w:highlight w:val="none"/>
        </w:rPr>
        <w:t>利物质条件</w:t>
      </w:r>
    </w:p>
    <w:p>
      <w:pPr>
        <w:spacing w:line="440" w:lineRule="exact"/>
        <w:ind w:firstLine="480" w:firstLineChars="200"/>
        <w:rPr>
          <w:rFonts w:hint="eastAsia" w:hAnsi="宋体"/>
          <w:color w:val="auto"/>
          <w:sz w:val="24"/>
          <w:highlight w:val="none"/>
        </w:rPr>
      </w:pPr>
      <w:bookmarkStart w:id="566" w:name="_Toc312678016"/>
      <w:bookmarkStart w:id="567" w:name="_Toc318581172"/>
      <w:bookmarkStart w:id="568" w:name="_Toc297123520"/>
      <w:bookmarkStart w:id="569" w:name="_Toc297216179"/>
      <w:bookmarkStart w:id="570" w:name="_Toc300934972"/>
      <w:bookmarkStart w:id="571" w:name="_Toc304295550"/>
      <w:bookmarkStart w:id="572" w:name="_Toc303539129"/>
      <w:r>
        <w:rPr>
          <w:rFonts w:hAnsi="宋体"/>
          <w:color w:val="auto"/>
          <w:sz w:val="24"/>
          <w:highlight w:val="none"/>
        </w:rPr>
        <w:t>不利物质条件的其他情形和有关约定：</w:t>
      </w:r>
      <w:bookmarkEnd w:id="566"/>
      <w:bookmarkEnd w:id="567"/>
      <w:bookmarkEnd w:id="568"/>
      <w:bookmarkEnd w:id="569"/>
      <w:bookmarkEnd w:id="570"/>
      <w:bookmarkEnd w:id="571"/>
      <w:bookmarkEnd w:id="572"/>
    </w:p>
    <w:p>
      <w:pPr>
        <w:spacing w:line="440" w:lineRule="exact"/>
        <w:ind w:firstLine="482" w:firstLineChars="200"/>
        <w:rPr>
          <w:rFonts w:hint="eastAsia" w:hAnsi="宋体"/>
          <w:b/>
          <w:color w:val="auto"/>
          <w:sz w:val="24"/>
          <w:highlight w:val="none"/>
          <w:u w:val="single"/>
        </w:rPr>
      </w:pPr>
      <w:r>
        <w:rPr>
          <w:rFonts w:hint="eastAsia" w:hAnsi="宋体"/>
          <w:b/>
          <w:color w:val="auto"/>
          <w:sz w:val="24"/>
          <w:highlight w:val="none"/>
          <w:u w:val="single"/>
        </w:rPr>
        <w:t xml:space="preserve">（1）施工场地周围地下管线                            </w:t>
      </w:r>
      <w:r>
        <w:rPr>
          <w:rFonts w:hint="eastAsia" w:hAnsi="宋体"/>
          <w:b/>
          <w:color w:val="auto"/>
          <w:sz w:val="24"/>
          <w:highlight w:val="none"/>
        </w:rPr>
        <w:t>；</w:t>
      </w:r>
    </w:p>
    <w:p>
      <w:pPr>
        <w:spacing w:line="440" w:lineRule="exact"/>
        <w:ind w:firstLine="482" w:firstLineChars="200"/>
        <w:rPr>
          <w:rFonts w:hint="eastAsia" w:hAnsi="宋体"/>
          <w:b/>
          <w:color w:val="auto"/>
          <w:sz w:val="24"/>
          <w:highlight w:val="none"/>
          <w:u w:val="single"/>
        </w:rPr>
      </w:pPr>
      <w:r>
        <w:rPr>
          <w:rFonts w:hint="eastAsia" w:hAnsi="宋体"/>
          <w:b/>
          <w:color w:val="auto"/>
          <w:sz w:val="24"/>
          <w:highlight w:val="none"/>
          <w:u w:val="single"/>
        </w:rPr>
        <w:t xml:space="preserve">（2）地下障碍物和污染物                              </w:t>
      </w:r>
      <w:r>
        <w:rPr>
          <w:rFonts w:hint="eastAsia" w:hAnsi="宋体"/>
          <w:b/>
          <w:color w:val="auto"/>
          <w:sz w:val="24"/>
          <w:highlight w:val="none"/>
        </w:rPr>
        <w:t>；</w:t>
      </w:r>
    </w:p>
    <w:p>
      <w:pPr>
        <w:spacing w:line="440" w:lineRule="exact"/>
        <w:ind w:firstLine="482" w:firstLineChars="200"/>
        <w:rPr>
          <w:rFonts w:hint="eastAsia" w:hAnsi="宋体"/>
          <w:b/>
          <w:color w:val="auto"/>
          <w:sz w:val="24"/>
          <w:highlight w:val="none"/>
          <w:u w:val="single"/>
        </w:rPr>
      </w:pPr>
      <w:r>
        <w:rPr>
          <w:rFonts w:hint="eastAsia" w:hAnsi="宋体"/>
          <w:b/>
          <w:color w:val="auto"/>
          <w:sz w:val="24"/>
          <w:highlight w:val="none"/>
          <w:u w:val="single"/>
        </w:rPr>
        <w:t>（3）邻近建筑物、构筑物的保护要求                    ；</w:t>
      </w:r>
    </w:p>
    <w:p>
      <w:pPr>
        <w:spacing w:line="440" w:lineRule="exact"/>
        <w:ind w:firstLine="482" w:firstLineChars="200"/>
        <w:rPr>
          <w:rFonts w:hint="eastAsia" w:hAnsi="宋体"/>
          <w:b/>
          <w:color w:val="auto"/>
          <w:sz w:val="24"/>
          <w:highlight w:val="none"/>
          <w:u w:val="single"/>
        </w:rPr>
      </w:pPr>
      <w:r>
        <w:rPr>
          <w:rFonts w:hint="eastAsia" w:hAnsi="宋体"/>
          <w:b/>
          <w:color w:val="auto"/>
          <w:sz w:val="24"/>
          <w:highlight w:val="none"/>
          <w:u w:val="single"/>
        </w:rPr>
        <w:t>（4）其他                                            。</w:t>
      </w:r>
    </w:p>
    <w:p>
      <w:pPr>
        <w:tabs>
          <w:tab w:val="left" w:pos="1276"/>
          <w:tab w:val="left" w:pos="2856"/>
        </w:tabs>
        <w:spacing w:line="440" w:lineRule="exact"/>
        <w:ind w:firstLine="480" w:firstLineChars="200"/>
        <w:rPr>
          <w:rFonts w:hAnsi="宋体"/>
          <w:color w:val="auto"/>
          <w:sz w:val="24"/>
          <w:highlight w:val="none"/>
        </w:rPr>
      </w:pPr>
      <w:r>
        <w:rPr>
          <w:rFonts w:hAnsi="宋体"/>
          <w:color w:val="auto"/>
          <w:sz w:val="24"/>
          <w:highlight w:val="none"/>
        </w:rPr>
        <w:t>7</w:t>
      </w:r>
      <w:bookmarkStart w:id="573" w:name="_Toc297216180"/>
      <w:bookmarkStart w:id="574" w:name="_Toc297123521"/>
      <w:bookmarkStart w:id="575" w:name="_Toc300934973"/>
      <w:bookmarkStart w:id="576" w:name="_Toc303539130"/>
      <w:bookmarkStart w:id="577" w:name="_Toc304295551"/>
      <w:bookmarkStart w:id="578" w:name="_Toc312678017"/>
      <w:r>
        <w:rPr>
          <w:rFonts w:hAnsi="宋体"/>
          <w:color w:val="auto"/>
          <w:sz w:val="24"/>
          <w:highlight w:val="none"/>
        </w:rPr>
        <w:t>.7异常恶劣的气候条件</w:t>
      </w:r>
    </w:p>
    <w:bookmarkEnd w:id="573"/>
    <w:bookmarkEnd w:id="574"/>
    <w:bookmarkEnd w:id="575"/>
    <w:bookmarkEnd w:id="576"/>
    <w:bookmarkEnd w:id="577"/>
    <w:bookmarkEnd w:id="578"/>
    <w:p>
      <w:pPr>
        <w:spacing w:line="440" w:lineRule="exact"/>
        <w:ind w:firstLine="480" w:firstLineChars="200"/>
        <w:rPr>
          <w:rFonts w:hAnsi="宋体"/>
          <w:color w:val="auto"/>
          <w:sz w:val="24"/>
          <w:highlight w:val="none"/>
        </w:rPr>
      </w:pPr>
      <w:r>
        <w:rPr>
          <w:rFonts w:hAnsi="宋体"/>
          <w:color w:val="auto"/>
          <w:sz w:val="24"/>
          <w:highlight w:val="none"/>
        </w:rPr>
        <w:t>发包人和承包人同意以下情形视为异常恶劣的气候条件：</w:t>
      </w:r>
    </w:p>
    <w:p>
      <w:pPr>
        <w:spacing w:line="440" w:lineRule="exact"/>
        <w:ind w:firstLine="480" w:firstLineChars="200"/>
        <w:rPr>
          <w:rFonts w:hAnsi="宋体"/>
          <w:color w:val="auto"/>
          <w:sz w:val="24"/>
          <w:highlight w:val="none"/>
        </w:rPr>
      </w:pPr>
      <w:r>
        <w:rPr>
          <w:rFonts w:hAnsi="宋体"/>
          <w:color w:val="auto"/>
          <w:sz w:val="24"/>
          <w:highlight w:val="none"/>
        </w:rPr>
        <w:t>（1）</w:t>
      </w:r>
      <w:r>
        <w:rPr>
          <w:rFonts w:hint="eastAsia" w:hAnsi="宋体"/>
          <w:color w:val="auto"/>
          <w:sz w:val="24"/>
          <w:highlight w:val="none"/>
          <w:u w:val="single"/>
        </w:rPr>
        <w:t xml:space="preserve">/                             </w:t>
      </w:r>
      <w:r>
        <w:rPr>
          <w:rFonts w:hAnsi="宋体"/>
          <w:color w:val="auto"/>
          <w:sz w:val="24"/>
          <w:highlight w:val="none"/>
        </w:rPr>
        <w:t>；</w:t>
      </w:r>
    </w:p>
    <w:p>
      <w:pPr>
        <w:spacing w:line="440" w:lineRule="exact"/>
        <w:ind w:firstLine="480" w:firstLineChars="200"/>
        <w:rPr>
          <w:rFonts w:hAnsi="宋体"/>
          <w:color w:val="auto"/>
          <w:sz w:val="24"/>
          <w:highlight w:val="none"/>
        </w:rPr>
      </w:pPr>
      <w:r>
        <w:rPr>
          <w:rFonts w:hAnsi="宋体"/>
          <w:color w:val="auto"/>
          <w:sz w:val="24"/>
          <w:highlight w:val="none"/>
        </w:rPr>
        <w:t>（2）</w:t>
      </w:r>
      <w:r>
        <w:rPr>
          <w:rFonts w:hint="eastAsia" w:hAnsi="宋体"/>
          <w:color w:val="auto"/>
          <w:sz w:val="24"/>
          <w:highlight w:val="none"/>
          <w:u w:val="single"/>
        </w:rPr>
        <w:t xml:space="preserve">/                             </w:t>
      </w:r>
      <w:r>
        <w:rPr>
          <w:rFonts w:hAnsi="宋体"/>
          <w:color w:val="auto"/>
          <w:sz w:val="24"/>
          <w:highlight w:val="none"/>
        </w:rPr>
        <w:t>；</w:t>
      </w:r>
    </w:p>
    <w:p>
      <w:pPr>
        <w:spacing w:line="440" w:lineRule="exact"/>
        <w:ind w:firstLine="480" w:firstLineChars="200"/>
        <w:rPr>
          <w:rFonts w:hAnsi="宋体"/>
          <w:color w:val="auto"/>
          <w:sz w:val="24"/>
          <w:highlight w:val="none"/>
        </w:rPr>
      </w:pPr>
      <w:r>
        <w:rPr>
          <w:rFonts w:hAnsi="宋体"/>
          <w:color w:val="auto"/>
          <w:sz w:val="24"/>
          <w:highlight w:val="none"/>
        </w:rPr>
        <w:t>（3）</w:t>
      </w:r>
      <w:r>
        <w:rPr>
          <w:rFonts w:hint="eastAsia" w:hAnsi="宋体"/>
          <w:color w:val="auto"/>
          <w:sz w:val="24"/>
          <w:highlight w:val="none"/>
          <w:u w:val="single"/>
        </w:rPr>
        <w:t xml:space="preserve">/                             </w:t>
      </w:r>
      <w:r>
        <w:rPr>
          <w:rFonts w:hAnsi="宋体"/>
          <w:color w:val="auto"/>
          <w:sz w:val="24"/>
          <w:highlight w:val="none"/>
        </w:rPr>
        <w:t>。</w:t>
      </w:r>
    </w:p>
    <w:p>
      <w:pPr>
        <w:spacing w:line="440" w:lineRule="exact"/>
        <w:ind w:firstLine="480" w:firstLineChars="200"/>
        <w:rPr>
          <w:rFonts w:hint="eastAsia" w:hAnsi="宋体"/>
          <w:color w:val="auto"/>
          <w:sz w:val="24"/>
          <w:highlight w:val="none"/>
        </w:rPr>
      </w:pPr>
      <w:r>
        <w:rPr>
          <w:rFonts w:hint="eastAsia" w:hAnsi="宋体"/>
          <w:color w:val="auto"/>
          <w:sz w:val="24"/>
          <w:highlight w:val="none"/>
        </w:rPr>
        <w:t>7.8暂停施工</w:t>
      </w:r>
    </w:p>
    <w:p>
      <w:pPr>
        <w:spacing w:line="440" w:lineRule="exact"/>
        <w:ind w:firstLine="480" w:firstLineChars="200"/>
        <w:rPr>
          <w:rFonts w:hint="eastAsia" w:hAnsi="宋体"/>
          <w:color w:val="auto"/>
          <w:sz w:val="24"/>
          <w:highlight w:val="none"/>
        </w:rPr>
      </w:pPr>
      <w:r>
        <w:rPr>
          <w:rFonts w:hint="eastAsia" w:hAnsi="宋体"/>
          <w:color w:val="auto"/>
          <w:sz w:val="24"/>
          <w:highlight w:val="none"/>
        </w:rPr>
        <w:t>7.8.1因发包人原因引起的暂停施工，其费用于投标时考虑，结算时不再增加该笔费用。</w:t>
      </w:r>
    </w:p>
    <w:p>
      <w:pPr>
        <w:spacing w:line="440" w:lineRule="exact"/>
        <w:ind w:firstLine="480" w:firstLineChars="200"/>
        <w:rPr>
          <w:rFonts w:hAnsi="宋体"/>
          <w:color w:val="auto"/>
          <w:sz w:val="24"/>
          <w:highlight w:val="none"/>
        </w:rPr>
      </w:pPr>
      <w:r>
        <w:rPr>
          <w:rFonts w:hAnsi="宋体"/>
          <w:color w:val="auto"/>
          <w:sz w:val="24"/>
          <w:highlight w:val="none"/>
        </w:rPr>
        <w:t>7.9</w:t>
      </w:r>
      <w:r>
        <w:rPr>
          <w:rFonts w:hint="eastAsia" w:hAnsi="宋体"/>
          <w:color w:val="auto"/>
          <w:sz w:val="24"/>
          <w:highlight w:val="none"/>
        </w:rPr>
        <w:t>关于工期的奖惩</w:t>
      </w:r>
    </w:p>
    <w:p>
      <w:pPr>
        <w:spacing w:line="440" w:lineRule="exact"/>
        <w:ind w:firstLine="480" w:firstLineChars="200"/>
        <w:rPr>
          <w:rFonts w:hint="eastAsia"/>
          <w:color w:val="auto"/>
          <w:sz w:val="24"/>
          <w:highlight w:val="none"/>
          <w:u w:val="single"/>
        </w:rPr>
      </w:pPr>
      <w:r>
        <w:rPr>
          <w:rFonts w:hAnsi="宋体"/>
          <w:color w:val="auto"/>
          <w:sz w:val="24"/>
          <w:highlight w:val="none"/>
        </w:rPr>
        <w:t>7.9.2提前竣工的奖励：</w:t>
      </w:r>
      <w:r>
        <w:rPr>
          <w:rFonts w:hint="eastAsia" w:hAnsi="宋体"/>
          <w:color w:val="auto"/>
          <w:sz w:val="24"/>
          <w:highlight w:val="none"/>
        </w:rPr>
        <w:t>/</w:t>
      </w:r>
      <w:r>
        <w:rPr>
          <w:rFonts w:hint="eastAsia"/>
          <w:color w:val="auto"/>
          <w:sz w:val="24"/>
          <w:highlight w:val="none"/>
          <w:u w:val="single"/>
        </w:rPr>
        <w:t>。</w:t>
      </w:r>
    </w:p>
    <w:p>
      <w:pPr>
        <w:spacing w:line="440" w:lineRule="exact"/>
        <w:ind w:firstLine="480" w:firstLineChars="200"/>
        <w:rPr>
          <w:rFonts w:hint="eastAsia" w:hAnsi="宋体"/>
          <w:color w:val="auto"/>
          <w:sz w:val="24"/>
          <w:highlight w:val="none"/>
        </w:rPr>
      </w:pPr>
      <w:bookmarkStart w:id="579" w:name="_Toc351203640"/>
      <w:r>
        <w:rPr>
          <w:color w:val="auto"/>
          <w:sz w:val="24"/>
          <w:highlight w:val="none"/>
        </w:rPr>
        <w:t>8. 材料与设备</w:t>
      </w:r>
      <w:bookmarkEnd w:id="514"/>
      <w:bookmarkEnd w:id="515"/>
      <w:bookmarkEnd w:id="516"/>
      <w:bookmarkEnd w:id="517"/>
      <w:bookmarkEnd w:id="518"/>
      <w:bookmarkEnd w:id="519"/>
      <w:bookmarkEnd w:id="520"/>
      <w:bookmarkEnd w:id="521"/>
      <w:bookmarkEnd w:id="522"/>
      <w:bookmarkEnd w:id="523"/>
      <w:bookmarkEnd w:id="579"/>
    </w:p>
    <w:p>
      <w:pPr>
        <w:spacing w:line="440" w:lineRule="exact"/>
        <w:ind w:firstLine="480" w:firstLineChars="200"/>
        <w:rPr>
          <w:rFonts w:hint="eastAsia" w:hAnsi="宋体"/>
          <w:color w:val="auto"/>
          <w:sz w:val="24"/>
          <w:highlight w:val="none"/>
        </w:rPr>
      </w:pPr>
      <w:r>
        <w:rPr>
          <w:rFonts w:hAnsi="宋体"/>
          <w:color w:val="auto"/>
          <w:sz w:val="24"/>
          <w:highlight w:val="none"/>
        </w:rPr>
        <w:t>8</w:t>
      </w:r>
      <w:bookmarkStart w:id="580" w:name="_Toc292559372"/>
      <w:bookmarkStart w:id="581" w:name="_Toc296944506"/>
      <w:bookmarkStart w:id="582" w:name="_Toc297216186"/>
      <w:bookmarkStart w:id="583" w:name="_Toc296890995"/>
      <w:bookmarkStart w:id="584" w:name="_Toc312677493"/>
      <w:bookmarkStart w:id="585" w:name="_Toc303539136"/>
      <w:bookmarkStart w:id="586" w:name="_Toc296891207"/>
      <w:bookmarkStart w:id="587" w:name="_Toc292559877"/>
      <w:bookmarkStart w:id="588" w:name="_Toc296346668"/>
      <w:bookmarkStart w:id="589" w:name="_Toc297120467"/>
      <w:bookmarkStart w:id="590" w:name="_Toc296347166"/>
      <w:bookmarkStart w:id="591" w:name="_Toc296503167"/>
      <w:bookmarkStart w:id="592" w:name="_Toc312678019"/>
      <w:bookmarkStart w:id="593" w:name="_Toc297048353"/>
      <w:bookmarkStart w:id="594" w:name="_Toc280868654"/>
      <w:bookmarkStart w:id="595" w:name="_Toc297123527"/>
      <w:bookmarkStart w:id="596" w:name="_Toc300934979"/>
      <w:bookmarkStart w:id="597" w:name="_Toc304295556"/>
      <w:bookmarkStart w:id="598" w:name="_Toc280868655"/>
      <w:bookmarkStart w:id="599" w:name="_Toc267251424"/>
      <w:bookmarkStart w:id="600" w:name="_Toc280868656"/>
      <w:r>
        <w:rPr>
          <w:rFonts w:hAnsi="宋体"/>
          <w:color w:val="auto"/>
          <w:sz w:val="24"/>
          <w:highlight w:val="none"/>
        </w:rPr>
        <w:t>.4材料与工程设备的保管与使用</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spacing w:line="440" w:lineRule="exact"/>
        <w:ind w:firstLine="480" w:firstLineChars="200"/>
        <w:rPr>
          <w:rFonts w:hint="eastAsia" w:hAnsi="宋体"/>
          <w:color w:val="auto"/>
          <w:sz w:val="24"/>
          <w:highlight w:val="none"/>
        </w:rPr>
      </w:pPr>
      <w:r>
        <w:rPr>
          <w:color w:val="auto"/>
          <w:sz w:val="24"/>
          <w:highlight w:val="none"/>
        </w:rPr>
        <w:t>8</w:t>
      </w:r>
      <w:bookmarkStart w:id="601" w:name="_Toc292559878"/>
      <w:bookmarkStart w:id="602" w:name="_Toc292559373"/>
      <w:bookmarkStart w:id="603" w:name="_Toc304295557"/>
      <w:bookmarkStart w:id="604" w:name="_Toc296503168"/>
      <w:bookmarkStart w:id="605" w:name="_Toc296347167"/>
      <w:bookmarkStart w:id="606" w:name="_Toc297123528"/>
      <w:bookmarkStart w:id="607" w:name="_Toc312678020"/>
      <w:bookmarkStart w:id="608" w:name="_Toc303539137"/>
      <w:bookmarkStart w:id="609" w:name="_Toc297216187"/>
      <w:bookmarkStart w:id="610" w:name="_Toc300934980"/>
      <w:bookmarkStart w:id="611" w:name="_Toc297120468"/>
      <w:bookmarkStart w:id="612" w:name="_Toc296944507"/>
      <w:bookmarkStart w:id="613" w:name="_Toc296890996"/>
      <w:bookmarkStart w:id="614" w:name="_Toc296891208"/>
      <w:bookmarkStart w:id="615" w:name="_Toc296346669"/>
      <w:bookmarkStart w:id="616" w:name="_Toc318581173"/>
      <w:bookmarkStart w:id="617" w:name="_Toc297048354"/>
      <w:bookmarkStart w:id="618" w:name="_Toc312677494"/>
      <w:r>
        <w:rPr>
          <w:color w:val="auto"/>
          <w:sz w:val="24"/>
          <w:highlight w:val="none"/>
        </w:rPr>
        <w:t>.4.1发包人供应的材料设备的保管费用的承担：</w:t>
      </w:r>
      <w:r>
        <w:rPr>
          <w:rFonts w:hint="eastAsia"/>
          <w:color w:val="auto"/>
          <w:sz w:val="24"/>
          <w:highlight w:val="none"/>
          <w:u w:val="single"/>
        </w:rPr>
        <w:t>发包人采购的材料设备，发包人负责运到工地。承包人报价中应含材料设备卸车费、保管费、材料设备仓库搬运至施工操作面费用，并考虑安装就位措施等费用。发包人采购的材料设备损耗按定额规定计取，超出定额规定损耗率的材料设备由发包人按实向承包人收取费用</w:t>
      </w:r>
      <w:r>
        <w:rPr>
          <w:rFonts w:hint="eastAsia"/>
          <w:color w:val="auto"/>
          <w:sz w:val="24"/>
          <w:highlight w:val="none"/>
        </w:rPr>
        <w:t xml:space="preserve">。  </w:t>
      </w:r>
      <w:bookmarkEnd w:id="601"/>
      <w:bookmarkEnd w:id="602"/>
    </w:p>
    <w:p>
      <w:pPr>
        <w:spacing w:line="440" w:lineRule="exact"/>
        <w:ind w:firstLine="480" w:firstLineChars="200"/>
        <w:rPr>
          <w:rFonts w:hAnsi="宋体"/>
          <w:color w:val="auto"/>
          <w:sz w:val="24"/>
          <w:highlight w:val="none"/>
        </w:rPr>
      </w:pPr>
      <w:r>
        <w:rPr>
          <w:rFonts w:hAnsi="宋体"/>
          <w:color w:val="auto"/>
          <w:sz w:val="24"/>
          <w:highlight w:val="none"/>
        </w:rPr>
        <w:t>8.6 样品</w:t>
      </w:r>
    </w:p>
    <w:p>
      <w:pPr>
        <w:autoSpaceDE w:val="0"/>
        <w:autoSpaceDN w:val="0"/>
        <w:adjustRightInd w:val="0"/>
        <w:spacing w:line="440" w:lineRule="exact"/>
        <w:ind w:firstLine="480" w:firstLineChars="200"/>
        <w:rPr>
          <w:rFonts w:hAnsi="宋体"/>
          <w:color w:val="auto"/>
          <w:kern w:val="0"/>
          <w:sz w:val="24"/>
          <w:highlight w:val="none"/>
        </w:rPr>
      </w:pPr>
      <w:r>
        <w:rPr>
          <w:rFonts w:hAnsi="宋体"/>
          <w:color w:val="auto"/>
          <w:kern w:val="0"/>
          <w:sz w:val="24"/>
          <w:highlight w:val="none"/>
        </w:rPr>
        <w:t>8.6.1</w:t>
      </w:r>
      <w:r>
        <w:rPr>
          <w:rFonts w:hAnsi="宋体"/>
          <w:color w:val="auto"/>
          <w:kern w:val="0"/>
          <w:sz w:val="24"/>
          <w:highlight w:val="none"/>
        </w:rPr>
        <w:tab/>
      </w:r>
      <w:r>
        <w:rPr>
          <w:rFonts w:hAnsi="宋体"/>
          <w:color w:val="auto"/>
          <w:kern w:val="0"/>
          <w:sz w:val="24"/>
          <w:highlight w:val="none"/>
        </w:rPr>
        <w:t>样品的报送</w:t>
      </w:r>
      <w:r>
        <w:rPr>
          <w:rFonts w:hint="eastAsia" w:hAnsi="宋体"/>
          <w:color w:val="auto"/>
          <w:kern w:val="0"/>
          <w:sz w:val="24"/>
          <w:highlight w:val="none"/>
        </w:rPr>
        <w:t>与封存</w:t>
      </w:r>
    </w:p>
    <w:p>
      <w:pPr>
        <w:spacing w:line="440" w:lineRule="exact"/>
        <w:ind w:firstLine="480" w:firstLineChars="200"/>
        <w:rPr>
          <w:rFonts w:hint="eastAsia" w:hAnsi="宋体" w:cs="宋体"/>
          <w:color w:val="auto"/>
          <w:sz w:val="24"/>
          <w:highlight w:val="none"/>
          <w:u w:val="single"/>
        </w:rPr>
      </w:pPr>
      <w:r>
        <w:rPr>
          <w:rFonts w:hAnsi="宋体"/>
          <w:color w:val="auto"/>
          <w:kern w:val="0"/>
          <w:sz w:val="24"/>
          <w:highlight w:val="none"/>
        </w:rPr>
        <w:t>需要承包人报送样品的材料或工程设备，样品的种类、名称、规格、数量要求：</w:t>
      </w:r>
      <w:r>
        <w:rPr>
          <w:rFonts w:hint="eastAsia" w:hAnsi="宋体" w:cs="宋体"/>
          <w:color w:val="auto"/>
          <w:sz w:val="24"/>
          <w:highlight w:val="none"/>
          <w:u w:val="single"/>
        </w:rPr>
        <w:t xml:space="preserve">工程所需材料全部由中标方自行采购（甲供材料除外），材料质量必须符合国家现行有关规范标准和设计要求，并经监理和发包人签证同意后方可使用。材料质量、规格与要求不符的，监理工程师或发包人代表将拒绝使用，承包人应无条件负责更换或返工，并承担由此发生的一切费用和工期延误损失。    </w:t>
      </w:r>
    </w:p>
    <w:p>
      <w:pPr>
        <w:spacing w:line="500" w:lineRule="exact"/>
        <w:ind w:firstLine="480" w:firstLineChars="200"/>
        <w:rPr>
          <w:rFonts w:hint="eastAsia" w:hAnsi="宋体" w:cs="宋体"/>
          <w:color w:val="auto"/>
          <w:sz w:val="24"/>
          <w:highlight w:val="none"/>
          <w:u w:val="single"/>
        </w:rPr>
      </w:pPr>
      <w:r>
        <w:rPr>
          <w:rFonts w:hint="eastAsia" w:hAnsi="宋体" w:cs="宋体"/>
          <w:color w:val="auto"/>
          <w:sz w:val="24"/>
          <w:highlight w:val="none"/>
          <w:u w:val="single"/>
        </w:rPr>
        <w:t>由承包人采购供应的材料承包人必须按招标文件或工程量清单等资料中提供的品牌、质量进行采购，承包单位在采购主要材料前，需提供样品，经发包单位、设计单位、监理单位共同确认并签字认可后方可采购，采购完成后统一入库、统一拨付、统一管理 。</w:t>
      </w:r>
    </w:p>
    <w:p>
      <w:pPr>
        <w:spacing w:line="440" w:lineRule="exact"/>
        <w:ind w:firstLine="480" w:firstLineChars="200"/>
        <w:rPr>
          <w:rFonts w:hAnsi="宋体"/>
          <w:color w:val="auto"/>
          <w:sz w:val="24"/>
          <w:highlight w:val="none"/>
        </w:rPr>
      </w:pPr>
      <w:r>
        <w:rPr>
          <w:rFonts w:hAnsi="宋体"/>
          <w:color w:val="auto"/>
          <w:sz w:val="24"/>
          <w:highlight w:val="none"/>
        </w:rPr>
        <w:t>8.8 施工设备和临时设施</w:t>
      </w:r>
    </w:p>
    <w:p>
      <w:pPr>
        <w:autoSpaceDE w:val="0"/>
        <w:autoSpaceDN w:val="0"/>
        <w:adjustRightInd w:val="0"/>
        <w:spacing w:line="440" w:lineRule="exact"/>
        <w:ind w:firstLine="480" w:firstLineChars="200"/>
        <w:rPr>
          <w:rFonts w:hAnsi="宋体"/>
          <w:color w:val="auto"/>
          <w:sz w:val="24"/>
          <w:highlight w:val="none"/>
        </w:rPr>
      </w:pPr>
      <w:r>
        <w:rPr>
          <w:rFonts w:hAnsi="宋体"/>
          <w:color w:val="auto"/>
          <w:sz w:val="24"/>
          <w:highlight w:val="none"/>
        </w:rPr>
        <w:t>8.8.1 承包人提供的施工设备和临时设施</w:t>
      </w:r>
    </w:p>
    <w:p>
      <w:pPr>
        <w:autoSpaceDE w:val="0"/>
        <w:autoSpaceDN w:val="0"/>
        <w:adjustRightInd w:val="0"/>
        <w:spacing w:line="440" w:lineRule="exact"/>
        <w:ind w:firstLine="480" w:firstLineChars="200"/>
        <w:rPr>
          <w:rFonts w:hAnsi="宋体"/>
          <w:color w:val="auto"/>
          <w:sz w:val="24"/>
          <w:highlight w:val="none"/>
        </w:rPr>
      </w:pPr>
      <w:r>
        <w:rPr>
          <w:rFonts w:hAnsi="宋体"/>
          <w:color w:val="auto"/>
          <w:sz w:val="24"/>
          <w:highlight w:val="none"/>
        </w:rPr>
        <w:t>关于修建临时设施费用承担的约定：</w:t>
      </w:r>
      <w:r>
        <w:rPr>
          <w:rFonts w:hint="eastAsia" w:hAnsi="宋体"/>
          <w:color w:val="auto"/>
          <w:sz w:val="24"/>
          <w:highlight w:val="none"/>
          <w:u w:val="single"/>
        </w:rPr>
        <w:t>承包人自行承担</w:t>
      </w:r>
      <w:r>
        <w:rPr>
          <w:rFonts w:hAnsi="宋体"/>
          <w:color w:val="auto"/>
          <w:sz w:val="24"/>
          <w:highlight w:val="none"/>
        </w:rPr>
        <w:t>。</w:t>
      </w:r>
    </w:p>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Pr>
        <w:spacing w:line="440" w:lineRule="exact"/>
        <w:ind w:firstLine="480" w:firstLineChars="200"/>
        <w:rPr>
          <w:color w:val="auto"/>
          <w:sz w:val="24"/>
          <w:highlight w:val="none"/>
        </w:rPr>
      </w:pPr>
      <w:bookmarkStart w:id="619" w:name="_Toc351203641"/>
      <w:r>
        <w:rPr>
          <w:color w:val="auto"/>
          <w:sz w:val="24"/>
          <w:highlight w:val="none"/>
        </w:rPr>
        <w:t>9</w:t>
      </w:r>
      <w:bookmarkEnd w:id="598"/>
      <w:bookmarkEnd w:id="599"/>
      <w:bookmarkEnd w:id="600"/>
      <w:bookmarkStart w:id="620" w:name="_Toc304295559"/>
      <w:bookmarkStart w:id="621" w:name="_Toc312677495"/>
      <w:bookmarkStart w:id="622" w:name="_Toc297123533"/>
      <w:bookmarkStart w:id="623" w:name="_Toc303539139"/>
      <w:bookmarkStart w:id="624" w:name="_Toc300934982"/>
      <w:bookmarkStart w:id="625" w:name="_Toc297216192"/>
      <w:bookmarkStart w:id="626" w:name="_Toc312678021"/>
      <w:bookmarkStart w:id="627" w:name="_Toc292559378"/>
      <w:bookmarkStart w:id="628" w:name="_Toc296503173"/>
      <w:bookmarkStart w:id="629" w:name="_Toc297120473"/>
      <w:bookmarkStart w:id="630" w:name="_Toc296891001"/>
      <w:bookmarkStart w:id="631" w:name="_Toc296346674"/>
      <w:bookmarkStart w:id="632" w:name="_Toc297048359"/>
      <w:bookmarkStart w:id="633" w:name="_Toc267251427"/>
      <w:bookmarkStart w:id="634" w:name="_Toc296944512"/>
      <w:bookmarkStart w:id="635" w:name="_Toc267251428"/>
      <w:bookmarkStart w:id="636" w:name="_Toc292559883"/>
      <w:bookmarkStart w:id="637" w:name="_Toc296891213"/>
      <w:bookmarkStart w:id="638" w:name="_Toc296347172"/>
      <w:r>
        <w:rPr>
          <w:color w:val="auto"/>
          <w:sz w:val="24"/>
          <w:highlight w:val="none"/>
        </w:rPr>
        <w:t>. 试验与检验</w:t>
      </w:r>
      <w:bookmarkEnd w:id="619"/>
    </w:p>
    <w:bookmarkEnd w:id="620"/>
    <w:bookmarkEnd w:id="621"/>
    <w:bookmarkEnd w:id="622"/>
    <w:bookmarkEnd w:id="623"/>
    <w:bookmarkEnd w:id="624"/>
    <w:bookmarkEnd w:id="625"/>
    <w:bookmarkEnd w:id="626"/>
    <w:p>
      <w:pPr>
        <w:spacing w:line="440" w:lineRule="exact"/>
        <w:ind w:firstLine="480" w:firstLineChars="200"/>
        <w:rPr>
          <w:rFonts w:hAnsi="宋体"/>
          <w:color w:val="auto"/>
          <w:sz w:val="24"/>
          <w:highlight w:val="none"/>
        </w:rPr>
      </w:pPr>
      <w:r>
        <w:rPr>
          <w:rFonts w:hAnsi="宋体"/>
          <w:color w:val="auto"/>
          <w:sz w:val="24"/>
          <w:highlight w:val="none"/>
        </w:rPr>
        <w:t>9</w:t>
      </w:r>
      <w:bookmarkStart w:id="639" w:name="_Toc303539140"/>
      <w:bookmarkStart w:id="640" w:name="_Toc304295560"/>
      <w:bookmarkStart w:id="641" w:name="_Toc300934983"/>
      <w:bookmarkStart w:id="642" w:name="_Toc312677496"/>
      <w:bookmarkStart w:id="643" w:name="_Toc297216193"/>
      <w:bookmarkStart w:id="644" w:name="_Toc297123534"/>
      <w:bookmarkStart w:id="645" w:name="_Toc312678022"/>
      <w:r>
        <w:rPr>
          <w:rFonts w:hAnsi="宋体"/>
          <w:color w:val="auto"/>
          <w:sz w:val="24"/>
          <w:highlight w:val="none"/>
        </w:rPr>
        <w:t>.1试验设备与试验人员</w:t>
      </w:r>
    </w:p>
    <w:bookmarkEnd w:id="639"/>
    <w:bookmarkEnd w:id="640"/>
    <w:bookmarkEnd w:id="641"/>
    <w:bookmarkEnd w:id="642"/>
    <w:bookmarkEnd w:id="643"/>
    <w:bookmarkEnd w:id="644"/>
    <w:bookmarkEnd w:id="645"/>
    <w:p>
      <w:pPr>
        <w:spacing w:line="440" w:lineRule="exact"/>
        <w:ind w:firstLine="480" w:firstLineChars="200"/>
        <w:rPr>
          <w:rFonts w:hAnsi="宋体"/>
          <w:color w:val="auto"/>
          <w:sz w:val="24"/>
          <w:highlight w:val="none"/>
        </w:rPr>
      </w:pPr>
      <w:r>
        <w:rPr>
          <w:rFonts w:hAnsi="宋体"/>
          <w:color w:val="auto"/>
          <w:sz w:val="24"/>
          <w:highlight w:val="none"/>
        </w:rPr>
        <w:t>9</w:t>
      </w:r>
      <w:bookmarkStart w:id="646" w:name="_Toc297123535"/>
      <w:bookmarkStart w:id="647" w:name="_Toc303539141"/>
      <w:bookmarkStart w:id="648" w:name="_Toc312677497"/>
      <w:bookmarkStart w:id="649" w:name="_Toc300934984"/>
      <w:bookmarkStart w:id="650" w:name="_Toc297216194"/>
      <w:bookmarkStart w:id="651" w:name="_Toc304295561"/>
      <w:bookmarkStart w:id="652" w:name="_Toc312678023"/>
      <w:bookmarkStart w:id="653" w:name="_Toc318581174"/>
      <w:r>
        <w:rPr>
          <w:rFonts w:hAnsi="宋体"/>
          <w:color w:val="auto"/>
          <w:sz w:val="24"/>
          <w:highlight w:val="none"/>
        </w:rPr>
        <w:t>.1.2 试验设备</w:t>
      </w:r>
    </w:p>
    <w:p>
      <w:pPr>
        <w:spacing w:line="440" w:lineRule="exact"/>
        <w:ind w:firstLine="480" w:firstLineChars="200"/>
        <w:rPr>
          <w:rFonts w:hAnsi="宋体"/>
          <w:color w:val="auto"/>
          <w:sz w:val="24"/>
          <w:highlight w:val="none"/>
        </w:rPr>
      </w:pPr>
      <w:r>
        <w:rPr>
          <w:rFonts w:hAnsi="宋体"/>
          <w:color w:val="auto"/>
          <w:sz w:val="24"/>
          <w:highlight w:val="none"/>
        </w:rPr>
        <w:t>施工现场需要配置的试验场所：</w:t>
      </w:r>
      <w:bookmarkEnd w:id="646"/>
      <w:bookmarkEnd w:id="647"/>
      <w:bookmarkEnd w:id="648"/>
      <w:bookmarkEnd w:id="649"/>
      <w:bookmarkEnd w:id="650"/>
      <w:bookmarkEnd w:id="651"/>
      <w:bookmarkEnd w:id="652"/>
      <w:bookmarkStart w:id="654" w:name="_Toc312678024"/>
      <w:bookmarkStart w:id="655" w:name="_Toc304295562"/>
      <w:bookmarkStart w:id="656" w:name="_Toc312677498"/>
      <w:bookmarkStart w:id="657" w:name="_Toc300934985"/>
      <w:bookmarkStart w:id="658" w:name="_Toc297216195"/>
      <w:bookmarkStart w:id="659" w:name="_Toc297123536"/>
      <w:bookmarkStart w:id="660" w:name="_Toc303539142"/>
      <w:r>
        <w:rPr>
          <w:rFonts w:hint="eastAsia" w:hAnsi="宋体"/>
          <w:color w:val="auto"/>
          <w:sz w:val="24"/>
          <w:highlight w:val="none"/>
          <w:u w:val="single"/>
        </w:rPr>
        <w:t>/</w:t>
      </w:r>
      <w:r>
        <w:rPr>
          <w:rFonts w:hAnsi="宋体"/>
          <w:color w:val="auto"/>
          <w:sz w:val="24"/>
          <w:highlight w:val="none"/>
        </w:rPr>
        <w:t>。</w:t>
      </w:r>
      <w:r>
        <w:rPr>
          <w:rFonts w:hint="eastAsia" w:hAnsi="宋体"/>
          <w:color w:val="auto"/>
          <w:sz w:val="24"/>
          <w:highlight w:val="none"/>
        </w:rPr>
        <w:t xml:space="preserve"> </w:t>
      </w:r>
    </w:p>
    <w:p>
      <w:pPr>
        <w:spacing w:line="440" w:lineRule="exact"/>
        <w:ind w:firstLine="480" w:firstLineChars="200"/>
        <w:rPr>
          <w:rFonts w:hAnsi="宋体"/>
          <w:color w:val="auto"/>
          <w:sz w:val="24"/>
          <w:highlight w:val="none"/>
        </w:rPr>
      </w:pPr>
      <w:r>
        <w:rPr>
          <w:rFonts w:hAnsi="宋体"/>
          <w:color w:val="auto"/>
          <w:sz w:val="24"/>
          <w:highlight w:val="none"/>
        </w:rPr>
        <w:t>施工现场需要配备的试验设备：</w:t>
      </w:r>
      <w:r>
        <w:rPr>
          <w:rFonts w:hint="eastAsia" w:hAnsi="宋体"/>
          <w:color w:val="auto"/>
          <w:sz w:val="24"/>
          <w:highlight w:val="none"/>
          <w:u w:val="single"/>
        </w:rPr>
        <w:t>/</w:t>
      </w:r>
      <w:r>
        <w:rPr>
          <w:rFonts w:hAnsi="宋体"/>
          <w:color w:val="auto"/>
          <w:sz w:val="24"/>
          <w:highlight w:val="none"/>
        </w:rPr>
        <w:t>。</w:t>
      </w:r>
    </w:p>
    <w:p>
      <w:pPr>
        <w:spacing w:line="440" w:lineRule="exact"/>
        <w:ind w:firstLine="480" w:firstLineChars="200"/>
        <w:rPr>
          <w:rFonts w:hAnsi="宋体"/>
          <w:color w:val="auto"/>
          <w:sz w:val="24"/>
          <w:highlight w:val="none"/>
        </w:rPr>
      </w:pPr>
      <w:r>
        <w:rPr>
          <w:rFonts w:hAnsi="宋体"/>
          <w:color w:val="auto"/>
          <w:sz w:val="24"/>
          <w:highlight w:val="none"/>
        </w:rPr>
        <w:t>施工现场需要具备的其他试验条件：</w:t>
      </w:r>
      <w:r>
        <w:rPr>
          <w:rFonts w:hint="eastAsia" w:hAnsi="宋体"/>
          <w:color w:val="auto"/>
          <w:sz w:val="24"/>
          <w:highlight w:val="none"/>
          <w:u w:val="single"/>
        </w:rPr>
        <w:t>/</w:t>
      </w:r>
      <w:r>
        <w:rPr>
          <w:rFonts w:hAnsi="宋体"/>
          <w:color w:val="auto"/>
          <w:sz w:val="24"/>
          <w:highlight w:val="none"/>
        </w:rPr>
        <w:t>。</w:t>
      </w:r>
    </w:p>
    <w:p>
      <w:pPr>
        <w:spacing w:line="440" w:lineRule="exact"/>
        <w:ind w:firstLine="480" w:firstLineChars="200"/>
        <w:rPr>
          <w:rFonts w:hAnsi="宋体"/>
          <w:color w:val="auto"/>
          <w:sz w:val="24"/>
          <w:highlight w:val="none"/>
        </w:rPr>
      </w:pPr>
      <w:r>
        <w:rPr>
          <w:rFonts w:hAnsi="宋体"/>
          <w:color w:val="auto"/>
          <w:sz w:val="24"/>
          <w:highlight w:val="none"/>
        </w:rPr>
        <w:t>9.4 现场工艺试验</w:t>
      </w:r>
      <w:r>
        <w:rPr>
          <w:rFonts w:hint="eastAsia" w:hAnsi="宋体"/>
          <w:color w:val="auto"/>
          <w:sz w:val="24"/>
          <w:highlight w:val="none"/>
        </w:rPr>
        <w:t xml:space="preserve"> </w:t>
      </w:r>
    </w:p>
    <w:p>
      <w:pPr>
        <w:spacing w:line="440" w:lineRule="exact"/>
        <w:ind w:firstLine="480" w:firstLineChars="200"/>
        <w:rPr>
          <w:rFonts w:hint="eastAsia" w:hAnsi="宋体"/>
          <w:color w:val="auto"/>
          <w:sz w:val="24"/>
          <w:highlight w:val="none"/>
        </w:rPr>
      </w:pPr>
      <w:r>
        <w:rPr>
          <w:rFonts w:hAnsi="宋体"/>
          <w:color w:val="auto"/>
          <w:sz w:val="24"/>
          <w:highlight w:val="none"/>
        </w:rPr>
        <w:t>现场工艺试验的有关约定：</w:t>
      </w:r>
      <w:r>
        <w:rPr>
          <w:rFonts w:hint="eastAsia" w:hAnsi="宋体"/>
          <w:color w:val="auto"/>
          <w:sz w:val="24"/>
          <w:highlight w:val="none"/>
          <w:u w:val="single"/>
        </w:rPr>
        <w:t>/</w:t>
      </w:r>
      <w:r>
        <w:rPr>
          <w:rFonts w:hAnsi="宋体"/>
          <w:color w:val="auto"/>
          <w:sz w:val="24"/>
          <w:highlight w:val="none"/>
        </w:rPr>
        <w:t>。</w:t>
      </w:r>
    </w:p>
    <w:bookmarkEnd w:id="627"/>
    <w:bookmarkEnd w:id="628"/>
    <w:bookmarkEnd w:id="629"/>
    <w:bookmarkEnd w:id="630"/>
    <w:bookmarkEnd w:id="631"/>
    <w:bookmarkEnd w:id="632"/>
    <w:bookmarkEnd w:id="633"/>
    <w:bookmarkEnd w:id="634"/>
    <w:bookmarkEnd w:id="635"/>
    <w:bookmarkEnd w:id="636"/>
    <w:bookmarkEnd w:id="637"/>
    <w:bookmarkEnd w:id="638"/>
    <w:bookmarkEnd w:id="653"/>
    <w:bookmarkEnd w:id="654"/>
    <w:bookmarkEnd w:id="655"/>
    <w:bookmarkEnd w:id="656"/>
    <w:bookmarkEnd w:id="657"/>
    <w:bookmarkEnd w:id="658"/>
    <w:bookmarkEnd w:id="659"/>
    <w:bookmarkEnd w:id="660"/>
    <w:p>
      <w:pPr>
        <w:spacing w:line="440" w:lineRule="exact"/>
        <w:ind w:firstLine="480" w:firstLineChars="200"/>
        <w:rPr>
          <w:rFonts w:hint="eastAsia" w:hAnsi="宋体" w:cs="宋体"/>
          <w:color w:val="auto"/>
          <w:sz w:val="24"/>
          <w:highlight w:val="none"/>
        </w:rPr>
      </w:pPr>
      <w:bookmarkStart w:id="661" w:name="_Toc296891234"/>
      <w:bookmarkStart w:id="662" w:name="_Toc312678026"/>
      <w:bookmarkStart w:id="663" w:name="_Toc297120494"/>
      <w:bookmarkStart w:id="664" w:name="_Toc292559399"/>
      <w:bookmarkStart w:id="665" w:name="_Toc312677500"/>
      <w:bookmarkStart w:id="666" w:name="_Toc296944533"/>
      <w:bookmarkStart w:id="667" w:name="_Toc297048380"/>
      <w:bookmarkStart w:id="668" w:name="_Toc292559904"/>
      <w:bookmarkStart w:id="669" w:name="_Toc297216200"/>
      <w:bookmarkStart w:id="670" w:name="_Toc296891022"/>
      <w:bookmarkStart w:id="671" w:name="_Toc303539147"/>
      <w:bookmarkStart w:id="672" w:name="_Toc296347193"/>
      <w:bookmarkStart w:id="673" w:name="_Toc297123541"/>
      <w:bookmarkStart w:id="674" w:name="_Toc296346695"/>
      <w:bookmarkStart w:id="675" w:name="_Toc296503194"/>
      <w:bookmarkStart w:id="676" w:name="_Toc304295567"/>
      <w:bookmarkStart w:id="677" w:name="_Toc300934990"/>
      <w:bookmarkStart w:id="678" w:name="_Toc267251433"/>
      <w:bookmarkStart w:id="679" w:name="_Toc267251441"/>
      <w:bookmarkStart w:id="680" w:name="_Toc267251439"/>
      <w:bookmarkStart w:id="681" w:name="_Toc267251437"/>
      <w:bookmarkStart w:id="682" w:name="_Toc267251435"/>
      <w:bookmarkStart w:id="683" w:name="_Toc267251440"/>
      <w:bookmarkStart w:id="684" w:name="_Toc267251442"/>
      <w:r>
        <w:rPr>
          <w:rFonts w:hint="eastAsia" w:hAnsi="宋体" w:cs="宋体"/>
          <w:color w:val="auto"/>
          <w:sz w:val="24"/>
          <w:highlight w:val="none"/>
        </w:rPr>
        <w:t>10. 变更</w:t>
      </w:r>
    </w:p>
    <w:p>
      <w:pPr>
        <w:spacing w:line="440" w:lineRule="exact"/>
        <w:ind w:firstLine="480" w:firstLineChars="200"/>
        <w:rPr>
          <w:rFonts w:hint="eastAsia" w:hAnsi="宋体" w:cs="宋体"/>
          <w:color w:val="auto"/>
          <w:sz w:val="24"/>
          <w:highlight w:val="none"/>
        </w:rPr>
      </w:pPr>
      <w:r>
        <w:rPr>
          <w:rFonts w:hint="eastAsia" w:hAnsi="宋体" w:cs="宋体"/>
          <w:color w:val="auto"/>
          <w:sz w:val="24"/>
          <w:highlight w:val="none"/>
        </w:rPr>
        <w:t>10.1 变更的范围</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textAlignment w:val="auto"/>
        <w:rPr>
          <w:rFonts w:hint="eastAsia" w:hAnsi="宋体" w:cs="宋体"/>
          <w:color w:val="auto"/>
          <w:sz w:val="24"/>
          <w:highlight w:val="none"/>
        </w:rPr>
      </w:pPr>
      <w:r>
        <w:rPr>
          <w:rFonts w:hint="eastAsia" w:hAnsi="宋体" w:cs="宋体"/>
          <w:color w:val="auto"/>
          <w:sz w:val="24"/>
          <w:highlight w:val="none"/>
        </w:rPr>
        <w:t>关于变更的范围的约定：</w:t>
      </w:r>
    </w:p>
    <w:p>
      <w:pPr>
        <w:keepNext w:val="0"/>
        <w:keepLines w:val="0"/>
        <w:pageBreakBefore w:val="0"/>
        <w:widowControl w:val="0"/>
        <w:kinsoku/>
        <w:wordWrap/>
        <w:overflowPunct/>
        <w:topLinePunct w:val="0"/>
        <w:autoSpaceDE/>
        <w:autoSpaceDN/>
        <w:bidi w:val="0"/>
        <w:adjustRightInd w:val="0"/>
        <w:snapToGrid/>
        <w:spacing w:line="400" w:lineRule="exact"/>
        <w:ind w:firstLine="480"/>
        <w:textAlignment w:val="auto"/>
        <w:rPr>
          <w:rFonts w:hAnsi="宋体" w:cs="宋体"/>
          <w:color w:val="auto"/>
          <w:sz w:val="24"/>
          <w:highlight w:val="none"/>
          <w:u w:val="single"/>
        </w:rPr>
      </w:pPr>
      <w:r>
        <w:rPr>
          <w:rFonts w:hint="eastAsia" w:hAnsi="宋体" w:cs="宋体"/>
          <w:color w:val="auto"/>
          <w:sz w:val="24"/>
          <w:highlight w:val="none"/>
          <w:u w:val="single"/>
        </w:rPr>
        <w:t>（1）政府性投资项目按</w:t>
      </w:r>
      <w:r>
        <w:rPr>
          <w:rFonts w:hint="eastAsia" w:hAnsi="宋体" w:cs="宋体"/>
          <w:b/>
          <w:color w:val="auto"/>
          <w:sz w:val="24"/>
          <w:highlight w:val="none"/>
          <w:u w:val="single"/>
        </w:rPr>
        <w:t>《临安区政府性投资项目工程变更管理办法》（临政函[2018]11号）</w:t>
      </w:r>
      <w:r>
        <w:rPr>
          <w:rFonts w:hint="eastAsia" w:hAnsi="宋体" w:cs="宋体"/>
          <w:color w:val="auto"/>
          <w:sz w:val="24"/>
          <w:highlight w:val="none"/>
          <w:u w:val="single"/>
        </w:rPr>
        <w:t>相关变更管理办法规定，如追加额外工作，取消合同中部分工程量，改变质量标准，改变工程的基线、标高、位置和尺寸等。</w:t>
      </w:r>
    </w:p>
    <w:p>
      <w:pPr>
        <w:keepNext w:val="0"/>
        <w:keepLines w:val="0"/>
        <w:pageBreakBefore w:val="0"/>
        <w:widowControl w:val="0"/>
        <w:kinsoku/>
        <w:wordWrap/>
        <w:overflowPunct/>
        <w:topLinePunct w:val="0"/>
        <w:autoSpaceDE/>
        <w:autoSpaceDN/>
        <w:bidi w:val="0"/>
        <w:adjustRightInd w:val="0"/>
        <w:snapToGrid/>
        <w:spacing w:line="400" w:lineRule="exact"/>
        <w:ind w:firstLine="480"/>
        <w:textAlignment w:val="auto"/>
        <w:rPr>
          <w:rFonts w:hAnsi="宋体" w:cs="宋体"/>
          <w:b/>
          <w:color w:val="auto"/>
          <w:sz w:val="24"/>
          <w:highlight w:val="none"/>
          <w:u w:val="single"/>
        </w:rPr>
      </w:pPr>
      <w:r>
        <w:rPr>
          <w:rFonts w:hint="eastAsia" w:hAnsi="宋体" w:cs="宋体"/>
          <w:b/>
          <w:color w:val="auto"/>
          <w:sz w:val="24"/>
          <w:highlight w:val="none"/>
          <w:u w:val="single"/>
        </w:rPr>
        <w:t>（2）发包人可根据工程需要进行工程变更，承包人必须及时按照招标人的相关要求进行工程变更。否则视承包人违约，发包人可根据情节严重程度对承包人进行处罚。如变更产生费用增加或工期延长，需发包人进行签证的，需按下列要求提交签证文件（工程联系单）：</w:t>
      </w:r>
    </w:p>
    <w:p>
      <w:pPr>
        <w:keepNext w:val="0"/>
        <w:keepLines w:val="0"/>
        <w:pageBreakBefore w:val="0"/>
        <w:widowControl w:val="0"/>
        <w:kinsoku/>
        <w:wordWrap/>
        <w:overflowPunct/>
        <w:topLinePunct w:val="0"/>
        <w:autoSpaceDE/>
        <w:autoSpaceDN/>
        <w:bidi w:val="0"/>
        <w:adjustRightInd w:val="0"/>
        <w:snapToGrid/>
        <w:spacing w:line="400" w:lineRule="exact"/>
        <w:ind w:firstLine="480"/>
        <w:textAlignment w:val="auto"/>
        <w:rPr>
          <w:rFonts w:hAnsi="宋体" w:cs="宋体"/>
          <w:b/>
          <w:color w:val="auto"/>
          <w:sz w:val="24"/>
          <w:highlight w:val="none"/>
          <w:u w:val="single"/>
        </w:rPr>
      </w:pPr>
      <w:r>
        <w:rPr>
          <w:rFonts w:hint="eastAsia" w:hAnsi="宋体" w:cs="宋体"/>
          <w:b/>
          <w:color w:val="auto"/>
          <w:sz w:val="24"/>
          <w:highlight w:val="none"/>
          <w:u w:val="single"/>
        </w:rPr>
        <w:t>A、变更内容明确，工程量可准确计算的，承包人应在接收变更指令后14个工作日内提交相关的签证文件（工程联系单）；</w:t>
      </w:r>
    </w:p>
    <w:p>
      <w:pPr>
        <w:keepNext w:val="0"/>
        <w:keepLines w:val="0"/>
        <w:pageBreakBefore w:val="0"/>
        <w:widowControl w:val="0"/>
        <w:kinsoku/>
        <w:wordWrap/>
        <w:overflowPunct/>
        <w:topLinePunct w:val="0"/>
        <w:autoSpaceDE/>
        <w:autoSpaceDN/>
        <w:bidi w:val="0"/>
        <w:adjustRightInd w:val="0"/>
        <w:snapToGrid/>
        <w:spacing w:line="400" w:lineRule="exact"/>
        <w:ind w:firstLine="480"/>
        <w:textAlignment w:val="auto"/>
        <w:rPr>
          <w:rFonts w:hAnsi="宋体" w:cs="宋体"/>
          <w:color w:val="auto"/>
          <w:sz w:val="24"/>
          <w:highlight w:val="none"/>
          <w:u w:val="single"/>
        </w:rPr>
      </w:pPr>
      <w:r>
        <w:rPr>
          <w:rFonts w:hint="eastAsia" w:hAnsi="宋体" w:cs="宋体"/>
          <w:b/>
          <w:color w:val="auto"/>
          <w:sz w:val="24"/>
          <w:highlight w:val="none"/>
          <w:u w:val="single"/>
        </w:rPr>
        <w:t>B、工程变更内容完成后才能准确计量的工程变更，承包人应在工程变更完成后14个工作日内提交相关的签证文件（工程联系单）；</w:t>
      </w:r>
    </w:p>
    <w:p>
      <w:pPr>
        <w:keepNext w:val="0"/>
        <w:keepLines w:val="0"/>
        <w:pageBreakBefore w:val="0"/>
        <w:widowControl w:val="0"/>
        <w:kinsoku/>
        <w:wordWrap/>
        <w:overflowPunct/>
        <w:topLinePunct w:val="0"/>
        <w:autoSpaceDE/>
        <w:autoSpaceDN/>
        <w:bidi w:val="0"/>
        <w:adjustRightInd w:val="0"/>
        <w:snapToGrid/>
        <w:spacing w:line="400" w:lineRule="exact"/>
        <w:ind w:firstLine="480"/>
        <w:textAlignment w:val="auto"/>
        <w:rPr>
          <w:rFonts w:hAnsi="宋体" w:cs="宋体"/>
          <w:b/>
          <w:color w:val="auto"/>
          <w:sz w:val="24"/>
          <w:highlight w:val="none"/>
          <w:u w:val="single"/>
        </w:rPr>
      </w:pPr>
      <w:r>
        <w:rPr>
          <w:rFonts w:hAnsi="宋体" w:cs="宋体"/>
          <w:b/>
          <w:color w:val="auto"/>
          <w:sz w:val="24"/>
          <w:highlight w:val="none"/>
          <w:u w:val="single"/>
        </w:rPr>
        <w:t>C</w:t>
      </w:r>
      <w:r>
        <w:rPr>
          <w:rFonts w:hint="eastAsia" w:hAnsi="宋体" w:cs="宋体"/>
          <w:b/>
          <w:color w:val="auto"/>
          <w:sz w:val="24"/>
          <w:highlight w:val="none"/>
          <w:u w:val="single"/>
        </w:rPr>
        <w:t>、如承包人未按上述要求及时提交工程变更的签证文件（工程联系单），则视为相关变更不产生费用增加或工期延长；</w:t>
      </w:r>
    </w:p>
    <w:p>
      <w:pPr>
        <w:keepNext w:val="0"/>
        <w:keepLines w:val="0"/>
        <w:pageBreakBefore w:val="0"/>
        <w:widowControl w:val="0"/>
        <w:kinsoku/>
        <w:wordWrap/>
        <w:overflowPunct/>
        <w:topLinePunct w:val="0"/>
        <w:autoSpaceDE/>
        <w:autoSpaceDN/>
        <w:bidi w:val="0"/>
        <w:adjustRightInd w:val="0"/>
        <w:snapToGrid/>
        <w:spacing w:line="400" w:lineRule="exact"/>
        <w:ind w:firstLine="480"/>
        <w:textAlignment w:val="auto"/>
        <w:rPr>
          <w:rFonts w:hAnsi="宋体" w:cs="宋体"/>
          <w:b/>
          <w:color w:val="auto"/>
          <w:sz w:val="24"/>
          <w:highlight w:val="none"/>
          <w:u w:val="single"/>
        </w:rPr>
      </w:pPr>
      <w:r>
        <w:rPr>
          <w:rFonts w:hint="eastAsia" w:hAnsi="宋体" w:cs="宋体"/>
          <w:b/>
          <w:color w:val="auto"/>
          <w:sz w:val="24"/>
          <w:highlight w:val="none"/>
          <w:u w:val="single"/>
        </w:rPr>
        <w:t>D、发包人对签证文件（工程联系单）进行审核并完成相关流程审批后予以签证回复；</w:t>
      </w:r>
    </w:p>
    <w:p>
      <w:pPr>
        <w:keepNext w:val="0"/>
        <w:keepLines w:val="0"/>
        <w:pageBreakBefore w:val="0"/>
        <w:widowControl w:val="0"/>
        <w:kinsoku/>
        <w:wordWrap/>
        <w:overflowPunct/>
        <w:topLinePunct w:val="0"/>
        <w:autoSpaceDE/>
        <w:autoSpaceDN/>
        <w:bidi w:val="0"/>
        <w:adjustRightInd w:val="0"/>
        <w:snapToGrid/>
        <w:spacing w:line="400" w:lineRule="exact"/>
        <w:ind w:firstLine="480"/>
        <w:textAlignment w:val="auto"/>
        <w:rPr>
          <w:rFonts w:hAnsi="宋体" w:cs="宋体"/>
          <w:b/>
          <w:color w:val="auto"/>
          <w:sz w:val="24"/>
          <w:highlight w:val="none"/>
          <w:u w:val="single"/>
        </w:rPr>
      </w:pPr>
      <w:r>
        <w:rPr>
          <w:rFonts w:hAnsi="宋体" w:cs="宋体"/>
          <w:b/>
          <w:color w:val="auto"/>
          <w:sz w:val="24"/>
          <w:highlight w:val="none"/>
          <w:u w:val="single"/>
        </w:rPr>
        <w:t>E</w:t>
      </w:r>
      <w:r>
        <w:rPr>
          <w:rFonts w:hint="eastAsia" w:hAnsi="宋体" w:cs="宋体"/>
          <w:b/>
          <w:color w:val="auto"/>
          <w:sz w:val="24"/>
          <w:highlight w:val="none"/>
          <w:u w:val="single"/>
        </w:rPr>
        <w:t>、变更超过原设计标准或批准的建设规模时，发包人应报规划管理部门和其他相关部门重新审查批准，并由原设计单位提供变更的相应图纸和说明。</w:t>
      </w:r>
    </w:p>
    <w:p>
      <w:pPr>
        <w:keepNext w:val="0"/>
        <w:keepLines w:val="0"/>
        <w:pageBreakBefore w:val="0"/>
        <w:widowControl w:val="0"/>
        <w:kinsoku/>
        <w:wordWrap/>
        <w:overflowPunct/>
        <w:topLinePunct w:val="0"/>
        <w:autoSpaceDE/>
        <w:autoSpaceDN/>
        <w:bidi w:val="0"/>
        <w:adjustRightInd w:val="0"/>
        <w:snapToGrid/>
        <w:spacing w:line="400" w:lineRule="exact"/>
        <w:ind w:firstLine="480"/>
        <w:textAlignment w:val="auto"/>
        <w:rPr>
          <w:rFonts w:hAnsi="宋体" w:cs="宋体"/>
          <w:b/>
          <w:bCs/>
          <w:color w:val="auto"/>
          <w:sz w:val="24"/>
          <w:highlight w:val="none"/>
          <w:u w:val="single"/>
        </w:rPr>
      </w:pPr>
      <w:r>
        <w:rPr>
          <w:rFonts w:hint="eastAsia" w:hAnsi="宋体" w:cs="宋体"/>
          <w:b/>
          <w:bCs/>
          <w:color w:val="auto"/>
          <w:sz w:val="24"/>
          <w:highlight w:val="none"/>
          <w:u w:val="single"/>
        </w:rPr>
        <w:t>（</w:t>
      </w:r>
      <w:r>
        <w:rPr>
          <w:rFonts w:hAnsi="宋体" w:cs="宋体"/>
          <w:b/>
          <w:bCs/>
          <w:color w:val="auto"/>
          <w:sz w:val="24"/>
          <w:highlight w:val="none"/>
          <w:u w:val="single"/>
        </w:rPr>
        <w:t>3</w:t>
      </w:r>
      <w:r>
        <w:rPr>
          <w:rFonts w:hint="eastAsia" w:hAnsi="宋体" w:cs="宋体"/>
          <w:b/>
          <w:bCs/>
          <w:color w:val="auto"/>
          <w:sz w:val="24"/>
          <w:highlight w:val="none"/>
          <w:u w:val="single"/>
        </w:rPr>
        <w:t>）施工中发包人需对原工程设计变更，应提前14天以书面形式向承包人发出变更通知。变更超过原设计标准或批准的建设规模时，发包人应报规划管理部门和其他相关部门重新审查批准，并由原设计单位提供变更的相应图纸和说明。承包人按照招标人发出的变更通知及有关要求进行变更。</w:t>
      </w:r>
    </w:p>
    <w:p>
      <w:pPr>
        <w:keepNext w:val="0"/>
        <w:keepLines w:val="0"/>
        <w:pageBreakBefore w:val="0"/>
        <w:widowControl w:val="0"/>
        <w:kinsoku/>
        <w:wordWrap/>
        <w:overflowPunct/>
        <w:topLinePunct w:val="0"/>
        <w:autoSpaceDE/>
        <w:autoSpaceDN/>
        <w:bidi w:val="0"/>
        <w:adjustRightInd w:val="0"/>
        <w:snapToGrid/>
        <w:spacing w:line="400" w:lineRule="exact"/>
        <w:ind w:firstLine="480"/>
        <w:textAlignment w:val="auto"/>
        <w:rPr>
          <w:rFonts w:hAnsi="宋体" w:cs="宋体"/>
          <w:color w:val="auto"/>
          <w:sz w:val="24"/>
          <w:highlight w:val="none"/>
          <w:u w:val="single"/>
        </w:rPr>
      </w:pPr>
      <w:r>
        <w:rPr>
          <w:rFonts w:hint="eastAsia" w:hAnsi="宋体" w:cs="宋体"/>
          <w:color w:val="auto"/>
          <w:sz w:val="24"/>
          <w:highlight w:val="none"/>
          <w:u w:val="single"/>
        </w:rPr>
        <w:t>（4）施工中承包人不得对原工程设计进行变更。因承包人擅自变更设计发生的费用和由此导致发包人的直接损失，由承包人承担，延误的工期不予顺延。</w:t>
      </w:r>
    </w:p>
    <w:p>
      <w:pPr>
        <w:keepNext w:val="0"/>
        <w:keepLines w:val="0"/>
        <w:pageBreakBefore w:val="0"/>
        <w:widowControl w:val="0"/>
        <w:kinsoku/>
        <w:wordWrap/>
        <w:overflowPunct/>
        <w:topLinePunct w:val="0"/>
        <w:autoSpaceDE/>
        <w:autoSpaceDN/>
        <w:bidi w:val="0"/>
        <w:adjustRightInd w:val="0"/>
        <w:snapToGrid/>
        <w:spacing w:line="400" w:lineRule="exact"/>
        <w:ind w:firstLine="480"/>
        <w:textAlignment w:val="auto"/>
        <w:rPr>
          <w:rFonts w:hAnsi="宋体" w:cs="宋体"/>
          <w:color w:val="auto"/>
          <w:sz w:val="24"/>
          <w:highlight w:val="none"/>
          <w:u w:val="single"/>
        </w:rPr>
      </w:pPr>
      <w:r>
        <w:rPr>
          <w:rFonts w:hint="eastAsia" w:hAnsi="宋体" w:cs="宋体"/>
          <w:color w:val="auto"/>
          <w:sz w:val="24"/>
          <w:highlight w:val="none"/>
          <w:u w:val="single"/>
        </w:rPr>
        <w:t>（5）承包人在施工中提出的合理化建议涉及到设计图纸或施工组织设计的更改及对材料、设备的换用，须经招标人同意。未经同意擅自更改或换用时，承包人承担由此发生的费用，并赔偿发包人的有关损失，延误的工期不予顺延。</w:t>
      </w:r>
    </w:p>
    <w:p>
      <w:pPr>
        <w:keepNext w:val="0"/>
        <w:keepLines w:val="0"/>
        <w:pageBreakBefore w:val="0"/>
        <w:widowControl w:val="0"/>
        <w:kinsoku/>
        <w:wordWrap/>
        <w:overflowPunct/>
        <w:topLinePunct w:val="0"/>
        <w:autoSpaceDE/>
        <w:autoSpaceDN/>
        <w:bidi w:val="0"/>
        <w:adjustRightInd w:val="0"/>
        <w:snapToGrid/>
        <w:spacing w:line="400" w:lineRule="exact"/>
        <w:ind w:firstLine="480"/>
        <w:textAlignment w:val="auto"/>
        <w:rPr>
          <w:rFonts w:hAnsi="宋体" w:cs="宋体"/>
          <w:color w:val="auto"/>
          <w:sz w:val="24"/>
          <w:highlight w:val="none"/>
          <w:u w:val="single"/>
        </w:rPr>
      </w:pPr>
      <w:r>
        <w:rPr>
          <w:rFonts w:hint="eastAsia" w:hAnsi="宋体" w:cs="宋体"/>
          <w:color w:val="auto"/>
          <w:sz w:val="24"/>
          <w:highlight w:val="none"/>
          <w:u w:val="single"/>
        </w:rPr>
        <w:t>（6）发包人有可能根据工程需要修改施工图纸或发出指令增加或减少工程量，工程量不论增减多少，承包人均应服从，对因变更增加或减少的工程量，其结算口径按本合同条款执行。对变更单项材料累计金额达到规定标准时，招标人有权通过招标确定材料价格及供货单位。</w:t>
      </w:r>
    </w:p>
    <w:p>
      <w:pPr>
        <w:keepNext w:val="0"/>
        <w:keepLines w:val="0"/>
        <w:pageBreakBefore w:val="0"/>
        <w:widowControl w:val="0"/>
        <w:kinsoku/>
        <w:wordWrap/>
        <w:overflowPunct/>
        <w:topLinePunct w:val="0"/>
        <w:autoSpaceDE/>
        <w:autoSpaceDN/>
        <w:bidi w:val="0"/>
        <w:adjustRightInd w:val="0"/>
        <w:snapToGrid/>
        <w:spacing w:line="400" w:lineRule="exact"/>
        <w:ind w:firstLine="480"/>
        <w:textAlignment w:val="auto"/>
        <w:rPr>
          <w:rFonts w:hAnsi="宋体" w:cs="宋体"/>
          <w:color w:val="auto"/>
          <w:sz w:val="24"/>
          <w:highlight w:val="none"/>
          <w:u w:val="single"/>
        </w:rPr>
      </w:pPr>
      <w:r>
        <w:rPr>
          <w:rFonts w:hint="eastAsia" w:hAnsi="宋体" w:cs="宋体"/>
          <w:color w:val="auto"/>
          <w:sz w:val="24"/>
          <w:highlight w:val="none"/>
          <w:u w:val="single"/>
        </w:rPr>
        <w:t>（7）工程量调整方法如下：1.竣工结算时工程量计算规则按招标文件以及《建设工程工程量清单计价规范》（GB50500-2013）</w:t>
      </w:r>
      <w:r>
        <w:rPr>
          <w:rFonts w:hint="eastAsia" w:hAnsi="宋体" w:cs="宋体"/>
          <w:b/>
          <w:color w:val="auto"/>
          <w:sz w:val="24"/>
          <w:highlight w:val="none"/>
          <w:u w:val="single"/>
        </w:rPr>
        <w:t>和杭州市建设工程工程量清单实施细则（2018年修订）工程量清单对应计算规则执行</w:t>
      </w:r>
      <w:r>
        <w:rPr>
          <w:rFonts w:hint="eastAsia" w:hAnsi="宋体" w:cs="宋体"/>
          <w:color w:val="auto"/>
          <w:sz w:val="24"/>
          <w:highlight w:val="none"/>
          <w:u w:val="single"/>
        </w:rPr>
        <w:t xml:space="preserve">；2.经发包人确认的工程变更，调整方法见“10.4.1变更估价原则”。 </w:t>
      </w:r>
    </w:p>
    <w:p>
      <w:pPr>
        <w:keepNext w:val="0"/>
        <w:keepLines w:val="0"/>
        <w:pageBreakBefore w:val="0"/>
        <w:widowControl w:val="0"/>
        <w:kinsoku/>
        <w:wordWrap/>
        <w:overflowPunct/>
        <w:topLinePunct w:val="0"/>
        <w:autoSpaceDE/>
        <w:autoSpaceDN/>
        <w:bidi w:val="0"/>
        <w:adjustRightInd w:val="0"/>
        <w:snapToGrid/>
        <w:spacing w:line="400" w:lineRule="exact"/>
        <w:ind w:firstLine="480"/>
        <w:textAlignment w:val="auto"/>
        <w:rPr>
          <w:rFonts w:hint="eastAsia" w:hAnsi="宋体" w:cs="宋体"/>
          <w:color w:val="auto"/>
          <w:sz w:val="24"/>
          <w:highlight w:val="none"/>
          <w:u w:val="single"/>
        </w:rPr>
      </w:pPr>
      <w:r>
        <w:rPr>
          <w:rFonts w:hint="eastAsia" w:hAnsi="宋体" w:cs="宋体"/>
          <w:color w:val="auto"/>
          <w:sz w:val="24"/>
          <w:highlight w:val="none"/>
          <w:u w:val="single"/>
        </w:rPr>
        <w:t>（</w:t>
      </w:r>
      <w:r>
        <w:rPr>
          <w:rFonts w:hAnsi="宋体" w:cs="宋体"/>
          <w:color w:val="auto"/>
          <w:sz w:val="24"/>
          <w:highlight w:val="none"/>
          <w:u w:val="single"/>
        </w:rPr>
        <w:t>8</w:t>
      </w:r>
      <w:r>
        <w:rPr>
          <w:rFonts w:hint="eastAsia" w:hAnsi="宋体" w:cs="宋体"/>
          <w:color w:val="auto"/>
          <w:sz w:val="24"/>
          <w:highlight w:val="none"/>
          <w:u w:val="single"/>
        </w:rPr>
        <w:t>）工程量按经监理和发包人签证后的实测量联系单、施工图和设计变更单按实结算 。</w:t>
      </w:r>
    </w:p>
    <w:p>
      <w:pPr>
        <w:keepNext w:val="0"/>
        <w:keepLines w:val="0"/>
        <w:pageBreakBefore w:val="0"/>
        <w:widowControl w:val="0"/>
        <w:kinsoku/>
        <w:wordWrap/>
        <w:overflowPunct/>
        <w:topLinePunct w:val="0"/>
        <w:bidi w:val="0"/>
        <w:adjustRightInd w:val="0"/>
        <w:snapToGrid/>
        <w:spacing w:line="400" w:lineRule="exact"/>
        <w:ind w:firstLine="480"/>
        <w:textAlignment w:val="auto"/>
        <w:rPr>
          <w:rFonts w:hint="eastAsia"/>
          <w:b/>
          <w:color w:val="auto"/>
          <w:sz w:val="24"/>
          <w:highlight w:val="none"/>
        </w:rPr>
      </w:pPr>
      <w:r>
        <w:rPr>
          <w:rFonts w:hint="eastAsia"/>
          <w:b/>
          <w:color w:val="auto"/>
          <w:sz w:val="24"/>
          <w:highlight w:val="none"/>
        </w:rPr>
        <w:t>10.4 变更估价</w:t>
      </w:r>
    </w:p>
    <w:p>
      <w:pPr>
        <w:keepNext w:val="0"/>
        <w:keepLines w:val="0"/>
        <w:pageBreakBefore w:val="0"/>
        <w:widowControl w:val="0"/>
        <w:kinsoku/>
        <w:wordWrap/>
        <w:overflowPunct/>
        <w:topLinePunct w:val="0"/>
        <w:bidi w:val="0"/>
        <w:adjustRightInd w:val="0"/>
        <w:snapToGrid/>
        <w:spacing w:line="400" w:lineRule="exact"/>
        <w:ind w:firstLine="480"/>
        <w:jc w:val="left"/>
        <w:textAlignment w:val="auto"/>
        <w:rPr>
          <w:rFonts w:hint="eastAsia"/>
          <w:b/>
          <w:color w:val="auto"/>
          <w:sz w:val="24"/>
          <w:highlight w:val="none"/>
        </w:rPr>
      </w:pPr>
      <w:r>
        <w:rPr>
          <w:rFonts w:hint="eastAsia"/>
          <w:b/>
          <w:color w:val="auto"/>
          <w:sz w:val="24"/>
          <w:highlight w:val="none"/>
        </w:rPr>
        <w:t>10.4.1变更估价原则</w:t>
      </w:r>
    </w:p>
    <w:p>
      <w:pPr>
        <w:keepNext w:val="0"/>
        <w:keepLines w:val="0"/>
        <w:pageBreakBefore w:val="0"/>
        <w:widowControl w:val="0"/>
        <w:kinsoku/>
        <w:wordWrap/>
        <w:overflowPunct/>
        <w:topLinePunct w:val="0"/>
        <w:bidi w:val="0"/>
        <w:adjustRightInd w:val="0"/>
        <w:snapToGrid/>
        <w:spacing w:line="400" w:lineRule="exact"/>
        <w:ind w:firstLine="480"/>
        <w:textAlignment w:val="auto"/>
        <w:rPr>
          <w:rFonts w:hint="eastAsia"/>
          <w:b/>
          <w:color w:val="auto"/>
          <w:sz w:val="24"/>
          <w:highlight w:val="none"/>
        </w:rPr>
      </w:pPr>
      <w:r>
        <w:rPr>
          <w:rFonts w:hint="eastAsia" w:hAnsi="宋体" w:cs="宋体"/>
          <w:color w:val="auto"/>
          <w:sz w:val="24"/>
          <w:highlight w:val="none"/>
        </w:rPr>
        <w:t>关于变更估价的约定：</w:t>
      </w:r>
      <w:r>
        <w:rPr>
          <w:rFonts w:hint="eastAsia"/>
          <w:b/>
          <w:color w:val="auto"/>
          <w:sz w:val="24"/>
          <w:highlight w:val="none"/>
        </w:rPr>
        <w:t>承包人在工程变更确定后14天内，提出变更工程价款的报告，经工程师确认后的调整合同价款。变更合同价款按下列方法进行：</w:t>
      </w:r>
    </w:p>
    <w:p>
      <w:pPr>
        <w:keepNext w:val="0"/>
        <w:keepLines w:val="0"/>
        <w:pageBreakBefore w:val="0"/>
        <w:widowControl w:val="0"/>
        <w:kinsoku/>
        <w:wordWrap/>
        <w:overflowPunct/>
        <w:topLinePunct w:val="0"/>
        <w:autoSpaceDE w:val="0"/>
        <w:autoSpaceDN w:val="0"/>
        <w:bidi w:val="0"/>
        <w:adjustRightInd w:val="0"/>
        <w:snapToGrid/>
        <w:spacing w:line="400" w:lineRule="exact"/>
        <w:ind w:firstLine="356"/>
        <w:jc w:val="left"/>
        <w:textAlignment w:val="auto"/>
        <w:rPr>
          <w:rFonts w:hint="eastAsia"/>
          <w:b/>
          <w:color w:val="auto"/>
          <w:sz w:val="24"/>
          <w:highlight w:val="none"/>
        </w:rPr>
      </w:pPr>
      <w:r>
        <w:rPr>
          <w:rFonts w:hint="eastAsia"/>
          <w:b/>
          <w:color w:val="auto"/>
          <w:sz w:val="24"/>
          <w:highlight w:val="none"/>
        </w:rPr>
        <w:t>（1）已标价工程量清单有相同项目综合单价的，按照相同项目综合单价确定。</w:t>
      </w:r>
    </w:p>
    <w:p>
      <w:pPr>
        <w:keepNext w:val="0"/>
        <w:keepLines w:val="0"/>
        <w:pageBreakBefore w:val="0"/>
        <w:widowControl w:val="0"/>
        <w:kinsoku/>
        <w:wordWrap/>
        <w:overflowPunct/>
        <w:topLinePunct w:val="0"/>
        <w:autoSpaceDE w:val="0"/>
        <w:autoSpaceDN w:val="0"/>
        <w:bidi w:val="0"/>
        <w:adjustRightInd w:val="0"/>
        <w:snapToGrid/>
        <w:spacing w:line="400" w:lineRule="exact"/>
        <w:ind w:firstLine="356"/>
        <w:jc w:val="left"/>
        <w:textAlignment w:val="auto"/>
        <w:rPr>
          <w:rFonts w:hint="eastAsia"/>
          <w:b/>
          <w:color w:val="auto"/>
          <w:sz w:val="24"/>
          <w:highlight w:val="none"/>
        </w:rPr>
      </w:pPr>
      <w:r>
        <w:rPr>
          <w:rFonts w:hint="eastAsia"/>
          <w:b/>
          <w:color w:val="auto"/>
          <w:sz w:val="24"/>
          <w:highlight w:val="none"/>
        </w:rPr>
        <w:t>（2）已标价工程量清单中无相同项目，但有类似项目综合单价的，参照类似项目的综合单价确定。</w:t>
      </w:r>
    </w:p>
    <w:p>
      <w:pPr>
        <w:keepNext w:val="0"/>
        <w:keepLines w:val="0"/>
        <w:pageBreakBefore w:val="0"/>
        <w:widowControl w:val="0"/>
        <w:kinsoku/>
        <w:wordWrap/>
        <w:overflowPunct/>
        <w:topLinePunct w:val="0"/>
        <w:autoSpaceDE w:val="0"/>
        <w:autoSpaceDN w:val="0"/>
        <w:bidi w:val="0"/>
        <w:adjustRightInd w:val="0"/>
        <w:snapToGrid/>
        <w:spacing w:line="400" w:lineRule="exact"/>
        <w:ind w:firstLine="360"/>
        <w:jc w:val="left"/>
        <w:textAlignment w:val="auto"/>
        <w:rPr>
          <w:rFonts w:hint="eastAsia"/>
          <w:b/>
          <w:color w:val="auto"/>
          <w:sz w:val="24"/>
          <w:highlight w:val="none"/>
        </w:rPr>
      </w:pPr>
      <w:r>
        <w:rPr>
          <w:rFonts w:hint="eastAsia"/>
          <w:b/>
          <w:color w:val="auto"/>
          <w:sz w:val="24"/>
          <w:highlight w:val="none"/>
        </w:rPr>
        <w:t>（3）已标价工程量清单中无相同项目及类似项目综合单价的，其综合单价的确定，按以下约定：套用浙江省2018定额及现行相应专业定额，材料价格有投标价的执行投标价，无投标价、但信息价（正刊）有公布的材料，执行合同工期内各月的信息价（正刊）的算术平均值并结合最终总价相对于招标控制价的下浮率等因素，签证确定。无投标价且信息价（正刊）没有公布的材料，发包人应在充分市场询价的基础上，参照同期同类材料市场价格水平、最终总价相对于招标控制价的下浮率等因素，按规定程序签证确定。</w:t>
      </w:r>
    </w:p>
    <w:p>
      <w:pPr>
        <w:keepNext w:val="0"/>
        <w:keepLines w:val="0"/>
        <w:pageBreakBefore w:val="0"/>
        <w:widowControl w:val="0"/>
        <w:kinsoku/>
        <w:wordWrap/>
        <w:overflowPunct/>
        <w:topLinePunct w:val="0"/>
        <w:autoSpaceDE w:val="0"/>
        <w:autoSpaceDN w:val="0"/>
        <w:bidi w:val="0"/>
        <w:adjustRightInd w:val="0"/>
        <w:snapToGrid/>
        <w:spacing w:line="400" w:lineRule="exact"/>
        <w:ind w:firstLine="360"/>
        <w:jc w:val="left"/>
        <w:textAlignment w:val="auto"/>
        <w:rPr>
          <w:rFonts w:hint="eastAsia"/>
          <w:b/>
          <w:color w:val="auto"/>
          <w:sz w:val="24"/>
          <w:highlight w:val="none"/>
        </w:rPr>
      </w:pPr>
      <w:r>
        <w:rPr>
          <w:rFonts w:hint="eastAsia"/>
          <w:b/>
          <w:color w:val="auto"/>
          <w:sz w:val="24"/>
          <w:highlight w:val="none"/>
        </w:rPr>
        <w:t>（4）工程量清单错误和（或）设计变更导致实际完成的工程量与已标价工程量清单中列明的该项目工程量不一致的，合价金额占合同总价2%及以上且工程量增减超过本项目工程数量的15%及以上的。或合价金额占合同金额不到2%但其工程量增减超过本项目工程数量的25%及以上的，其综合单价允许调整。竣工结算阶段如已标价的工程量清单综合单价异常，其综合单价允许调整，参照第（3）条原则执行。</w:t>
      </w:r>
    </w:p>
    <w:p>
      <w:pPr>
        <w:keepNext w:val="0"/>
        <w:keepLines w:val="0"/>
        <w:pageBreakBefore w:val="0"/>
        <w:widowControl w:val="0"/>
        <w:kinsoku/>
        <w:wordWrap/>
        <w:overflowPunct/>
        <w:topLinePunct w:val="0"/>
        <w:autoSpaceDE w:val="0"/>
        <w:autoSpaceDN w:val="0"/>
        <w:bidi w:val="0"/>
        <w:adjustRightInd w:val="0"/>
        <w:snapToGrid/>
        <w:spacing w:line="400" w:lineRule="exact"/>
        <w:ind w:firstLine="356"/>
        <w:jc w:val="left"/>
        <w:textAlignment w:val="auto"/>
        <w:rPr>
          <w:rFonts w:hint="eastAsia"/>
          <w:b/>
          <w:color w:val="auto"/>
          <w:sz w:val="24"/>
          <w:highlight w:val="none"/>
        </w:rPr>
      </w:pPr>
      <w:r>
        <w:rPr>
          <w:rFonts w:hint="eastAsia"/>
          <w:b/>
          <w:color w:val="auto"/>
          <w:sz w:val="24"/>
          <w:highlight w:val="none"/>
        </w:rPr>
        <w:t>（5）当承包人最终总报价与招标控制价中同项目综合单价相比较偏差在±30%以上的，可认定报价异常。工程竣工结算阶段，如发现综合单价异常，则工程量增、减在本项工程量15%以内的，均按原综合单价执行；综合单价异常清单子目、工程量增加超过本项工程量15%以上部分工程量按第（3）条原则执行，也可按招标控制价中综合单价结合投标下浮率确定。</w:t>
      </w:r>
    </w:p>
    <w:p>
      <w:pPr>
        <w:keepNext w:val="0"/>
        <w:keepLines w:val="0"/>
        <w:pageBreakBefore w:val="0"/>
        <w:widowControl w:val="0"/>
        <w:kinsoku/>
        <w:wordWrap/>
        <w:overflowPunct/>
        <w:topLinePunct w:val="0"/>
        <w:autoSpaceDE w:val="0"/>
        <w:autoSpaceDN w:val="0"/>
        <w:bidi w:val="0"/>
        <w:adjustRightInd w:val="0"/>
        <w:snapToGrid/>
        <w:spacing w:line="400" w:lineRule="exact"/>
        <w:ind w:firstLine="356"/>
        <w:jc w:val="left"/>
        <w:textAlignment w:val="auto"/>
        <w:rPr>
          <w:rFonts w:hint="eastAsia"/>
          <w:b/>
          <w:color w:val="auto"/>
          <w:sz w:val="24"/>
          <w:highlight w:val="none"/>
          <w:u w:val="none"/>
        </w:rPr>
      </w:pPr>
      <w:r>
        <w:rPr>
          <w:rFonts w:hint="eastAsia"/>
          <w:b/>
          <w:color w:val="auto"/>
          <w:sz w:val="24"/>
          <w:highlight w:val="none"/>
        </w:rPr>
        <w:t>（6）其他：</w:t>
      </w:r>
      <w:r>
        <w:rPr>
          <w:rFonts w:hint="eastAsia"/>
          <w:b/>
          <w:color w:val="auto"/>
          <w:sz w:val="24"/>
          <w:highlight w:val="none"/>
          <w:u w:val="none"/>
        </w:rPr>
        <w:t>A.施工组织措施费用、</w:t>
      </w:r>
      <w:r>
        <w:rPr>
          <w:rFonts w:hint="eastAsia" w:hAnsi="宋体" w:cs="宋体"/>
          <w:b/>
          <w:color w:val="auto"/>
          <w:sz w:val="24"/>
          <w:szCs w:val="24"/>
          <w:highlight w:val="none"/>
          <w:u w:val="none"/>
        </w:rPr>
        <w:t>以“项”为计量单位的</w:t>
      </w:r>
      <w:r>
        <w:rPr>
          <w:rFonts w:hint="eastAsia" w:hAnsi="宋体" w:cs="宋体"/>
          <w:b/>
          <w:color w:val="auto"/>
          <w:sz w:val="24"/>
          <w:szCs w:val="24"/>
          <w:highlight w:val="none"/>
          <w:u w:val="none"/>
          <w:lang w:val="en-US" w:eastAsia="zh-CN"/>
        </w:rPr>
        <w:t>施工</w:t>
      </w:r>
      <w:r>
        <w:rPr>
          <w:rFonts w:hint="eastAsia"/>
          <w:b/>
          <w:color w:val="auto"/>
          <w:sz w:val="24"/>
          <w:highlight w:val="none"/>
          <w:u w:val="none"/>
        </w:rPr>
        <w:t>技术措施费用按中标价包干，不因工程变更而调整。如有甩项工程，发包人将对措施费用按上述方法予以扣除。</w:t>
      </w:r>
    </w:p>
    <w:p>
      <w:pPr>
        <w:keepNext w:val="0"/>
        <w:keepLines w:val="0"/>
        <w:pageBreakBefore w:val="0"/>
        <w:widowControl w:val="0"/>
        <w:kinsoku/>
        <w:wordWrap/>
        <w:overflowPunct/>
        <w:topLinePunct w:val="0"/>
        <w:autoSpaceDE w:val="0"/>
        <w:autoSpaceDN w:val="0"/>
        <w:bidi w:val="0"/>
        <w:adjustRightInd w:val="0"/>
        <w:snapToGrid/>
        <w:spacing w:line="400" w:lineRule="exact"/>
        <w:ind w:firstLine="356"/>
        <w:jc w:val="left"/>
        <w:textAlignment w:val="auto"/>
        <w:rPr>
          <w:rFonts w:hint="eastAsia"/>
          <w:b/>
          <w:color w:val="auto"/>
          <w:sz w:val="24"/>
          <w:highlight w:val="none"/>
          <w:u w:val="none"/>
        </w:rPr>
      </w:pPr>
      <w:r>
        <w:rPr>
          <w:rFonts w:hint="eastAsia"/>
          <w:b/>
          <w:color w:val="auto"/>
          <w:sz w:val="24"/>
          <w:highlight w:val="none"/>
          <w:u w:val="none"/>
        </w:rPr>
        <w:t>B.若有邻近建筑物、构筑物、文物保护点、古树名木等的保护的，招标时已明确的，其相关费用计入报价，包干使用。实施过程中新发现的，其保护费用按（1） -（4）口径计算。</w:t>
      </w:r>
    </w:p>
    <w:p>
      <w:pPr>
        <w:keepNext w:val="0"/>
        <w:keepLines w:val="0"/>
        <w:pageBreakBefore w:val="0"/>
        <w:widowControl w:val="0"/>
        <w:kinsoku/>
        <w:wordWrap/>
        <w:overflowPunct/>
        <w:topLinePunct w:val="0"/>
        <w:autoSpaceDE w:val="0"/>
        <w:autoSpaceDN w:val="0"/>
        <w:bidi w:val="0"/>
        <w:adjustRightInd w:val="0"/>
        <w:snapToGrid/>
        <w:spacing w:line="400" w:lineRule="exact"/>
        <w:ind w:firstLine="356"/>
        <w:jc w:val="left"/>
        <w:textAlignment w:val="auto"/>
        <w:rPr>
          <w:rFonts w:hint="eastAsia"/>
          <w:b/>
          <w:color w:val="auto"/>
          <w:sz w:val="24"/>
          <w:highlight w:val="none"/>
          <w:u w:val="none"/>
        </w:rPr>
      </w:pPr>
      <w:r>
        <w:rPr>
          <w:rFonts w:hint="eastAsia"/>
          <w:b/>
          <w:color w:val="auto"/>
          <w:sz w:val="24"/>
          <w:highlight w:val="none"/>
          <w:u w:val="none"/>
        </w:rPr>
        <w:t>注：上述价格的调整若在评标时已修正的按修正价结算。</w:t>
      </w:r>
    </w:p>
    <w:p>
      <w:pPr>
        <w:keepNext w:val="0"/>
        <w:keepLines w:val="0"/>
        <w:pageBreakBefore w:val="0"/>
        <w:widowControl w:val="0"/>
        <w:kinsoku/>
        <w:wordWrap/>
        <w:overflowPunct/>
        <w:topLinePunct w:val="0"/>
        <w:autoSpaceDE w:val="0"/>
        <w:autoSpaceDN w:val="0"/>
        <w:bidi w:val="0"/>
        <w:adjustRightInd w:val="0"/>
        <w:snapToGrid/>
        <w:spacing w:line="400" w:lineRule="exact"/>
        <w:ind w:firstLine="356"/>
        <w:jc w:val="left"/>
        <w:textAlignment w:val="auto"/>
        <w:rPr>
          <w:rFonts w:hAnsi="宋体"/>
          <w:color w:val="auto"/>
          <w:sz w:val="24"/>
          <w:highlight w:val="none"/>
        </w:rPr>
      </w:pPr>
      <w:r>
        <w:rPr>
          <w:rFonts w:hAnsi="宋体"/>
          <w:color w:val="auto"/>
          <w:sz w:val="24"/>
          <w:highlight w:val="none"/>
        </w:rPr>
        <w:t>1</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Start w:id="685" w:name="_Toc296891237"/>
      <w:bookmarkStart w:id="686" w:name="_Toc292559907"/>
      <w:bookmarkStart w:id="687" w:name="_Toc297216203"/>
      <w:bookmarkStart w:id="688" w:name="_Toc297123544"/>
      <w:bookmarkStart w:id="689" w:name="_Toc297120497"/>
      <w:bookmarkStart w:id="690" w:name="_Toc292559402"/>
      <w:bookmarkStart w:id="691" w:name="_Toc296503197"/>
      <w:bookmarkStart w:id="692" w:name="_Toc296346698"/>
      <w:bookmarkStart w:id="693" w:name="_Toc296891025"/>
      <w:bookmarkStart w:id="694" w:name="_Toc303539150"/>
      <w:bookmarkStart w:id="695" w:name="_Toc296944536"/>
      <w:bookmarkStart w:id="696" w:name="_Toc296347196"/>
      <w:bookmarkStart w:id="697" w:name="_Toc300934993"/>
      <w:bookmarkStart w:id="698" w:name="_Toc297048383"/>
      <w:bookmarkStart w:id="699" w:name="_Toc304295570"/>
      <w:bookmarkStart w:id="700" w:name="_Toc312677503"/>
      <w:bookmarkStart w:id="701" w:name="_Toc312678029"/>
      <w:r>
        <w:rPr>
          <w:rFonts w:hAnsi="宋体"/>
          <w:color w:val="auto"/>
          <w:sz w:val="24"/>
          <w:highlight w:val="none"/>
        </w:rPr>
        <w:t>0.5承</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Start w:id="702" w:name="_Toc300934994"/>
      <w:bookmarkStart w:id="703" w:name="_Toc297120503"/>
      <w:bookmarkStart w:id="704" w:name="_Toc296944542"/>
      <w:bookmarkStart w:id="705" w:name="_Toc297123545"/>
      <w:bookmarkStart w:id="706" w:name="_Toc292559408"/>
      <w:bookmarkStart w:id="707" w:name="_Toc296346704"/>
      <w:bookmarkStart w:id="708" w:name="_Toc297048389"/>
      <w:bookmarkStart w:id="709" w:name="_Toc297216204"/>
      <w:bookmarkStart w:id="710" w:name="_Toc303539151"/>
      <w:bookmarkStart w:id="711" w:name="_Toc296891031"/>
      <w:bookmarkStart w:id="712" w:name="_Toc296891243"/>
      <w:bookmarkStart w:id="713" w:name="_Toc296503203"/>
      <w:bookmarkStart w:id="714" w:name="_Toc296347202"/>
      <w:bookmarkStart w:id="715" w:name="_Toc292559913"/>
      <w:r>
        <w:rPr>
          <w:rFonts w:hAnsi="宋体"/>
          <w:color w:val="auto"/>
          <w:sz w:val="24"/>
          <w:highlight w:val="none"/>
        </w:rPr>
        <w:t>包人的合理化建议</w:t>
      </w:r>
    </w:p>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Pr>
        <w:keepNext w:val="0"/>
        <w:keepLines w:val="0"/>
        <w:pageBreakBefore w:val="0"/>
        <w:widowControl w:val="0"/>
        <w:kinsoku/>
        <w:wordWrap/>
        <w:overflowPunct/>
        <w:topLinePunct w:val="0"/>
        <w:bidi w:val="0"/>
        <w:adjustRightInd w:val="0"/>
        <w:snapToGrid/>
        <w:spacing w:line="400" w:lineRule="exact"/>
        <w:ind w:firstLine="480" w:firstLineChars="200"/>
        <w:textAlignment w:val="auto"/>
        <w:rPr>
          <w:rFonts w:hAnsi="宋体"/>
          <w:color w:val="auto"/>
          <w:sz w:val="24"/>
          <w:highlight w:val="none"/>
        </w:rPr>
      </w:pPr>
      <w:r>
        <w:rPr>
          <w:rFonts w:hAnsi="宋体"/>
          <w:color w:val="auto"/>
          <w:sz w:val="24"/>
          <w:highlight w:val="none"/>
        </w:rPr>
        <w:t>监理人审查承包人合理化建议的期限：</w:t>
      </w:r>
      <w:r>
        <w:rPr>
          <w:rFonts w:hint="eastAsia" w:hAnsi="宋体"/>
          <w:color w:val="auto"/>
          <w:sz w:val="24"/>
          <w:highlight w:val="none"/>
          <w:u w:val="single"/>
        </w:rPr>
        <w:t>提交之日起7天内</w:t>
      </w:r>
      <w:r>
        <w:rPr>
          <w:rFonts w:hAnsi="宋体"/>
          <w:color w:val="auto"/>
          <w:sz w:val="24"/>
          <w:highlight w:val="none"/>
        </w:rPr>
        <w:t>。</w:t>
      </w:r>
    </w:p>
    <w:p>
      <w:pPr>
        <w:keepNext w:val="0"/>
        <w:keepLines w:val="0"/>
        <w:pageBreakBefore w:val="0"/>
        <w:widowControl w:val="0"/>
        <w:kinsoku/>
        <w:wordWrap/>
        <w:overflowPunct/>
        <w:topLinePunct w:val="0"/>
        <w:bidi w:val="0"/>
        <w:adjustRightInd w:val="0"/>
        <w:snapToGrid/>
        <w:spacing w:line="400" w:lineRule="exact"/>
        <w:ind w:firstLine="480" w:firstLineChars="200"/>
        <w:textAlignment w:val="auto"/>
        <w:rPr>
          <w:rFonts w:hAnsi="宋体"/>
          <w:color w:val="auto"/>
          <w:sz w:val="24"/>
          <w:highlight w:val="none"/>
        </w:rPr>
      </w:pPr>
      <w:r>
        <w:rPr>
          <w:rFonts w:hAnsi="宋体"/>
          <w:color w:val="auto"/>
          <w:sz w:val="24"/>
          <w:highlight w:val="none"/>
        </w:rPr>
        <w:t>发包人审批承包人合理化建议的期限：</w:t>
      </w:r>
      <w:r>
        <w:rPr>
          <w:rFonts w:hint="eastAsia" w:hAnsi="宋体"/>
          <w:color w:val="auto"/>
          <w:sz w:val="24"/>
          <w:highlight w:val="none"/>
          <w:u w:val="single"/>
        </w:rPr>
        <w:t>提交之日起7天内</w:t>
      </w:r>
      <w:r>
        <w:rPr>
          <w:rFonts w:hAnsi="宋体"/>
          <w:color w:val="auto"/>
          <w:sz w:val="24"/>
          <w:highlight w:val="none"/>
        </w:rPr>
        <w:t>。</w:t>
      </w:r>
    </w:p>
    <w:p>
      <w:pPr>
        <w:keepNext w:val="0"/>
        <w:keepLines w:val="0"/>
        <w:pageBreakBefore w:val="0"/>
        <w:widowControl w:val="0"/>
        <w:kinsoku/>
        <w:wordWrap/>
        <w:overflowPunct/>
        <w:topLinePunct w:val="0"/>
        <w:bidi w:val="0"/>
        <w:adjustRightInd w:val="0"/>
        <w:snapToGrid/>
        <w:spacing w:line="400" w:lineRule="exact"/>
        <w:ind w:firstLine="480" w:firstLineChars="200"/>
        <w:textAlignment w:val="auto"/>
        <w:rPr>
          <w:rFonts w:hAnsi="宋体"/>
          <w:color w:val="auto"/>
          <w:sz w:val="24"/>
          <w:highlight w:val="none"/>
          <w:u w:val="single"/>
        </w:rPr>
      </w:pPr>
      <w:r>
        <w:rPr>
          <w:rFonts w:hAnsi="宋体"/>
          <w:color w:val="auto"/>
          <w:sz w:val="24"/>
          <w:highlight w:val="none"/>
        </w:rPr>
        <w:t>承</w:t>
      </w:r>
      <w:bookmarkStart w:id="716" w:name="_Toc292559914"/>
      <w:bookmarkStart w:id="717" w:name="_Toc297048390"/>
      <w:bookmarkStart w:id="718" w:name="_Toc292559409"/>
      <w:bookmarkStart w:id="719" w:name="_Toc297216205"/>
      <w:bookmarkStart w:id="720" w:name="_Toc304295571"/>
      <w:bookmarkStart w:id="721" w:name="_Toc300934995"/>
      <w:bookmarkStart w:id="722" w:name="_Toc296346705"/>
      <w:bookmarkStart w:id="723" w:name="_Toc296347203"/>
      <w:bookmarkStart w:id="724" w:name="_Toc297123546"/>
      <w:bookmarkStart w:id="725" w:name="_Toc296503204"/>
      <w:bookmarkStart w:id="726" w:name="_Toc312678030"/>
      <w:bookmarkStart w:id="727" w:name="_Toc303539152"/>
      <w:bookmarkStart w:id="728" w:name="_Toc296944543"/>
      <w:bookmarkStart w:id="729" w:name="_Toc312677504"/>
      <w:bookmarkStart w:id="730" w:name="_Toc297120504"/>
      <w:bookmarkStart w:id="731" w:name="_Toc318581175"/>
      <w:bookmarkStart w:id="732" w:name="_Toc296891244"/>
      <w:bookmarkStart w:id="733" w:name="_Toc296891032"/>
      <w:r>
        <w:rPr>
          <w:rFonts w:hAnsi="宋体"/>
          <w:color w:val="auto"/>
          <w:sz w:val="24"/>
          <w:highlight w:val="none"/>
        </w:rPr>
        <w:t>包人提出的合理化建议降低了合同价格或者提高了工程经济效益的奖励的方法和金额为：</w:t>
      </w:r>
      <w:r>
        <w:rPr>
          <w:rFonts w:hint="eastAsia" w:hAnsi="宋体"/>
          <w:color w:val="auto"/>
          <w:sz w:val="24"/>
          <w:highlight w:val="none"/>
          <w:u w:val="single"/>
        </w:rPr>
        <w:t>中标后双方协商</w:t>
      </w:r>
      <w:r>
        <w:rPr>
          <w:rFonts w:hAnsi="宋体"/>
          <w:color w:val="auto"/>
          <w:sz w:val="24"/>
          <w:highlight w:val="none"/>
        </w:rPr>
        <w:t>。</w:t>
      </w:r>
    </w:p>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Pr>
        <w:keepNext w:val="0"/>
        <w:keepLines w:val="0"/>
        <w:pageBreakBefore w:val="0"/>
        <w:widowControl w:val="0"/>
        <w:kinsoku/>
        <w:wordWrap/>
        <w:overflowPunct/>
        <w:topLinePunct w:val="0"/>
        <w:bidi w:val="0"/>
        <w:adjustRightInd w:val="0"/>
        <w:snapToGrid/>
        <w:spacing w:line="400" w:lineRule="exact"/>
        <w:ind w:firstLine="480" w:firstLineChars="200"/>
        <w:textAlignment w:val="auto"/>
        <w:rPr>
          <w:rFonts w:hAnsi="宋体"/>
          <w:color w:val="auto"/>
          <w:sz w:val="24"/>
          <w:highlight w:val="none"/>
        </w:rPr>
      </w:pPr>
      <w:r>
        <w:rPr>
          <w:rFonts w:hAnsi="宋体"/>
          <w:color w:val="auto"/>
          <w:sz w:val="24"/>
          <w:highlight w:val="none"/>
        </w:rPr>
        <w:t>1</w:t>
      </w:r>
      <w:bookmarkStart w:id="734" w:name="_Toc303539154"/>
      <w:bookmarkStart w:id="735" w:name="_Toc296503199"/>
      <w:bookmarkStart w:id="736" w:name="_Toc300934997"/>
      <w:bookmarkStart w:id="737" w:name="_Toc296891239"/>
      <w:bookmarkStart w:id="738" w:name="_Toc297123548"/>
      <w:bookmarkStart w:id="739" w:name="_Toc296891027"/>
      <w:bookmarkStart w:id="740" w:name="_Toc296347198"/>
      <w:bookmarkStart w:id="741" w:name="_Toc312678033"/>
      <w:bookmarkStart w:id="742" w:name="_Toc297048385"/>
      <w:bookmarkStart w:id="743" w:name="_Toc312677507"/>
      <w:bookmarkStart w:id="744" w:name="_Toc292559909"/>
      <w:bookmarkStart w:id="745" w:name="_Toc297216207"/>
      <w:bookmarkStart w:id="746" w:name="_Toc297120499"/>
      <w:bookmarkStart w:id="747" w:name="_Toc292559404"/>
      <w:bookmarkStart w:id="748" w:name="_Toc304295574"/>
      <w:bookmarkStart w:id="749" w:name="_Toc296346700"/>
      <w:bookmarkStart w:id="750" w:name="_Toc296944538"/>
      <w:r>
        <w:rPr>
          <w:rFonts w:hAnsi="宋体"/>
          <w:color w:val="auto"/>
          <w:sz w:val="24"/>
          <w:highlight w:val="none"/>
        </w:rPr>
        <w:t>0.7 暂估价</w:t>
      </w:r>
    </w:p>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Pr>
        <w:keepNext w:val="0"/>
        <w:keepLines w:val="0"/>
        <w:pageBreakBefore w:val="0"/>
        <w:widowControl w:val="0"/>
        <w:kinsoku/>
        <w:wordWrap/>
        <w:overflowPunct/>
        <w:topLinePunct w:val="0"/>
        <w:bidi w:val="0"/>
        <w:adjustRightInd w:val="0"/>
        <w:snapToGrid/>
        <w:spacing w:line="400" w:lineRule="exact"/>
        <w:ind w:firstLine="480" w:firstLineChars="200"/>
        <w:textAlignment w:val="auto"/>
        <w:rPr>
          <w:rFonts w:hint="eastAsia" w:hAnsi="宋体"/>
          <w:color w:val="auto"/>
          <w:kern w:val="0"/>
          <w:sz w:val="24"/>
          <w:highlight w:val="none"/>
          <w:lang w:val="en-US" w:eastAsia="zh-CN"/>
        </w:rPr>
      </w:pPr>
      <w:r>
        <w:rPr>
          <w:rFonts w:hint="eastAsia" w:hAnsi="宋体"/>
          <w:color w:val="auto"/>
          <w:kern w:val="0"/>
          <w:sz w:val="24"/>
          <w:highlight w:val="none"/>
          <w:lang w:val="en-US" w:eastAsia="zh-CN"/>
        </w:rPr>
        <w:t>本项目无暂估价项目。</w:t>
      </w:r>
    </w:p>
    <w:p>
      <w:pPr>
        <w:keepNext w:val="0"/>
        <w:keepLines w:val="0"/>
        <w:pageBreakBefore w:val="0"/>
        <w:widowControl w:val="0"/>
        <w:kinsoku/>
        <w:wordWrap/>
        <w:overflowPunct/>
        <w:topLinePunct w:val="0"/>
        <w:bidi w:val="0"/>
        <w:adjustRightInd w:val="0"/>
        <w:snapToGrid/>
        <w:spacing w:line="400" w:lineRule="exact"/>
        <w:ind w:firstLine="480" w:firstLineChars="200"/>
        <w:textAlignment w:val="auto"/>
        <w:rPr>
          <w:rFonts w:hAnsi="宋体"/>
          <w:color w:val="auto"/>
          <w:sz w:val="24"/>
          <w:highlight w:val="none"/>
        </w:rPr>
      </w:pPr>
      <w:r>
        <w:rPr>
          <w:rFonts w:hAnsi="宋体"/>
          <w:color w:val="auto"/>
          <w:sz w:val="24"/>
          <w:highlight w:val="none"/>
        </w:rPr>
        <w:t>10.8 暂列金额</w:t>
      </w:r>
    </w:p>
    <w:p>
      <w:pPr>
        <w:autoSpaceDE w:val="0"/>
        <w:autoSpaceDN w:val="0"/>
        <w:adjustRightInd w:val="0"/>
        <w:spacing w:line="440" w:lineRule="exact"/>
        <w:ind w:firstLine="480" w:firstLineChars="200"/>
        <w:rPr>
          <w:rFonts w:hAnsi="宋体"/>
          <w:b/>
          <w:color w:val="auto"/>
          <w:sz w:val="24"/>
          <w:highlight w:val="none"/>
          <w:u w:val="single"/>
        </w:rPr>
      </w:pPr>
      <w:r>
        <w:rPr>
          <w:rFonts w:hint="eastAsia" w:hAnsi="宋体"/>
          <w:color w:val="auto"/>
          <w:kern w:val="0"/>
          <w:sz w:val="24"/>
          <w:highlight w:val="none"/>
        </w:rPr>
        <w:t>合同当事人关于暂列金额使用的约定：</w:t>
      </w:r>
      <w:bookmarkStart w:id="751" w:name="_Toc351203643"/>
      <w:r>
        <w:rPr>
          <w:rFonts w:hint="eastAsia" w:hAnsi="宋体"/>
          <w:b/>
          <w:bCs/>
          <w:color w:val="auto"/>
          <w:sz w:val="24"/>
          <w:highlight w:val="none"/>
          <w:u w:val="single"/>
          <w:lang w:val="en-US" w:eastAsia="zh-CN"/>
        </w:rPr>
        <w:t>/</w:t>
      </w:r>
      <w:r>
        <w:rPr>
          <w:rFonts w:hint="eastAsia" w:hAnsi="宋体"/>
          <w:b/>
          <w:color w:val="auto"/>
          <w:sz w:val="24"/>
          <w:highlight w:val="none"/>
          <w:u w:val="single"/>
        </w:rPr>
        <w:t>。</w:t>
      </w:r>
    </w:p>
    <w:p>
      <w:pPr>
        <w:spacing w:line="440" w:lineRule="exact"/>
        <w:ind w:firstLine="480" w:firstLineChars="200"/>
        <w:rPr>
          <w:color w:val="auto"/>
          <w:sz w:val="24"/>
          <w:highlight w:val="none"/>
        </w:rPr>
      </w:pPr>
      <w:r>
        <w:rPr>
          <w:color w:val="auto"/>
          <w:sz w:val="24"/>
          <w:highlight w:val="none"/>
        </w:rPr>
        <w:t>11. 价格调整</w:t>
      </w:r>
      <w:bookmarkEnd w:id="751"/>
    </w:p>
    <w:bookmarkEnd w:id="678"/>
    <w:bookmarkEnd w:id="679"/>
    <w:bookmarkEnd w:id="680"/>
    <w:bookmarkEnd w:id="681"/>
    <w:bookmarkEnd w:id="682"/>
    <w:bookmarkEnd w:id="683"/>
    <w:p>
      <w:pPr>
        <w:spacing w:line="440" w:lineRule="exact"/>
        <w:ind w:firstLine="480" w:firstLineChars="200"/>
        <w:rPr>
          <w:rFonts w:hAnsi="宋体"/>
          <w:color w:val="auto"/>
          <w:sz w:val="24"/>
          <w:highlight w:val="none"/>
        </w:rPr>
      </w:pPr>
      <w:bookmarkStart w:id="752" w:name="_Toc300935000"/>
      <w:bookmarkStart w:id="753" w:name="_Toc297120501"/>
      <w:bookmarkStart w:id="754" w:name="_Toc296891029"/>
      <w:bookmarkStart w:id="755" w:name="_Toc297216209"/>
      <w:bookmarkStart w:id="756" w:name="_Toc297123550"/>
      <w:bookmarkStart w:id="757" w:name="_Toc296346702"/>
      <w:bookmarkStart w:id="758" w:name="_Toc296944540"/>
      <w:bookmarkStart w:id="759" w:name="_Toc292559406"/>
      <w:bookmarkStart w:id="760" w:name="_Toc296503201"/>
      <w:bookmarkStart w:id="761" w:name="_Toc292559911"/>
      <w:bookmarkStart w:id="762" w:name="_Toc304295577"/>
      <w:bookmarkStart w:id="763" w:name="_Toc296347200"/>
      <w:bookmarkStart w:id="764" w:name="_Toc297048387"/>
      <w:bookmarkStart w:id="765" w:name="_Toc312678039"/>
      <w:bookmarkStart w:id="766" w:name="_Toc303539157"/>
      <w:bookmarkStart w:id="767" w:name="_Toc296891241"/>
      <w:bookmarkStart w:id="768" w:name="_Toc296944544"/>
      <w:bookmarkStart w:id="769" w:name="_Toc296503205"/>
      <w:bookmarkStart w:id="770" w:name="_Toc292559410"/>
      <w:bookmarkStart w:id="771" w:name="_Toc292559915"/>
      <w:bookmarkStart w:id="772" w:name="_Toc296891033"/>
      <w:bookmarkStart w:id="773" w:name="_Toc296346706"/>
      <w:bookmarkStart w:id="774" w:name="_Toc297120505"/>
      <w:bookmarkStart w:id="775" w:name="_Toc296347204"/>
      <w:bookmarkStart w:id="776" w:name="_Toc296891245"/>
      <w:bookmarkStart w:id="777" w:name="_Toc297048391"/>
      <w:bookmarkStart w:id="778" w:name="_Toc351203644"/>
      <w:bookmarkStart w:id="779" w:name="_Toc303539159"/>
      <w:bookmarkStart w:id="780" w:name="_Toc300935002"/>
      <w:bookmarkStart w:id="781" w:name="_Toc312678040"/>
      <w:bookmarkStart w:id="782" w:name="_Toc297123552"/>
      <w:bookmarkStart w:id="783" w:name="_Toc297216211"/>
      <w:bookmarkStart w:id="784" w:name="_Toc304295579"/>
      <w:r>
        <w:rPr>
          <w:rFonts w:hAnsi="宋体"/>
          <w:color w:val="auto"/>
          <w:sz w:val="24"/>
          <w:highlight w:val="none"/>
        </w:rPr>
        <w:t>11.1 市场价格波动引起的调整</w:t>
      </w:r>
    </w:p>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Pr>
        <w:spacing w:line="440" w:lineRule="exact"/>
        <w:ind w:firstLine="480" w:firstLineChars="200"/>
        <w:rPr>
          <w:rFonts w:hAnsi="宋体"/>
          <w:color w:val="auto"/>
          <w:sz w:val="24"/>
          <w:highlight w:val="none"/>
          <w:u w:val="single"/>
        </w:rPr>
      </w:pPr>
      <w:r>
        <w:rPr>
          <w:rFonts w:hAnsi="宋体"/>
          <w:color w:val="auto"/>
          <w:kern w:val="0"/>
          <w:sz w:val="24"/>
          <w:highlight w:val="none"/>
        </w:rPr>
        <w:t>市场价格波动是否调整合同价格的约定：</w:t>
      </w:r>
      <w:r>
        <w:rPr>
          <w:rFonts w:hint="eastAsia" w:hAnsi="宋体"/>
          <w:color w:val="auto"/>
          <w:kern w:val="0"/>
          <w:sz w:val="24"/>
          <w:highlight w:val="none"/>
          <w:u w:val="single"/>
        </w:rPr>
        <w:t>调整</w:t>
      </w:r>
      <w:r>
        <w:rPr>
          <w:rFonts w:hAnsi="宋体"/>
          <w:color w:val="auto"/>
          <w:sz w:val="24"/>
          <w:highlight w:val="none"/>
          <w:u w:val="single"/>
        </w:rPr>
        <w:t>。</w:t>
      </w:r>
    </w:p>
    <w:p>
      <w:pPr>
        <w:pStyle w:val="2"/>
        <w:rPr>
          <w:rFonts w:hint="eastAsia"/>
        </w:rPr>
      </w:pPr>
      <w:r>
        <w:rPr>
          <w:rFonts w:hint="eastAsia"/>
        </w:rPr>
        <w:t>采用政策性文件进行价格调整。</w:t>
      </w:r>
    </w:p>
    <w:p>
      <w:pPr>
        <w:pStyle w:val="2"/>
        <w:rPr>
          <w:rFonts w:hint="eastAsia"/>
        </w:rPr>
      </w:pPr>
      <w:r>
        <w:rPr>
          <w:rFonts w:hint="eastAsia"/>
        </w:rPr>
        <w:t>政府投资工程因市场价格波动引起的调整按以下第（1）种方式约定执行：</w:t>
      </w:r>
    </w:p>
    <w:p>
      <w:pPr>
        <w:pStyle w:val="2"/>
        <w:rPr>
          <w:rFonts w:hint="eastAsia"/>
        </w:rPr>
      </w:pPr>
      <w:r>
        <w:rPr>
          <w:rFonts w:hint="eastAsia"/>
        </w:rPr>
        <w:t>（1）按《关于进一步加强杭州市建设工程市场要素价格动态管理的指导意见》（杭建市发〔2018〕579号）执行；</w:t>
      </w:r>
    </w:p>
    <w:p>
      <w:pPr>
        <w:pStyle w:val="2"/>
        <w:rPr>
          <w:rFonts w:hint="eastAsia"/>
        </w:rPr>
      </w:pPr>
      <w:r>
        <w:rPr>
          <w:rFonts w:hint="eastAsia"/>
        </w:rPr>
        <w:t>（2）其他：</w:t>
      </w:r>
      <w:r>
        <w:rPr>
          <w:rFonts w:hint="eastAsia"/>
          <w:u w:val="single"/>
        </w:rPr>
        <w:t xml:space="preserve">                                        。</w:t>
      </w:r>
    </w:p>
    <w:p>
      <w:pPr>
        <w:pStyle w:val="2"/>
        <w:rPr>
          <w:rFonts w:hint="eastAsia"/>
        </w:rPr>
      </w:pPr>
      <w:r>
        <w:rPr>
          <w:rFonts w:hint="eastAsia"/>
        </w:rPr>
        <w:t>其中：</w:t>
      </w:r>
    </w:p>
    <w:p>
      <w:pPr>
        <w:pStyle w:val="2"/>
        <w:rPr>
          <w:rFonts w:hint="eastAsia"/>
        </w:rPr>
      </w:pPr>
      <w:r>
        <w:rPr>
          <w:rFonts w:hint="eastAsia"/>
        </w:rPr>
        <w:t>1、风险范围及幅度的约定：</w:t>
      </w:r>
    </w:p>
    <w:p>
      <w:pPr>
        <w:pStyle w:val="2"/>
        <w:rPr>
          <w:rFonts w:hint="eastAsia"/>
        </w:rPr>
      </w:pPr>
      <w:r>
        <w:rPr>
          <w:rFonts w:hint="eastAsia"/>
        </w:rPr>
        <w:t>（1）人工费的风险幅度</w:t>
      </w:r>
      <w:r>
        <w:rPr>
          <w:rFonts w:hint="eastAsia"/>
          <w:u w:val="single"/>
        </w:rPr>
        <w:t>（   5  %）</w:t>
      </w:r>
    </w:p>
    <w:p>
      <w:pPr>
        <w:pStyle w:val="2"/>
        <w:rPr>
          <w:rFonts w:hint="eastAsia"/>
        </w:rPr>
      </w:pPr>
      <w:r>
        <w:rPr>
          <w:rFonts w:hint="eastAsia"/>
        </w:rPr>
        <w:t>（2）材料价格的风险幅度</w:t>
      </w:r>
      <w:r>
        <w:rPr>
          <w:rFonts w:hint="eastAsia"/>
          <w:u w:val="single"/>
        </w:rPr>
        <w:t>（  5   %）</w:t>
      </w:r>
    </w:p>
    <w:p>
      <w:pPr>
        <w:pStyle w:val="2"/>
        <w:rPr>
          <w:rFonts w:hint="eastAsia"/>
        </w:rPr>
      </w:pPr>
      <w:r>
        <w:rPr>
          <w:rFonts w:hint="eastAsia"/>
        </w:rPr>
        <w:t>2、材料价款动态调整结算方式采用以下第（3）种方式约定：</w:t>
      </w:r>
    </w:p>
    <w:p>
      <w:pPr>
        <w:pStyle w:val="2"/>
        <w:rPr>
          <w:rFonts w:hint="eastAsia"/>
        </w:rPr>
      </w:pPr>
      <w:r>
        <w:rPr>
          <w:rFonts w:hint="eastAsia"/>
        </w:rPr>
        <w:t>（1）按时间进度分段结算：</w:t>
      </w:r>
      <w:r>
        <w:rPr>
          <w:rFonts w:hint="eastAsia"/>
          <w:u w:val="single"/>
          <w:lang w:val="en-US" w:eastAsia="zh-CN"/>
        </w:rPr>
        <w:t xml:space="preserve">      </w:t>
      </w:r>
      <w:r>
        <w:rPr>
          <w:rFonts w:hint="eastAsia"/>
          <w:u w:val="single"/>
        </w:rPr>
        <w:t>。</w:t>
      </w:r>
    </w:p>
    <w:p>
      <w:pPr>
        <w:pStyle w:val="2"/>
        <w:rPr>
          <w:rFonts w:hint="eastAsia"/>
        </w:rPr>
      </w:pPr>
      <w:r>
        <w:rPr>
          <w:rFonts w:hint="eastAsia"/>
        </w:rPr>
        <w:t>（2）按工程形象部位(目标)分段结算：</w:t>
      </w:r>
      <w:r>
        <w:rPr>
          <w:rFonts w:hint="eastAsia"/>
          <w:u w:val="single"/>
        </w:rPr>
        <w:t xml:space="preserve">                 。</w:t>
      </w:r>
    </w:p>
    <w:p>
      <w:pPr>
        <w:pStyle w:val="2"/>
      </w:pPr>
      <w:r>
        <w:rPr>
          <w:rFonts w:hint="eastAsia"/>
        </w:rPr>
        <w:t>（3）竣工后一次性结算：</w:t>
      </w:r>
      <w:r>
        <w:rPr>
          <w:rFonts w:hint="eastAsia"/>
          <w:u w:val="single"/>
          <w:lang w:val="en-US" w:eastAsia="zh-CN"/>
        </w:rPr>
        <w:t xml:space="preserve">       </w:t>
      </w:r>
      <w:r>
        <w:rPr>
          <w:rFonts w:hint="eastAsia"/>
          <w:u w:val="single"/>
        </w:rPr>
        <w:t>。</w:t>
      </w:r>
    </w:p>
    <w:p>
      <w:pPr>
        <w:spacing w:line="440" w:lineRule="exact"/>
        <w:ind w:firstLine="480" w:firstLineChars="200"/>
        <w:rPr>
          <w:color w:val="auto"/>
          <w:sz w:val="24"/>
          <w:highlight w:val="none"/>
        </w:rPr>
      </w:pPr>
      <w:r>
        <w:rPr>
          <w:color w:val="auto"/>
          <w:sz w:val="24"/>
          <w:highlight w:val="none"/>
        </w:rPr>
        <w:t xml:space="preserve">12. </w:t>
      </w:r>
      <w:bookmarkEnd w:id="768"/>
      <w:bookmarkEnd w:id="769"/>
      <w:bookmarkEnd w:id="770"/>
      <w:bookmarkEnd w:id="771"/>
      <w:bookmarkEnd w:id="772"/>
      <w:bookmarkEnd w:id="773"/>
      <w:bookmarkEnd w:id="774"/>
      <w:bookmarkEnd w:id="775"/>
      <w:bookmarkEnd w:id="776"/>
      <w:bookmarkEnd w:id="777"/>
      <w:r>
        <w:rPr>
          <w:color w:val="auto"/>
          <w:sz w:val="24"/>
          <w:highlight w:val="none"/>
        </w:rPr>
        <w:t>合同价格、计量与支付</w:t>
      </w:r>
      <w:bookmarkEnd w:id="778"/>
    </w:p>
    <w:bookmarkEnd w:id="779"/>
    <w:bookmarkEnd w:id="780"/>
    <w:bookmarkEnd w:id="781"/>
    <w:bookmarkEnd w:id="782"/>
    <w:bookmarkEnd w:id="783"/>
    <w:bookmarkEnd w:id="784"/>
    <w:p>
      <w:pPr>
        <w:spacing w:line="440" w:lineRule="exact"/>
        <w:ind w:firstLine="480" w:firstLineChars="200"/>
        <w:rPr>
          <w:rFonts w:hAnsi="宋体"/>
          <w:color w:val="auto"/>
          <w:sz w:val="24"/>
          <w:highlight w:val="none"/>
        </w:rPr>
      </w:pPr>
      <w:bookmarkStart w:id="785" w:name="_Toc292559916"/>
      <w:bookmarkStart w:id="786" w:name="_Toc267251461"/>
      <w:bookmarkStart w:id="787" w:name="_Toc292559411"/>
      <w:bookmarkStart w:id="788" w:name="_Toc296891246"/>
      <w:bookmarkStart w:id="789" w:name="_Toc296347205"/>
      <w:bookmarkStart w:id="790" w:name="_Toc296503206"/>
      <w:bookmarkStart w:id="791" w:name="_Toc296891034"/>
      <w:bookmarkStart w:id="792" w:name="_Toc296944545"/>
      <w:bookmarkStart w:id="793" w:name="_Toc297120506"/>
      <w:bookmarkStart w:id="794" w:name="_Toc297048392"/>
      <w:bookmarkStart w:id="795" w:name="_Toc296346707"/>
      <w:bookmarkStart w:id="796" w:name="_Toc297123553"/>
      <w:bookmarkStart w:id="797" w:name="_Toc297216212"/>
      <w:bookmarkStart w:id="798" w:name="_Toc303539160"/>
      <w:bookmarkStart w:id="799" w:name="_Toc312678041"/>
      <w:bookmarkStart w:id="800" w:name="_Toc304295580"/>
      <w:bookmarkStart w:id="801" w:name="_Toc300935003"/>
      <w:r>
        <w:rPr>
          <w:rFonts w:hAnsi="宋体"/>
          <w:color w:val="auto"/>
          <w:sz w:val="24"/>
          <w:highlight w:val="none"/>
        </w:rPr>
        <w:t>12.1 合</w:t>
      </w:r>
      <w:bookmarkEnd w:id="785"/>
      <w:bookmarkEnd w:id="786"/>
      <w:bookmarkEnd w:id="787"/>
      <w:r>
        <w:rPr>
          <w:rFonts w:hAnsi="宋体"/>
          <w:color w:val="auto"/>
          <w:sz w:val="24"/>
          <w:highlight w:val="none"/>
        </w:rPr>
        <w:t>同价</w:t>
      </w:r>
      <w:bookmarkEnd w:id="788"/>
      <w:bookmarkEnd w:id="789"/>
      <w:bookmarkEnd w:id="790"/>
      <w:bookmarkEnd w:id="791"/>
      <w:bookmarkEnd w:id="792"/>
      <w:bookmarkEnd w:id="793"/>
      <w:bookmarkEnd w:id="794"/>
      <w:bookmarkEnd w:id="795"/>
      <w:r>
        <w:rPr>
          <w:rFonts w:hAnsi="宋体"/>
          <w:color w:val="auto"/>
          <w:sz w:val="24"/>
          <w:highlight w:val="none"/>
        </w:rPr>
        <w:t>格形式</w:t>
      </w:r>
    </w:p>
    <w:bookmarkEnd w:id="796"/>
    <w:bookmarkEnd w:id="797"/>
    <w:bookmarkEnd w:id="798"/>
    <w:bookmarkEnd w:id="799"/>
    <w:bookmarkEnd w:id="800"/>
    <w:bookmarkEnd w:id="801"/>
    <w:p>
      <w:pPr>
        <w:spacing w:line="440" w:lineRule="exact"/>
        <w:ind w:firstLine="480" w:firstLineChars="200"/>
        <w:rPr>
          <w:rFonts w:hint="eastAsia" w:hAnsi="宋体"/>
          <w:color w:val="auto"/>
          <w:sz w:val="24"/>
          <w:highlight w:val="none"/>
          <w:u w:val="single"/>
        </w:rPr>
      </w:pPr>
      <w:r>
        <w:rPr>
          <w:rFonts w:hAnsi="宋体"/>
          <w:color w:val="auto"/>
          <w:sz w:val="24"/>
          <w:highlight w:val="none"/>
        </w:rPr>
        <w:t>1、</w:t>
      </w:r>
      <w:r>
        <w:rPr>
          <w:rFonts w:hint="eastAsia" w:hAnsi="宋体"/>
          <w:color w:val="auto"/>
          <w:sz w:val="24"/>
          <w:highlight w:val="none"/>
        </w:rPr>
        <w:t>单价合同</w:t>
      </w:r>
      <w:r>
        <w:rPr>
          <w:rFonts w:hint="eastAsia"/>
          <w:color w:val="auto"/>
          <w:sz w:val="24"/>
          <w:highlight w:val="none"/>
          <w:u w:val="single"/>
        </w:rPr>
        <w:t>（合同约定可调的除外）</w:t>
      </w:r>
      <w:r>
        <w:rPr>
          <w:rFonts w:hint="eastAsia" w:hAnsi="宋体"/>
          <w:color w:val="auto"/>
          <w:sz w:val="24"/>
          <w:highlight w:val="none"/>
        </w:rPr>
        <w:t>。</w:t>
      </w:r>
      <w:r>
        <w:rPr>
          <w:rFonts w:hint="eastAsia" w:hAnsi="宋体"/>
          <w:color w:val="auto"/>
          <w:sz w:val="24"/>
          <w:highlight w:val="none"/>
          <w:u w:val="single"/>
        </w:rPr>
        <w:t>工程竣工后，工程量按经监理和招标人签证后的实测实量联系单、施工图和设计变更单按实结算。</w:t>
      </w:r>
    </w:p>
    <w:p>
      <w:pPr>
        <w:spacing w:line="440" w:lineRule="exact"/>
        <w:ind w:firstLine="480" w:firstLineChars="200"/>
        <w:rPr>
          <w:rFonts w:hint="eastAsia" w:hAnsi="宋体" w:cs="宋体"/>
          <w:b/>
          <w:color w:val="auto"/>
          <w:sz w:val="24"/>
          <w:highlight w:val="none"/>
          <w:u w:val="single"/>
        </w:rPr>
      </w:pPr>
      <w:r>
        <w:rPr>
          <w:rFonts w:hAnsi="宋体"/>
          <w:color w:val="auto"/>
          <w:sz w:val="24"/>
          <w:highlight w:val="none"/>
        </w:rPr>
        <w:t>综合单价包含的风险范围：</w:t>
      </w:r>
      <w:r>
        <w:rPr>
          <w:rFonts w:hint="eastAsia" w:hAnsi="宋体"/>
          <w:b/>
          <w:color w:val="auto"/>
          <w:sz w:val="24"/>
          <w:highlight w:val="none"/>
          <w:u w:val="single"/>
        </w:rPr>
        <w:t>①投标时漏项、少计的工程内容（不包括招标人提供的工程量本身的漏项、少计内容）； ②合同执行期内材料价格、人工工资上涨的风险因素，施工临时停电、停水造成的连续8小时以内的停工； ③合同执行期内，因客观原因造成停工、窝工； ④合同执行期内可能发生的其他费用 ，包括市政、市容、卫生、环保、治安等； ⑤组织措施费、</w:t>
      </w:r>
      <w:r>
        <w:rPr>
          <w:rFonts w:hint="eastAsia" w:hAnsi="宋体"/>
          <w:b/>
          <w:bCs/>
          <w:color w:val="auto"/>
          <w:sz w:val="24"/>
          <w:szCs w:val="24"/>
          <w:highlight w:val="none"/>
          <w:u w:val="single"/>
        </w:rPr>
        <w:t>以“项”为计量单位的施工</w:t>
      </w:r>
      <w:r>
        <w:rPr>
          <w:rFonts w:hint="eastAsia" w:hAnsi="宋体"/>
          <w:b/>
          <w:color w:val="auto"/>
          <w:sz w:val="24"/>
          <w:highlight w:val="none"/>
          <w:u w:val="single"/>
        </w:rPr>
        <w:t>技术措施费实行投标价一次性包干；⑥工程实施中属于招标文件和本合同约定需要投标报价和合同包干风险范围内应考虑的费用，虽经发包人现场签证认可，在工程结算时可认定该签证无效；⑦工程量计算规则未描述到的但又是完成分项工程必须有的工作内容，均应包括在内；</w:t>
      </w:r>
      <w:r>
        <w:rPr>
          <w:rFonts w:hint="eastAsia" w:hAnsi="宋体" w:cs="宋体"/>
          <w:b/>
          <w:color w:val="auto"/>
          <w:sz w:val="24"/>
          <w:highlight w:val="none"/>
          <w:u w:val="single"/>
        </w:rPr>
        <w:t>⑧施工场地的围护、运输保洁费，由于停电、停水造成的增加费用，附近居民因施工不便应增加的设施或便道等增加的各类费用。</w:t>
      </w:r>
    </w:p>
    <w:p>
      <w:pPr>
        <w:spacing w:line="440" w:lineRule="exact"/>
        <w:ind w:firstLine="480" w:firstLineChars="200"/>
        <w:rPr>
          <w:rFonts w:hAnsi="宋体"/>
          <w:color w:val="auto"/>
          <w:sz w:val="24"/>
          <w:highlight w:val="none"/>
        </w:rPr>
      </w:pPr>
      <w:r>
        <w:rPr>
          <w:rFonts w:hAnsi="宋体"/>
          <w:color w:val="auto"/>
          <w:sz w:val="24"/>
          <w:highlight w:val="none"/>
        </w:rPr>
        <w:t>风险费用的计算方法：</w:t>
      </w:r>
      <w:r>
        <w:rPr>
          <w:rFonts w:hint="eastAsia" w:hAnsi="宋体"/>
          <w:color w:val="auto"/>
          <w:sz w:val="24"/>
          <w:highlight w:val="none"/>
          <w:u w:val="single"/>
        </w:rPr>
        <w:t>已考虑在投标报价范围内</w:t>
      </w:r>
      <w:r>
        <w:rPr>
          <w:rFonts w:hint="eastAsia" w:hAnsi="宋体"/>
          <w:color w:val="auto"/>
          <w:sz w:val="24"/>
          <w:highlight w:val="none"/>
        </w:rPr>
        <w:t>。</w:t>
      </w:r>
    </w:p>
    <w:p>
      <w:pPr>
        <w:spacing w:line="440" w:lineRule="exact"/>
        <w:ind w:firstLine="480" w:firstLineChars="200"/>
        <w:rPr>
          <w:rFonts w:hint="eastAsia" w:hAnsi="宋体"/>
          <w:color w:val="auto"/>
          <w:sz w:val="24"/>
          <w:highlight w:val="none"/>
          <w:u w:val="single"/>
        </w:rPr>
      </w:pPr>
      <w:r>
        <w:rPr>
          <w:rFonts w:hAnsi="宋体"/>
          <w:color w:val="auto"/>
          <w:sz w:val="24"/>
          <w:highlight w:val="none"/>
        </w:rPr>
        <w:t>风险范围以外合同价格的调整方法：</w:t>
      </w:r>
      <w:bookmarkStart w:id="802" w:name="_Toc303539161"/>
      <w:bookmarkStart w:id="803" w:name="_Toc312678042"/>
      <w:bookmarkStart w:id="804" w:name="_Toc300935004"/>
      <w:bookmarkStart w:id="805" w:name="_Toc304295581"/>
      <w:bookmarkStart w:id="806" w:name="_Toc297216213"/>
      <w:bookmarkStart w:id="807" w:name="_Toc297123554"/>
      <w:bookmarkStart w:id="808" w:name="_Toc296944546"/>
      <w:bookmarkStart w:id="809" w:name="_Toc296503207"/>
      <w:bookmarkStart w:id="810" w:name="_Toc292559917"/>
      <w:bookmarkStart w:id="811" w:name="_Toc296347206"/>
      <w:bookmarkStart w:id="812" w:name="_Toc296346708"/>
      <w:bookmarkStart w:id="813" w:name="_Toc292559412"/>
      <w:bookmarkStart w:id="814" w:name="_Toc297120507"/>
      <w:bookmarkStart w:id="815" w:name="_Toc296891247"/>
      <w:bookmarkStart w:id="816" w:name="_Toc296891035"/>
      <w:bookmarkStart w:id="817" w:name="_Toc297048393"/>
      <w:r>
        <w:rPr>
          <w:rFonts w:hint="eastAsia" w:hAnsi="宋体"/>
          <w:color w:val="auto"/>
          <w:sz w:val="24"/>
          <w:highlight w:val="none"/>
          <w:u w:val="single"/>
        </w:rPr>
        <w:t>（1）结算时的工程量（分部分项工程量及技术措施项目工程量）按双方在合同中约定应予计量且实际完成的工程量进行最终确定，计算规则按招标文件以及现行的《建设工程工程量清单计价规范（GB50500-2013）》、《浙江省建设工程计价规则（2018版）》、《浙江省建筑与装饰工程预算定额（2018版）》、《浙江省通用安装工程预算定额（2018版）》、《浙江省市政工程预算定额（2018版）》、浙江省建设施工机械台班费用参考定额（2018版）》及相应的补充内容和文件执行，承包人投标时承诺的综合单价</w:t>
      </w:r>
      <w:r>
        <w:rPr>
          <w:rFonts w:hint="eastAsia" w:hAnsi="宋体"/>
          <w:b/>
          <w:color w:val="auto"/>
          <w:sz w:val="24"/>
          <w:highlight w:val="none"/>
          <w:u w:val="single"/>
        </w:rPr>
        <w:t>（该综合单价为</w:t>
      </w:r>
      <w:r>
        <w:rPr>
          <w:rFonts w:hint="eastAsia"/>
          <w:b/>
          <w:color w:val="auto"/>
          <w:sz w:val="24"/>
          <w:highlight w:val="none"/>
          <w:u w:val="single"/>
        </w:rPr>
        <w:t>最终总价与初次投标总价下浮比例同比例下浮后的综合单价为准</w:t>
      </w:r>
      <w:r>
        <w:rPr>
          <w:rFonts w:hint="eastAsia" w:hAnsi="宋体"/>
          <w:b/>
          <w:color w:val="auto"/>
          <w:sz w:val="24"/>
          <w:highlight w:val="none"/>
          <w:u w:val="single"/>
        </w:rPr>
        <w:t>）</w:t>
      </w:r>
      <w:r>
        <w:rPr>
          <w:rFonts w:hint="eastAsia" w:hAnsi="宋体"/>
          <w:color w:val="auto"/>
          <w:sz w:val="24"/>
          <w:highlight w:val="none"/>
          <w:u w:val="single"/>
        </w:rPr>
        <w:t>一次性包干（合同约定可调的除外）；</w:t>
      </w:r>
    </w:p>
    <w:p>
      <w:pPr>
        <w:spacing w:line="440" w:lineRule="exact"/>
        <w:ind w:firstLine="480" w:firstLineChars="200"/>
        <w:rPr>
          <w:rFonts w:hint="eastAsia" w:hAnsi="宋体"/>
          <w:color w:val="auto"/>
          <w:sz w:val="24"/>
          <w:highlight w:val="none"/>
          <w:u w:val="single"/>
        </w:rPr>
      </w:pPr>
      <w:r>
        <w:rPr>
          <w:rFonts w:hint="eastAsia" w:hAnsi="宋体"/>
          <w:color w:val="auto"/>
          <w:sz w:val="24"/>
          <w:highlight w:val="none"/>
          <w:u w:val="single"/>
        </w:rPr>
        <w:t>（2）经发包人确认的设计变更、发包人的修改要求而引起的工程量清单的项目调整或数量调整，其工程量按招标文件以及《浙江省建筑工程量清单指引》规定的工程量计算规则进行计算，工程项目综合单价按下列方法确定：</w:t>
      </w:r>
    </w:p>
    <w:p>
      <w:pPr>
        <w:spacing w:line="440" w:lineRule="exact"/>
        <w:ind w:firstLine="480" w:firstLineChars="200"/>
        <w:rPr>
          <w:rFonts w:hint="eastAsia" w:hAnsi="宋体"/>
          <w:color w:val="auto"/>
          <w:sz w:val="24"/>
          <w:highlight w:val="none"/>
          <w:u w:val="single"/>
        </w:rPr>
      </w:pPr>
      <w:r>
        <w:rPr>
          <w:rFonts w:hint="eastAsia" w:hAnsi="宋体"/>
          <w:color w:val="auto"/>
          <w:sz w:val="24"/>
          <w:highlight w:val="none"/>
          <w:u w:val="single"/>
        </w:rPr>
        <w:t>A、工程量按联系单在规定范围内按实结算。对承包人超出施工设计图纸（含施工图纸的设计变更）范围和因承包人原因造成返工的工程量，发包人不予计算。</w:t>
      </w:r>
    </w:p>
    <w:p>
      <w:pPr>
        <w:spacing w:line="440" w:lineRule="exact"/>
        <w:ind w:firstLine="480" w:firstLineChars="200"/>
        <w:rPr>
          <w:rFonts w:hint="eastAsia" w:hAnsi="宋体"/>
          <w:color w:val="auto"/>
          <w:sz w:val="24"/>
          <w:highlight w:val="none"/>
          <w:u w:val="single"/>
        </w:rPr>
      </w:pPr>
      <w:r>
        <w:rPr>
          <w:rFonts w:hint="eastAsia" w:hAnsi="宋体"/>
          <w:color w:val="auto"/>
          <w:sz w:val="24"/>
          <w:highlight w:val="none"/>
          <w:u w:val="single"/>
        </w:rPr>
        <w:t>B、单价或费用的计算口径：①投标书中有相同项目的，参照相同项目价格结算；②投标书中有类似项目的，参照类似项目价格结算；③投标书中没有相同或类似项目的，参照以下方式结算：（a）有相应定额套用的按照浙江省 2018 版相应专业预算定额及工程实施当月杭州市造价信息（正刊）、浙江造价信息（正刊）及 2018 版浙江省施工取费定额中值组价后，按最终总价与审核预算总价下浮比例同比例下浮结算；（b）无相应定额套用的按照市场价格并参照最终中标总价与审核预算总价下浮比例同比例下浮结算，由承包人根据市场行情组价后上报发包人。招标时为暂定的材料（设备）价格和由于发包人提出对已定品牌、型号及规格的材料（设备）进行变更的，新增加的材料（设备）的价格如投标函中有的，按投标函中价格计入；投标函中没有的，按招标控制价编制月份造价信息（正刊）中的价格并按最终中标总价与审核预算总价下浮比例同比例下浮后计入；投标函中没有，造价信息（正刊）中也没有的价格，按发包人按发包人签证价计入；实行签证价的项目已含下浮部分；④如投标单价明显高于市场价格水平的单价，应结合市场报价水平由双方另行确定，其相应单价按投标口径的组价原则及总价优惠幅度确定；⑤由于清单项目中项目特征或工程内容发生部分变更的，应以原综合单价为基础，仅计算变更部分相应定额子目，调整综合单价；若项目特征描述中材料发生变化的（包括砼标号变化），价格调差参照本合同有关条款执行。</w:t>
      </w:r>
    </w:p>
    <w:p>
      <w:pPr>
        <w:spacing w:line="440" w:lineRule="exact"/>
        <w:ind w:firstLine="480" w:firstLineChars="200"/>
        <w:rPr>
          <w:rFonts w:hint="eastAsia" w:hAnsi="宋体"/>
          <w:color w:val="auto"/>
          <w:sz w:val="24"/>
          <w:highlight w:val="none"/>
          <w:u w:val="single"/>
        </w:rPr>
      </w:pPr>
      <w:r>
        <w:rPr>
          <w:rFonts w:hint="eastAsia" w:hAnsi="宋体"/>
          <w:color w:val="auto"/>
          <w:sz w:val="24"/>
          <w:highlight w:val="none"/>
          <w:u w:val="single"/>
        </w:rPr>
        <w:t>（3）甲定乙供材料：按发包人提供的甲定乙供材料清单表中的品牌、规格、型号、质次等由承包人自行报价，结算时不作调整。</w:t>
      </w:r>
    </w:p>
    <w:p>
      <w:pPr>
        <w:spacing w:line="440" w:lineRule="exact"/>
        <w:ind w:firstLine="480" w:firstLineChars="200"/>
        <w:rPr>
          <w:rFonts w:hint="eastAsia" w:hAnsi="宋体"/>
          <w:color w:val="auto"/>
          <w:sz w:val="24"/>
          <w:highlight w:val="none"/>
          <w:u w:val="single"/>
        </w:rPr>
      </w:pPr>
      <w:r>
        <w:rPr>
          <w:rFonts w:hint="eastAsia" w:hAnsi="宋体"/>
          <w:color w:val="auto"/>
          <w:sz w:val="24"/>
          <w:highlight w:val="none"/>
          <w:u w:val="single"/>
        </w:rPr>
        <w:t>（4）承包人应是根据发包人提供的工程量清单和施工图进行报价的，并对工程量清单（包括项目、项目特征描述、数量）和施工图不一致处进行了答疑，若在今后（施工中）出现类似问题将按有利于发包人利益原则处理。</w:t>
      </w:r>
    </w:p>
    <w:p>
      <w:pPr>
        <w:spacing w:line="440" w:lineRule="exact"/>
        <w:ind w:firstLine="480" w:firstLineChars="200"/>
        <w:rPr>
          <w:rFonts w:hint="eastAsia" w:hAnsi="宋体"/>
          <w:color w:val="auto"/>
          <w:sz w:val="24"/>
          <w:highlight w:val="none"/>
          <w:u w:val="single"/>
        </w:rPr>
      </w:pPr>
      <w:r>
        <w:rPr>
          <w:rFonts w:hint="eastAsia" w:hAnsi="宋体"/>
          <w:color w:val="auto"/>
          <w:sz w:val="24"/>
          <w:highlight w:val="none"/>
          <w:u w:val="single"/>
        </w:rPr>
        <w:t>（5）为保障项目顺利实施，确保工程质量，承包人的报价不得出现不平衡报价。若在评标时未予发现，而在中标后或施工中发现的，在总价不变的前提下，发包人有权要求承包人进行调整，并按有利于发包人利益原则处理。</w:t>
      </w:r>
    </w:p>
    <w:p>
      <w:pPr>
        <w:spacing w:line="440" w:lineRule="exact"/>
        <w:ind w:firstLine="480" w:firstLineChars="200"/>
        <w:rPr>
          <w:rFonts w:hint="eastAsia" w:hAnsi="宋体"/>
          <w:color w:val="auto"/>
          <w:sz w:val="24"/>
          <w:highlight w:val="none"/>
          <w:u w:val="single"/>
        </w:rPr>
      </w:pPr>
      <w:r>
        <w:rPr>
          <w:rFonts w:hint="eastAsia" w:hAnsi="宋体"/>
          <w:color w:val="auto"/>
          <w:sz w:val="24"/>
          <w:highlight w:val="none"/>
          <w:u w:val="single"/>
        </w:rPr>
        <w:t>（6）承包人应在投标时自行考虑施工中可能发生的施工场地、围护、管理、相互协作费用和责任。</w:t>
      </w:r>
    </w:p>
    <w:p>
      <w:pPr>
        <w:spacing w:line="440" w:lineRule="exact"/>
        <w:ind w:firstLine="480" w:firstLineChars="200"/>
        <w:rPr>
          <w:rFonts w:hint="eastAsia" w:hAnsi="宋体"/>
          <w:color w:val="auto"/>
          <w:sz w:val="24"/>
          <w:highlight w:val="none"/>
          <w:u w:val="single"/>
        </w:rPr>
      </w:pPr>
      <w:r>
        <w:rPr>
          <w:rFonts w:hint="eastAsia" w:hAnsi="宋体"/>
          <w:color w:val="auto"/>
          <w:sz w:val="24"/>
          <w:highlight w:val="none"/>
          <w:u w:val="single"/>
        </w:rPr>
        <w:t>（7）不可抗力事件引起的合同价款变更按通用条款执行。</w:t>
      </w:r>
    </w:p>
    <w:p>
      <w:pPr>
        <w:spacing w:line="440" w:lineRule="exact"/>
        <w:ind w:firstLine="480" w:firstLineChars="200"/>
        <w:rPr>
          <w:rFonts w:hint="eastAsia" w:hAnsi="宋体"/>
          <w:color w:val="auto"/>
          <w:sz w:val="24"/>
          <w:highlight w:val="none"/>
          <w:u w:val="single"/>
        </w:rPr>
      </w:pPr>
      <w:r>
        <w:rPr>
          <w:rFonts w:hint="eastAsia" w:hAnsi="宋体"/>
          <w:color w:val="auto"/>
          <w:sz w:val="24"/>
          <w:highlight w:val="none"/>
          <w:u w:val="single"/>
        </w:rPr>
        <w:t>（8）承包人报审的结算应按临安区政府投资建设管理办法有关规定执行，如发生高估冒算的审计费由承包人承担。</w:t>
      </w:r>
    </w:p>
    <w:p>
      <w:pPr>
        <w:spacing w:line="440" w:lineRule="exact"/>
        <w:ind w:firstLine="480" w:firstLineChars="200"/>
        <w:rPr>
          <w:rFonts w:hint="eastAsia" w:hAnsi="宋体"/>
          <w:color w:val="auto"/>
          <w:sz w:val="24"/>
          <w:highlight w:val="none"/>
          <w:u w:val="single"/>
        </w:rPr>
      </w:pPr>
      <w:r>
        <w:rPr>
          <w:rFonts w:hint="eastAsia" w:hAnsi="宋体"/>
          <w:color w:val="auto"/>
          <w:sz w:val="24"/>
          <w:highlight w:val="none"/>
          <w:u w:val="single"/>
        </w:rPr>
        <w:t>（9）法律、行政法规和国家有关政策变化及工程造价管理部门发布的文件影响合同价款时，如临安转发，按相关政策、文件精神协商执行。</w:t>
      </w:r>
    </w:p>
    <w:p>
      <w:pPr>
        <w:spacing w:line="440" w:lineRule="exact"/>
        <w:ind w:firstLine="480" w:firstLineChars="200"/>
        <w:rPr>
          <w:rFonts w:hAnsi="宋体"/>
          <w:color w:val="auto"/>
          <w:sz w:val="24"/>
          <w:highlight w:val="none"/>
        </w:rPr>
      </w:pPr>
      <w:r>
        <w:rPr>
          <w:rFonts w:hAnsi="宋体"/>
          <w:color w:val="auto"/>
          <w:sz w:val="24"/>
          <w:highlight w:val="none"/>
        </w:rPr>
        <w:t>12.2 预付款</w:t>
      </w:r>
    </w:p>
    <w:bookmarkEnd w:id="802"/>
    <w:bookmarkEnd w:id="803"/>
    <w:bookmarkEnd w:id="804"/>
    <w:bookmarkEnd w:id="805"/>
    <w:bookmarkEnd w:id="806"/>
    <w:bookmarkEnd w:id="807"/>
    <w:p>
      <w:pPr>
        <w:spacing w:line="440" w:lineRule="exact"/>
        <w:ind w:firstLine="480" w:firstLineChars="200"/>
        <w:rPr>
          <w:rFonts w:hAnsi="宋体"/>
          <w:color w:val="auto"/>
          <w:sz w:val="24"/>
          <w:highlight w:val="none"/>
        </w:rPr>
      </w:pPr>
      <w:r>
        <w:rPr>
          <w:rFonts w:hAnsi="宋体"/>
          <w:color w:val="auto"/>
          <w:sz w:val="24"/>
          <w:highlight w:val="none"/>
        </w:rPr>
        <w:t>12.2.1 预付款的支付</w:t>
      </w:r>
    </w:p>
    <w:p>
      <w:pPr>
        <w:spacing w:line="420" w:lineRule="exact"/>
        <w:ind w:firstLine="480" w:firstLineChars="200"/>
        <w:rPr>
          <w:rFonts w:hint="eastAsia" w:hAnsi="宋体" w:cs="宋体"/>
          <w:color w:val="auto"/>
          <w:sz w:val="24"/>
          <w:szCs w:val="22"/>
          <w:highlight w:val="none"/>
          <w:u w:val="single"/>
        </w:rPr>
      </w:pPr>
      <w:r>
        <w:rPr>
          <w:rFonts w:hint="eastAsia" w:hAnsi="宋体" w:cs="宋体"/>
          <w:color w:val="auto"/>
          <w:sz w:val="24"/>
          <w:highlight w:val="none"/>
        </w:rPr>
        <w:t>预付款支付比例或金额：</w:t>
      </w:r>
      <w:r>
        <w:rPr>
          <w:rFonts w:hint="eastAsia" w:hAnsi="宋体" w:cs="宋体"/>
          <w:color w:val="auto"/>
          <w:sz w:val="24"/>
          <w:szCs w:val="22"/>
          <w:highlight w:val="none"/>
          <w:u w:val="single"/>
          <w:lang w:val="en-US" w:eastAsia="zh-CN"/>
        </w:rPr>
        <w:t>不支付预付款</w:t>
      </w:r>
      <w:r>
        <w:rPr>
          <w:rFonts w:hint="eastAsia" w:hAnsi="宋体" w:cs="宋体"/>
          <w:color w:val="auto"/>
          <w:sz w:val="24"/>
          <w:szCs w:val="22"/>
          <w:highlight w:val="none"/>
          <w:u w:val="single"/>
        </w:rPr>
        <w:t>。</w:t>
      </w:r>
    </w:p>
    <w:p>
      <w:pPr>
        <w:spacing w:line="420" w:lineRule="exact"/>
        <w:ind w:firstLine="480" w:firstLineChars="200"/>
        <w:rPr>
          <w:rFonts w:hAnsi="宋体" w:cs="宋体"/>
          <w:color w:val="auto"/>
          <w:sz w:val="24"/>
          <w:highlight w:val="none"/>
        </w:rPr>
      </w:pPr>
      <w:r>
        <w:rPr>
          <w:rFonts w:hint="eastAsia" w:ascii="宋体" w:hAnsi="宋体" w:eastAsia="宋体" w:cs="宋体"/>
          <w:color w:val="auto"/>
          <w:sz w:val="24"/>
          <w:szCs w:val="24"/>
          <w:highlight w:val="none"/>
        </w:rPr>
        <w:t>工资预付款支付比例或金额：</w:t>
      </w:r>
      <w:r>
        <w:rPr>
          <w:rFonts w:hint="eastAsia" w:hAnsi="宋体" w:eastAsia="宋体" w:cs="宋体"/>
          <w:b/>
          <w:bCs/>
          <w:color w:val="auto"/>
          <w:sz w:val="24"/>
          <w:szCs w:val="22"/>
          <w:highlight w:val="none"/>
          <w:u w:val="single"/>
          <w:lang w:val="en-US" w:eastAsia="zh-CN"/>
        </w:rPr>
        <w:t>/</w:t>
      </w:r>
      <w:r>
        <w:rPr>
          <w:rFonts w:hint="eastAsia" w:hAnsi="宋体" w:cs="宋体"/>
          <w:color w:val="auto"/>
          <w:sz w:val="24"/>
          <w:highlight w:val="none"/>
        </w:rPr>
        <w:t>。</w:t>
      </w:r>
    </w:p>
    <w:p>
      <w:pPr>
        <w:spacing w:line="420" w:lineRule="exact"/>
        <w:ind w:firstLine="480" w:firstLineChars="200"/>
        <w:rPr>
          <w:rFonts w:hAnsi="宋体" w:cs="宋体"/>
          <w:color w:val="auto"/>
          <w:sz w:val="24"/>
          <w:highlight w:val="none"/>
        </w:rPr>
      </w:pPr>
      <w:r>
        <w:rPr>
          <w:rFonts w:hAnsi="宋体"/>
          <w:color w:val="auto"/>
          <w:sz w:val="24"/>
          <w:highlight w:val="none"/>
        </w:rPr>
        <w:t>预付款支付期限：</w:t>
      </w:r>
      <w:r>
        <w:rPr>
          <w:rFonts w:hint="eastAsia" w:hAnsi="宋体" w:cs="宋体"/>
          <w:color w:val="auto"/>
          <w:sz w:val="24"/>
          <w:highlight w:val="none"/>
          <w:u w:val="single"/>
          <w:lang w:val="en-US" w:eastAsia="zh-CN"/>
        </w:rPr>
        <w:t>/</w:t>
      </w:r>
      <w:r>
        <w:rPr>
          <w:rFonts w:hint="eastAsia" w:hAnsi="宋体" w:cs="宋体"/>
          <w:color w:val="auto"/>
          <w:sz w:val="24"/>
          <w:highlight w:val="none"/>
        </w:rPr>
        <w:t>。</w:t>
      </w:r>
    </w:p>
    <w:p>
      <w:pPr>
        <w:spacing w:line="420" w:lineRule="exact"/>
        <w:ind w:firstLine="480" w:firstLineChars="200"/>
        <w:rPr>
          <w:rFonts w:hAnsi="宋体" w:cs="宋体"/>
          <w:color w:val="auto"/>
          <w:sz w:val="24"/>
          <w:highlight w:val="none"/>
          <w:u w:val="single"/>
        </w:rPr>
      </w:pPr>
      <w:r>
        <w:rPr>
          <w:rFonts w:hAnsi="宋体"/>
          <w:color w:val="auto"/>
          <w:sz w:val="24"/>
          <w:highlight w:val="none"/>
        </w:rPr>
        <w:t>预付款扣回的方式：</w:t>
      </w:r>
      <w:r>
        <w:rPr>
          <w:rFonts w:hint="eastAsia" w:hAnsi="宋体" w:cs="宋体"/>
          <w:color w:val="auto"/>
          <w:sz w:val="24"/>
          <w:highlight w:val="none"/>
          <w:u w:val="single"/>
          <w:lang w:val="en-US" w:eastAsia="zh-CN"/>
        </w:rPr>
        <w:t>/</w:t>
      </w:r>
      <w:r>
        <w:rPr>
          <w:rFonts w:hint="eastAsia" w:hAnsi="宋体" w:cs="宋体"/>
          <w:color w:val="auto"/>
          <w:sz w:val="24"/>
          <w:highlight w:val="none"/>
          <w:u w:val="single"/>
        </w:rPr>
        <w:t>。</w:t>
      </w:r>
    </w:p>
    <w:p>
      <w:pPr>
        <w:spacing w:line="440" w:lineRule="exact"/>
        <w:ind w:firstLine="480" w:firstLineChars="200"/>
        <w:rPr>
          <w:rFonts w:hAnsi="宋体"/>
          <w:color w:val="auto"/>
          <w:sz w:val="24"/>
          <w:highlight w:val="none"/>
        </w:rPr>
      </w:pPr>
      <w:r>
        <w:rPr>
          <w:rFonts w:hAnsi="宋体"/>
          <w:color w:val="auto"/>
          <w:sz w:val="24"/>
          <w:highlight w:val="none"/>
        </w:rPr>
        <w:t>12.2.2 预付款担保</w:t>
      </w:r>
    </w:p>
    <w:bookmarkEnd w:id="808"/>
    <w:bookmarkEnd w:id="809"/>
    <w:bookmarkEnd w:id="810"/>
    <w:bookmarkEnd w:id="811"/>
    <w:bookmarkEnd w:id="812"/>
    <w:bookmarkEnd w:id="813"/>
    <w:bookmarkEnd w:id="814"/>
    <w:bookmarkEnd w:id="815"/>
    <w:bookmarkEnd w:id="816"/>
    <w:bookmarkEnd w:id="817"/>
    <w:p>
      <w:pPr>
        <w:spacing w:line="440" w:lineRule="exact"/>
        <w:ind w:firstLine="480" w:firstLineChars="200"/>
        <w:rPr>
          <w:rFonts w:hAnsi="宋体"/>
          <w:color w:val="auto"/>
          <w:sz w:val="24"/>
          <w:highlight w:val="none"/>
        </w:rPr>
      </w:pPr>
      <w:r>
        <w:rPr>
          <w:rFonts w:hAnsi="宋体"/>
          <w:color w:val="auto"/>
          <w:sz w:val="24"/>
          <w:highlight w:val="none"/>
        </w:rPr>
        <w:t>承包人提交预付款担保的期限：</w:t>
      </w:r>
      <w:r>
        <w:rPr>
          <w:rFonts w:hint="eastAsia" w:hAnsi="宋体" w:cs="宋体"/>
          <w:color w:val="auto"/>
          <w:sz w:val="24"/>
          <w:highlight w:val="none"/>
          <w:u w:val="single"/>
          <w:lang w:val="en-US" w:eastAsia="zh-CN"/>
        </w:rPr>
        <w:t>/</w:t>
      </w:r>
      <w:r>
        <w:rPr>
          <w:rFonts w:hAnsi="宋体"/>
          <w:color w:val="auto"/>
          <w:sz w:val="24"/>
          <w:highlight w:val="none"/>
        </w:rPr>
        <w:t>。</w:t>
      </w:r>
    </w:p>
    <w:p>
      <w:pPr>
        <w:spacing w:line="440" w:lineRule="exact"/>
        <w:ind w:firstLine="480" w:firstLineChars="200"/>
        <w:rPr>
          <w:rFonts w:hAnsi="宋体"/>
          <w:color w:val="auto"/>
          <w:sz w:val="24"/>
          <w:highlight w:val="none"/>
        </w:rPr>
      </w:pPr>
      <w:r>
        <w:rPr>
          <w:rFonts w:hAnsi="宋体"/>
          <w:color w:val="auto"/>
          <w:sz w:val="24"/>
          <w:highlight w:val="none"/>
        </w:rPr>
        <w:t>预付款担保的形式为：</w:t>
      </w:r>
      <w:r>
        <w:rPr>
          <w:rFonts w:hint="eastAsia" w:hAnsi="宋体" w:cs="宋体"/>
          <w:color w:val="auto"/>
          <w:sz w:val="24"/>
          <w:highlight w:val="none"/>
          <w:u w:val="single"/>
          <w:lang w:val="en-US" w:eastAsia="zh-CN"/>
        </w:rPr>
        <w:t>/</w:t>
      </w:r>
      <w:r>
        <w:rPr>
          <w:rFonts w:hAnsi="宋体"/>
          <w:color w:val="auto"/>
          <w:sz w:val="24"/>
          <w:highlight w:val="none"/>
        </w:rPr>
        <w:t>。</w:t>
      </w:r>
    </w:p>
    <w:p>
      <w:pPr>
        <w:spacing w:line="440" w:lineRule="exact"/>
        <w:ind w:firstLine="480" w:firstLineChars="200"/>
        <w:rPr>
          <w:rFonts w:hAnsi="宋体"/>
          <w:color w:val="auto"/>
          <w:sz w:val="24"/>
          <w:highlight w:val="none"/>
        </w:rPr>
      </w:pPr>
      <w:r>
        <w:rPr>
          <w:rFonts w:hAnsi="宋体"/>
          <w:color w:val="auto"/>
          <w:sz w:val="24"/>
          <w:highlight w:val="none"/>
        </w:rPr>
        <w:t>12.3 计量</w:t>
      </w:r>
    </w:p>
    <w:p>
      <w:pPr>
        <w:spacing w:line="440" w:lineRule="exact"/>
        <w:ind w:firstLine="480" w:firstLineChars="200"/>
        <w:rPr>
          <w:rFonts w:hAnsi="宋体"/>
          <w:color w:val="auto"/>
          <w:sz w:val="24"/>
          <w:highlight w:val="none"/>
        </w:rPr>
      </w:pPr>
      <w:r>
        <w:rPr>
          <w:rFonts w:hAnsi="宋体"/>
          <w:color w:val="auto"/>
          <w:sz w:val="24"/>
          <w:highlight w:val="none"/>
        </w:rPr>
        <w:t>12.3.1 计量原则</w:t>
      </w:r>
    </w:p>
    <w:p>
      <w:pPr>
        <w:spacing w:line="440" w:lineRule="exact"/>
        <w:ind w:firstLine="480" w:firstLineChars="200"/>
        <w:rPr>
          <w:rFonts w:hAnsi="宋体" w:cs="宋体"/>
          <w:b/>
          <w:color w:val="auto"/>
          <w:sz w:val="24"/>
          <w:highlight w:val="none"/>
          <w:u w:val="single"/>
        </w:rPr>
      </w:pPr>
      <w:r>
        <w:rPr>
          <w:rFonts w:hAnsi="宋体"/>
          <w:color w:val="auto"/>
          <w:sz w:val="24"/>
          <w:highlight w:val="none"/>
        </w:rPr>
        <w:t>工程量计算规则：</w:t>
      </w:r>
      <w:r>
        <w:rPr>
          <w:rFonts w:hint="eastAsia" w:hAnsi="宋体" w:cs="宋体"/>
          <w:color w:val="auto"/>
          <w:sz w:val="24"/>
          <w:highlight w:val="none"/>
          <w:u w:val="single"/>
        </w:rPr>
        <w:t>本工程的工程量（分部分项工程量及技术措施项目工程量）按双方在合同中约定应予计量且实际完成的工程量进行最终确定，工程量依据现行的《建设工程工程量清单计价规范（GB50500-2013）》、《浙江省建设工程计价规则（2018版）》、</w:t>
      </w:r>
      <w:r>
        <w:rPr>
          <w:rFonts w:hint="eastAsia" w:hAnsi="宋体" w:cs="宋体"/>
          <w:b/>
          <w:color w:val="auto"/>
          <w:sz w:val="24"/>
          <w:highlight w:val="none"/>
          <w:u w:val="single"/>
        </w:rPr>
        <w:t>杭州市建设工程工程量清单实施细则（2018年修订）</w:t>
      </w:r>
      <w:r>
        <w:rPr>
          <w:rFonts w:hint="eastAsia" w:hAnsi="宋体" w:cs="宋体"/>
          <w:color w:val="auto"/>
          <w:sz w:val="24"/>
          <w:highlight w:val="none"/>
          <w:u w:val="single"/>
        </w:rPr>
        <w:t>计算规则计算。</w:t>
      </w:r>
    </w:p>
    <w:p>
      <w:pPr>
        <w:spacing w:line="440" w:lineRule="exact"/>
        <w:ind w:firstLine="480" w:firstLineChars="200"/>
        <w:rPr>
          <w:rFonts w:hAnsi="宋体"/>
          <w:color w:val="auto"/>
          <w:sz w:val="24"/>
          <w:highlight w:val="none"/>
        </w:rPr>
      </w:pPr>
      <w:r>
        <w:rPr>
          <w:rFonts w:hAnsi="宋体"/>
          <w:color w:val="auto"/>
          <w:sz w:val="24"/>
          <w:highlight w:val="none"/>
        </w:rPr>
        <w:t>12.3.2 计量周期</w:t>
      </w:r>
    </w:p>
    <w:p>
      <w:pPr>
        <w:spacing w:line="440" w:lineRule="exact"/>
        <w:ind w:firstLine="480" w:firstLineChars="200"/>
        <w:rPr>
          <w:rFonts w:hAnsi="宋体"/>
          <w:color w:val="auto"/>
          <w:sz w:val="24"/>
          <w:highlight w:val="none"/>
        </w:rPr>
      </w:pPr>
      <w:r>
        <w:rPr>
          <w:rFonts w:hAnsi="宋体"/>
          <w:color w:val="auto"/>
          <w:sz w:val="24"/>
          <w:highlight w:val="none"/>
        </w:rPr>
        <w:t>关于计量周期的约定：</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int="eastAsia" w:hAnsi="宋体"/>
          <w:color w:val="auto"/>
          <w:kern w:val="0"/>
          <w:sz w:val="24"/>
          <w:highlight w:val="none"/>
          <w:u w:val="single"/>
        </w:rPr>
        <w:t>按通用条款规定</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r>
        <w:rPr>
          <w:rFonts w:hAnsi="宋体"/>
          <w:color w:val="auto"/>
          <w:sz w:val="24"/>
          <w:highlight w:val="none"/>
        </w:rPr>
        <w:t>。</w:t>
      </w:r>
    </w:p>
    <w:p>
      <w:pPr>
        <w:spacing w:line="440" w:lineRule="exact"/>
        <w:ind w:firstLine="480" w:firstLineChars="200"/>
        <w:rPr>
          <w:rFonts w:hAnsi="宋体"/>
          <w:color w:val="auto"/>
          <w:sz w:val="24"/>
          <w:highlight w:val="none"/>
        </w:rPr>
      </w:pPr>
      <w:r>
        <w:rPr>
          <w:rFonts w:hAnsi="宋体"/>
          <w:color w:val="auto"/>
          <w:sz w:val="24"/>
          <w:highlight w:val="none"/>
        </w:rPr>
        <w:t>12.3.3 单价合同的计量</w:t>
      </w:r>
    </w:p>
    <w:p>
      <w:pPr>
        <w:tabs>
          <w:tab w:val="left" w:pos="360"/>
          <w:tab w:val="left" w:pos="540"/>
        </w:tabs>
        <w:spacing w:line="440" w:lineRule="exact"/>
        <w:ind w:firstLine="480" w:firstLineChars="200"/>
        <w:rPr>
          <w:rFonts w:hAnsi="宋体"/>
          <w:color w:val="auto"/>
          <w:kern w:val="0"/>
          <w:sz w:val="24"/>
          <w:highlight w:val="none"/>
          <w:u w:val="single"/>
        </w:rPr>
      </w:pPr>
      <w:r>
        <w:rPr>
          <w:rFonts w:hAnsi="宋体"/>
          <w:color w:val="auto"/>
          <w:sz w:val="24"/>
          <w:highlight w:val="none"/>
        </w:rPr>
        <w:t>关于单价合同计量的约定：</w:t>
      </w:r>
      <w:r>
        <w:rPr>
          <w:rFonts w:hint="eastAsia" w:hAnsi="宋体"/>
          <w:color w:val="auto"/>
          <w:kern w:val="0"/>
          <w:sz w:val="24"/>
          <w:highlight w:val="none"/>
          <w:u w:val="single"/>
        </w:rPr>
        <w:t>。</w:t>
      </w:r>
    </w:p>
    <w:p>
      <w:pPr>
        <w:spacing w:line="440" w:lineRule="exact"/>
        <w:ind w:firstLine="480" w:firstLineChars="200"/>
        <w:rPr>
          <w:rFonts w:hAnsi="宋体"/>
          <w:color w:val="auto"/>
          <w:sz w:val="24"/>
          <w:highlight w:val="none"/>
        </w:rPr>
      </w:pPr>
      <w:r>
        <w:rPr>
          <w:rFonts w:hAnsi="宋体"/>
          <w:color w:val="auto"/>
          <w:sz w:val="24"/>
          <w:highlight w:val="none"/>
        </w:rPr>
        <w:t>12.3.4 总价合同的计量</w:t>
      </w:r>
    </w:p>
    <w:p>
      <w:pPr>
        <w:spacing w:line="440" w:lineRule="exact"/>
        <w:ind w:firstLine="480" w:firstLineChars="200"/>
        <w:rPr>
          <w:rFonts w:hint="eastAsia" w:hAnsi="宋体"/>
          <w:color w:val="auto"/>
          <w:sz w:val="24"/>
          <w:highlight w:val="none"/>
        </w:rPr>
      </w:pPr>
      <w:r>
        <w:rPr>
          <w:rFonts w:hAnsi="宋体"/>
          <w:color w:val="auto"/>
          <w:sz w:val="24"/>
          <w:highlight w:val="none"/>
        </w:rPr>
        <w:t>关于总价合同计量的约定：</w:t>
      </w:r>
      <w:r>
        <w:rPr>
          <w:rFonts w:hAnsi="宋体"/>
          <w:color w:val="auto"/>
          <w:sz w:val="24"/>
          <w:highlight w:val="none"/>
          <w:u w:val="single"/>
        </w:rPr>
        <w:t xml:space="preserve">      </w:t>
      </w:r>
      <w:r>
        <w:rPr>
          <w:rFonts w:hint="eastAsia" w:hAnsi="宋体"/>
          <w:color w:val="auto"/>
          <w:sz w:val="24"/>
          <w:highlight w:val="none"/>
          <w:u w:val="single"/>
        </w:rPr>
        <w:t>/</w:t>
      </w:r>
      <w:r>
        <w:rPr>
          <w:rFonts w:hAnsi="宋体"/>
          <w:color w:val="auto"/>
          <w:sz w:val="24"/>
          <w:highlight w:val="none"/>
          <w:u w:val="single"/>
        </w:rPr>
        <w:t xml:space="preserve">        </w:t>
      </w:r>
      <w:r>
        <w:rPr>
          <w:rFonts w:hAnsi="宋体"/>
          <w:color w:val="auto"/>
          <w:sz w:val="24"/>
          <w:highlight w:val="none"/>
        </w:rPr>
        <w:t>。</w:t>
      </w:r>
    </w:p>
    <w:p>
      <w:pPr>
        <w:spacing w:line="440" w:lineRule="exact"/>
        <w:ind w:firstLine="480" w:firstLineChars="200"/>
        <w:rPr>
          <w:rFonts w:hAnsi="宋体"/>
          <w:color w:val="auto"/>
          <w:sz w:val="24"/>
          <w:highlight w:val="none"/>
        </w:rPr>
      </w:pPr>
      <w:r>
        <w:rPr>
          <w:rFonts w:hAnsi="宋体"/>
          <w:color w:val="auto"/>
          <w:sz w:val="24"/>
          <w:highlight w:val="none"/>
        </w:rPr>
        <w:t>12.3.5总价合同采用支付分解表计量支付的，是否适用第</w:t>
      </w:r>
      <w:r>
        <w:rPr>
          <w:rFonts w:hAnsi="宋体"/>
          <w:color w:val="auto"/>
          <w:kern w:val="0"/>
          <w:sz w:val="24"/>
          <w:highlight w:val="none"/>
        </w:rPr>
        <w:t xml:space="preserve">12.3.4 </w:t>
      </w:r>
      <w:r>
        <w:rPr>
          <w:rFonts w:hAnsi="宋体"/>
          <w:color w:val="auto"/>
          <w:sz w:val="24"/>
          <w:highlight w:val="none"/>
        </w:rPr>
        <w:t>项</w:t>
      </w:r>
      <w:r>
        <w:rPr>
          <w:rFonts w:hint="eastAsia" w:hAnsi="宋体"/>
          <w:color w:val="auto"/>
          <w:kern w:val="0"/>
          <w:sz w:val="24"/>
          <w:highlight w:val="none"/>
        </w:rPr>
        <w:t>〔</w:t>
      </w:r>
      <w:r>
        <w:rPr>
          <w:rFonts w:hAnsi="宋体"/>
          <w:color w:val="auto"/>
          <w:kern w:val="0"/>
          <w:sz w:val="24"/>
          <w:highlight w:val="none"/>
        </w:rPr>
        <w:t>总价合同的计量</w:t>
      </w:r>
      <w:r>
        <w:rPr>
          <w:rFonts w:hint="eastAsia" w:hAnsi="宋体"/>
          <w:color w:val="auto"/>
          <w:kern w:val="0"/>
          <w:sz w:val="24"/>
          <w:highlight w:val="none"/>
        </w:rPr>
        <w:t>〕</w:t>
      </w:r>
      <w:r>
        <w:rPr>
          <w:rFonts w:hAnsi="宋体"/>
          <w:color w:val="auto"/>
          <w:sz w:val="24"/>
          <w:highlight w:val="none"/>
        </w:rPr>
        <w:t>约定</w:t>
      </w:r>
      <w:r>
        <w:rPr>
          <w:rFonts w:hint="eastAsia" w:hAnsi="宋体"/>
          <w:color w:val="auto"/>
          <w:sz w:val="24"/>
          <w:highlight w:val="none"/>
        </w:rPr>
        <w:t>进行计量：</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rPr>
        <w:t>。</w:t>
      </w:r>
    </w:p>
    <w:p>
      <w:pPr>
        <w:spacing w:line="440" w:lineRule="exact"/>
        <w:ind w:firstLine="480" w:firstLineChars="200"/>
        <w:rPr>
          <w:rFonts w:hAnsi="宋体"/>
          <w:color w:val="auto"/>
          <w:sz w:val="24"/>
          <w:highlight w:val="none"/>
        </w:rPr>
      </w:pPr>
      <w:r>
        <w:rPr>
          <w:rFonts w:hAnsi="宋体"/>
          <w:color w:val="auto"/>
          <w:sz w:val="24"/>
          <w:highlight w:val="none"/>
        </w:rPr>
        <w:t>12.3.6 其他价格形式合同的计量</w:t>
      </w:r>
    </w:p>
    <w:p>
      <w:pPr>
        <w:spacing w:line="440" w:lineRule="exact"/>
        <w:ind w:firstLine="480" w:firstLineChars="200"/>
        <w:rPr>
          <w:rFonts w:hAnsi="宋体"/>
          <w:color w:val="auto"/>
          <w:sz w:val="24"/>
          <w:highlight w:val="none"/>
        </w:rPr>
      </w:pPr>
      <w:r>
        <w:rPr>
          <w:rFonts w:hAnsi="宋体"/>
          <w:color w:val="auto"/>
          <w:sz w:val="24"/>
          <w:highlight w:val="none"/>
        </w:rPr>
        <w:t>其他价格形式的计量方式和程序：</w:t>
      </w:r>
      <w:r>
        <w:rPr>
          <w:rFonts w:hAnsi="宋体"/>
          <w:color w:val="auto"/>
          <w:sz w:val="24"/>
          <w:highlight w:val="none"/>
          <w:u w:val="single"/>
        </w:rPr>
        <w:t xml:space="preserve">   </w:t>
      </w:r>
      <w:r>
        <w:rPr>
          <w:rFonts w:hint="eastAsia" w:hAnsi="宋体"/>
          <w:color w:val="auto"/>
          <w:sz w:val="24"/>
          <w:highlight w:val="none"/>
          <w:u w:val="single"/>
        </w:rPr>
        <w:t xml:space="preserve"> /</w:t>
      </w:r>
    </w:p>
    <w:p>
      <w:pPr>
        <w:spacing w:line="440" w:lineRule="exact"/>
        <w:ind w:firstLine="480" w:firstLineChars="200"/>
        <w:rPr>
          <w:rFonts w:hAnsi="宋体"/>
          <w:color w:val="auto"/>
          <w:sz w:val="24"/>
          <w:highlight w:val="none"/>
        </w:rPr>
      </w:pPr>
      <w:bookmarkStart w:id="818" w:name="_Toc292559921"/>
      <w:bookmarkStart w:id="819" w:name="_Toc296346712"/>
      <w:bookmarkStart w:id="820" w:name="_Toc297048397"/>
      <w:bookmarkStart w:id="821" w:name="_Toc303539163"/>
      <w:bookmarkStart w:id="822" w:name="_Toc296347210"/>
      <w:bookmarkStart w:id="823" w:name="_Toc296891039"/>
      <w:bookmarkStart w:id="824" w:name="_Toc296891251"/>
      <w:bookmarkStart w:id="825" w:name="_Toc297123556"/>
      <w:bookmarkStart w:id="826" w:name="_Toc296503211"/>
      <w:bookmarkStart w:id="827" w:name="_Toc296944550"/>
      <w:bookmarkStart w:id="828" w:name="_Toc292559416"/>
      <w:bookmarkStart w:id="829" w:name="_Toc297120511"/>
      <w:bookmarkStart w:id="830" w:name="_Toc297216215"/>
      <w:bookmarkStart w:id="831" w:name="_Toc300935006"/>
      <w:r>
        <w:rPr>
          <w:rFonts w:hAnsi="宋体"/>
          <w:color w:val="auto"/>
          <w:sz w:val="24"/>
          <w:highlight w:val="none"/>
        </w:rPr>
        <w:t>12.4 工程进度款支付</w:t>
      </w:r>
    </w:p>
    <w:p>
      <w:pPr>
        <w:spacing w:line="440" w:lineRule="exact"/>
        <w:ind w:firstLine="480" w:firstLineChars="200"/>
        <w:rPr>
          <w:rFonts w:hAnsi="宋体"/>
          <w:color w:val="auto"/>
          <w:sz w:val="24"/>
          <w:highlight w:val="none"/>
        </w:rPr>
      </w:pPr>
      <w:r>
        <w:rPr>
          <w:rFonts w:hAnsi="宋体"/>
          <w:color w:val="auto"/>
          <w:sz w:val="24"/>
          <w:highlight w:val="none"/>
        </w:rPr>
        <w:t>12.4.1 付款周期</w:t>
      </w:r>
    </w:p>
    <w:p>
      <w:pPr>
        <w:pStyle w:val="2"/>
        <w:snapToGrid w:val="0"/>
        <w:spacing w:line="440" w:lineRule="exact"/>
        <w:outlineLvl w:val="0"/>
        <w:rPr>
          <w:rFonts w:hint="eastAsia"/>
          <w:color w:val="auto"/>
          <w:sz w:val="24"/>
          <w:highlight w:val="none"/>
          <w:u w:val="single"/>
        </w:rPr>
      </w:pPr>
      <w:r>
        <w:rPr>
          <w:color w:val="auto"/>
          <w:sz w:val="24"/>
          <w:szCs w:val="24"/>
          <w:highlight w:val="none"/>
        </w:rPr>
        <w:t>关于付款周期的约定：</w:t>
      </w:r>
      <w:r>
        <w:rPr>
          <w:rFonts w:hint="eastAsia"/>
          <w:color w:val="auto"/>
          <w:sz w:val="24"/>
          <w:szCs w:val="24"/>
          <w:highlight w:val="none"/>
          <w:u w:val="single"/>
          <w:lang w:eastAsia="zh-CN"/>
        </w:rPr>
        <w:t>合同签订后</w:t>
      </w:r>
      <w:r>
        <w:rPr>
          <w:rFonts w:hint="eastAsia"/>
          <w:color w:val="auto"/>
          <w:sz w:val="24"/>
          <w:szCs w:val="24"/>
          <w:highlight w:val="none"/>
          <w:u w:val="single"/>
          <w:lang w:val="en-US" w:eastAsia="zh-CN"/>
        </w:rPr>
        <w:t>30天内，支付合同总价的20%，</w:t>
      </w:r>
      <w:r>
        <w:rPr>
          <w:rFonts w:hint="eastAsia"/>
          <w:color w:val="auto"/>
          <w:sz w:val="24"/>
          <w:highlight w:val="none"/>
          <w:u w:val="single"/>
        </w:rPr>
        <w:t>当工程竣工验收合格，且承包人按要求提交全套技术资料（含决算资料）后付至合同总价的80%</w:t>
      </w:r>
      <w:r>
        <w:rPr>
          <w:rFonts w:hint="eastAsia"/>
          <w:b/>
          <w:bCs/>
          <w:color w:val="auto"/>
          <w:sz w:val="24"/>
          <w:highlight w:val="none"/>
          <w:u w:val="single"/>
        </w:rPr>
        <w:t>并同时扣回预付款</w:t>
      </w:r>
      <w:r>
        <w:rPr>
          <w:rFonts w:hint="eastAsia"/>
          <w:color w:val="auto"/>
          <w:sz w:val="24"/>
          <w:highlight w:val="none"/>
          <w:u w:val="single"/>
        </w:rPr>
        <w:t>；经审计结束后30日内付至结算价的9</w:t>
      </w:r>
      <w:r>
        <w:rPr>
          <w:rFonts w:hint="eastAsia"/>
          <w:color w:val="auto"/>
          <w:sz w:val="24"/>
          <w:highlight w:val="none"/>
          <w:u w:val="single"/>
          <w:lang w:val="en-US" w:eastAsia="zh-CN"/>
        </w:rPr>
        <w:t>8</w:t>
      </w:r>
      <w:r>
        <w:rPr>
          <w:rFonts w:hint="eastAsia"/>
          <w:color w:val="auto"/>
          <w:sz w:val="24"/>
          <w:highlight w:val="none"/>
          <w:u w:val="single"/>
        </w:rPr>
        <w:t>.5%；其余</w:t>
      </w:r>
      <w:r>
        <w:rPr>
          <w:rFonts w:hint="eastAsia"/>
          <w:color w:val="auto"/>
          <w:sz w:val="24"/>
          <w:highlight w:val="none"/>
          <w:u w:val="single"/>
          <w:lang w:val="en-US" w:eastAsia="zh-CN"/>
        </w:rPr>
        <w:t>1</w:t>
      </w:r>
      <w:r>
        <w:rPr>
          <w:rFonts w:hint="eastAsia"/>
          <w:color w:val="auto"/>
          <w:sz w:val="24"/>
          <w:highlight w:val="none"/>
          <w:u w:val="single"/>
        </w:rPr>
        <w:t>.5%留作质量保修金。保修服务期内须按投标承诺进行保修服务，并须达到发包人要求，否则发包人有权暂扣质量保修金。</w:t>
      </w:r>
    </w:p>
    <w:p>
      <w:pPr>
        <w:spacing w:line="420" w:lineRule="exact"/>
        <w:ind w:firstLine="482" w:firstLineChars="200"/>
        <w:rPr>
          <w:rFonts w:hAnsi="宋体" w:cs="宋体"/>
          <w:b/>
          <w:color w:val="auto"/>
          <w:sz w:val="24"/>
          <w:highlight w:val="none"/>
          <w:u w:val="single"/>
        </w:rPr>
      </w:pPr>
      <w:r>
        <w:rPr>
          <w:rFonts w:hint="eastAsia" w:hAnsi="宋体" w:cs="宋体"/>
          <w:b/>
          <w:color w:val="auto"/>
          <w:sz w:val="24"/>
          <w:highlight w:val="none"/>
          <w:u w:val="single"/>
        </w:rPr>
        <w:t>▲</w:t>
      </w:r>
      <w:r>
        <w:rPr>
          <w:rFonts w:hint="eastAsia" w:hAnsi="宋体" w:cs="宋体"/>
          <w:b/>
          <w:color w:val="auto"/>
          <w:sz w:val="24"/>
          <w:highlight w:val="none"/>
          <w:u w:val="single"/>
          <w:lang w:val="en-US" w:eastAsia="zh-CN"/>
        </w:rPr>
        <w:t>乙方须</w:t>
      </w:r>
      <w:r>
        <w:rPr>
          <w:rFonts w:hint="eastAsia" w:hAnsi="宋体" w:cs="宋体"/>
          <w:b/>
          <w:color w:val="auto"/>
          <w:sz w:val="24"/>
          <w:highlight w:val="none"/>
          <w:u w:val="single"/>
        </w:rPr>
        <w:t>严格落实民工工资支付和“无欠薪”专项治理工作各项要求，实行“实名制登记、民工工资账户分设、银行代发工资、民工工资保证金缴纳、按月足额支付、民工维权告示牌”等，确保劳动者足额领取工资，确保不发生因欠薪引发重大群体性事件。</w:t>
      </w:r>
    </w:p>
    <w:p>
      <w:pPr>
        <w:pStyle w:val="2"/>
        <w:snapToGrid w:val="0"/>
        <w:spacing w:line="440" w:lineRule="exact"/>
        <w:ind w:firstLine="480"/>
        <w:outlineLvl w:val="0"/>
        <w:rPr>
          <w:rFonts w:hint="eastAsia"/>
          <w:color w:val="auto"/>
          <w:sz w:val="24"/>
          <w:highlight w:val="none"/>
          <w:u w:val="single"/>
        </w:rPr>
      </w:pPr>
      <w:r>
        <w:rPr>
          <w:rFonts w:hint="eastAsia"/>
          <w:color w:val="auto"/>
          <w:sz w:val="24"/>
          <w:highlight w:val="none"/>
          <w:u w:val="single"/>
          <w:lang w:val="en-US" w:eastAsia="zh-CN"/>
        </w:rPr>
        <w:t>3</w:t>
      </w:r>
      <w:r>
        <w:rPr>
          <w:rFonts w:hint="eastAsia"/>
          <w:color w:val="auto"/>
          <w:sz w:val="24"/>
          <w:highlight w:val="none"/>
          <w:u w:val="single"/>
        </w:rPr>
        <w:t>）根据工程实际完成进度，承包人于每次付款前一周提交三份已完工工程量报告，经监理公司审核，发包人审定，承包人签字确认后支付工程款（进度款）。如不按期提交，视为承包方将本期完成工程量计入下期工程款，由此发生的责任全部由承包方承担。</w:t>
      </w:r>
    </w:p>
    <w:p>
      <w:pPr>
        <w:pStyle w:val="2"/>
        <w:snapToGrid w:val="0"/>
        <w:spacing w:line="440" w:lineRule="exact"/>
        <w:ind w:firstLine="480"/>
        <w:outlineLvl w:val="0"/>
        <w:rPr>
          <w:rFonts w:hint="eastAsia"/>
          <w:color w:val="auto"/>
          <w:sz w:val="24"/>
          <w:highlight w:val="none"/>
          <w:u w:val="single"/>
        </w:rPr>
      </w:pPr>
      <w:r>
        <w:rPr>
          <w:rFonts w:hint="eastAsia"/>
          <w:color w:val="auto"/>
          <w:sz w:val="24"/>
          <w:highlight w:val="none"/>
          <w:u w:val="single"/>
          <w:lang w:val="en-US" w:eastAsia="zh-CN"/>
        </w:rPr>
        <w:t>4</w:t>
      </w:r>
      <w:r>
        <w:rPr>
          <w:rFonts w:hint="eastAsia"/>
          <w:color w:val="auto"/>
          <w:sz w:val="24"/>
          <w:highlight w:val="none"/>
          <w:u w:val="single"/>
        </w:rPr>
        <w:t xml:space="preserve">）工程变更部分价款于结算审计后统一支付，但发包人与承包人另行签订补充协议的除外。     </w:t>
      </w:r>
    </w:p>
    <w:p>
      <w:pPr>
        <w:pStyle w:val="2"/>
        <w:snapToGrid w:val="0"/>
        <w:spacing w:line="440" w:lineRule="exact"/>
        <w:ind w:firstLine="480"/>
        <w:outlineLvl w:val="0"/>
        <w:rPr>
          <w:rFonts w:hint="eastAsia"/>
          <w:color w:val="auto"/>
          <w:sz w:val="24"/>
          <w:highlight w:val="none"/>
          <w:u w:val="single"/>
        </w:rPr>
      </w:pPr>
      <w:r>
        <w:rPr>
          <w:rFonts w:hint="eastAsia"/>
          <w:color w:val="auto"/>
          <w:sz w:val="24"/>
          <w:highlight w:val="none"/>
          <w:u w:val="single"/>
          <w:lang w:val="en-US" w:eastAsia="zh-CN"/>
        </w:rPr>
        <w:t>5</w:t>
      </w:r>
      <w:r>
        <w:rPr>
          <w:rFonts w:hint="eastAsia"/>
          <w:color w:val="auto"/>
          <w:sz w:val="24"/>
          <w:highlight w:val="none"/>
          <w:u w:val="single"/>
        </w:rPr>
        <w:t>）根据国家对建设工程税收的有关规定，临安市税务部门要求在支付工程款（进度款）时，必须由当地财税部门开具发票。发包人付至工程结算价9</w:t>
      </w:r>
      <w:r>
        <w:rPr>
          <w:rFonts w:hint="eastAsia"/>
          <w:color w:val="auto"/>
          <w:sz w:val="24"/>
          <w:highlight w:val="none"/>
          <w:u w:val="single"/>
          <w:lang w:val="en-US" w:eastAsia="zh-CN"/>
        </w:rPr>
        <w:t>8</w:t>
      </w:r>
      <w:r>
        <w:rPr>
          <w:rFonts w:hint="eastAsia"/>
          <w:color w:val="auto"/>
          <w:sz w:val="24"/>
          <w:highlight w:val="none"/>
          <w:u w:val="single"/>
        </w:rPr>
        <w:t xml:space="preserve">.5%工程款以前，承包人应向发包人提供工程结算价100%的发票。 </w:t>
      </w:r>
    </w:p>
    <w:p>
      <w:pPr>
        <w:pStyle w:val="2"/>
        <w:snapToGrid w:val="0"/>
        <w:spacing w:line="440" w:lineRule="exact"/>
        <w:ind w:firstLine="480"/>
        <w:outlineLvl w:val="0"/>
        <w:rPr>
          <w:color w:val="auto"/>
          <w:sz w:val="24"/>
          <w:szCs w:val="24"/>
          <w:highlight w:val="none"/>
        </w:rPr>
      </w:pPr>
      <w:r>
        <w:rPr>
          <w:color w:val="auto"/>
          <w:sz w:val="24"/>
          <w:szCs w:val="24"/>
          <w:highlight w:val="none"/>
        </w:rPr>
        <w:t>12.4.2 进度付款申请单的编制</w:t>
      </w:r>
    </w:p>
    <w:p>
      <w:pPr>
        <w:spacing w:line="440" w:lineRule="exact"/>
        <w:ind w:firstLine="480" w:firstLineChars="200"/>
        <w:rPr>
          <w:rFonts w:hAnsi="宋体"/>
          <w:color w:val="auto"/>
          <w:sz w:val="24"/>
          <w:highlight w:val="none"/>
        </w:rPr>
      </w:pPr>
      <w:r>
        <w:rPr>
          <w:rFonts w:hAnsi="宋体"/>
          <w:color w:val="auto"/>
          <w:sz w:val="24"/>
          <w:highlight w:val="none"/>
        </w:rPr>
        <w:t>关于进度付款申请单编制的约定：</w:t>
      </w:r>
      <w:r>
        <w:rPr>
          <w:rFonts w:hAnsi="宋体"/>
          <w:color w:val="auto"/>
          <w:sz w:val="24"/>
          <w:highlight w:val="none"/>
          <w:u w:val="single"/>
        </w:rPr>
        <w:t xml:space="preserve">   </w:t>
      </w:r>
      <w:r>
        <w:rPr>
          <w:rFonts w:hint="eastAsia" w:hAnsi="宋体"/>
          <w:color w:val="auto"/>
          <w:sz w:val="24"/>
          <w:highlight w:val="none"/>
          <w:u w:val="single"/>
        </w:rPr>
        <w:t>按通用条款规定</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r>
        <w:rPr>
          <w:rFonts w:hAnsi="宋体"/>
          <w:color w:val="auto"/>
          <w:sz w:val="24"/>
          <w:highlight w:val="none"/>
        </w:rPr>
        <w:t>。</w:t>
      </w:r>
    </w:p>
    <w:p>
      <w:pPr>
        <w:spacing w:line="440" w:lineRule="exact"/>
        <w:ind w:firstLine="480" w:firstLineChars="200"/>
        <w:rPr>
          <w:rFonts w:hAnsi="宋体"/>
          <w:color w:val="auto"/>
          <w:sz w:val="24"/>
          <w:highlight w:val="none"/>
        </w:rPr>
      </w:pPr>
      <w:r>
        <w:rPr>
          <w:rFonts w:hAnsi="宋体"/>
          <w:color w:val="auto"/>
          <w:sz w:val="24"/>
          <w:highlight w:val="none"/>
        </w:rPr>
        <w:t>1</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r>
        <w:rPr>
          <w:rFonts w:hAnsi="宋体"/>
          <w:color w:val="auto"/>
          <w:sz w:val="24"/>
          <w:highlight w:val="none"/>
        </w:rPr>
        <w:t>2.4.3 进度付款申请单的提交</w:t>
      </w:r>
    </w:p>
    <w:p>
      <w:pPr>
        <w:spacing w:line="440" w:lineRule="exact"/>
        <w:ind w:firstLine="480" w:firstLineChars="200"/>
        <w:rPr>
          <w:rFonts w:hint="eastAsia" w:hAnsi="宋体"/>
          <w:color w:val="auto"/>
          <w:sz w:val="24"/>
          <w:highlight w:val="none"/>
          <w:u w:val="single"/>
        </w:rPr>
      </w:pPr>
      <w:r>
        <w:rPr>
          <w:rFonts w:hAnsi="宋体"/>
          <w:color w:val="auto"/>
          <w:sz w:val="24"/>
          <w:highlight w:val="none"/>
        </w:rPr>
        <w:t>（1）单价合同进度付款申请单提交的约定</w:t>
      </w:r>
      <w:r>
        <w:rPr>
          <w:rFonts w:hint="eastAsia" w:hAnsi="宋体"/>
          <w:color w:val="auto"/>
          <w:sz w:val="24"/>
          <w:highlight w:val="none"/>
        </w:rPr>
        <w:t>：</w:t>
      </w:r>
      <w:r>
        <w:rPr>
          <w:rFonts w:hint="eastAsia" w:hAnsi="宋体"/>
          <w:color w:val="auto"/>
          <w:sz w:val="24"/>
          <w:highlight w:val="none"/>
          <w:u w:val="single"/>
        </w:rPr>
        <w:t>按通用条款规定</w:t>
      </w:r>
    </w:p>
    <w:p>
      <w:pPr>
        <w:spacing w:line="440" w:lineRule="exact"/>
        <w:ind w:firstLine="480" w:firstLineChars="200"/>
        <w:rPr>
          <w:rFonts w:hAnsi="宋体"/>
          <w:color w:val="auto"/>
          <w:sz w:val="24"/>
          <w:highlight w:val="none"/>
        </w:rPr>
      </w:pPr>
      <w:r>
        <w:rPr>
          <w:rFonts w:hAnsi="宋体"/>
          <w:color w:val="auto"/>
          <w:sz w:val="24"/>
          <w:highlight w:val="none"/>
        </w:rPr>
        <w:t>（2）总价合同进度付款申请单提交的约定</w:t>
      </w:r>
      <w:r>
        <w:rPr>
          <w:rFonts w:hint="eastAsia" w:hAnsi="宋体"/>
          <w:color w:val="auto"/>
          <w:sz w:val="24"/>
          <w:highlight w:val="none"/>
        </w:rPr>
        <w:t>：</w:t>
      </w:r>
      <w:r>
        <w:rPr>
          <w:rFonts w:hint="eastAsia" w:hAnsi="宋体" w:cs="宋体"/>
          <w:color w:val="auto"/>
          <w:sz w:val="24"/>
          <w:highlight w:val="none"/>
          <w:u w:val="single"/>
        </w:rPr>
        <w:t>/</w:t>
      </w:r>
      <w:r>
        <w:rPr>
          <w:rFonts w:hAnsi="宋体"/>
          <w:color w:val="auto"/>
          <w:sz w:val="24"/>
          <w:highlight w:val="none"/>
        </w:rPr>
        <w:t>。</w:t>
      </w:r>
    </w:p>
    <w:p>
      <w:pPr>
        <w:spacing w:line="440" w:lineRule="exact"/>
        <w:ind w:firstLine="480" w:firstLineChars="200"/>
        <w:rPr>
          <w:rFonts w:hAnsi="宋体"/>
          <w:color w:val="auto"/>
          <w:sz w:val="24"/>
          <w:highlight w:val="none"/>
        </w:rPr>
      </w:pPr>
      <w:r>
        <w:rPr>
          <w:rFonts w:hAnsi="宋体"/>
          <w:color w:val="auto"/>
          <w:sz w:val="24"/>
          <w:highlight w:val="none"/>
        </w:rPr>
        <w:t>（3）其他价格形式合同进度付款申请单提交的约定：</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rPr>
        <w:t>。</w:t>
      </w:r>
    </w:p>
    <w:p>
      <w:pPr>
        <w:spacing w:line="440" w:lineRule="exact"/>
        <w:ind w:firstLine="480" w:firstLineChars="200"/>
        <w:rPr>
          <w:rFonts w:hAnsi="宋体"/>
          <w:color w:val="auto"/>
          <w:sz w:val="24"/>
          <w:highlight w:val="none"/>
        </w:rPr>
      </w:pPr>
      <w:r>
        <w:rPr>
          <w:rFonts w:hAnsi="宋体"/>
          <w:color w:val="auto"/>
          <w:sz w:val="24"/>
          <w:highlight w:val="none"/>
        </w:rPr>
        <w:t>12.4.4 进度款审核和支付</w:t>
      </w:r>
    </w:p>
    <w:p>
      <w:pPr>
        <w:spacing w:line="440" w:lineRule="exact"/>
        <w:ind w:firstLine="480" w:firstLineChars="200"/>
        <w:rPr>
          <w:rFonts w:hAnsi="宋体"/>
          <w:color w:val="auto"/>
          <w:sz w:val="24"/>
          <w:highlight w:val="none"/>
          <w:u w:val="single"/>
        </w:rPr>
      </w:pPr>
      <w:r>
        <w:rPr>
          <w:rFonts w:hAnsi="宋体"/>
          <w:color w:val="auto"/>
          <w:sz w:val="24"/>
          <w:highlight w:val="none"/>
        </w:rPr>
        <w:t>（1）监理人审查并报送发包人的期限：</w:t>
      </w:r>
      <w:r>
        <w:rPr>
          <w:rFonts w:hint="eastAsia" w:hAnsi="宋体"/>
          <w:color w:val="auto"/>
          <w:sz w:val="24"/>
          <w:highlight w:val="none"/>
          <w:u w:val="single"/>
        </w:rPr>
        <w:t>收到进度付款申请单以及相关资料后7天内</w:t>
      </w:r>
      <w:r>
        <w:rPr>
          <w:rFonts w:hAnsi="宋体"/>
          <w:color w:val="auto"/>
          <w:sz w:val="24"/>
          <w:highlight w:val="none"/>
        </w:rPr>
        <w:t>。</w:t>
      </w:r>
    </w:p>
    <w:p>
      <w:pPr>
        <w:spacing w:line="440" w:lineRule="exact"/>
        <w:ind w:firstLine="480" w:firstLineChars="200"/>
        <w:rPr>
          <w:rFonts w:hAnsi="宋体"/>
          <w:color w:val="auto"/>
          <w:sz w:val="24"/>
          <w:highlight w:val="none"/>
        </w:rPr>
      </w:pPr>
      <w:r>
        <w:rPr>
          <w:rFonts w:hAnsi="宋体"/>
          <w:color w:val="auto"/>
          <w:sz w:val="24"/>
          <w:highlight w:val="none"/>
        </w:rPr>
        <w:t>发包人完成审批并签发进度款支付证书的期限：</w:t>
      </w:r>
      <w:r>
        <w:rPr>
          <w:rFonts w:hint="eastAsia" w:hAnsi="宋体"/>
          <w:color w:val="auto"/>
          <w:sz w:val="24"/>
          <w:highlight w:val="none"/>
          <w:u w:val="single"/>
        </w:rPr>
        <w:t>收到进度款申请单及相关资料后7天内</w:t>
      </w:r>
      <w:r>
        <w:rPr>
          <w:rFonts w:hAnsi="宋体"/>
          <w:color w:val="auto"/>
          <w:sz w:val="24"/>
          <w:highlight w:val="none"/>
        </w:rPr>
        <w:t>。</w:t>
      </w:r>
    </w:p>
    <w:p>
      <w:pPr>
        <w:spacing w:line="440" w:lineRule="exact"/>
        <w:ind w:firstLine="480" w:firstLineChars="200"/>
        <w:rPr>
          <w:rFonts w:hAnsi="宋体"/>
          <w:color w:val="auto"/>
          <w:sz w:val="24"/>
          <w:highlight w:val="none"/>
        </w:rPr>
      </w:pPr>
      <w:r>
        <w:rPr>
          <w:rFonts w:hAnsi="宋体"/>
          <w:color w:val="auto"/>
          <w:sz w:val="24"/>
          <w:highlight w:val="none"/>
        </w:rPr>
        <w:t>（2）发包人支付进度款的期限：</w:t>
      </w:r>
      <w:r>
        <w:rPr>
          <w:rFonts w:hint="eastAsia" w:hAnsi="宋体"/>
          <w:color w:val="auto"/>
          <w:sz w:val="24"/>
          <w:highlight w:val="none"/>
          <w:u w:val="single"/>
        </w:rPr>
        <w:t xml:space="preserve">           </w:t>
      </w:r>
      <w:r>
        <w:rPr>
          <w:rFonts w:hAnsi="宋体"/>
          <w:color w:val="auto"/>
          <w:sz w:val="24"/>
          <w:highlight w:val="none"/>
        </w:rPr>
        <w:t>。</w:t>
      </w:r>
    </w:p>
    <w:p>
      <w:pPr>
        <w:spacing w:line="440" w:lineRule="exact"/>
        <w:ind w:firstLine="480" w:firstLineChars="200"/>
        <w:rPr>
          <w:rFonts w:hint="eastAsia" w:hAnsi="宋体"/>
          <w:color w:val="auto"/>
          <w:sz w:val="24"/>
          <w:highlight w:val="none"/>
        </w:rPr>
      </w:pPr>
      <w:r>
        <w:rPr>
          <w:rFonts w:hAnsi="宋体"/>
          <w:color w:val="auto"/>
          <w:sz w:val="24"/>
          <w:highlight w:val="none"/>
        </w:rPr>
        <w:t>发包人逾期支付进度款的违约金的计算方式：</w:t>
      </w:r>
      <w:r>
        <w:rPr>
          <w:rFonts w:hint="eastAsia" w:hAnsi="宋体"/>
          <w:color w:val="auto"/>
          <w:sz w:val="24"/>
          <w:highlight w:val="none"/>
          <w:u w:val="single"/>
        </w:rPr>
        <w:t>/</w:t>
      </w:r>
      <w:r>
        <w:rPr>
          <w:rFonts w:hAnsi="宋体"/>
          <w:color w:val="auto"/>
          <w:sz w:val="24"/>
          <w:highlight w:val="none"/>
        </w:rPr>
        <w:t>。</w:t>
      </w:r>
    </w:p>
    <w:p>
      <w:pPr>
        <w:spacing w:line="440" w:lineRule="exact"/>
        <w:ind w:firstLine="480" w:firstLineChars="200"/>
        <w:rPr>
          <w:rFonts w:hint="eastAsia" w:hAnsi="宋体"/>
          <w:color w:val="auto"/>
          <w:sz w:val="24"/>
          <w:highlight w:val="none"/>
        </w:rPr>
      </w:pPr>
      <w:r>
        <w:rPr>
          <w:rFonts w:hAnsi="宋体"/>
          <w:color w:val="auto"/>
          <w:sz w:val="24"/>
          <w:highlight w:val="none"/>
        </w:rPr>
        <w:t>12.4.6 支付分解表的编制</w:t>
      </w:r>
    </w:p>
    <w:p>
      <w:pPr>
        <w:spacing w:line="440" w:lineRule="exact"/>
        <w:ind w:firstLine="480" w:firstLineChars="200"/>
        <w:rPr>
          <w:rFonts w:hAnsi="宋体"/>
          <w:color w:val="auto"/>
          <w:sz w:val="24"/>
          <w:highlight w:val="none"/>
        </w:rPr>
      </w:pPr>
      <w:r>
        <w:rPr>
          <w:rFonts w:hAnsi="宋体"/>
          <w:color w:val="auto"/>
          <w:sz w:val="24"/>
          <w:highlight w:val="none"/>
        </w:rPr>
        <w:t>2、总价合同支付分解表的编制与审批：</w:t>
      </w:r>
      <w:r>
        <w:rPr>
          <w:rFonts w:hint="eastAsia" w:hAnsi="宋体"/>
          <w:color w:val="auto"/>
          <w:sz w:val="24"/>
          <w:highlight w:val="none"/>
          <w:u w:val="single"/>
        </w:rPr>
        <w:t>/</w:t>
      </w:r>
      <w:r>
        <w:rPr>
          <w:rFonts w:hAnsi="宋体"/>
          <w:color w:val="auto"/>
          <w:sz w:val="24"/>
          <w:highlight w:val="none"/>
        </w:rPr>
        <w:t>。</w:t>
      </w:r>
    </w:p>
    <w:p>
      <w:pPr>
        <w:spacing w:line="440" w:lineRule="exact"/>
        <w:ind w:firstLine="480" w:firstLineChars="200"/>
        <w:rPr>
          <w:rFonts w:hAnsi="宋体"/>
          <w:color w:val="auto"/>
          <w:sz w:val="24"/>
          <w:highlight w:val="none"/>
        </w:rPr>
      </w:pPr>
      <w:r>
        <w:rPr>
          <w:rFonts w:hAnsi="宋体"/>
          <w:color w:val="auto"/>
          <w:sz w:val="24"/>
          <w:highlight w:val="none"/>
        </w:rPr>
        <w:t>3、单价合同的总价项目支付分解表的编制与审批：</w:t>
      </w:r>
      <w:r>
        <w:rPr>
          <w:rFonts w:hint="eastAsia" w:hAnsi="宋体"/>
          <w:color w:val="auto"/>
          <w:sz w:val="24"/>
          <w:highlight w:val="none"/>
          <w:u w:val="single"/>
        </w:rPr>
        <w:t>/</w:t>
      </w:r>
      <w:r>
        <w:rPr>
          <w:rFonts w:hAnsi="宋体"/>
          <w:color w:val="auto"/>
          <w:sz w:val="24"/>
          <w:highlight w:val="none"/>
        </w:rPr>
        <w:t>。</w:t>
      </w:r>
    </w:p>
    <w:bookmarkEnd w:id="684"/>
    <w:p>
      <w:pPr>
        <w:spacing w:line="440" w:lineRule="exact"/>
        <w:ind w:firstLine="480" w:firstLineChars="200"/>
        <w:rPr>
          <w:color w:val="auto"/>
          <w:sz w:val="24"/>
          <w:highlight w:val="none"/>
        </w:rPr>
      </w:pPr>
      <w:bookmarkStart w:id="832" w:name="_Toc351203645"/>
      <w:bookmarkStart w:id="833" w:name="_Toc296891047"/>
      <w:bookmarkStart w:id="834" w:name="_Toc297120519"/>
      <w:bookmarkStart w:id="835" w:name="_Toc297216223"/>
      <w:bookmarkStart w:id="836" w:name="_Toc300935015"/>
      <w:bookmarkStart w:id="837" w:name="_Toc303539172"/>
      <w:bookmarkStart w:id="838" w:name="_Toc296347218"/>
      <w:bookmarkStart w:id="839" w:name="_Toc296346720"/>
      <w:bookmarkStart w:id="840" w:name="_Toc296944558"/>
      <w:bookmarkStart w:id="841" w:name="_Toc297048405"/>
      <w:bookmarkStart w:id="842" w:name="_Toc292559929"/>
      <w:bookmarkStart w:id="843" w:name="_Toc304295593"/>
      <w:bookmarkStart w:id="844" w:name="_Toc312678053"/>
      <w:bookmarkStart w:id="845" w:name="_Toc296503219"/>
      <w:bookmarkStart w:id="846" w:name="_Toc297123564"/>
      <w:bookmarkStart w:id="847" w:name="_Toc296891259"/>
      <w:bookmarkStart w:id="848" w:name="_Toc292559424"/>
      <w:r>
        <w:rPr>
          <w:color w:val="auto"/>
          <w:sz w:val="24"/>
          <w:highlight w:val="none"/>
        </w:rPr>
        <w:t>13.</w:t>
      </w:r>
      <w:r>
        <w:rPr>
          <w:rFonts w:hint="eastAsia"/>
          <w:color w:val="auto"/>
          <w:sz w:val="24"/>
          <w:highlight w:val="none"/>
        </w:rPr>
        <w:t xml:space="preserve"> </w:t>
      </w:r>
      <w:r>
        <w:rPr>
          <w:color w:val="auto"/>
          <w:sz w:val="24"/>
          <w:highlight w:val="none"/>
        </w:rPr>
        <w:t>验收和工程试车</w:t>
      </w:r>
      <w:bookmarkEnd w:id="832"/>
    </w:p>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Pr>
        <w:spacing w:line="440" w:lineRule="exact"/>
        <w:ind w:firstLine="480" w:firstLineChars="200"/>
        <w:rPr>
          <w:rFonts w:hAnsi="宋体"/>
          <w:color w:val="auto"/>
          <w:sz w:val="24"/>
          <w:highlight w:val="none"/>
        </w:rPr>
      </w:pPr>
      <w:r>
        <w:rPr>
          <w:rFonts w:hAnsi="宋体"/>
          <w:color w:val="auto"/>
          <w:sz w:val="24"/>
          <w:highlight w:val="none"/>
        </w:rPr>
        <w:t>13.1 分部分项工程验收</w:t>
      </w:r>
    </w:p>
    <w:p>
      <w:pPr>
        <w:spacing w:line="440" w:lineRule="exact"/>
        <w:ind w:firstLine="480" w:firstLineChars="200"/>
        <w:rPr>
          <w:rFonts w:hAnsi="宋体"/>
          <w:color w:val="auto"/>
          <w:sz w:val="24"/>
          <w:highlight w:val="none"/>
        </w:rPr>
      </w:pPr>
      <w:r>
        <w:rPr>
          <w:rFonts w:hAnsi="宋体"/>
          <w:color w:val="auto"/>
          <w:sz w:val="24"/>
          <w:highlight w:val="none"/>
        </w:rPr>
        <w:t>13.1.2监理人不能按时进行验收时，应提前</w:t>
      </w:r>
      <w:r>
        <w:rPr>
          <w:rFonts w:hAnsi="宋体"/>
          <w:color w:val="auto"/>
          <w:sz w:val="24"/>
          <w:highlight w:val="none"/>
          <w:u w:val="single"/>
        </w:rPr>
        <w:t xml:space="preserve"> </w:t>
      </w:r>
      <w:r>
        <w:rPr>
          <w:rFonts w:hint="eastAsia" w:hAnsi="宋体"/>
          <w:color w:val="auto"/>
          <w:sz w:val="24"/>
          <w:highlight w:val="none"/>
          <w:u w:val="single"/>
        </w:rPr>
        <w:t>24</w:t>
      </w:r>
      <w:r>
        <w:rPr>
          <w:rFonts w:hAnsi="宋体"/>
          <w:color w:val="auto"/>
          <w:sz w:val="24"/>
          <w:highlight w:val="none"/>
          <w:u w:val="single"/>
        </w:rPr>
        <w:t xml:space="preserve">  </w:t>
      </w:r>
      <w:r>
        <w:rPr>
          <w:rFonts w:hAnsi="宋体"/>
          <w:color w:val="auto"/>
          <w:sz w:val="24"/>
          <w:highlight w:val="none"/>
        </w:rPr>
        <w:t>小时提交书面延期要求。</w:t>
      </w:r>
    </w:p>
    <w:p>
      <w:pPr>
        <w:spacing w:line="440" w:lineRule="exact"/>
        <w:ind w:firstLine="480" w:firstLineChars="200"/>
        <w:rPr>
          <w:rFonts w:hAnsi="宋体"/>
          <w:b/>
          <w:color w:val="auto"/>
          <w:sz w:val="24"/>
          <w:highlight w:val="none"/>
        </w:rPr>
      </w:pPr>
      <w:r>
        <w:rPr>
          <w:rFonts w:hAnsi="宋体"/>
          <w:color w:val="auto"/>
          <w:sz w:val="24"/>
          <w:highlight w:val="none"/>
        </w:rPr>
        <w:t>关于延期最长不得超过：</w:t>
      </w:r>
      <w:r>
        <w:rPr>
          <w:rFonts w:hAnsi="宋体"/>
          <w:color w:val="auto"/>
          <w:sz w:val="24"/>
          <w:highlight w:val="none"/>
          <w:u w:val="single"/>
        </w:rPr>
        <w:t xml:space="preserve"> </w:t>
      </w:r>
      <w:r>
        <w:rPr>
          <w:rFonts w:hint="eastAsia" w:hAnsi="宋体"/>
          <w:color w:val="auto"/>
          <w:sz w:val="24"/>
          <w:highlight w:val="none"/>
          <w:u w:val="single"/>
        </w:rPr>
        <w:t>48</w:t>
      </w:r>
      <w:r>
        <w:rPr>
          <w:rFonts w:hAnsi="宋体"/>
          <w:color w:val="auto"/>
          <w:sz w:val="24"/>
          <w:highlight w:val="none"/>
          <w:u w:val="single"/>
        </w:rPr>
        <w:t xml:space="preserve">   </w:t>
      </w:r>
      <w:r>
        <w:rPr>
          <w:rFonts w:hAnsi="宋体"/>
          <w:color w:val="auto"/>
          <w:sz w:val="24"/>
          <w:highlight w:val="none"/>
        </w:rPr>
        <w:t>小时。</w:t>
      </w:r>
    </w:p>
    <w:p>
      <w:pPr>
        <w:spacing w:line="440" w:lineRule="exact"/>
        <w:ind w:firstLine="480" w:firstLineChars="200"/>
        <w:rPr>
          <w:rFonts w:hAnsi="宋体"/>
          <w:color w:val="auto"/>
          <w:sz w:val="24"/>
          <w:highlight w:val="none"/>
        </w:rPr>
      </w:pPr>
      <w:bookmarkStart w:id="849" w:name="_Toc292559428"/>
      <w:bookmarkStart w:id="850" w:name="_Toc303539173"/>
      <w:bookmarkStart w:id="851" w:name="_Toc297120523"/>
      <w:bookmarkStart w:id="852" w:name="_Toc296944562"/>
      <w:bookmarkStart w:id="853" w:name="_Toc312678056"/>
      <w:bookmarkStart w:id="854" w:name="_Toc297216224"/>
      <w:bookmarkStart w:id="855" w:name="_Toc297048409"/>
      <w:bookmarkStart w:id="856" w:name="_Toc296891051"/>
      <w:bookmarkStart w:id="857" w:name="_Toc297123565"/>
      <w:bookmarkStart w:id="858" w:name="_Toc300935016"/>
      <w:bookmarkStart w:id="859" w:name="_Toc304295596"/>
      <w:bookmarkStart w:id="860" w:name="_Toc292559933"/>
      <w:bookmarkStart w:id="861" w:name="_Toc296503223"/>
      <w:bookmarkStart w:id="862" w:name="_Toc296347222"/>
      <w:bookmarkStart w:id="863" w:name="_Toc296346724"/>
      <w:bookmarkStart w:id="864" w:name="_Toc296891263"/>
      <w:bookmarkStart w:id="865" w:name="_Toc267251470"/>
      <w:bookmarkStart w:id="866" w:name="_Toc267251476"/>
      <w:bookmarkStart w:id="867" w:name="_Toc267251471"/>
      <w:bookmarkStart w:id="868" w:name="_Toc267251473"/>
      <w:bookmarkStart w:id="869" w:name="_Toc267251474"/>
      <w:bookmarkStart w:id="870" w:name="_Toc267251475"/>
      <w:bookmarkStart w:id="871" w:name="_Toc267251472"/>
      <w:r>
        <w:rPr>
          <w:rFonts w:hAnsi="宋体"/>
          <w:color w:val="auto"/>
          <w:sz w:val="24"/>
          <w:highlight w:val="none"/>
        </w:rPr>
        <w:t>13.2 竣工验收</w:t>
      </w:r>
    </w:p>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Pr>
        <w:spacing w:line="440" w:lineRule="exact"/>
        <w:ind w:firstLine="480" w:firstLineChars="200"/>
        <w:rPr>
          <w:rFonts w:hAnsi="宋体"/>
          <w:color w:val="auto"/>
          <w:sz w:val="24"/>
          <w:highlight w:val="none"/>
        </w:rPr>
      </w:pPr>
      <w:bookmarkStart w:id="872" w:name="_Toc280868704"/>
      <w:bookmarkStart w:id="873" w:name="_Toc280868707"/>
      <w:bookmarkStart w:id="874" w:name="_Toc280868705"/>
      <w:bookmarkStart w:id="875" w:name="_Toc280868706"/>
      <w:bookmarkStart w:id="876" w:name="_Toc280868708"/>
      <w:bookmarkStart w:id="877" w:name="_Toc280868709"/>
      <w:r>
        <w:rPr>
          <w:rFonts w:hAnsi="宋体"/>
          <w:color w:val="auto"/>
          <w:sz w:val="24"/>
          <w:highlight w:val="none"/>
        </w:rPr>
        <w:t>13.2.2竣工验收程序</w:t>
      </w:r>
    </w:p>
    <w:bookmarkEnd w:id="872"/>
    <w:p>
      <w:pPr>
        <w:spacing w:line="440" w:lineRule="exact"/>
        <w:ind w:firstLine="480" w:firstLineChars="200"/>
        <w:rPr>
          <w:rFonts w:hAnsi="宋体"/>
          <w:color w:val="auto"/>
          <w:sz w:val="24"/>
          <w:highlight w:val="none"/>
        </w:rPr>
      </w:pPr>
      <w:r>
        <w:rPr>
          <w:rFonts w:hAnsi="宋体"/>
          <w:color w:val="auto"/>
          <w:kern w:val="0"/>
          <w:sz w:val="24"/>
          <w:highlight w:val="none"/>
        </w:rPr>
        <w:t>关于竣工验收程序的约定：</w:t>
      </w:r>
      <w:r>
        <w:rPr>
          <w:rFonts w:hint="eastAsia" w:hAnsi="宋体"/>
          <w:color w:val="auto"/>
          <w:sz w:val="24"/>
          <w:highlight w:val="none"/>
          <w:u w:val="single"/>
        </w:rPr>
        <w:t>按通用条款有关规定执行</w:t>
      </w:r>
      <w:r>
        <w:rPr>
          <w:rFonts w:hAnsi="宋体"/>
          <w:color w:val="auto"/>
          <w:sz w:val="24"/>
          <w:highlight w:val="none"/>
        </w:rPr>
        <w:t>。</w:t>
      </w:r>
    </w:p>
    <w:p>
      <w:pPr>
        <w:spacing w:line="440" w:lineRule="exact"/>
        <w:ind w:firstLine="480" w:firstLineChars="200"/>
        <w:rPr>
          <w:rFonts w:hint="eastAsia" w:hAnsi="宋体"/>
          <w:color w:val="auto"/>
          <w:sz w:val="24"/>
          <w:highlight w:val="none"/>
          <w:u w:val="single"/>
        </w:rPr>
      </w:pPr>
      <w:r>
        <w:rPr>
          <w:rFonts w:hAnsi="宋体"/>
          <w:color w:val="auto"/>
          <w:kern w:val="0"/>
          <w:sz w:val="24"/>
          <w:highlight w:val="none"/>
        </w:rPr>
        <w:t>发包人不按照本项约定组织竣工验收、颁发工程接收证书的违约金的计算方法：</w:t>
      </w:r>
      <w:r>
        <w:rPr>
          <w:rFonts w:hint="eastAsia" w:hAnsi="宋体"/>
          <w:color w:val="auto"/>
          <w:sz w:val="24"/>
          <w:highlight w:val="none"/>
          <w:u w:val="single"/>
        </w:rPr>
        <w:t xml:space="preserve">/ </w:t>
      </w:r>
      <w:r>
        <w:rPr>
          <w:rFonts w:hAnsi="宋体"/>
          <w:color w:val="auto"/>
          <w:sz w:val="24"/>
          <w:highlight w:val="none"/>
        </w:rPr>
        <w:t>。</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r>
        <w:rPr>
          <w:rFonts w:hint="eastAsia" w:hAnsi="宋体"/>
          <w:color w:val="auto"/>
          <w:sz w:val="24"/>
          <w:highlight w:val="none"/>
          <w:u w:val="single"/>
        </w:rPr>
        <w:t xml:space="preserve">                       </w:t>
      </w:r>
    </w:p>
    <w:bookmarkEnd w:id="873"/>
    <w:bookmarkEnd w:id="874"/>
    <w:bookmarkEnd w:id="875"/>
    <w:p>
      <w:pPr>
        <w:spacing w:line="440" w:lineRule="exact"/>
        <w:ind w:firstLine="480" w:firstLineChars="200"/>
        <w:rPr>
          <w:rFonts w:hAnsi="宋体"/>
          <w:color w:val="auto"/>
          <w:sz w:val="24"/>
          <w:highlight w:val="none"/>
        </w:rPr>
      </w:pPr>
      <w:r>
        <w:rPr>
          <w:rFonts w:hAnsi="宋体"/>
          <w:color w:val="auto"/>
          <w:sz w:val="24"/>
          <w:highlight w:val="none"/>
        </w:rPr>
        <w:t>13.2.5移交、接收全部与部分工程</w:t>
      </w:r>
    </w:p>
    <w:p>
      <w:pPr>
        <w:spacing w:line="440" w:lineRule="exact"/>
        <w:ind w:firstLine="480" w:firstLineChars="200"/>
        <w:rPr>
          <w:rFonts w:hint="eastAsia" w:hAnsi="宋体" w:cs="宋体"/>
          <w:color w:val="auto"/>
          <w:sz w:val="24"/>
          <w:highlight w:val="none"/>
        </w:rPr>
      </w:pPr>
      <w:r>
        <w:rPr>
          <w:rFonts w:hint="eastAsia" w:hAnsi="宋体"/>
          <w:color w:val="auto"/>
          <w:kern w:val="0"/>
          <w:sz w:val="24"/>
          <w:highlight w:val="none"/>
        </w:rPr>
        <w:t>承包人向发包人移交工程的期限：</w:t>
      </w:r>
      <w:r>
        <w:rPr>
          <w:rFonts w:hint="eastAsia" w:hAnsi="宋体" w:cs="宋体"/>
          <w:color w:val="auto"/>
          <w:sz w:val="24"/>
          <w:highlight w:val="none"/>
          <w:u w:val="single"/>
        </w:rPr>
        <w:t>承包人应当在颁发工程接收证书后 7 天内完成工程的移交</w:t>
      </w:r>
      <w:r>
        <w:rPr>
          <w:rFonts w:hint="eastAsia" w:hAnsi="宋体" w:cs="宋体"/>
          <w:color w:val="auto"/>
          <w:sz w:val="24"/>
          <w:highlight w:val="none"/>
        </w:rPr>
        <w:t>。</w:t>
      </w:r>
    </w:p>
    <w:p>
      <w:pPr>
        <w:spacing w:line="440" w:lineRule="exact"/>
        <w:ind w:firstLine="480" w:firstLineChars="200"/>
        <w:rPr>
          <w:rFonts w:hAnsi="宋体" w:cs="宋体"/>
          <w:color w:val="auto"/>
          <w:sz w:val="24"/>
          <w:highlight w:val="none"/>
        </w:rPr>
      </w:pPr>
      <w:r>
        <w:rPr>
          <w:rFonts w:hAnsi="宋体"/>
          <w:color w:val="auto"/>
          <w:kern w:val="0"/>
          <w:sz w:val="24"/>
          <w:highlight w:val="none"/>
        </w:rPr>
        <w:t>发包人未按本合同约定接收全部或部分工程的，违约金的计算方法为：</w:t>
      </w:r>
      <w:r>
        <w:rPr>
          <w:rFonts w:hint="eastAsia" w:hAnsi="宋体"/>
          <w:color w:val="auto"/>
          <w:sz w:val="24"/>
          <w:highlight w:val="none"/>
          <w:u w:val="single"/>
        </w:rPr>
        <w:t>/。</w:t>
      </w:r>
    </w:p>
    <w:p>
      <w:pPr>
        <w:spacing w:line="440" w:lineRule="exact"/>
        <w:ind w:firstLine="480" w:firstLineChars="200"/>
        <w:rPr>
          <w:rFonts w:hint="eastAsia" w:hAnsi="宋体"/>
          <w:color w:val="auto"/>
          <w:sz w:val="24"/>
          <w:highlight w:val="none"/>
        </w:rPr>
      </w:pPr>
      <w:r>
        <w:rPr>
          <w:rFonts w:hAnsi="宋体"/>
          <w:color w:val="auto"/>
          <w:sz w:val="24"/>
          <w:highlight w:val="none"/>
        </w:rPr>
        <w:t>承包人未按时移交工程的，违约金的计算方法为：</w:t>
      </w:r>
      <w:r>
        <w:rPr>
          <w:rFonts w:hint="eastAsia" w:hAnsi="宋体"/>
          <w:color w:val="auto"/>
          <w:sz w:val="24"/>
          <w:highlight w:val="none"/>
          <w:u w:val="single"/>
        </w:rPr>
        <w:t>除扣除工程资料履约保证金外，每延迟交付一天扣罚2000元/天，并承担由此给发包人带来的一切损失</w:t>
      </w:r>
      <w:r>
        <w:rPr>
          <w:rFonts w:hAnsi="宋体"/>
          <w:color w:val="auto"/>
          <w:sz w:val="24"/>
          <w:highlight w:val="none"/>
        </w:rPr>
        <w:t>。</w:t>
      </w:r>
    </w:p>
    <w:p>
      <w:pPr>
        <w:spacing w:line="440" w:lineRule="exact"/>
        <w:ind w:firstLine="480" w:firstLineChars="200"/>
        <w:rPr>
          <w:rFonts w:hAnsi="宋体"/>
          <w:color w:val="auto"/>
          <w:sz w:val="24"/>
          <w:highlight w:val="none"/>
        </w:rPr>
      </w:pPr>
      <w:r>
        <w:rPr>
          <w:rFonts w:hAnsi="宋体"/>
          <w:color w:val="auto"/>
          <w:sz w:val="24"/>
          <w:highlight w:val="none"/>
        </w:rPr>
        <w:t>13.3 工程试车</w:t>
      </w:r>
    </w:p>
    <w:bookmarkEnd w:id="876"/>
    <w:p>
      <w:pPr>
        <w:spacing w:line="440" w:lineRule="exact"/>
        <w:ind w:firstLine="480" w:firstLineChars="200"/>
        <w:rPr>
          <w:rFonts w:hAnsi="宋体"/>
          <w:color w:val="auto"/>
          <w:kern w:val="0"/>
          <w:sz w:val="24"/>
          <w:highlight w:val="none"/>
        </w:rPr>
      </w:pPr>
      <w:r>
        <w:rPr>
          <w:rFonts w:hAnsi="宋体"/>
          <w:color w:val="auto"/>
          <w:kern w:val="0"/>
          <w:sz w:val="24"/>
          <w:highlight w:val="none"/>
        </w:rPr>
        <w:t>13.3.1 试车程序</w:t>
      </w:r>
    </w:p>
    <w:p>
      <w:pPr>
        <w:spacing w:line="440" w:lineRule="exact"/>
        <w:ind w:firstLine="480" w:firstLineChars="200"/>
        <w:rPr>
          <w:rFonts w:hAnsi="宋体"/>
          <w:color w:val="auto"/>
          <w:kern w:val="0"/>
          <w:sz w:val="24"/>
          <w:highlight w:val="none"/>
        </w:rPr>
      </w:pPr>
      <w:r>
        <w:rPr>
          <w:rFonts w:hAnsi="宋体"/>
          <w:color w:val="auto"/>
          <w:kern w:val="0"/>
          <w:sz w:val="24"/>
          <w:highlight w:val="none"/>
        </w:rPr>
        <w:t>工程试车内容：</w:t>
      </w:r>
      <w:r>
        <w:rPr>
          <w:rFonts w:hint="eastAsia" w:hAnsi="宋体"/>
          <w:color w:val="auto"/>
          <w:sz w:val="24"/>
          <w:highlight w:val="none"/>
          <w:u w:val="single"/>
        </w:rPr>
        <w:t>按通用条款有关规定执行</w:t>
      </w:r>
      <w:r>
        <w:rPr>
          <w:rFonts w:hAnsi="宋体"/>
          <w:color w:val="auto"/>
          <w:sz w:val="24"/>
          <w:highlight w:val="none"/>
        </w:rPr>
        <w:t>。</w:t>
      </w:r>
    </w:p>
    <w:p>
      <w:pPr>
        <w:spacing w:line="440" w:lineRule="exact"/>
        <w:ind w:firstLine="480" w:firstLineChars="200"/>
        <w:rPr>
          <w:rFonts w:hAnsi="宋体"/>
          <w:color w:val="auto"/>
          <w:kern w:val="0"/>
          <w:sz w:val="24"/>
          <w:highlight w:val="none"/>
        </w:rPr>
      </w:pPr>
      <w:r>
        <w:rPr>
          <w:rFonts w:hAnsi="宋体"/>
          <w:color w:val="auto"/>
          <w:kern w:val="0"/>
          <w:sz w:val="24"/>
          <w:highlight w:val="none"/>
        </w:rPr>
        <w:t>（1）单机无负荷试车费用由</w:t>
      </w:r>
      <w:r>
        <w:rPr>
          <w:rFonts w:hAnsi="宋体"/>
          <w:color w:val="auto"/>
          <w:sz w:val="24"/>
          <w:highlight w:val="none"/>
          <w:u w:val="single"/>
        </w:rPr>
        <w:t xml:space="preserve">    </w:t>
      </w:r>
      <w:r>
        <w:rPr>
          <w:rFonts w:hint="eastAsia" w:hAnsi="宋体"/>
          <w:color w:val="auto"/>
          <w:sz w:val="24"/>
          <w:highlight w:val="none"/>
          <w:u w:val="single"/>
        </w:rPr>
        <w:t>承包人</w:t>
      </w:r>
      <w:r>
        <w:rPr>
          <w:rFonts w:hAnsi="宋体"/>
          <w:color w:val="auto"/>
          <w:sz w:val="24"/>
          <w:highlight w:val="none"/>
          <w:u w:val="single"/>
        </w:rPr>
        <w:t xml:space="preserve">        </w:t>
      </w:r>
      <w:r>
        <w:rPr>
          <w:rFonts w:hAnsi="宋体"/>
          <w:color w:val="auto"/>
          <w:kern w:val="0"/>
          <w:sz w:val="24"/>
          <w:highlight w:val="none"/>
        </w:rPr>
        <w:t>承担；</w:t>
      </w:r>
    </w:p>
    <w:p>
      <w:pPr>
        <w:spacing w:line="440" w:lineRule="exact"/>
        <w:ind w:firstLine="480" w:firstLineChars="200"/>
        <w:rPr>
          <w:rFonts w:hint="eastAsia" w:hAnsi="宋体"/>
          <w:color w:val="auto"/>
          <w:kern w:val="0"/>
          <w:sz w:val="24"/>
          <w:highlight w:val="none"/>
        </w:rPr>
      </w:pPr>
      <w:r>
        <w:rPr>
          <w:rFonts w:hAnsi="宋体"/>
          <w:color w:val="auto"/>
          <w:kern w:val="0"/>
          <w:sz w:val="24"/>
          <w:highlight w:val="none"/>
        </w:rPr>
        <w:t>（2）无负荷联动试车费用由</w:t>
      </w:r>
      <w:r>
        <w:rPr>
          <w:rFonts w:hAnsi="宋体"/>
          <w:color w:val="auto"/>
          <w:sz w:val="24"/>
          <w:highlight w:val="none"/>
          <w:u w:val="single"/>
        </w:rPr>
        <w:t xml:space="preserve">    </w:t>
      </w:r>
      <w:r>
        <w:rPr>
          <w:rFonts w:hint="eastAsia" w:hAnsi="宋体"/>
          <w:color w:val="auto"/>
          <w:sz w:val="24"/>
          <w:highlight w:val="none"/>
          <w:u w:val="single"/>
        </w:rPr>
        <w:t>承包人</w:t>
      </w:r>
      <w:r>
        <w:rPr>
          <w:rFonts w:hAnsi="宋体"/>
          <w:color w:val="auto"/>
          <w:sz w:val="24"/>
          <w:highlight w:val="none"/>
          <w:u w:val="single"/>
        </w:rPr>
        <w:t xml:space="preserve">           </w:t>
      </w:r>
      <w:r>
        <w:rPr>
          <w:rFonts w:hAnsi="宋体"/>
          <w:color w:val="auto"/>
          <w:kern w:val="0"/>
          <w:sz w:val="24"/>
          <w:highlight w:val="none"/>
        </w:rPr>
        <w:t>承担。</w:t>
      </w:r>
    </w:p>
    <w:p>
      <w:pPr>
        <w:spacing w:line="440" w:lineRule="exact"/>
        <w:ind w:firstLine="480" w:firstLineChars="200"/>
        <w:rPr>
          <w:rFonts w:hAnsi="宋体"/>
          <w:color w:val="auto"/>
          <w:kern w:val="0"/>
          <w:sz w:val="24"/>
          <w:highlight w:val="none"/>
        </w:rPr>
      </w:pPr>
      <w:r>
        <w:rPr>
          <w:rFonts w:hAnsi="宋体"/>
          <w:color w:val="auto"/>
          <w:kern w:val="0"/>
          <w:sz w:val="24"/>
          <w:highlight w:val="none"/>
        </w:rPr>
        <w:t>13.3.3 投料试车</w:t>
      </w:r>
    </w:p>
    <w:p>
      <w:pPr>
        <w:spacing w:line="440" w:lineRule="exact"/>
        <w:ind w:firstLine="480" w:firstLineChars="200"/>
        <w:rPr>
          <w:rFonts w:hAnsi="宋体"/>
          <w:color w:val="auto"/>
          <w:kern w:val="0"/>
          <w:sz w:val="24"/>
          <w:highlight w:val="none"/>
        </w:rPr>
      </w:pPr>
      <w:r>
        <w:rPr>
          <w:rFonts w:hint="eastAsia" w:hAnsi="宋体"/>
          <w:color w:val="auto"/>
          <w:kern w:val="0"/>
          <w:sz w:val="24"/>
          <w:highlight w:val="none"/>
        </w:rPr>
        <w:t>关于投料试车相关事项的约定：</w:t>
      </w:r>
      <w:r>
        <w:rPr>
          <w:rFonts w:hint="eastAsia" w:hAnsi="宋体"/>
          <w:color w:val="auto"/>
          <w:sz w:val="24"/>
          <w:highlight w:val="none"/>
          <w:u w:val="single"/>
        </w:rPr>
        <w:t>/</w:t>
      </w:r>
      <w:r>
        <w:rPr>
          <w:rFonts w:hAnsi="宋体"/>
          <w:color w:val="auto"/>
          <w:sz w:val="24"/>
          <w:highlight w:val="none"/>
        </w:rPr>
        <w:t>。</w:t>
      </w:r>
    </w:p>
    <w:p>
      <w:pPr>
        <w:spacing w:line="440" w:lineRule="exact"/>
        <w:ind w:firstLine="480" w:firstLineChars="200"/>
        <w:rPr>
          <w:rFonts w:hAnsi="宋体"/>
          <w:color w:val="auto"/>
          <w:sz w:val="24"/>
          <w:highlight w:val="none"/>
        </w:rPr>
      </w:pPr>
      <w:r>
        <w:rPr>
          <w:rFonts w:hAnsi="宋体"/>
          <w:color w:val="auto"/>
          <w:sz w:val="24"/>
          <w:highlight w:val="none"/>
        </w:rPr>
        <w:t>13.6 竣工退场</w:t>
      </w:r>
    </w:p>
    <w:p>
      <w:pPr>
        <w:spacing w:line="440" w:lineRule="exact"/>
        <w:ind w:firstLine="480" w:firstLineChars="200"/>
        <w:rPr>
          <w:rFonts w:hAnsi="宋体"/>
          <w:color w:val="auto"/>
          <w:kern w:val="0"/>
          <w:sz w:val="24"/>
          <w:highlight w:val="none"/>
        </w:rPr>
      </w:pPr>
      <w:r>
        <w:rPr>
          <w:rFonts w:hAnsi="宋体"/>
          <w:color w:val="auto"/>
          <w:kern w:val="0"/>
          <w:sz w:val="24"/>
          <w:highlight w:val="none"/>
        </w:rPr>
        <w:t>13.6.1 竣工退场</w:t>
      </w:r>
    </w:p>
    <w:p>
      <w:pPr>
        <w:spacing w:line="440" w:lineRule="exact"/>
        <w:ind w:firstLine="480" w:firstLineChars="200"/>
        <w:rPr>
          <w:rFonts w:hint="eastAsia" w:hAnsi="宋体"/>
          <w:color w:val="auto"/>
          <w:sz w:val="24"/>
          <w:highlight w:val="none"/>
          <w:u w:val="single"/>
        </w:rPr>
      </w:pPr>
      <w:r>
        <w:rPr>
          <w:rFonts w:hAnsi="宋体"/>
          <w:color w:val="auto"/>
          <w:kern w:val="0"/>
          <w:sz w:val="24"/>
          <w:highlight w:val="none"/>
        </w:rPr>
        <w:t>承包人完成竣工退场的期限：</w:t>
      </w:r>
      <w:r>
        <w:rPr>
          <w:rFonts w:hint="eastAsia" w:hAnsi="宋体"/>
          <w:color w:val="auto"/>
          <w:sz w:val="24"/>
          <w:highlight w:val="none"/>
          <w:u w:val="single"/>
        </w:rPr>
        <w:t xml:space="preserve">接到发包人和监理单位要求其清场并撤离的通知后7天内。 </w:t>
      </w:r>
    </w:p>
    <w:bookmarkEnd w:id="865"/>
    <w:bookmarkEnd w:id="866"/>
    <w:bookmarkEnd w:id="867"/>
    <w:bookmarkEnd w:id="868"/>
    <w:bookmarkEnd w:id="869"/>
    <w:bookmarkEnd w:id="870"/>
    <w:bookmarkEnd w:id="871"/>
    <w:bookmarkEnd w:id="877"/>
    <w:p>
      <w:pPr>
        <w:spacing w:line="440" w:lineRule="exact"/>
        <w:ind w:firstLine="480" w:firstLineChars="200"/>
        <w:rPr>
          <w:rFonts w:hint="eastAsia" w:hAnsi="宋体"/>
          <w:color w:val="auto"/>
          <w:sz w:val="24"/>
          <w:highlight w:val="none"/>
        </w:rPr>
      </w:pPr>
      <w:bookmarkStart w:id="878" w:name="_Toc351203646"/>
      <w:bookmarkStart w:id="879" w:name="_Toc351203647"/>
      <w:bookmarkStart w:id="880" w:name="_Toc267251483"/>
      <w:bookmarkStart w:id="881" w:name="_Toc267251482"/>
      <w:bookmarkStart w:id="882" w:name="_Toc267251484"/>
      <w:bookmarkStart w:id="883" w:name="_Toc267251485"/>
      <w:bookmarkStart w:id="884" w:name="_Toc267251490"/>
      <w:bookmarkStart w:id="885" w:name="_Toc267251488"/>
      <w:bookmarkStart w:id="886" w:name="_Toc267251486"/>
      <w:bookmarkStart w:id="887" w:name="_Toc267251489"/>
      <w:bookmarkStart w:id="888" w:name="_Toc267251492"/>
      <w:bookmarkStart w:id="889" w:name="_Toc267251503"/>
      <w:bookmarkStart w:id="890" w:name="_Toc267251491"/>
      <w:bookmarkStart w:id="891" w:name="_Toc267251494"/>
      <w:bookmarkStart w:id="892" w:name="_Toc267251495"/>
      <w:bookmarkStart w:id="893" w:name="_Toc267251502"/>
      <w:bookmarkStart w:id="894" w:name="_Toc267251501"/>
      <w:bookmarkStart w:id="895" w:name="_Toc267251493"/>
      <w:bookmarkStart w:id="896" w:name="_Toc267251499"/>
      <w:bookmarkStart w:id="897" w:name="_Toc267251497"/>
      <w:bookmarkStart w:id="898" w:name="_Toc267251496"/>
      <w:bookmarkStart w:id="899" w:name="_Toc267251498"/>
      <w:bookmarkStart w:id="900" w:name="_Toc267251504"/>
      <w:bookmarkStart w:id="901" w:name="_Toc267251506"/>
      <w:bookmarkStart w:id="902" w:name="_Toc267251507"/>
      <w:bookmarkStart w:id="903" w:name="_Toc267251508"/>
      <w:bookmarkStart w:id="904" w:name="_Toc267251515"/>
      <w:bookmarkStart w:id="905" w:name="_Toc267251509"/>
      <w:bookmarkStart w:id="906" w:name="_Toc267251511"/>
      <w:bookmarkStart w:id="907" w:name="_Toc267251510"/>
      <w:bookmarkStart w:id="908" w:name="_Toc267251513"/>
      <w:bookmarkStart w:id="909" w:name="_Toc267251514"/>
      <w:r>
        <w:rPr>
          <w:rFonts w:hint="eastAsia" w:hAnsi="宋体"/>
          <w:color w:val="auto"/>
          <w:sz w:val="24"/>
          <w:highlight w:val="none"/>
        </w:rPr>
        <w:t>14. 竣工结算</w:t>
      </w:r>
      <w:bookmarkEnd w:id="878"/>
    </w:p>
    <w:p>
      <w:pPr>
        <w:spacing w:line="420" w:lineRule="exact"/>
        <w:ind w:firstLine="480" w:firstLineChars="200"/>
        <w:rPr>
          <w:rFonts w:hint="eastAsia" w:hAnsi="宋体" w:cs="宋体"/>
          <w:color w:val="auto"/>
          <w:sz w:val="24"/>
          <w:highlight w:val="none"/>
        </w:rPr>
      </w:pPr>
      <w:r>
        <w:rPr>
          <w:rFonts w:hint="eastAsia" w:hAnsi="宋体" w:cs="宋体"/>
          <w:color w:val="auto"/>
          <w:sz w:val="24"/>
          <w:highlight w:val="none"/>
        </w:rPr>
        <w:t>承包人提交竣工结算申请单的期限：根据《杭州市建设工程工程量清单计价实施细则》（2018版）有关规定以及审定的工程结算（报告），做好相关结算工作。根据《杭州市建设工程工程量清单计价实施细则》（2018版）有关规定以及审计部门审定的工程结算，做好相关结算工作。未按规定进行竣工结算的不得进行竣工验收备案、交付使用，有关部门不予办理产权登记。</w:t>
      </w:r>
    </w:p>
    <w:p>
      <w:pPr>
        <w:spacing w:line="420" w:lineRule="exact"/>
        <w:ind w:firstLine="480" w:firstLineChars="200"/>
        <w:rPr>
          <w:rFonts w:hint="eastAsia" w:hAnsi="宋体" w:cs="宋体"/>
          <w:color w:val="auto"/>
          <w:sz w:val="24"/>
          <w:highlight w:val="none"/>
        </w:rPr>
      </w:pPr>
      <w:r>
        <w:rPr>
          <w:rFonts w:hint="eastAsia" w:hAnsi="宋体" w:cs="宋体"/>
          <w:color w:val="auto"/>
          <w:sz w:val="24"/>
          <w:highlight w:val="none"/>
        </w:rPr>
        <w:t>承包人应在工程竣工验收合格后28天内向发包人和监理人提交竣工结算申请单，并提交完整的结算资料。</w:t>
      </w:r>
    </w:p>
    <w:p>
      <w:pPr>
        <w:spacing w:line="420" w:lineRule="exact"/>
        <w:ind w:firstLine="480" w:firstLineChars="200"/>
        <w:rPr>
          <w:rFonts w:hint="eastAsia" w:hAnsi="宋体" w:cs="宋体"/>
          <w:color w:val="auto"/>
          <w:sz w:val="24"/>
          <w:highlight w:val="none"/>
        </w:rPr>
      </w:pPr>
      <w:r>
        <w:rPr>
          <w:rFonts w:hint="eastAsia" w:hAnsi="宋体" w:cs="宋体"/>
          <w:color w:val="auto"/>
          <w:sz w:val="24"/>
          <w:highlight w:val="none"/>
        </w:rPr>
        <w:t>工程造价在500万元以下的项目，从收到完整的竣工结算书之日起20日内，发包人应提出竣工结算核对意见。（500-2000万的项目，提出核对意见时限30日；2000-5000万的项目，提出核对意见时限45日；5000万以上的项目，提出核对意见时限60日）。</w:t>
      </w:r>
    </w:p>
    <w:p>
      <w:pPr>
        <w:spacing w:line="420" w:lineRule="exact"/>
        <w:ind w:firstLine="480" w:firstLineChars="200"/>
        <w:rPr>
          <w:rFonts w:hint="eastAsia" w:hAnsi="宋体" w:cs="宋体"/>
          <w:color w:val="auto"/>
          <w:sz w:val="24"/>
          <w:highlight w:val="none"/>
        </w:rPr>
      </w:pPr>
      <w:r>
        <w:rPr>
          <w:rFonts w:hint="eastAsia" w:hAnsi="宋体" w:cs="宋体"/>
          <w:color w:val="auto"/>
          <w:sz w:val="24"/>
          <w:highlight w:val="none"/>
        </w:rPr>
        <w:t>承包人在收到发包人的核对意见后28天内按要求补充、修改竣工结算文件，并再次提交发包人复核。</w:t>
      </w:r>
    </w:p>
    <w:p>
      <w:pPr>
        <w:spacing w:line="420" w:lineRule="exact"/>
        <w:ind w:firstLine="480" w:firstLineChars="200"/>
        <w:rPr>
          <w:rFonts w:hint="eastAsia" w:hAnsi="宋体" w:cs="宋体"/>
          <w:color w:val="auto"/>
          <w:sz w:val="24"/>
          <w:highlight w:val="none"/>
        </w:rPr>
      </w:pPr>
      <w:r>
        <w:rPr>
          <w:rFonts w:hint="eastAsia" w:hAnsi="宋体" w:cs="宋体"/>
          <w:color w:val="auto"/>
          <w:sz w:val="24"/>
          <w:highlight w:val="none"/>
        </w:rPr>
        <w:t>发、承包人均对复核结果无异议的，应于7天内在竣工结算文件上签字确认，竣工结算办理完毕（工程结算核对、答复、办结期限最长不超过6个月）。发包人或承包人对复核结果认为有异议的，对有异议部分应由发承包双方协商解决；协商不成的，应按照合同约定的争议解决方式处理。</w:t>
      </w:r>
    </w:p>
    <w:p>
      <w:pPr>
        <w:spacing w:line="420" w:lineRule="exact"/>
        <w:ind w:firstLine="480" w:firstLineChars="200"/>
        <w:rPr>
          <w:rFonts w:hint="eastAsia" w:hAnsi="宋体" w:cs="宋体"/>
          <w:color w:val="auto"/>
          <w:sz w:val="24"/>
          <w:highlight w:val="none"/>
        </w:rPr>
      </w:pPr>
      <w:r>
        <w:rPr>
          <w:rFonts w:hint="eastAsia" w:hAnsi="宋体" w:cs="宋体"/>
          <w:color w:val="auto"/>
          <w:sz w:val="24"/>
          <w:highlight w:val="none"/>
        </w:rPr>
        <w:t>工程结算审查费用由基本收费和核减追加费两部分组成。根据相关规定，结合协审机构政府采购、投标报价情况，工程结算审查基本收费按</w:t>
      </w:r>
      <w:r>
        <w:rPr>
          <w:rFonts w:hint="eastAsia" w:hAnsi="宋体" w:cs="宋体"/>
          <w:color w:val="auto"/>
          <w:sz w:val="24"/>
          <w:highlight w:val="none"/>
          <w:lang w:eastAsia="zh-CN"/>
        </w:rPr>
        <w:t>招标人要求</w:t>
      </w:r>
      <w:r>
        <w:rPr>
          <w:rFonts w:hint="eastAsia" w:hAnsi="宋体" w:cs="宋体"/>
          <w:color w:val="auto"/>
          <w:sz w:val="24"/>
          <w:highlight w:val="none"/>
        </w:rPr>
        <w:t>计取。核减追加费按不高于净核减额的5%计取。</w:t>
      </w:r>
    </w:p>
    <w:p>
      <w:pPr>
        <w:spacing w:line="420" w:lineRule="exact"/>
        <w:ind w:firstLine="480" w:firstLineChars="200"/>
        <w:rPr>
          <w:rFonts w:hint="eastAsia" w:hAnsi="宋体" w:cs="宋体"/>
          <w:color w:val="auto"/>
          <w:sz w:val="24"/>
          <w:highlight w:val="none"/>
        </w:rPr>
      </w:pPr>
      <w:r>
        <w:rPr>
          <w:rFonts w:hint="eastAsia" w:hAnsi="宋体" w:cs="宋体"/>
          <w:color w:val="auto"/>
          <w:sz w:val="24"/>
          <w:highlight w:val="none"/>
        </w:rPr>
        <w:t>为有效控制工程造价，防范高估冒算现象的发生，若工程结算审核净核减超过5%，承包人应承担净核减超过送审造价5%部分的核减追加费，即核减追加费以净核减额超过送审造价5%部分为基数。按5%计。</w:t>
      </w:r>
    </w:p>
    <w:p>
      <w:pPr>
        <w:spacing w:line="420" w:lineRule="exact"/>
        <w:ind w:firstLine="480" w:firstLineChars="200"/>
        <w:rPr>
          <w:rFonts w:hint="eastAsia" w:hAnsi="宋体" w:cs="宋体"/>
          <w:color w:val="auto"/>
          <w:sz w:val="24"/>
          <w:highlight w:val="none"/>
        </w:rPr>
      </w:pPr>
      <w:r>
        <w:rPr>
          <w:rFonts w:hint="eastAsia" w:hAnsi="宋体" w:cs="宋体"/>
          <w:color w:val="auto"/>
          <w:sz w:val="24"/>
          <w:highlight w:val="none"/>
        </w:rPr>
        <w:t>对监理单位、施工单位、造价咨询单位在工程结算过程中存在的弄虚作假、高估冒算等违纪违法行为，一经查实，相关部门将依法追究责任单位和责任人员的责任。</w:t>
      </w:r>
    </w:p>
    <w:p>
      <w:pPr>
        <w:spacing w:line="420" w:lineRule="exact"/>
        <w:ind w:firstLine="480" w:firstLineChars="200"/>
        <w:rPr>
          <w:rFonts w:hint="eastAsia" w:hAnsi="宋体" w:cs="宋体"/>
          <w:color w:val="auto"/>
          <w:sz w:val="24"/>
          <w:highlight w:val="none"/>
        </w:rPr>
      </w:pPr>
      <w:r>
        <w:rPr>
          <w:rFonts w:hint="eastAsia" w:hAnsi="宋体" w:cs="宋体"/>
          <w:color w:val="auto"/>
          <w:sz w:val="24"/>
          <w:highlight w:val="none"/>
        </w:rPr>
        <w:t>建设单位应当在工程价款结算书经财政、审计等相关部门批准或认定之日起30日内报</w:t>
      </w:r>
      <w:r>
        <w:rPr>
          <w:rFonts w:hint="eastAsia" w:hAnsi="宋体" w:cs="宋体"/>
          <w:color w:val="auto"/>
          <w:sz w:val="24"/>
          <w:highlight w:val="none"/>
          <w:lang w:val="en-US" w:eastAsia="zh-CN"/>
        </w:rPr>
        <w:t>有关主管部门</w:t>
      </w:r>
      <w:r>
        <w:rPr>
          <w:rFonts w:hint="eastAsia" w:hAnsi="宋体" w:cs="宋体"/>
          <w:color w:val="auto"/>
          <w:sz w:val="24"/>
          <w:highlight w:val="none"/>
        </w:rPr>
        <w:t>备案。</w:t>
      </w:r>
    </w:p>
    <w:p>
      <w:pPr>
        <w:spacing w:line="420" w:lineRule="exact"/>
        <w:ind w:firstLine="480" w:firstLineChars="200"/>
        <w:rPr>
          <w:rFonts w:hint="eastAsia" w:hAnsi="宋体" w:cs="宋体"/>
          <w:color w:val="auto"/>
          <w:sz w:val="24"/>
          <w:highlight w:val="none"/>
        </w:rPr>
      </w:pPr>
      <w:r>
        <w:rPr>
          <w:rFonts w:hint="eastAsia" w:hAnsi="宋体" w:cs="宋体"/>
          <w:color w:val="auto"/>
          <w:sz w:val="24"/>
          <w:highlight w:val="none"/>
        </w:rPr>
        <w:t>竣工结算申请单应包括的内容：结算审计需要的竣工结算的相关资料要求齐全。包括结算书、竣工图纸、通知单、设计变更单、数量认可单、现场签证单、工程质量评定书、验收报告及其它相关资料。竣工结算价应包含原投标报价、工程量清单修正部分的价款、人工及材料调差价、设计变更价、签证价等内容。</w:t>
      </w:r>
    </w:p>
    <w:p>
      <w:pPr>
        <w:spacing w:line="440" w:lineRule="exact"/>
        <w:ind w:firstLine="480" w:firstLineChars="200"/>
        <w:rPr>
          <w:color w:val="auto"/>
          <w:sz w:val="24"/>
          <w:highlight w:val="none"/>
        </w:rPr>
      </w:pPr>
      <w:r>
        <w:rPr>
          <w:color w:val="auto"/>
          <w:sz w:val="24"/>
          <w:highlight w:val="none"/>
        </w:rPr>
        <w:t>15. 缺陷责任期与保修</w:t>
      </w:r>
      <w:bookmarkEnd w:id="879"/>
    </w:p>
    <w:p>
      <w:pPr>
        <w:spacing w:line="440" w:lineRule="exact"/>
        <w:ind w:firstLine="480" w:firstLineChars="200"/>
        <w:rPr>
          <w:rFonts w:hAnsi="宋体"/>
          <w:color w:val="auto"/>
          <w:sz w:val="24"/>
          <w:highlight w:val="none"/>
        </w:rPr>
      </w:pPr>
      <w:r>
        <w:rPr>
          <w:rFonts w:hAnsi="宋体"/>
          <w:color w:val="auto"/>
          <w:sz w:val="24"/>
          <w:highlight w:val="none"/>
        </w:rPr>
        <w:t>15.2缺陷责任期</w:t>
      </w:r>
      <w:bookmarkEnd w:id="880"/>
    </w:p>
    <w:p>
      <w:pPr>
        <w:spacing w:line="440" w:lineRule="exact"/>
        <w:ind w:firstLine="480" w:firstLineChars="200"/>
        <w:rPr>
          <w:rFonts w:hAnsi="宋体"/>
          <w:color w:val="auto"/>
          <w:sz w:val="24"/>
          <w:highlight w:val="none"/>
        </w:rPr>
      </w:pPr>
      <w:r>
        <w:rPr>
          <w:rFonts w:hAnsi="宋体"/>
          <w:color w:val="auto"/>
          <w:sz w:val="24"/>
          <w:highlight w:val="none"/>
        </w:rPr>
        <w:t>缺陷责任期的具体期限：</w:t>
      </w:r>
      <w:r>
        <w:rPr>
          <w:rFonts w:hint="eastAsia" w:hAnsi="宋体" w:cs="宋体"/>
          <w:color w:val="auto"/>
          <w:sz w:val="24"/>
          <w:highlight w:val="none"/>
          <w:u w:val="single"/>
          <w:lang w:val="en-US" w:eastAsia="zh-CN"/>
        </w:rPr>
        <w:t>竣工日起</w:t>
      </w:r>
      <w:r>
        <w:rPr>
          <w:rFonts w:hint="eastAsia" w:hAnsi="宋体" w:cs="宋体"/>
          <w:color w:val="auto"/>
          <w:sz w:val="24"/>
          <w:highlight w:val="none"/>
          <w:u w:val="single"/>
        </w:rPr>
        <w:t>24个月</w:t>
      </w:r>
      <w:r>
        <w:rPr>
          <w:rFonts w:hAnsi="宋体"/>
          <w:color w:val="auto"/>
          <w:sz w:val="24"/>
          <w:highlight w:val="none"/>
        </w:rPr>
        <w:t>。</w:t>
      </w:r>
    </w:p>
    <w:p>
      <w:pPr>
        <w:spacing w:line="440" w:lineRule="exact"/>
        <w:ind w:firstLine="480" w:firstLineChars="200"/>
        <w:rPr>
          <w:rFonts w:hAnsi="宋体"/>
          <w:color w:val="auto"/>
          <w:sz w:val="24"/>
          <w:highlight w:val="none"/>
        </w:rPr>
      </w:pPr>
      <w:r>
        <w:rPr>
          <w:rFonts w:hAnsi="宋体"/>
          <w:color w:val="auto"/>
          <w:sz w:val="24"/>
          <w:highlight w:val="none"/>
        </w:rPr>
        <w:t>15.3 质量保证金</w:t>
      </w:r>
    </w:p>
    <w:p>
      <w:pPr>
        <w:spacing w:line="440" w:lineRule="exact"/>
        <w:ind w:firstLine="480" w:firstLineChars="200"/>
        <w:rPr>
          <w:rFonts w:hAnsi="宋体"/>
          <w:color w:val="auto"/>
          <w:sz w:val="24"/>
          <w:highlight w:val="none"/>
        </w:rPr>
      </w:pPr>
      <w:r>
        <w:rPr>
          <w:rFonts w:hint="eastAsia" w:hAnsi="宋体"/>
          <w:color w:val="auto"/>
          <w:sz w:val="24"/>
          <w:highlight w:val="none"/>
        </w:rPr>
        <w:t>关于是否扣留质量保证金的约定：</w:t>
      </w:r>
      <w:r>
        <w:rPr>
          <w:rFonts w:hint="eastAsia" w:hAnsi="宋体" w:cs="宋体"/>
          <w:color w:val="auto"/>
          <w:sz w:val="24"/>
          <w:highlight w:val="none"/>
          <w:u w:val="single"/>
        </w:rPr>
        <w:t>扣留结算价的</w:t>
      </w:r>
      <w:r>
        <w:rPr>
          <w:rFonts w:hint="eastAsia" w:hAnsi="宋体" w:cs="宋体"/>
          <w:color w:val="auto"/>
          <w:sz w:val="24"/>
          <w:highlight w:val="none"/>
          <w:u w:val="single"/>
          <w:lang w:val="en-US" w:eastAsia="zh-CN"/>
        </w:rPr>
        <w:t>1</w:t>
      </w:r>
      <w:r>
        <w:rPr>
          <w:rFonts w:hint="eastAsia" w:hAnsi="宋体" w:cs="宋体"/>
          <w:color w:val="auto"/>
          <w:sz w:val="24"/>
          <w:highlight w:val="none"/>
          <w:u w:val="single"/>
        </w:rPr>
        <w:t>.5%</w:t>
      </w:r>
      <w:r>
        <w:rPr>
          <w:rFonts w:hAnsi="宋体"/>
          <w:color w:val="auto"/>
          <w:sz w:val="24"/>
          <w:highlight w:val="none"/>
        </w:rPr>
        <w:t>。</w:t>
      </w:r>
    </w:p>
    <w:p>
      <w:pPr>
        <w:keepNext w:val="0"/>
        <w:keepLines w:val="0"/>
        <w:pageBreakBefore w:val="0"/>
        <w:widowControl w:val="0"/>
        <w:kinsoku/>
        <w:wordWrap/>
        <w:overflowPunct/>
        <w:topLinePunct w:val="0"/>
        <w:bidi w:val="0"/>
        <w:adjustRightInd/>
        <w:snapToGrid/>
        <w:spacing w:line="400" w:lineRule="exact"/>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在工程项目竣工前，承包人按专用合同条款第3.7条提供履约担保的，发包人不得同时预留工程质量保证金。</w:t>
      </w:r>
    </w:p>
    <w:p>
      <w:pPr>
        <w:spacing w:line="440" w:lineRule="exact"/>
        <w:ind w:firstLine="480" w:firstLineChars="200"/>
        <w:rPr>
          <w:rFonts w:hAnsi="宋体"/>
          <w:color w:val="auto"/>
          <w:sz w:val="24"/>
          <w:highlight w:val="none"/>
        </w:rPr>
      </w:pPr>
      <w:r>
        <w:rPr>
          <w:rFonts w:hAnsi="宋体"/>
          <w:color w:val="auto"/>
          <w:sz w:val="24"/>
          <w:highlight w:val="none"/>
        </w:rPr>
        <w:t xml:space="preserve">15.3.1 </w:t>
      </w:r>
      <w:r>
        <w:rPr>
          <w:rFonts w:hint="eastAsia" w:hAnsi="宋体"/>
          <w:color w:val="auto"/>
          <w:sz w:val="24"/>
          <w:highlight w:val="none"/>
        </w:rPr>
        <w:t>承包人提供</w:t>
      </w:r>
      <w:r>
        <w:rPr>
          <w:rFonts w:hAnsi="宋体"/>
          <w:color w:val="auto"/>
          <w:sz w:val="24"/>
          <w:highlight w:val="none"/>
        </w:rPr>
        <w:t>质量保证金的</w:t>
      </w:r>
      <w:r>
        <w:rPr>
          <w:rFonts w:hint="eastAsia" w:hAnsi="宋体"/>
          <w:color w:val="auto"/>
          <w:sz w:val="24"/>
          <w:highlight w:val="none"/>
        </w:rPr>
        <w:t>方</w:t>
      </w:r>
      <w:r>
        <w:rPr>
          <w:rFonts w:hAnsi="宋体"/>
          <w:color w:val="auto"/>
          <w:sz w:val="24"/>
          <w:highlight w:val="none"/>
        </w:rPr>
        <w:t>式</w:t>
      </w:r>
    </w:p>
    <w:p>
      <w:pPr>
        <w:spacing w:line="440" w:lineRule="exact"/>
        <w:ind w:firstLine="480" w:firstLineChars="200"/>
        <w:jc w:val="left"/>
        <w:rPr>
          <w:rFonts w:hint="eastAsia" w:hAnsi="宋体"/>
          <w:color w:val="auto"/>
          <w:sz w:val="24"/>
          <w:szCs w:val="24"/>
          <w:highlight w:val="none"/>
        </w:rPr>
      </w:pPr>
      <w:r>
        <w:rPr>
          <w:rFonts w:hint="eastAsia" w:hAnsi="宋体"/>
          <w:color w:val="auto"/>
          <w:sz w:val="24"/>
          <w:szCs w:val="24"/>
          <w:highlight w:val="none"/>
        </w:rPr>
        <w:t>质量保证金采用以下第</w:t>
      </w:r>
      <w:r>
        <w:rPr>
          <w:rFonts w:hint="eastAsia" w:hAnsi="宋体"/>
          <w:color w:val="auto"/>
          <w:sz w:val="24"/>
          <w:szCs w:val="24"/>
          <w:highlight w:val="none"/>
          <w:u w:val="single"/>
        </w:rPr>
        <w:t xml:space="preserve"> （</w:t>
      </w:r>
      <w:r>
        <w:rPr>
          <w:rFonts w:hint="eastAsia" w:hAnsi="宋体"/>
          <w:color w:val="auto"/>
          <w:sz w:val="24"/>
          <w:szCs w:val="24"/>
          <w:highlight w:val="none"/>
          <w:u w:val="single"/>
          <w:lang w:val="en-US" w:eastAsia="zh-CN"/>
        </w:rPr>
        <w:t>4</w:t>
      </w:r>
      <w:r>
        <w:rPr>
          <w:rFonts w:hint="eastAsia" w:hAnsi="宋体"/>
          <w:color w:val="auto"/>
          <w:sz w:val="24"/>
          <w:szCs w:val="24"/>
          <w:highlight w:val="none"/>
          <w:u w:val="single"/>
        </w:rPr>
        <w:t xml:space="preserve">） </w:t>
      </w:r>
      <w:r>
        <w:rPr>
          <w:rFonts w:hint="eastAsia" w:hAnsi="宋体"/>
          <w:color w:val="auto"/>
          <w:sz w:val="24"/>
          <w:szCs w:val="24"/>
          <w:highlight w:val="none"/>
        </w:rPr>
        <w:t>种方式：</w:t>
      </w:r>
    </w:p>
    <w:p>
      <w:pPr>
        <w:autoSpaceDE w:val="0"/>
        <w:autoSpaceDN w:val="0"/>
        <w:adjustRightInd w:val="0"/>
        <w:spacing w:line="440" w:lineRule="exact"/>
        <w:ind w:firstLine="482" w:firstLineChars="200"/>
        <w:jc w:val="left"/>
        <w:rPr>
          <w:rFonts w:hint="eastAsia" w:hAnsi="宋体"/>
          <w:b/>
          <w:bCs/>
          <w:color w:val="auto"/>
          <w:kern w:val="0"/>
          <w:sz w:val="24"/>
          <w:szCs w:val="24"/>
          <w:highlight w:val="none"/>
        </w:rPr>
      </w:pPr>
      <w:r>
        <w:rPr>
          <w:rFonts w:hint="eastAsia" w:hAnsi="宋体"/>
          <w:b/>
          <w:bCs/>
          <w:color w:val="auto"/>
          <w:kern w:val="0"/>
          <w:sz w:val="24"/>
          <w:szCs w:val="24"/>
          <w:highlight w:val="none"/>
        </w:rPr>
        <w:t>（1）质量保证金保函，保证金额为：</w:t>
      </w:r>
      <w:r>
        <w:rPr>
          <w:rFonts w:hint="eastAsia" w:hAnsi="宋体"/>
          <w:b/>
          <w:bCs/>
          <w:color w:val="auto"/>
          <w:kern w:val="0"/>
          <w:sz w:val="24"/>
          <w:szCs w:val="24"/>
          <w:highlight w:val="none"/>
          <w:u w:val="single"/>
        </w:rPr>
        <w:t xml:space="preserve">                   </w:t>
      </w:r>
      <w:r>
        <w:rPr>
          <w:rFonts w:hint="eastAsia" w:hAnsi="宋体"/>
          <w:b/>
          <w:bCs/>
          <w:color w:val="auto"/>
          <w:kern w:val="0"/>
          <w:sz w:val="24"/>
          <w:szCs w:val="24"/>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400" w:lineRule="exact"/>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（2）保证保险，保证金额为：</w:t>
      </w:r>
      <w:r>
        <w:rPr>
          <w:rFonts w:hint="eastAsia" w:ascii="宋体" w:hAnsi="宋体" w:eastAsia="宋体" w:cs="宋体"/>
          <w:b/>
          <w:bCs/>
          <w:color w:val="auto"/>
          <w:sz w:val="24"/>
          <w:szCs w:val="24"/>
          <w:highlight w:val="none"/>
          <w:u w:val="single"/>
        </w:rPr>
        <w:t xml:space="preserve">                         </w:t>
      </w:r>
      <w:r>
        <w:rPr>
          <w:rFonts w:hint="eastAsia" w:ascii="宋体" w:hAnsi="宋体" w:eastAsia="宋体" w:cs="宋体"/>
          <w:b/>
          <w:bCs/>
          <w:color w:val="auto"/>
          <w:sz w:val="24"/>
          <w:szCs w:val="24"/>
          <w:highlight w:val="none"/>
        </w:rPr>
        <w:t>；</w:t>
      </w:r>
    </w:p>
    <w:p>
      <w:pPr>
        <w:keepNext w:val="0"/>
        <w:keepLines w:val="0"/>
        <w:pageBreakBefore w:val="0"/>
        <w:widowControl w:val="0"/>
        <w:kinsoku/>
        <w:wordWrap/>
        <w:overflowPunct/>
        <w:topLinePunct w:val="0"/>
        <w:autoSpaceDE w:val="0"/>
        <w:autoSpaceDN w:val="0"/>
        <w:bidi w:val="0"/>
        <w:adjustRightInd/>
        <w:snapToGrid/>
        <w:spacing w:line="400" w:lineRule="exact"/>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w:t>
      </w:r>
      <w:r>
        <w:rPr>
          <w:rFonts w:hint="eastAsia" w:ascii="宋体" w:hAnsi="宋体" w:eastAsia="宋体" w:cs="宋体"/>
          <w:b/>
          <w:bCs/>
          <w:color w:val="auto"/>
          <w:sz w:val="24"/>
          <w:szCs w:val="24"/>
          <w:highlight w:val="none"/>
          <w:u w:val="single"/>
        </w:rPr>
        <w:t xml:space="preserve">      </w:t>
      </w:r>
      <w:r>
        <w:rPr>
          <w:rFonts w:hint="eastAsia" w:ascii="宋体" w:hAnsi="宋体" w:eastAsia="宋体" w:cs="宋体"/>
          <w:b/>
          <w:bCs/>
          <w:color w:val="auto"/>
          <w:sz w:val="24"/>
          <w:szCs w:val="24"/>
          <w:highlight w:val="none"/>
        </w:rPr>
        <w:t>%的工程款；</w:t>
      </w:r>
    </w:p>
    <w:p>
      <w:pPr>
        <w:autoSpaceDE w:val="0"/>
        <w:autoSpaceDN w:val="0"/>
        <w:adjustRightInd w:val="0"/>
        <w:spacing w:line="440" w:lineRule="exact"/>
        <w:ind w:firstLine="482" w:firstLineChars="200"/>
        <w:jc w:val="left"/>
        <w:rPr>
          <w:rFonts w:hint="eastAsia" w:hAnsi="宋体"/>
          <w:b/>
          <w:bCs/>
          <w:color w:val="auto"/>
          <w:kern w:val="0"/>
          <w:sz w:val="24"/>
          <w:szCs w:val="24"/>
          <w:highlight w:val="none"/>
        </w:rPr>
      </w:pPr>
      <w:r>
        <w:rPr>
          <w:rFonts w:hint="eastAsia" w:hAnsi="宋体"/>
          <w:b/>
          <w:bCs/>
          <w:color w:val="auto"/>
          <w:kern w:val="0"/>
          <w:sz w:val="24"/>
          <w:szCs w:val="24"/>
          <w:highlight w:val="none"/>
        </w:rPr>
        <w:t>（</w:t>
      </w:r>
      <w:r>
        <w:rPr>
          <w:rFonts w:hint="eastAsia" w:hAnsi="宋体"/>
          <w:b/>
          <w:bCs/>
          <w:color w:val="auto"/>
          <w:kern w:val="0"/>
          <w:sz w:val="24"/>
          <w:szCs w:val="24"/>
          <w:highlight w:val="none"/>
          <w:lang w:val="en-US" w:eastAsia="zh-CN"/>
        </w:rPr>
        <w:t>4</w:t>
      </w:r>
      <w:r>
        <w:rPr>
          <w:rFonts w:hint="eastAsia" w:hAnsi="宋体"/>
          <w:b/>
          <w:bCs/>
          <w:color w:val="auto"/>
          <w:kern w:val="0"/>
          <w:sz w:val="24"/>
          <w:szCs w:val="24"/>
          <w:highlight w:val="none"/>
        </w:rPr>
        <w:t>）其他方式:</w:t>
      </w:r>
      <w:r>
        <w:rPr>
          <w:rFonts w:hint="eastAsia" w:hAnsi="宋体"/>
          <w:b/>
          <w:bCs/>
          <w:color w:val="auto"/>
          <w:kern w:val="0"/>
          <w:sz w:val="24"/>
          <w:szCs w:val="24"/>
          <w:highlight w:val="none"/>
          <w:u w:val="single"/>
        </w:rPr>
        <w:t xml:space="preserve">  </w:t>
      </w:r>
      <w:r>
        <w:rPr>
          <w:rFonts w:hint="eastAsia" w:hAnsi="宋体"/>
          <w:b/>
          <w:bCs/>
          <w:color w:val="auto"/>
          <w:sz w:val="24"/>
          <w:szCs w:val="24"/>
          <w:highlight w:val="none"/>
          <w:u w:val="single"/>
        </w:rPr>
        <w:t>合同结算价的</w:t>
      </w:r>
      <w:r>
        <w:rPr>
          <w:rFonts w:hint="eastAsia" w:hAnsi="宋体"/>
          <w:b/>
          <w:bCs/>
          <w:color w:val="auto"/>
          <w:sz w:val="24"/>
          <w:szCs w:val="24"/>
          <w:highlight w:val="none"/>
          <w:u w:val="single"/>
          <w:lang w:val="en-US" w:eastAsia="zh-CN"/>
        </w:rPr>
        <w:t>1</w:t>
      </w:r>
      <w:r>
        <w:rPr>
          <w:rFonts w:hint="eastAsia" w:hAnsi="宋体"/>
          <w:b/>
          <w:bCs/>
          <w:color w:val="auto"/>
          <w:sz w:val="24"/>
          <w:szCs w:val="24"/>
          <w:highlight w:val="none"/>
          <w:u w:val="single"/>
        </w:rPr>
        <w:t>.5%</w:t>
      </w:r>
      <w:r>
        <w:rPr>
          <w:rFonts w:hint="eastAsia" w:hAnsi="宋体"/>
          <w:b/>
          <w:bCs/>
          <w:color w:val="auto"/>
          <w:kern w:val="0"/>
          <w:sz w:val="24"/>
          <w:szCs w:val="24"/>
          <w:highlight w:val="none"/>
          <w:u w:val="single"/>
        </w:rPr>
        <w:t xml:space="preserve">    </w:t>
      </w:r>
      <w:r>
        <w:rPr>
          <w:rFonts w:hint="eastAsia" w:hAnsi="宋体"/>
          <w:b/>
          <w:bCs/>
          <w:color w:val="auto"/>
          <w:kern w:val="0"/>
          <w:sz w:val="24"/>
          <w:szCs w:val="24"/>
          <w:highlight w:val="none"/>
        </w:rPr>
        <w:t>。</w:t>
      </w:r>
    </w:p>
    <w:p>
      <w:pPr>
        <w:spacing w:line="440" w:lineRule="exact"/>
        <w:ind w:firstLine="480" w:firstLineChars="200"/>
        <w:rPr>
          <w:rFonts w:hAnsi="宋体"/>
          <w:color w:val="auto"/>
          <w:sz w:val="24"/>
          <w:highlight w:val="none"/>
        </w:rPr>
      </w:pPr>
      <w:r>
        <w:rPr>
          <w:rFonts w:hAnsi="宋体"/>
          <w:color w:val="auto"/>
          <w:sz w:val="24"/>
          <w:highlight w:val="none"/>
        </w:rPr>
        <w:t xml:space="preserve">15.3.2 质量保证金的扣留 </w:t>
      </w:r>
    </w:p>
    <w:p>
      <w:pPr>
        <w:spacing w:line="440" w:lineRule="exact"/>
        <w:ind w:firstLine="480" w:firstLineChars="200"/>
        <w:rPr>
          <w:rFonts w:hAnsi="宋体"/>
          <w:color w:val="auto"/>
          <w:sz w:val="24"/>
          <w:highlight w:val="none"/>
        </w:rPr>
      </w:pPr>
      <w:r>
        <w:rPr>
          <w:rFonts w:hAnsi="宋体"/>
          <w:color w:val="auto"/>
          <w:sz w:val="24"/>
          <w:highlight w:val="none"/>
        </w:rPr>
        <w:t>质量保证金的扣留采取以下第</w:t>
      </w:r>
      <w:r>
        <w:rPr>
          <w:rFonts w:hAnsi="宋体"/>
          <w:color w:val="auto"/>
          <w:sz w:val="24"/>
          <w:highlight w:val="none"/>
          <w:u w:val="single"/>
        </w:rPr>
        <w:t xml:space="preserve"> </w:t>
      </w:r>
      <w:r>
        <w:rPr>
          <w:rFonts w:hint="eastAsia" w:hAnsi="宋体"/>
          <w:color w:val="auto"/>
          <w:sz w:val="24"/>
          <w:highlight w:val="none"/>
          <w:u w:val="single"/>
        </w:rPr>
        <w:t>（2）</w:t>
      </w:r>
      <w:r>
        <w:rPr>
          <w:rFonts w:hAnsi="宋体"/>
          <w:color w:val="auto"/>
          <w:sz w:val="24"/>
          <w:highlight w:val="none"/>
          <w:u w:val="single"/>
        </w:rPr>
        <w:t xml:space="preserve"> </w:t>
      </w:r>
      <w:r>
        <w:rPr>
          <w:rFonts w:hAnsi="宋体"/>
          <w:color w:val="auto"/>
          <w:sz w:val="24"/>
          <w:highlight w:val="none"/>
        </w:rPr>
        <w:t>种方式：</w:t>
      </w:r>
    </w:p>
    <w:p>
      <w:pPr>
        <w:autoSpaceDE w:val="0"/>
        <w:autoSpaceDN w:val="0"/>
        <w:adjustRightInd w:val="0"/>
        <w:spacing w:line="440" w:lineRule="exact"/>
        <w:ind w:firstLine="480" w:firstLineChars="200"/>
        <w:rPr>
          <w:rFonts w:hAnsi="宋体"/>
          <w:color w:val="auto"/>
          <w:kern w:val="0"/>
          <w:sz w:val="24"/>
          <w:highlight w:val="none"/>
        </w:rPr>
      </w:pPr>
      <w:r>
        <w:rPr>
          <w:rFonts w:hAnsi="宋体"/>
          <w:color w:val="auto"/>
          <w:kern w:val="0"/>
          <w:sz w:val="24"/>
          <w:highlight w:val="none"/>
        </w:rPr>
        <w:t>（1）在支付工程进度款时逐次扣留，在此情形下，质量保证金的计算基数不包括预付款的支付、扣回以及价格调整的金额；</w:t>
      </w:r>
    </w:p>
    <w:p>
      <w:pPr>
        <w:autoSpaceDE w:val="0"/>
        <w:autoSpaceDN w:val="0"/>
        <w:adjustRightInd w:val="0"/>
        <w:spacing w:line="440" w:lineRule="exact"/>
        <w:ind w:firstLine="480" w:firstLineChars="200"/>
        <w:rPr>
          <w:rFonts w:hAnsi="宋体"/>
          <w:color w:val="auto"/>
          <w:kern w:val="0"/>
          <w:sz w:val="24"/>
          <w:highlight w:val="none"/>
        </w:rPr>
      </w:pPr>
      <w:r>
        <w:rPr>
          <w:rFonts w:hAnsi="宋体"/>
          <w:color w:val="auto"/>
          <w:kern w:val="0"/>
          <w:sz w:val="24"/>
          <w:highlight w:val="none"/>
        </w:rPr>
        <w:t>（2）工程竣工结算时一次性扣留质量保证金；</w:t>
      </w:r>
    </w:p>
    <w:p>
      <w:pPr>
        <w:autoSpaceDE w:val="0"/>
        <w:autoSpaceDN w:val="0"/>
        <w:adjustRightInd w:val="0"/>
        <w:spacing w:line="440" w:lineRule="exact"/>
        <w:ind w:firstLine="480" w:firstLineChars="200"/>
        <w:rPr>
          <w:rFonts w:hAnsi="宋体"/>
          <w:color w:val="auto"/>
          <w:kern w:val="0"/>
          <w:sz w:val="24"/>
          <w:highlight w:val="none"/>
        </w:rPr>
      </w:pPr>
      <w:r>
        <w:rPr>
          <w:rFonts w:hAnsi="宋体"/>
          <w:color w:val="auto"/>
          <w:kern w:val="0"/>
          <w:sz w:val="24"/>
          <w:highlight w:val="none"/>
        </w:rPr>
        <w:t>（3）其他扣留方式:</w:t>
      </w:r>
      <w:r>
        <w:rPr>
          <w:rFonts w:hAnsi="宋体"/>
          <w:color w:val="auto"/>
          <w:kern w:val="0"/>
          <w:sz w:val="24"/>
          <w:highlight w:val="none"/>
          <w:u w:val="single"/>
        </w:rPr>
        <w:t xml:space="preserve">        </w:t>
      </w:r>
      <w:r>
        <w:rPr>
          <w:rFonts w:hint="eastAsia" w:hAnsi="宋体"/>
          <w:color w:val="auto"/>
          <w:kern w:val="0"/>
          <w:sz w:val="24"/>
          <w:highlight w:val="none"/>
          <w:u w:val="single"/>
        </w:rPr>
        <w:t xml:space="preserve">/  </w:t>
      </w:r>
      <w:r>
        <w:rPr>
          <w:rFonts w:hAnsi="宋体"/>
          <w:color w:val="auto"/>
          <w:kern w:val="0"/>
          <w:sz w:val="24"/>
          <w:highlight w:val="none"/>
          <w:u w:val="single"/>
        </w:rPr>
        <w:t xml:space="preserve">  </w:t>
      </w:r>
      <w:r>
        <w:rPr>
          <w:rFonts w:hint="eastAsia" w:hAnsi="宋体"/>
          <w:color w:val="auto"/>
          <w:kern w:val="0"/>
          <w:sz w:val="24"/>
          <w:highlight w:val="none"/>
          <w:u w:val="single"/>
        </w:rPr>
        <w:t xml:space="preserve">               </w:t>
      </w:r>
      <w:r>
        <w:rPr>
          <w:rFonts w:hAnsi="宋体"/>
          <w:color w:val="auto"/>
          <w:kern w:val="0"/>
          <w:sz w:val="24"/>
          <w:highlight w:val="none"/>
          <w:u w:val="single"/>
        </w:rPr>
        <w:t xml:space="preserve">    </w:t>
      </w:r>
      <w:r>
        <w:rPr>
          <w:rFonts w:hAnsi="宋体"/>
          <w:color w:val="auto"/>
          <w:kern w:val="0"/>
          <w:sz w:val="24"/>
          <w:highlight w:val="none"/>
        </w:rPr>
        <w:t>。</w:t>
      </w:r>
    </w:p>
    <w:p>
      <w:pPr>
        <w:spacing w:line="440" w:lineRule="exact"/>
        <w:ind w:firstLine="480" w:firstLineChars="200"/>
        <w:rPr>
          <w:rFonts w:hAnsi="宋体"/>
          <w:color w:val="auto"/>
          <w:sz w:val="24"/>
          <w:highlight w:val="none"/>
        </w:rPr>
      </w:pPr>
      <w:r>
        <w:rPr>
          <w:rFonts w:hAnsi="宋体"/>
          <w:color w:val="auto"/>
          <w:sz w:val="24"/>
          <w:highlight w:val="none"/>
        </w:rPr>
        <w:t>关于质量保证金的补充约定：</w:t>
      </w:r>
      <w:r>
        <w:rPr>
          <w:rFonts w:hint="eastAsia" w:hAnsi="宋体"/>
          <w:color w:val="auto"/>
          <w:kern w:val="0"/>
          <w:sz w:val="24"/>
          <w:highlight w:val="none"/>
          <w:u w:val="single"/>
        </w:rPr>
        <w:t>中标后双方协商</w:t>
      </w:r>
      <w:r>
        <w:rPr>
          <w:rFonts w:hAnsi="宋体"/>
          <w:color w:val="auto"/>
          <w:kern w:val="0"/>
          <w:sz w:val="24"/>
          <w:highlight w:val="none"/>
        </w:rPr>
        <w:t>。</w:t>
      </w:r>
    </w:p>
    <w:bookmarkEnd w:id="881"/>
    <w:bookmarkEnd w:id="882"/>
    <w:p>
      <w:pPr>
        <w:spacing w:line="440" w:lineRule="exact"/>
        <w:ind w:firstLine="480" w:firstLineChars="200"/>
        <w:rPr>
          <w:rFonts w:hAnsi="宋体"/>
          <w:color w:val="auto"/>
          <w:sz w:val="24"/>
          <w:highlight w:val="none"/>
        </w:rPr>
      </w:pPr>
      <w:r>
        <w:rPr>
          <w:rFonts w:hAnsi="宋体"/>
          <w:color w:val="auto"/>
          <w:sz w:val="24"/>
          <w:highlight w:val="none"/>
        </w:rPr>
        <w:t>15.4保修</w:t>
      </w:r>
    </w:p>
    <w:bookmarkEnd w:id="883"/>
    <w:p>
      <w:pPr>
        <w:spacing w:line="440" w:lineRule="exact"/>
        <w:ind w:firstLine="480" w:firstLineChars="200"/>
        <w:rPr>
          <w:rFonts w:hAnsi="宋体"/>
          <w:color w:val="auto"/>
          <w:sz w:val="24"/>
          <w:highlight w:val="none"/>
        </w:rPr>
      </w:pPr>
      <w:r>
        <w:rPr>
          <w:rFonts w:hAnsi="宋体"/>
          <w:color w:val="auto"/>
          <w:sz w:val="24"/>
          <w:highlight w:val="none"/>
        </w:rPr>
        <w:t>15.4.1 保修责任</w:t>
      </w:r>
    </w:p>
    <w:p>
      <w:pPr>
        <w:spacing w:line="440" w:lineRule="exact"/>
        <w:ind w:firstLine="480" w:firstLineChars="200"/>
        <w:rPr>
          <w:rFonts w:hAnsi="宋体"/>
          <w:color w:val="auto"/>
          <w:kern w:val="0"/>
          <w:sz w:val="24"/>
          <w:highlight w:val="none"/>
          <w:u w:val="single"/>
        </w:rPr>
      </w:pPr>
      <w:r>
        <w:rPr>
          <w:rFonts w:hAnsi="宋体"/>
          <w:color w:val="auto"/>
          <w:sz w:val="24"/>
          <w:highlight w:val="none"/>
        </w:rPr>
        <w:t>工程保修期为：</w:t>
      </w:r>
      <w:r>
        <w:rPr>
          <w:rFonts w:hint="eastAsia" w:hAnsi="宋体"/>
          <w:color w:val="auto"/>
          <w:kern w:val="0"/>
          <w:sz w:val="24"/>
          <w:highlight w:val="none"/>
          <w:u w:val="single"/>
        </w:rPr>
        <w:t>保修期遵照质量保修书约定。</w:t>
      </w:r>
    </w:p>
    <w:p>
      <w:pPr>
        <w:spacing w:line="440" w:lineRule="exact"/>
        <w:ind w:firstLine="480" w:firstLineChars="200"/>
        <w:rPr>
          <w:rFonts w:hAnsi="宋体"/>
          <w:color w:val="auto"/>
          <w:sz w:val="24"/>
          <w:highlight w:val="none"/>
        </w:rPr>
      </w:pPr>
      <w:r>
        <w:rPr>
          <w:rFonts w:hAnsi="宋体"/>
          <w:color w:val="auto"/>
          <w:sz w:val="24"/>
          <w:highlight w:val="none"/>
        </w:rPr>
        <w:t>15.4.3 修复通知</w:t>
      </w:r>
    </w:p>
    <w:p>
      <w:pPr>
        <w:spacing w:line="440" w:lineRule="exact"/>
        <w:ind w:firstLine="480" w:firstLineChars="200"/>
        <w:rPr>
          <w:rFonts w:hint="eastAsia" w:hAnsi="宋体"/>
          <w:color w:val="auto"/>
          <w:kern w:val="0"/>
          <w:sz w:val="24"/>
          <w:highlight w:val="none"/>
        </w:rPr>
      </w:pPr>
      <w:r>
        <w:rPr>
          <w:rFonts w:hAnsi="宋体"/>
          <w:color w:val="auto"/>
          <w:kern w:val="0"/>
          <w:sz w:val="24"/>
          <w:highlight w:val="none"/>
        </w:rPr>
        <w:t>承包人收到保修通知并到达工程现场的合理时间：</w:t>
      </w:r>
      <w:r>
        <w:rPr>
          <w:rFonts w:hint="eastAsia" w:hAnsi="宋体"/>
          <w:color w:val="auto"/>
          <w:kern w:val="0"/>
          <w:sz w:val="24"/>
          <w:highlight w:val="none"/>
          <w:u w:val="single"/>
        </w:rPr>
        <w:t>12小时内</w:t>
      </w:r>
      <w:r>
        <w:rPr>
          <w:rFonts w:hAnsi="宋体"/>
          <w:color w:val="auto"/>
          <w:kern w:val="0"/>
          <w:sz w:val="24"/>
          <w:highlight w:val="none"/>
        </w:rPr>
        <w:t>。</w:t>
      </w:r>
    </w:p>
    <w:p>
      <w:pPr>
        <w:spacing w:line="440" w:lineRule="exact"/>
        <w:ind w:firstLine="480" w:firstLineChars="200"/>
        <w:rPr>
          <w:rFonts w:hint="eastAsia" w:hAnsi="宋体" w:cs="宋体"/>
          <w:color w:val="auto"/>
          <w:sz w:val="24"/>
          <w:highlight w:val="none"/>
        </w:rPr>
      </w:pPr>
      <w:r>
        <w:rPr>
          <w:rFonts w:hint="eastAsia" w:hAnsi="宋体" w:cs="宋体"/>
          <w:color w:val="auto"/>
          <w:sz w:val="24"/>
          <w:highlight w:val="none"/>
          <w:u w:val="single"/>
        </w:rPr>
        <w:t>在法定的保修期内工程发生质量问题，无论发包人以何种方式通知承包人，承包人必须按照规定的时间到场进行维修，并一次性维修合格；不能按时到场进行维修的或一次性维修不合格的，发包人可另行委托他人进行维修，所发生的维修费用由承包人支付。</w:t>
      </w:r>
    </w:p>
    <w:bookmarkEnd w:id="884"/>
    <w:bookmarkEnd w:id="885"/>
    <w:bookmarkEnd w:id="886"/>
    <w:bookmarkEnd w:id="887"/>
    <w:p>
      <w:pPr>
        <w:spacing w:line="440" w:lineRule="exact"/>
        <w:ind w:firstLine="480" w:firstLineChars="200"/>
        <w:rPr>
          <w:color w:val="auto"/>
          <w:sz w:val="24"/>
          <w:highlight w:val="none"/>
        </w:rPr>
      </w:pPr>
      <w:bookmarkStart w:id="910" w:name="_Toc351203648"/>
      <w:bookmarkStart w:id="911" w:name="_Toc280868717"/>
      <w:bookmarkStart w:id="912" w:name="_Toc280868718"/>
      <w:r>
        <w:rPr>
          <w:color w:val="auto"/>
          <w:sz w:val="24"/>
          <w:highlight w:val="none"/>
        </w:rPr>
        <w:t>16. 违约</w:t>
      </w:r>
      <w:bookmarkEnd w:id="910"/>
    </w:p>
    <w:p>
      <w:pPr>
        <w:spacing w:line="440" w:lineRule="exact"/>
        <w:ind w:firstLine="480" w:firstLineChars="200"/>
        <w:rPr>
          <w:rFonts w:hAnsi="宋体"/>
          <w:color w:val="auto"/>
          <w:sz w:val="24"/>
          <w:highlight w:val="none"/>
        </w:rPr>
      </w:pPr>
      <w:r>
        <w:rPr>
          <w:rFonts w:hAnsi="宋体"/>
          <w:color w:val="auto"/>
          <w:sz w:val="24"/>
          <w:highlight w:val="none"/>
        </w:rPr>
        <w:t>16.1 发包人违约</w:t>
      </w:r>
    </w:p>
    <w:p>
      <w:pPr>
        <w:spacing w:line="440" w:lineRule="exact"/>
        <w:ind w:firstLine="480" w:firstLineChars="200"/>
        <w:rPr>
          <w:rFonts w:hAnsi="宋体"/>
          <w:color w:val="auto"/>
          <w:sz w:val="24"/>
          <w:highlight w:val="none"/>
        </w:rPr>
      </w:pPr>
      <w:r>
        <w:rPr>
          <w:rFonts w:hAnsi="宋体"/>
          <w:color w:val="auto"/>
          <w:sz w:val="24"/>
          <w:highlight w:val="none"/>
        </w:rPr>
        <w:t>16.1.1发包人违约的情形</w:t>
      </w:r>
    </w:p>
    <w:p>
      <w:pPr>
        <w:spacing w:line="440" w:lineRule="exact"/>
        <w:ind w:firstLine="480" w:firstLineChars="200"/>
        <w:rPr>
          <w:rFonts w:hint="eastAsia" w:hAnsi="宋体"/>
          <w:color w:val="auto"/>
          <w:kern w:val="0"/>
          <w:sz w:val="24"/>
          <w:highlight w:val="none"/>
        </w:rPr>
      </w:pPr>
      <w:r>
        <w:rPr>
          <w:rFonts w:hAnsi="宋体"/>
          <w:color w:val="auto"/>
          <w:kern w:val="0"/>
          <w:sz w:val="24"/>
          <w:highlight w:val="none"/>
        </w:rPr>
        <w:t>发包人违约的其他情形：</w:t>
      </w:r>
      <w:r>
        <w:rPr>
          <w:rFonts w:hint="eastAsia" w:hAnsi="宋体"/>
          <w:color w:val="auto"/>
          <w:kern w:val="0"/>
          <w:sz w:val="24"/>
          <w:highlight w:val="none"/>
          <w:u w:val="single"/>
        </w:rPr>
        <w:t>/</w:t>
      </w:r>
      <w:r>
        <w:rPr>
          <w:rFonts w:hAnsi="宋体"/>
          <w:color w:val="auto"/>
          <w:kern w:val="0"/>
          <w:sz w:val="24"/>
          <w:highlight w:val="none"/>
        </w:rPr>
        <w:t>。</w:t>
      </w:r>
    </w:p>
    <w:p>
      <w:pPr>
        <w:spacing w:line="440" w:lineRule="exact"/>
        <w:ind w:firstLine="480" w:firstLineChars="200"/>
        <w:rPr>
          <w:rFonts w:hAnsi="宋体"/>
          <w:color w:val="auto"/>
          <w:kern w:val="0"/>
          <w:sz w:val="24"/>
          <w:highlight w:val="none"/>
        </w:rPr>
      </w:pPr>
      <w:r>
        <w:rPr>
          <w:rFonts w:hAnsi="宋体"/>
          <w:color w:val="auto"/>
          <w:kern w:val="0"/>
          <w:sz w:val="24"/>
          <w:highlight w:val="none"/>
        </w:rPr>
        <w:t xml:space="preserve">    16.1.2 发包人违约的责任</w:t>
      </w:r>
    </w:p>
    <w:p>
      <w:pPr>
        <w:spacing w:line="440" w:lineRule="exact"/>
        <w:ind w:firstLine="480" w:firstLineChars="200"/>
        <w:rPr>
          <w:rFonts w:hAnsi="宋体"/>
          <w:color w:val="auto"/>
          <w:kern w:val="0"/>
          <w:sz w:val="24"/>
          <w:highlight w:val="none"/>
        </w:rPr>
      </w:pPr>
      <w:r>
        <w:rPr>
          <w:rFonts w:hAnsi="宋体"/>
          <w:color w:val="auto"/>
          <w:kern w:val="0"/>
          <w:sz w:val="24"/>
          <w:highlight w:val="none"/>
        </w:rPr>
        <w:t>发包人违约责任的承担方式和计算方法：</w:t>
      </w:r>
    </w:p>
    <w:p>
      <w:pPr>
        <w:spacing w:line="440" w:lineRule="exact"/>
        <w:ind w:firstLine="480" w:firstLineChars="200"/>
        <w:rPr>
          <w:rFonts w:hAnsi="宋体"/>
          <w:color w:val="auto"/>
          <w:kern w:val="0"/>
          <w:sz w:val="24"/>
          <w:highlight w:val="none"/>
          <w:u w:val="single"/>
        </w:rPr>
      </w:pPr>
      <w:r>
        <w:rPr>
          <w:rFonts w:hAnsi="宋体"/>
          <w:color w:val="auto"/>
          <w:kern w:val="0"/>
          <w:sz w:val="24"/>
          <w:highlight w:val="none"/>
        </w:rPr>
        <w:t>（1）因发包人原因未能在计划开工日期前7天内下达开工通知的违约责任：</w:t>
      </w:r>
      <w:r>
        <w:rPr>
          <w:rFonts w:hint="eastAsia" w:hAnsi="宋体"/>
          <w:color w:val="auto"/>
          <w:kern w:val="0"/>
          <w:sz w:val="24"/>
          <w:highlight w:val="none"/>
          <w:u w:val="single"/>
        </w:rPr>
        <w:t>/</w:t>
      </w:r>
      <w:r>
        <w:rPr>
          <w:rFonts w:hAnsi="宋体"/>
          <w:color w:val="auto"/>
          <w:kern w:val="0"/>
          <w:sz w:val="24"/>
          <w:highlight w:val="none"/>
        </w:rPr>
        <w:t>。</w:t>
      </w:r>
    </w:p>
    <w:p>
      <w:pPr>
        <w:spacing w:line="440" w:lineRule="exact"/>
        <w:ind w:firstLine="480" w:firstLineChars="200"/>
        <w:rPr>
          <w:rFonts w:hAnsi="宋体"/>
          <w:color w:val="auto"/>
          <w:kern w:val="0"/>
          <w:sz w:val="24"/>
          <w:highlight w:val="none"/>
        </w:rPr>
      </w:pPr>
      <w:r>
        <w:rPr>
          <w:rFonts w:hAnsi="宋体"/>
          <w:color w:val="auto"/>
          <w:kern w:val="0"/>
          <w:sz w:val="24"/>
          <w:highlight w:val="none"/>
        </w:rPr>
        <w:t>（2）因发包人原因未能按合同约定支付合同价款的违约责任：</w:t>
      </w:r>
      <w:r>
        <w:rPr>
          <w:rFonts w:hint="eastAsia" w:hAnsi="宋体"/>
          <w:color w:val="auto"/>
          <w:kern w:val="0"/>
          <w:sz w:val="24"/>
          <w:highlight w:val="none"/>
          <w:u w:val="single"/>
        </w:rPr>
        <w:t>/</w:t>
      </w:r>
      <w:r>
        <w:rPr>
          <w:rFonts w:hAnsi="宋体"/>
          <w:color w:val="auto"/>
          <w:kern w:val="0"/>
          <w:sz w:val="24"/>
          <w:highlight w:val="none"/>
        </w:rPr>
        <w:t>。</w:t>
      </w:r>
    </w:p>
    <w:p>
      <w:pPr>
        <w:spacing w:line="440" w:lineRule="exact"/>
        <w:ind w:firstLine="480" w:firstLineChars="200"/>
        <w:rPr>
          <w:rFonts w:hAnsi="宋体"/>
          <w:color w:val="auto"/>
          <w:kern w:val="0"/>
          <w:sz w:val="24"/>
          <w:highlight w:val="none"/>
        </w:rPr>
      </w:pPr>
      <w:r>
        <w:rPr>
          <w:rFonts w:hAnsi="宋体"/>
          <w:color w:val="auto"/>
          <w:kern w:val="0"/>
          <w:sz w:val="24"/>
          <w:highlight w:val="none"/>
        </w:rPr>
        <w:t>（3）发包人违反第10.1款</w:t>
      </w:r>
      <w:r>
        <w:rPr>
          <w:rFonts w:hint="eastAsia" w:hAnsi="宋体"/>
          <w:color w:val="auto"/>
          <w:kern w:val="0"/>
          <w:sz w:val="24"/>
          <w:highlight w:val="none"/>
        </w:rPr>
        <w:t>〔</w:t>
      </w:r>
      <w:r>
        <w:rPr>
          <w:rFonts w:hAnsi="宋体"/>
          <w:color w:val="auto"/>
          <w:kern w:val="0"/>
          <w:sz w:val="24"/>
          <w:highlight w:val="none"/>
        </w:rPr>
        <w:t>变更的范围</w:t>
      </w:r>
      <w:r>
        <w:rPr>
          <w:rFonts w:hint="eastAsia" w:hAnsi="宋体"/>
          <w:color w:val="auto"/>
          <w:kern w:val="0"/>
          <w:sz w:val="24"/>
          <w:highlight w:val="none"/>
        </w:rPr>
        <w:t>〕</w:t>
      </w:r>
      <w:r>
        <w:rPr>
          <w:rFonts w:hAnsi="宋体"/>
          <w:color w:val="auto"/>
          <w:kern w:val="0"/>
          <w:sz w:val="24"/>
          <w:highlight w:val="none"/>
        </w:rPr>
        <w:t>第（2）项约定，自行实施被取消的工作或转由他人实施的违约责任：</w:t>
      </w:r>
      <w:r>
        <w:rPr>
          <w:rFonts w:hint="eastAsia" w:hAnsi="宋体"/>
          <w:color w:val="auto"/>
          <w:kern w:val="0"/>
          <w:sz w:val="24"/>
          <w:highlight w:val="none"/>
          <w:u w:val="single"/>
        </w:rPr>
        <w:t>/</w:t>
      </w:r>
      <w:r>
        <w:rPr>
          <w:rFonts w:hAnsi="宋体"/>
          <w:color w:val="auto"/>
          <w:kern w:val="0"/>
          <w:sz w:val="24"/>
          <w:highlight w:val="none"/>
        </w:rPr>
        <w:t>。</w:t>
      </w:r>
    </w:p>
    <w:p>
      <w:pPr>
        <w:spacing w:line="440" w:lineRule="exact"/>
        <w:ind w:firstLine="480" w:firstLineChars="200"/>
        <w:rPr>
          <w:rFonts w:hAnsi="宋体"/>
          <w:color w:val="auto"/>
          <w:kern w:val="0"/>
          <w:sz w:val="24"/>
          <w:highlight w:val="none"/>
        </w:rPr>
      </w:pPr>
      <w:r>
        <w:rPr>
          <w:rFonts w:hAnsi="宋体"/>
          <w:color w:val="auto"/>
          <w:kern w:val="0"/>
          <w:sz w:val="24"/>
          <w:highlight w:val="none"/>
        </w:rPr>
        <w:t>（4）发包人提供的材料、工程设备的规格、数量或质量不符合合同约定，或因发包人原因导致交货日期延误或交货地点变更等情况的违约责任：</w:t>
      </w:r>
      <w:r>
        <w:rPr>
          <w:rFonts w:hint="eastAsia" w:hAnsi="宋体"/>
          <w:color w:val="auto"/>
          <w:kern w:val="0"/>
          <w:sz w:val="24"/>
          <w:highlight w:val="none"/>
          <w:u w:val="single"/>
        </w:rPr>
        <w:t>/</w:t>
      </w:r>
      <w:r>
        <w:rPr>
          <w:rFonts w:hAnsi="宋体"/>
          <w:color w:val="auto"/>
          <w:kern w:val="0"/>
          <w:sz w:val="24"/>
          <w:highlight w:val="none"/>
        </w:rPr>
        <w:t>。</w:t>
      </w:r>
    </w:p>
    <w:p>
      <w:pPr>
        <w:spacing w:line="440" w:lineRule="exact"/>
        <w:ind w:firstLine="480" w:firstLineChars="200"/>
        <w:rPr>
          <w:rFonts w:hAnsi="宋体"/>
          <w:color w:val="auto"/>
          <w:kern w:val="0"/>
          <w:sz w:val="24"/>
          <w:highlight w:val="none"/>
        </w:rPr>
      </w:pPr>
      <w:r>
        <w:rPr>
          <w:rFonts w:hAnsi="宋体"/>
          <w:color w:val="auto"/>
          <w:kern w:val="0"/>
          <w:sz w:val="24"/>
          <w:highlight w:val="none"/>
        </w:rPr>
        <w:t>（5）因发包人违反合同约定造成暂停施工的违约责任：</w:t>
      </w:r>
      <w:r>
        <w:rPr>
          <w:rFonts w:hint="eastAsia" w:hAnsi="宋体"/>
          <w:color w:val="auto"/>
          <w:kern w:val="0"/>
          <w:sz w:val="24"/>
          <w:highlight w:val="none"/>
          <w:u w:val="single"/>
        </w:rPr>
        <w:t>/</w:t>
      </w:r>
      <w:r>
        <w:rPr>
          <w:rFonts w:hAnsi="宋体"/>
          <w:color w:val="auto"/>
          <w:kern w:val="0"/>
          <w:sz w:val="24"/>
          <w:highlight w:val="none"/>
        </w:rPr>
        <w:t>。</w:t>
      </w:r>
    </w:p>
    <w:p>
      <w:pPr>
        <w:spacing w:line="440" w:lineRule="exact"/>
        <w:ind w:firstLine="480" w:firstLineChars="200"/>
        <w:rPr>
          <w:rFonts w:hAnsi="宋体"/>
          <w:color w:val="auto"/>
          <w:kern w:val="0"/>
          <w:sz w:val="24"/>
          <w:highlight w:val="none"/>
        </w:rPr>
      </w:pPr>
      <w:r>
        <w:rPr>
          <w:rFonts w:hAnsi="宋体"/>
          <w:color w:val="auto"/>
          <w:kern w:val="0"/>
          <w:sz w:val="24"/>
          <w:highlight w:val="none"/>
        </w:rPr>
        <w:t>（6）发包人无正当理由没有在约定期限内发出复工指示，导致承包人无法复工的违约责任：</w:t>
      </w:r>
      <w:r>
        <w:rPr>
          <w:rFonts w:hAnsi="宋体"/>
          <w:color w:val="auto"/>
          <w:kern w:val="0"/>
          <w:sz w:val="24"/>
          <w:highlight w:val="none"/>
          <w:u w:val="single"/>
        </w:rPr>
        <w:t xml:space="preserve">         </w:t>
      </w:r>
      <w:r>
        <w:rPr>
          <w:rFonts w:hint="eastAsia" w:hAnsi="宋体"/>
          <w:color w:val="auto"/>
          <w:kern w:val="0"/>
          <w:sz w:val="24"/>
          <w:highlight w:val="none"/>
          <w:u w:val="single"/>
        </w:rPr>
        <w:t>/</w:t>
      </w:r>
      <w:r>
        <w:rPr>
          <w:rFonts w:hAnsi="宋体"/>
          <w:color w:val="auto"/>
          <w:kern w:val="0"/>
          <w:sz w:val="24"/>
          <w:highlight w:val="none"/>
          <w:u w:val="single"/>
        </w:rPr>
        <w:t xml:space="preserve">      </w:t>
      </w:r>
      <w:r>
        <w:rPr>
          <w:rFonts w:hint="eastAsia" w:hAnsi="宋体"/>
          <w:color w:val="auto"/>
          <w:kern w:val="0"/>
          <w:sz w:val="24"/>
          <w:highlight w:val="none"/>
          <w:u w:val="single"/>
        </w:rPr>
        <w:t xml:space="preserve">      </w:t>
      </w:r>
      <w:r>
        <w:rPr>
          <w:rFonts w:hAnsi="宋体"/>
          <w:color w:val="auto"/>
          <w:kern w:val="0"/>
          <w:sz w:val="24"/>
          <w:highlight w:val="none"/>
          <w:u w:val="single"/>
        </w:rPr>
        <w:t xml:space="preserve">    </w:t>
      </w:r>
      <w:r>
        <w:rPr>
          <w:rFonts w:hint="eastAsia" w:hAnsi="宋体"/>
          <w:color w:val="auto"/>
          <w:kern w:val="0"/>
          <w:sz w:val="24"/>
          <w:highlight w:val="none"/>
          <w:u w:val="single"/>
        </w:rPr>
        <w:t xml:space="preserve"> </w:t>
      </w:r>
      <w:r>
        <w:rPr>
          <w:rFonts w:hAnsi="宋体"/>
          <w:color w:val="auto"/>
          <w:kern w:val="0"/>
          <w:sz w:val="24"/>
          <w:highlight w:val="none"/>
          <w:u w:val="single"/>
        </w:rPr>
        <w:t xml:space="preserve">     </w:t>
      </w:r>
      <w:r>
        <w:rPr>
          <w:rFonts w:hAnsi="宋体"/>
          <w:color w:val="auto"/>
          <w:kern w:val="0"/>
          <w:sz w:val="24"/>
          <w:highlight w:val="none"/>
        </w:rPr>
        <w:t>。</w:t>
      </w:r>
    </w:p>
    <w:p>
      <w:pPr>
        <w:spacing w:line="440" w:lineRule="exact"/>
        <w:ind w:firstLine="480" w:firstLineChars="200"/>
        <w:rPr>
          <w:rFonts w:hAnsi="宋体"/>
          <w:color w:val="auto"/>
          <w:kern w:val="0"/>
          <w:sz w:val="24"/>
          <w:highlight w:val="none"/>
        </w:rPr>
      </w:pPr>
      <w:r>
        <w:rPr>
          <w:rFonts w:hAnsi="宋体"/>
          <w:color w:val="auto"/>
          <w:kern w:val="0"/>
          <w:sz w:val="24"/>
          <w:highlight w:val="none"/>
        </w:rPr>
        <w:t>（7）</w:t>
      </w:r>
      <w:r>
        <w:rPr>
          <w:rFonts w:hint="eastAsia" w:hAnsi="宋体"/>
          <w:color w:val="auto"/>
          <w:kern w:val="0"/>
          <w:sz w:val="24"/>
          <w:highlight w:val="none"/>
        </w:rPr>
        <w:t>其他：</w:t>
      </w:r>
      <w:r>
        <w:rPr>
          <w:rFonts w:hAnsi="宋体"/>
          <w:color w:val="auto"/>
          <w:kern w:val="0"/>
          <w:sz w:val="24"/>
          <w:highlight w:val="none"/>
          <w:u w:val="single"/>
        </w:rPr>
        <w:t xml:space="preserve">      </w:t>
      </w:r>
      <w:r>
        <w:rPr>
          <w:rFonts w:hint="eastAsia" w:hAnsi="宋体"/>
          <w:color w:val="auto"/>
          <w:kern w:val="0"/>
          <w:sz w:val="24"/>
          <w:highlight w:val="none"/>
          <w:u w:val="single"/>
        </w:rPr>
        <w:t>/</w:t>
      </w:r>
      <w:r>
        <w:rPr>
          <w:rFonts w:hAnsi="宋体"/>
          <w:color w:val="auto"/>
          <w:kern w:val="0"/>
          <w:sz w:val="24"/>
          <w:highlight w:val="none"/>
          <w:u w:val="single"/>
        </w:rPr>
        <w:t xml:space="preserve">                     </w:t>
      </w:r>
      <w:r>
        <w:rPr>
          <w:rFonts w:hint="eastAsia" w:hAnsi="宋体"/>
          <w:color w:val="auto"/>
          <w:kern w:val="0"/>
          <w:sz w:val="24"/>
          <w:highlight w:val="none"/>
          <w:u w:val="single"/>
        </w:rPr>
        <w:t xml:space="preserve">      </w:t>
      </w:r>
      <w:r>
        <w:rPr>
          <w:rFonts w:hAnsi="宋体"/>
          <w:color w:val="auto"/>
          <w:kern w:val="0"/>
          <w:sz w:val="24"/>
          <w:highlight w:val="none"/>
          <w:u w:val="single"/>
        </w:rPr>
        <w:t xml:space="preserve">       </w:t>
      </w:r>
      <w:r>
        <w:rPr>
          <w:rFonts w:hint="eastAsia" w:hAnsi="宋体"/>
          <w:color w:val="auto"/>
          <w:kern w:val="0"/>
          <w:sz w:val="24"/>
          <w:highlight w:val="none"/>
          <w:u w:val="single"/>
        </w:rPr>
        <w:t xml:space="preserve">  </w:t>
      </w:r>
      <w:r>
        <w:rPr>
          <w:rFonts w:hAnsi="宋体"/>
          <w:color w:val="auto"/>
          <w:kern w:val="0"/>
          <w:sz w:val="24"/>
          <w:highlight w:val="none"/>
        </w:rPr>
        <w:t>。</w:t>
      </w:r>
    </w:p>
    <w:p>
      <w:pPr>
        <w:spacing w:line="440" w:lineRule="exact"/>
        <w:ind w:firstLine="480" w:firstLineChars="200"/>
        <w:rPr>
          <w:rFonts w:hAnsi="宋体"/>
          <w:color w:val="auto"/>
          <w:sz w:val="24"/>
          <w:highlight w:val="none"/>
        </w:rPr>
      </w:pPr>
      <w:r>
        <w:rPr>
          <w:rFonts w:hAnsi="宋体"/>
          <w:color w:val="auto"/>
          <w:sz w:val="24"/>
          <w:highlight w:val="none"/>
        </w:rPr>
        <w:t>16.1.3 因发包人违约解除合同</w:t>
      </w:r>
    </w:p>
    <w:p>
      <w:pPr>
        <w:autoSpaceDE w:val="0"/>
        <w:autoSpaceDN w:val="0"/>
        <w:adjustRightInd w:val="0"/>
        <w:spacing w:line="440" w:lineRule="exact"/>
        <w:ind w:firstLine="480" w:firstLineChars="200"/>
        <w:rPr>
          <w:rFonts w:hint="eastAsia" w:hAnsi="宋体"/>
          <w:color w:val="auto"/>
          <w:kern w:val="0"/>
          <w:sz w:val="24"/>
          <w:highlight w:val="none"/>
        </w:rPr>
      </w:pPr>
      <w:r>
        <w:rPr>
          <w:rFonts w:hAnsi="宋体"/>
          <w:color w:val="auto"/>
          <w:kern w:val="0"/>
          <w:sz w:val="24"/>
          <w:highlight w:val="none"/>
        </w:rPr>
        <w:t>承包人按16.1.1项</w:t>
      </w:r>
      <w:r>
        <w:rPr>
          <w:rFonts w:hint="eastAsia" w:hAnsi="宋体"/>
          <w:color w:val="auto"/>
          <w:kern w:val="0"/>
          <w:sz w:val="24"/>
          <w:highlight w:val="none"/>
        </w:rPr>
        <w:t>〔</w:t>
      </w:r>
      <w:r>
        <w:rPr>
          <w:rFonts w:hAnsi="宋体"/>
          <w:color w:val="auto"/>
          <w:kern w:val="0"/>
          <w:sz w:val="24"/>
          <w:highlight w:val="none"/>
        </w:rPr>
        <w:t>发包人违约的情形</w:t>
      </w:r>
      <w:r>
        <w:rPr>
          <w:rFonts w:hint="eastAsia" w:hAnsi="宋体"/>
          <w:color w:val="auto"/>
          <w:kern w:val="0"/>
          <w:sz w:val="24"/>
          <w:highlight w:val="none"/>
        </w:rPr>
        <w:t>〕</w:t>
      </w:r>
      <w:r>
        <w:rPr>
          <w:rFonts w:hAnsi="宋体"/>
          <w:color w:val="auto"/>
          <w:kern w:val="0"/>
          <w:sz w:val="24"/>
          <w:highlight w:val="none"/>
        </w:rPr>
        <w:t>约定暂停施工满</w:t>
      </w:r>
      <w:r>
        <w:rPr>
          <w:rFonts w:hAnsi="宋体"/>
          <w:color w:val="auto"/>
          <w:kern w:val="0"/>
          <w:sz w:val="24"/>
          <w:highlight w:val="none"/>
          <w:u w:val="single"/>
        </w:rPr>
        <w:t xml:space="preserve">  </w:t>
      </w:r>
      <w:r>
        <w:rPr>
          <w:rFonts w:hint="eastAsia" w:hAnsi="宋体"/>
          <w:color w:val="auto"/>
          <w:kern w:val="0"/>
          <w:sz w:val="24"/>
          <w:highlight w:val="none"/>
          <w:u w:val="single"/>
        </w:rPr>
        <w:t>/</w:t>
      </w:r>
      <w:r>
        <w:rPr>
          <w:rFonts w:hAnsi="宋体"/>
          <w:color w:val="auto"/>
          <w:kern w:val="0"/>
          <w:sz w:val="24"/>
          <w:highlight w:val="none"/>
          <w:u w:val="single"/>
        </w:rPr>
        <w:t xml:space="preserve">  </w:t>
      </w:r>
      <w:r>
        <w:rPr>
          <w:rFonts w:hAnsi="宋体"/>
          <w:color w:val="auto"/>
          <w:kern w:val="0"/>
          <w:sz w:val="24"/>
          <w:highlight w:val="none"/>
        </w:rPr>
        <w:t>天后发包人仍不纠正其违约行为并致使合同目的不能实现的，承包人有权解除合同。</w:t>
      </w:r>
    </w:p>
    <w:p>
      <w:pPr>
        <w:spacing w:line="440" w:lineRule="exact"/>
        <w:ind w:firstLine="480" w:firstLineChars="200"/>
        <w:rPr>
          <w:rFonts w:hAnsi="宋体"/>
          <w:color w:val="auto"/>
          <w:sz w:val="24"/>
          <w:highlight w:val="none"/>
        </w:rPr>
      </w:pPr>
      <w:r>
        <w:rPr>
          <w:rFonts w:hAnsi="宋体"/>
          <w:color w:val="auto"/>
          <w:sz w:val="24"/>
          <w:highlight w:val="none"/>
        </w:rPr>
        <w:t>16.2 承包人违约</w:t>
      </w:r>
    </w:p>
    <w:p>
      <w:pPr>
        <w:spacing w:line="440" w:lineRule="exact"/>
        <w:ind w:firstLine="480" w:firstLineChars="200"/>
        <w:rPr>
          <w:rFonts w:hAnsi="宋体"/>
          <w:color w:val="auto"/>
          <w:kern w:val="0"/>
          <w:sz w:val="24"/>
          <w:highlight w:val="none"/>
        </w:rPr>
      </w:pPr>
      <w:r>
        <w:rPr>
          <w:rFonts w:hAnsi="宋体"/>
          <w:color w:val="auto"/>
          <w:kern w:val="0"/>
          <w:sz w:val="24"/>
          <w:highlight w:val="none"/>
        </w:rPr>
        <w:t>16.2.1 承包人违约的情形</w:t>
      </w:r>
    </w:p>
    <w:p>
      <w:pPr>
        <w:spacing w:line="440" w:lineRule="exact"/>
        <w:ind w:firstLine="480" w:firstLineChars="200"/>
        <w:rPr>
          <w:rFonts w:hint="eastAsia" w:hAnsi="宋体"/>
          <w:b/>
          <w:color w:val="auto"/>
          <w:sz w:val="24"/>
          <w:highlight w:val="none"/>
          <w:u w:val="single"/>
        </w:rPr>
      </w:pPr>
      <w:r>
        <w:rPr>
          <w:rFonts w:hAnsi="宋体"/>
          <w:color w:val="auto"/>
          <w:kern w:val="0"/>
          <w:sz w:val="24"/>
          <w:highlight w:val="none"/>
        </w:rPr>
        <w:t>承包人违约的其他情形：</w:t>
      </w:r>
      <w:r>
        <w:rPr>
          <w:rFonts w:hint="eastAsia" w:hAnsi="宋体"/>
          <w:b/>
          <w:color w:val="auto"/>
          <w:sz w:val="24"/>
          <w:highlight w:val="none"/>
          <w:u w:val="single"/>
        </w:rPr>
        <w:t xml:space="preserve">中标工期即为合同工期，工期实行履约措施。承包人如不能按时完成竣工工期的工作，按本合同有关条款处以违约金，并承担监理延期费用。如因承包人自身原因造成工期严重滞后，又无明显改进措施的，发包人有权要求承包人无条件退场，并承担由此产生的一切损失，同时，发包人也有权安排其他施工队伍进场施工，费用经审价机构审核后从承包人合同价款中扣除。    </w:t>
      </w:r>
    </w:p>
    <w:p>
      <w:pPr>
        <w:spacing w:line="440" w:lineRule="exact"/>
        <w:ind w:firstLine="480" w:firstLineChars="200"/>
        <w:rPr>
          <w:rFonts w:hint="eastAsia" w:hAnsi="宋体"/>
          <w:color w:val="auto"/>
          <w:sz w:val="24"/>
          <w:highlight w:val="none"/>
          <w:u w:val="single"/>
        </w:rPr>
      </w:pPr>
      <w:r>
        <w:rPr>
          <w:rFonts w:hint="eastAsia" w:hAnsi="宋体"/>
          <w:color w:val="auto"/>
          <w:sz w:val="24"/>
          <w:highlight w:val="none"/>
          <w:u w:val="single"/>
        </w:rPr>
        <w:t>符合国家施工质量验收规定合格标准。中标人投标质量承诺等级即为合同质量等级。质量等级以招标人评定的等级为准。承包人必须严格按照施工图及工程施工验收规范等精心组织施工，严格把好每道工序的质量关，确保工程质量达到质量目标。经验收，如有不合格工程，在监理发出整改通知书后承包人无条件返工、整改、采取相应的补救、修复措施，如再次验收还是不合格，根据《建设工程施工现场管理规定》、《杭州市建筑工地文明施工管理规定》等相关规定，承包工程人无条件返工、整改、采取相应的补救、修复措施直至验收合格，由此追加的费用和延误的工期均由承包人负责。工程质量如一次性验收达不到合格质量目标，除扣除其全额质量履约保证金外，并处以工程结算造价的5%的违约金。</w:t>
      </w:r>
    </w:p>
    <w:p>
      <w:pPr>
        <w:spacing w:line="440" w:lineRule="exact"/>
        <w:ind w:firstLine="480" w:firstLineChars="200"/>
        <w:rPr>
          <w:rFonts w:hint="eastAsia" w:hAnsi="宋体"/>
          <w:color w:val="auto"/>
          <w:sz w:val="24"/>
          <w:highlight w:val="none"/>
        </w:rPr>
      </w:pPr>
      <w:r>
        <w:rPr>
          <w:rFonts w:hint="eastAsia" w:hAnsi="宋体"/>
          <w:color w:val="auto"/>
          <w:sz w:val="24"/>
          <w:highlight w:val="none"/>
        </w:rPr>
        <w:t>其它情形：</w:t>
      </w:r>
    </w:p>
    <w:p>
      <w:pPr>
        <w:spacing w:line="440" w:lineRule="exact"/>
        <w:ind w:firstLine="480" w:firstLineChars="200"/>
        <w:rPr>
          <w:rFonts w:hint="eastAsia" w:hAnsi="宋体"/>
          <w:color w:val="auto"/>
          <w:sz w:val="24"/>
          <w:highlight w:val="none"/>
          <w:u w:val="single"/>
        </w:rPr>
      </w:pPr>
      <w:r>
        <w:rPr>
          <w:rFonts w:hAnsi="宋体"/>
          <w:color w:val="auto"/>
          <w:sz w:val="24"/>
          <w:highlight w:val="none"/>
        </w:rPr>
        <w:t>①</w:t>
      </w:r>
      <w:r>
        <w:rPr>
          <w:rFonts w:hint="eastAsia" w:hAnsi="宋体"/>
          <w:color w:val="auto"/>
          <w:sz w:val="24"/>
          <w:highlight w:val="none"/>
          <w:u w:val="single"/>
        </w:rPr>
        <w:t>不定期进行安全文明施工检查，施工单位应及时整改，被一次警告后不作处罚，限期整改，被二次警告后扣除相应比例的文明施工费，另若由于施工不文明、不安全而被新闻单位曝光或交通或有关管理部门检查后通报或发生安全事故的，根据《建设工程施工现场管理规定》、《杭州市建筑工地文明施工管理规定》等相关规定进行处罚。</w:t>
      </w:r>
    </w:p>
    <w:p>
      <w:pPr>
        <w:spacing w:line="440" w:lineRule="exact"/>
        <w:ind w:firstLine="480" w:firstLineChars="200"/>
        <w:rPr>
          <w:rFonts w:hint="eastAsia" w:hAnsi="宋体"/>
          <w:color w:val="auto"/>
          <w:sz w:val="24"/>
          <w:highlight w:val="none"/>
          <w:u w:val="single"/>
        </w:rPr>
      </w:pPr>
      <w:r>
        <w:rPr>
          <w:rFonts w:hAnsi="宋体"/>
          <w:color w:val="auto"/>
          <w:sz w:val="24"/>
          <w:highlight w:val="none"/>
        </w:rPr>
        <w:t>②</w:t>
      </w:r>
      <w:r>
        <w:rPr>
          <w:rFonts w:hint="eastAsia" w:hAnsi="宋体"/>
          <w:b/>
          <w:color w:val="auto"/>
          <w:sz w:val="24"/>
          <w:highlight w:val="none"/>
        </w:rPr>
        <w:t>项目班子保证金的具体规定</w:t>
      </w:r>
      <w:r>
        <w:rPr>
          <w:rFonts w:hint="eastAsia" w:hAnsi="宋体"/>
          <w:color w:val="auto"/>
          <w:sz w:val="24"/>
          <w:highlight w:val="none"/>
        </w:rPr>
        <w:t>：</w:t>
      </w:r>
      <w:r>
        <w:rPr>
          <w:rFonts w:hint="eastAsia" w:hAnsi="宋体"/>
          <w:color w:val="auto"/>
          <w:sz w:val="24"/>
          <w:highlight w:val="none"/>
          <w:u w:val="single"/>
        </w:rPr>
        <w:t xml:space="preserve">中标后，承包人的项目负责人(建造师)在项目实施阶段不可调换。如有特殊情况，经招标人批准可以调换，但须追加10万元项目班子保证金。工程项目负责人(建造师)到岗必须每月不少于26天，否则按承包方违约论处，招标人按本合同有关条款对承包人处以违约金；其它项目班子主要成员主要包括技术负责、施工员、安全员、质检员等工程技术与管理人员，到岗率必须达到100%，达不到的，招标人按本合同有关条款对承包人处以违约金；到岗率按月计算，并由建设单位本工程管理人员或委托监理人考核。  </w:t>
      </w:r>
    </w:p>
    <w:p>
      <w:pPr>
        <w:spacing w:line="440" w:lineRule="exact"/>
        <w:ind w:firstLine="480" w:firstLineChars="200"/>
        <w:rPr>
          <w:rFonts w:hint="eastAsia" w:hAnsi="宋体"/>
          <w:color w:val="auto"/>
          <w:sz w:val="24"/>
          <w:highlight w:val="none"/>
          <w:u w:val="single"/>
        </w:rPr>
      </w:pPr>
      <w:r>
        <w:rPr>
          <w:rFonts w:hAnsi="宋体"/>
          <w:color w:val="auto"/>
          <w:sz w:val="24"/>
          <w:highlight w:val="none"/>
          <w:u w:val="single"/>
        </w:rPr>
        <w:t>③</w:t>
      </w:r>
      <w:r>
        <w:rPr>
          <w:rFonts w:hint="eastAsia" w:hAnsi="宋体"/>
          <w:color w:val="auto"/>
          <w:sz w:val="24"/>
          <w:highlight w:val="none"/>
          <w:u w:val="single"/>
        </w:rPr>
        <w:t>未经发包人同意，承包人擅自变更施工方案、拆改结构或设备管线的，每发现一次将扣除质量担保的履约保证金1%，由此发生的损失或事故（包括罚款），由承包人负责并承担损失。</w:t>
      </w:r>
    </w:p>
    <w:p>
      <w:pPr>
        <w:spacing w:line="440" w:lineRule="exact"/>
        <w:ind w:firstLine="480" w:firstLineChars="200"/>
        <w:rPr>
          <w:rFonts w:hint="eastAsia" w:hAnsi="宋体"/>
          <w:color w:val="auto"/>
          <w:sz w:val="24"/>
          <w:highlight w:val="none"/>
          <w:u w:val="single"/>
        </w:rPr>
      </w:pPr>
      <w:r>
        <w:rPr>
          <w:rFonts w:hAnsi="宋体"/>
          <w:color w:val="auto"/>
          <w:sz w:val="24"/>
          <w:highlight w:val="none"/>
          <w:u w:val="single"/>
        </w:rPr>
        <w:t>④</w:t>
      </w:r>
      <w:r>
        <w:rPr>
          <w:rFonts w:hint="eastAsia" w:hAnsi="宋体"/>
          <w:color w:val="auto"/>
          <w:sz w:val="24"/>
          <w:highlight w:val="none"/>
          <w:u w:val="single"/>
        </w:rPr>
        <w:t>本工程不得转包，否则，一经发现，即被视为违约，发包人有权终止合同，并有权扣罚合同造价10%的违约金。</w:t>
      </w:r>
    </w:p>
    <w:p>
      <w:pPr>
        <w:spacing w:line="440" w:lineRule="exact"/>
        <w:ind w:firstLine="480" w:firstLineChars="200"/>
        <w:rPr>
          <w:rFonts w:hAnsi="宋体"/>
          <w:color w:val="auto"/>
          <w:kern w:val="0"/>
          <w:sz w:val="24"/>
          <w:highlight w:val="none"/>
        </w:rPr>
      </w:pPr>
      <w:r>
        <w:rPr>
          <w:rFonts w:hAnsi="宋体"/>
          <w:color w:val="auto"/>
          <w:kern w:val="0"/>
          <w:sz w:val="24"/>
          <w:highlight w:val="none"/>
        </w:rPr>
        <w:t>16.2.2承包人违约的责任</w:t>
      </w:r>
    </w:p>
    <w:p>
      <w:pPr>
        <w:spacing w:line="440" w:lineRule="exact"/>
        <w:ind w:firstLine="480" w:firstLineChars="200"/>
        <w:rPr>
          <w:rFonts w:hAnsi="宋体"/>
          <w:color w:val="auto"/>
          <w:kern w:val="0"/>
          <w:sz w:val="24"/>
          <w:highlight w:val="none"/>
          <w:u w:val="single"/>
        </w:rPr>
      </w:pPr>
      <w:r>
        <w:rPr>
          <w:rFonts w:hAnsi="宋体"/>
          <w:color w:val="auto"/>
          <w:kern w:val="0"/>
          <w:sz w:val="24"/>
          <w:highlight w:val="none"/>
        </w:rPr>
        <w:t>承包人违约责任的承担方式和计算方法：</w:t>
      </w:r>
      <w:r>
        <w:rPr>
          <w:rFonts w:hAnsi="宋体"/>
          <w:color w:val="auto"/>
          <w:kern w:val="0"/>
          <w:sz w:val="24"/>
          <w:highlight w:val="none"/>
          <w:u w:val="single"/>
        </w:rPr>
        <w:t xml:space="preserve">                 </w:t>
      </w:r>
      <w:r>
        <w:rPr>
          <w:rFonts w:hAnsi="宋体"/>
          <w:color w:val="auto"/>
          <w:kern w:val="0"/>
          <w:sz w:val="24"/>
          <w:highlight w:val="none"/>
        </w:rPr>
        <w:t>。</w:t>
      </w:r>
      <w:r>
        <w:rPr>
          <w:rFonts w:hAnsi="宋体"/>
          <w:color w:val="auto"/>
          <w:sz w:val="24"/>
          <w:highlight w:val="none"/>
        </w:rPr>
        <w:t xml:space="preserve">    </w:t>
      </w:r>
    </w:p>
    <w:p>
      <w:pPr>
        <w:spacing w:line="440" w:lineRule="exact"/>
        <w:ind w:firstLine="480" w:firstLineChars="200"/>
        <w:rPr>
          <w:rFonts w:hAnsi="宋体"/>
          <w:color w:val="auto"/>
          <w:sz w:val="24"/>
          <w:highlight w:val="none"/>
        </w:rPr>
      </w:pPr>
      <w:r>
        <w:rPr>
          <w:rFonts w:hAnsi="宋体"/>
          <w:color w:val="auto"/>
          <w:sz w:val="24"/>
          <w:highlight w:val="none"/>
        </w:rPr>
        <w:t>16.2.3 因承包人违约解除合同</w:t>
      </w:r>
    </w:p>
    <w:p>
      <w:pPr>
        <w:spacing w:line="440" w:lineRule="exact"/>
        <w:ind w:firstLine="480" w:firstLineChars="200"/>
        <w:rPr>
          <w:rFonts w:hint="eastAsia" w:hAnsi="宋体"/>
          <w:color w:val="auto"/>
          <w:kern w:val="0"/>
          <w:sz w:val="24"/>
          <w:highlight w:val="none"/>
        </w:rPr>
      </w:pPr>
      <w:r>
        <w:rPr>
          <w:rFonts w:hAnsi="宋体"/>
          <w:color w:val="auto"/>
          <w:kern w:val="0"/>
          <w:sz w:val="24"/>
          <w:highlight w:val="none"/>
        </w:rPr>
        <w:t>关于承包人违约解除合同的特别约定：</w:t>
      </w:r>
      <w:r>
        <w:rPr>
          <w:rFonts w:hint="eastAsia" w:hAnsi="宋体"/>
          <w:color w:val="auto"/>
          <w:kern w:val="0"/>
          <w:sz w:val="24"/>
          <w:highlight w:val="none"/>
          <w:u w:val="single"/>
        </w:rPr>
        <w:t xml:space="preserve">      </w:t>
      </w:r>
      <w:r>
        <w:rPr>
          <w:rFonts w:hAnsi="宋体"/>
          <w:color w:val="auto"/>
          <w:kern w:val="0"/>
          <w:sz w:val="24"/>
          <w:highlight w:val="none"/>
          <w:u w:val="single"/>
        </w:rPr>
        <w:t xml:space="preserve">  </w:t>
      </w:r>
      <w:r>
        <w:rPr>
          <w:rFonts w:hint="eastAsia" w:hAnsi="宋体"/>
          <w:color w:val="auto"/>
          <w:kern w:val="0"/>
          <w:sz w:val="24"/>
          <w:highlight w:val="none"/>
          <w:u w:val="single"/>
        </w:rPr>
        <w:t xml:space="preserve">  </w:t>
      </w:r>
      <w:r>
        <w:rPr>
          <w:rFonts w:hAnsi="宋体"/>
          <w:color w:val="auto"/>
          <w:kern w:val="0"/>
          <w:sz w:val="24"/>
          <w:highlight w:val="none"/>
          <w:u w:val="single"/>
        </w:rPr>
        <w:t xml:space="preserve">        </w:t>
      </w:r>
      <w:r>
        <w:rPr>
          <w:rFonts w:hAnsi="宋体"/>
          <w:color w:val="auto"/>
          <w:kern w:val="0"/>
          <w:sz w:val="24"/>
          <w:highlight w:val="none"/>
        </w:rPr>
        <w:t>。</w:t>
      </w:r>
    </w:p>
    <w:p>
      <w:pPr>
        <w:spacing w:line="440" w:lineRule="exact"/>
        <w:ind w:firstLine="480" w:firstLineChars="200"/>
        <w:rPr>
          <w:rFonts w:hAnsi="宋体"/>
          <w:color w:val="auto"/>
          <w:kern w:val="0"/>
          <w:sz w:val="24"/>
          <w:highlight w:val="none"/>
        </w:rPr>
      </w:pPr>
      <w:r>
        <w:rPr>
          <w:rFonts w:hAnsi="宋体"/>
          <w:color w:val="auto"/>
          <w:kern w:val="0"/>
          <w:sz w:val="24"/>
          <w:highlight w:val="none"/>
        </w:rPr>
        <w:t>发包人</w:t>
      </w:r>
      <w:r>
        <w:rPr>
          <w:rFonts w:hint="eastAsia" w:hAnsi="宋体"/>
          <w:color w:val="auto"/>
          <w:kern w:val="0"/>
          <w:sz w:val="24"/>
          <w:highlight w:val="none"/>
        </w:rPr>
        <w:t>继续</w:t>
      </w:r>
      <w:r>
        <w:rPr>
          <w:rFonts w:hAnsi="宋体"/>
          <w:color w:val="auto"/>
          <w:kern w:val="0"/>
          <w:sz w:val="24"/>
          <w:highlight w:val="none"/>
        </w:rPr>
        <w:t>使用承包人在施工现场的材料、设备、临时工程、承包人文件和由承包人或以其名义编制的其他文件</w:t>
      </w:r>
      <w:r>
        <w:rPr>
          <w:rFonts w:hint="eastAsia" w:hAnsi="宋体"/>
          <w:color w:val="auto"/>
          <w:kern w:val="0"/>
          <w:sz w:val="24"/>
          <w:highlight w:val="none"/>
        </w:rPr>
        <w:t>的费用承担方式</w:t>
      </w:r>
      <w:r>
        <w:rPr>
          <w:rFonts w:hAnsi="宋体"/>
          <w:color w:val="auto"/>
          <w:kern w:val="0"/>
          <w:sz w:val="24"/>
          <w:highlight w:val="none"/>
        </w:rPr>
        <w:t>：</w:t>
      </w:r>
      <w:r>
        <w:rPr>
          <w:rFonts w:hint="eastAsia" w:hAnsi="宋体"/>
          <w:color w:val="auto"/>
          <w:kern w:val="0"/>
          <w:sz w:val="24"/>
          <w:highlight w:val="none"/>
          <w:u w:val="single"/>
        </w:rPr>
        <w:t>由承包人承担</w:t>
      </w:r>
      <w:r>
        <w:rPr>
          <w:rFonts w:hint="eastAsia" w:hAnsi="宋体"/>
          <w:color w:val="auto"/>
          <w:kern w:val="0"/>
          <w:sz w:val="24"/>
          <w:highlight w:val="none"/>
        </w:rPr>
        <w:t>。</w:t>
      </w:r>
    </w:p>
    <w:p>
      <w:pPr>
        <w:spacing w:line="440" w:lineRule="exact"/>
        <w:ind w:firstLine="480" w:firstLineChars="200"/>
        <w:rPr>
          <w:color w:val="auto"/>
          <w:sz w:val="24"/>
          <w:highlight w:val="none"/>
        </w:rPr>
      </w:pPr>
      <w:bookmarkStart w:id="913" w:name="_Toc351203649"/>
      <w:r>
        <w:rPr>
          <w:color w:val="auto"/>
          <w:sz w:val="24"/>
          <w:highlight w:val="none"/>
        </w:rPr>
        <w:t>17. 不可抗力</w:t>
      </w:r>
      <w:bookmarkEnd w:id="913"/>
      <w:r>
        <w:rPr>
          <w:color w:val="auto"/>
          <w:sz w:val="24"/>
          <w:highlight w:val="none"/>
        </w:rPr>
        <w:t xml:space="preserve"> </w:t>
      </w:r>
      <w:bookmarkEnd w:id="911"/>
    </w:p>
    <w:p>
      <w:pPr>
        <w:spacing w:line="440" w:lineRule="exact"/>
        <w:ind w:firstLine="480" w:firstLineChars="200"/>
        <w:rPr>
          <w:rFonts w:hAnsi="宋体"/>
          <w:color w:val="auto"/>
          <w:sz w:val="24"/>
          <w:highlight w:val="none"/>
        </w:rPr>
      </w:pPr>
      <w:r>
        <w:rPr>
          <w:rFonts w:hAnsi="宋体"/>
          <w:color w:val="auto"/>
          <w:sz w:val="24"/>
          <w:highlight w:val="none"/>
        </w:rPr>
        <w:t>17.1 不可抗力的确认</w:t>
      </w:r>
    </w:p>
    <w:p>
      <w:pPr>
        <w:tabs>
          <w:tab w:val="left" w:pos="1276"/>
        </w:tabs>
        <w:spacing w:line="440" w:lineRule="exact"/>
        <w:ind w:firstLine="480" w:firstLineChars="200"/>
        <w:rPr>
          <w:rFonts w:hint="eastAsia"/>
          <w:color w:val="auto"/>
          <w:sz w:val="24"/>
          <w:highlight w:val="none"/>
        </w:rPr>
      </w:pPr>
      <w:r>
        <w:rPr>
          <w:rFonts w:hAnsi="宋体"/>
          <w:color w:val="auto"/>
          <w:sz w:val="24"/>
          <w:highlight w:val="none"/>
        </w:rPr>
        <w:t>除通用合同条款约定的不可抗力事件之外，视为不可抗力的其他情形：</w:t>
      </w:r>
      <w:r>
        <w:rPr>
          <w:rFonts w:hint="eastAsia" w:hAnsi="宋体"/>
          <w:color w:val="auto"/>
          <w:sz w:val="24"/>
          <w:highlight w:val="none"/>
          <w:u w:val="single"/>
        </w:rPr>
        <w:t>六级以上地震、山洪暴发、战争、十级以上台风及其他属于承包人不能预见、不能避免并不能克服的客观情况。</w:t>
      </w:r>
    </w:p>
    <w:p>
      <w:pPr>
        <w:spacing w:line="440" w:lineRule="exact"/>
        <w:ind w:firstLine="480" w:firstLineChars="200"/>
        <w:rPr>
          <w:rFonts w:hAnsi="宋体"/>
          <w:color w:val="auto"/>
          <w:sz w:val="24"/>
          <w:highlight w:val="none"/>
        </w:rPr>
      </w:pPr>
      <w:r>
        <w:rPr>
          <w:rFonts w:hAnsi="宋体"/>
          <w:color w:val="auto"/>
          <w:sz w:val="24"/>
          <w:highlight w:val="none"/>
        </w:rPr>
        <w:t>17.4 因不可抗力解除合同</w:t>
      </w:r>
    </w:p>
    <w:p>
      <w:pPr>
        <w:spacing w:line="440" w:lineRule="exact"/>
        <w:ind w:firstLine="480" w:firstLineChars="200"/>
        <w:rPr>
          <w:rFonts w:hint="eastAsia" w:hAnsi="宋体"/>
          <w:color w:val="auto"/>
          <w:sz w:val="24"/>
          <w:highlight w:val="none"/>
        </w:rPr>
      </w:pPr>
      <w:r>
        <w:rPr>
          <w:rFonts w:hAnsi="宋体"/>
          <w:color w:val="auto"/>
          <w:sz w:val="24"/>
          <w:highlight w:val="none"/>
        </w:rPr>
        <w:t>合同解除后，发包人应在商定或确定发包人应支付款项后</w:t>
      </w:r>
      <w:r>
        <w:rPr>
          <w:rFonts w:hAnsi="宋体"/>
          <w:color w:val="auto"/>
          <w:sz w:val="24"/>
          <w:highlight w:val="none"/>
          <w:u w:val="single"/>
        </w:rPr>
        <w:t xml:space="preserve">  </w:t>
      </w:r>
      <w:r>
        <w:rPr>
          <w:rFonts w:hAnsi="宋体"/>
          <w:color w:val="auto"/>
          <w:sz w:val="24"/>
          <w:highlight w:val="none"/>
        </w:rPr>
        <w:t>天内完成款项的支付。</w:t>
      </w:r>
    </w:p>
    <w:p>
      <w:pPr>
        <w:spacing w:line="440" w:lineRule="exact"/>
        <w:ind w:firstLine="480" w:firstLineChars="200"/>
        <w:rPr>
          <w:color w:val="auto"/>
          <w:sz w:val="24"/>
          <w:highlight w:val="none"/>
        </w:rPr>
      </w:pPr>
      <w:bookmarkStart w:id="914" w:name="_Toc351203650"/>
      <w:r>
        <w:rPr>
          <w:color w:val="auto"/>
          <w:sz w:val="24"/>
          <w:highlight w:val="none"/>
        </w:rPr>
        <w:t>18. 保险</w:t>
      </w:r>
      <w:bookmarkEnd w:id="914"/>
    </w:p>
    <w:bookmarkEnd w:id="912"/>
    <w:p>
      <w:pPr>
        <w:spacing w:line="440" w:lineRule="exact"/>
        <w:ind w:firstLine="480" w:firstLineChars="200"/>
        <w:rPr>
          <w:rFonts w:hAnsi="宋体"/>
          <w:color w:val="auto"/>
          <w:sz w:val="24"/>
          <w:highlight w:val="none"/>
        </w:rPr>
      </w:pPr>
      <w:r>
        <w:rPr>
          <w:rFonts w:hAnsi="宋体"/>
          <w:color w:val="auto"/>
          <w:sz w:val="24"/>
          <w:highlight w:val="none"/>
        </w:rPr>
        <w:t>18.1 工程保险</w:t>
      </w:r>
    </w:p>
    <w:p>
      <w:pPr>
        <w:spacing w:line="440" w:lineRule="exact"/>
        <w:ind w:firstLine="480" w:firstLineChars="200"/>
        <w:rPr>
          <w:rFonts w:hint="eastAsia" w:hAnsi="宋体" w:cs="宋体"/>
          <w:color w:val="auto"/>
          <w:sz w:val="24"/>
          <w:highlight w:val="none"/>
        </w:rPr>
      </w:pPr>
      <w:r>
        <w:rPr>
          <w:rFonts w:hAnsi="宋体"/>
          <w:color w:val="auto"/>
          <w:sz w:val="24"/>
          <w:highlight w:val="none"/>
        </w:rPr>
        <w:t>关于工程保险的特别约定：</w:t>
      </w:r>
      <w:r>
        <w:rPr>
          <w:rFonts w:hint="eastAsia" w:hAnsi="宋体" w:cs="宋体"/>
          <w:color w:val="auto"/>
          <w:sz w:val="24"/>
          <w:highlight w:val="none"/>
          <w:u w:val="single"/>
        </w:rPr>
        <w:t>承包人应为建设工程和施工场地内的自有人员和设备及第三方生命财产办理相关所有保险并支付保险费用，费用已包含在总价内。施工时若发生事故，引发的相关经济、法律等责任均由承包方承担</w:t>
      </w:r>
      <w:r>
        <w:rPr>
          <w:rFonts w:hint="eastAsia" w:hAnsi="宋体" w:cs="宋体"/>
          <w:color w:val="auto"/>
          <w:sz w:val="24"/>
          <w:highlight w:val="none"/>
        </w:rPr>
        <w:t>。</w:t>
      </w:r>
    </w:p>
    <w:p>
      <w:pPr>
        <w:spacing w:line="440" w:lineRule="exact"/>
        <w:ind w:firstLine="480" w:firstLineChars="200"/>
        <w:rPr>
          <w:rFonts w:hAnsi="宋体"/>
          <w:color w:val="auto"/>
          <w:sz w:val="24"/>
          <w:highlight w:val="none"/>
        </w:rPr>
      </w:pPr>
      <w:r>
        <w:rPr>
          <w:rFonts w:hAnsi="宋体"/>
          <w:color w:val="auto"/>
          <w:sz w:val="24"/>
          <w:highlight w:val="none"/>
        </w:rPr>
        <w:t>18.3 其他保险</w:t>
      </w:r>
    </w:p>
    <w:p>
      <w:pPr>
        <w:spacing w:line="440" w:lineRule="exact"/>
        <w:ind w:firstLine="480" w:firstLineChars="200"/>
        <w:rPr>
          <w:rFonts w:hAnsi="宋体"/>
          <w:color w:val="auto"/>
          <w:kern w:val="0"/>
          <w:sz w:val="24"/>
          <w:highlight w:val="none"/>
        </w:rPr>
      </w:pPr>
      <w:r>
        <w:rPr>
          <w:rFonts w:hAnsi="宋体"/>
          <w:color w:val="auto"/>
          <w:sz w:val="24"/>
          <w:highlight w:val="none"/>
        </w:rPr>
        <w:t>关于其他保险的约定：</w:t>
      </w:r>
      <w:r>
        <w:rPr>
          <w:rFonts w:hint="eastAsia" w:hAnsi="宋体"/>
          <w:color w:val="auto"/>
          <w:sz w:val="24"/>
          <w:highlight w:val="none"/>
        </w:rPr>
        <w:t>由</w:t>
      </w:r>
      <w:r>
        <w:rPr>
          <w:rFonts w:hint="eastAsia"/>
          <w:color w:val="auto"/>
          <w:sz w:val="24"/>
          <w:highlight w:val="none"/>
          <w:u w:val="single"/>
        </w:rPr>
        <w:t>承包方应缴纳相关所有保险。</w:t>
      </w:r>
      <w:r>
        <w:rPr>
          <w:rFonts w:hAnsi="宋体"/>
          <w:color w:val="auto"/>
          <w:kern w:val="0"/>
          <w:sz w:val="24"/>
          <w:highlight w:val="none"/>
        </w:rPr>
        <w:t>。</w:t>
      </w:r>
    </w:p>
    <w:p>
      <w:pPr>
        <w:spacing w:line="440" w:lineRule="exact"/>
        <w:ind w:firstLine="480" w:firstLineChars="200"/>
        <w:rPr>
          <w:rFonts w:hAnsi="宋体"/>
          <w:color w:val="auto"/>
          <w:spacing w:val="-10"/>
          <w:kern w:val="0"/>
          <w:sz w:val="24"/>
          <w:highlight w:val="none"/>
        </w:rPr>
      </w:pPr>
      <w:r>
        <w:rPr>
          <w:rFonts w:hAnsi="宋体"/>
          <w:color w:val="auto"/>
          <w:sz w:val="24"/>
          <w:highlight w:val="none"/>
        </w:rPr>
        <w:t>承包人是否应为其施工设备等办理财产保险：</w:t>
      </w:r>
      <w:r>
        <w:rPr>
          <w:rFonts w:hint="eastAsia" w:hAnsi="宋体"/>
          <w:color w:val="auto"/>
          <w:spacing w:val="-10"/>
          <w:sz w:val="24"/>
          <w:highlight w:val="none"/>
          <w:u w:val="single"/>
        </w:rPr>
        <w:t>承包人应为其施工设备等办理财产保险</w:t>
      </w:r>
      <w:r>
        <w:rPr>
          <w:rFonts w:hAnsi="宋体"/>
          <w:color w:val="auto"/>
          <w:spacing w:val="-10"/>
          <w:sz w:val="24"/>
          <w:highlight w:val="none"/>
        </w:rPr>
        <w:t>。</w:t>
      </w:r>
    </w:p>
    <w:p>
      <w:pPr>
        <w:spacing w:line="440" w:lineRule="exact"/>
        <w:ind w:firstLine="480" w:firstLineChars="200"/>
        <w:rPr>
          <w:rFonts w:hAnsi="宋体"/>
          <w:color w:val="auto"/>
          <w:sz w:val="24"/>
          <w:highlight w:val="none"/>
        </w:rPr>
      </w:pPr>
      <w:r>
        <w:rPr>
          <w:rFonts w:hAnsi="宋体"/>
          <w:color w:val="auto"/>
          <w:sz w:val="24"/>
          <w:highlight w:val="none"/>
        </w:rPr>
        <w:t>18.7 通知义务</w:t>
      </w:r>
    </w:p>
    <w:p>
      <w:pPr>
        <w:spacing w:line="440" w:lineRule="exact"/>
        <w:ind w:firstLine="480" w:firstLineChars="200"/>
        <w:rPr>
          <w:rFonts w:hAnsi="宋体"/>
          <w:color w:val="auto"/>
          <w:sz w:val="24"/>
          <w:highlight w:val="none"/>
        </w:rPr>
      </w:pPr>
      <w:r>
        <w:rPr>
          <w:rFonts w:hAnsi="宋体"/>
          <w:color w:val="auto"/>
          <w:kern w:val="0"/>
          <w:sz w:val="24"/>
          <w:highlight w:val="none"/>
        </w:rPr>
        <w:t>关于变更保险合同时的通知义务的约定：</w:t>
      </w:r>
      <w:r>
        <w:rPr>
          <w:rFonts w:hint="eastAsia" w:hAnsi="宋体"/>
          <w:color w:val="auto"/>
          <w:sz w:val="24"/>
          <w:highlight w:val="none"/>
          <w:u w:val="single"/>
        </w:rPr>
        <w:t>/</w:t>
      </w:r>
      <w:r>
        <w:rPr>
          <w:rFonts w:hAnsi="宋体"/>
          <w:color w:val="auto"/>
          <w:sz w:val="24"/>
          <w:highlight w:val="none"/>
        </w:rPr>
        <w:t>。</w:t>
      </w:r>
    </w:p>
    <w:bookmarkEnd w:id="888"/>
    <w:bookmarkEnd w:id="889"/>
    <w:bookmarkEnd w:id="890"/>
    <w:bookmarkEnd w:id="891"/>
    <w:bookmarkEnd w:id="892"/>
    <w:bookmarkEnd w:id="893"/>
    <w:bookmarkEnd w:id="894"/>
    <w:bookmarkEnd w:id="895"/>
    <w:bookmarkEnd w:id="896"/>
    <w:bookmarkEnd w:id="897"/>
    <w:bookmarkEnd w:id="898"/>
    <w:bookmarkEnd w:id="899"/>
    <w:p>
      <w:pPr>
        <w:spacing w:line="440" w:lineRule="exact"/>
        <w:ind w:firstLine="480" w:firstLineChars="200"/>
        <w:rPr>
          <w:color w:val="auto"/>
          <w:sz w:val="24"/>
          <w:highlight w:val="none"/>
        </w:rPr>
      </w:pPr>
      <w:bookmarkStart w:id="915" w:name="_Toc351203651"/>
      <w:r>
        <w:rPr>
          <w:color w:val="auto"/>
          <w:sz w:val="24"/>
          <w:highlight w:val="none"/>
        </w:rPr>
        <w:t>20. 争议解决</w:t>
      </w:r>
      <w:bookmarkEnd w:id="915"/>
    </w:p>
    <w:bookmarkEnd w:id="900"/>
    <w:bookmarkEnd w:id="901"/>
    <w:p>
      <w:pPr>
        <w:spacing w:line="440" w:lineRule="exact"/>
        <w:ind w:firstLine="480" w:firstLineChars="200"/>
        <w:rPr>
          <w:rFonts w:hAnsi="宋体"/>
          <w:color w:val="auto"/>
          <w:sz w:val="24"/>
          <w:highlight w:val="none"/>
        </w:rPr>
      </w:pPr>
      <w:r>
        <w:rPr>
          <w:rFonts w:hAnsi="宋体"/>
          <w:color w:val="auto"/>
          <w:sz w:val="24"/>
          <w:highlight w:val="none"/>
        </w:rPr>
        <w:t>20.3 争</w:t>
      </w:r>
      <w:bookmarkEnd w:id="902"/>
      <w:r>
        <w:rPr>
          <w:rFonts w:hAnsi="宋体"/>
          <w:color w:val="auto"/>
          <w:sz w:val="24"/>
          <w:highlight w:val="none"/>
        </w:rPr>
        <w:t>议评审</w:t>
      </w:r>
    </w:p>
    <w:p>
      <w:pPr>
        <w:spacing w:line="440" w:lineRule="exact"/>
        <w:ind w:firstLine="480" w:firstLineChars="200"/>
        <w:rPr>
          <w:rFonts w:hAnsi="宋体"/>
          <w:color w:val="auto"/>
          <w:sz w:val="24"/>
          <w:highlight w:val="none"/>
        </w:rPr>
      </w:pPr>
      <w:r>
        <w:rPr>
          <w:rFonts w:hAnsi="宋体"/>
          <w:color w:val="auto"/>
          <w:sz w:val="24"/>
          <w:highlight w:val="none"/>
        </w:rPr>
        <w:t>合同当事人是否同意将工程争议提交争议评审小组决</w:t>
      </w:r>
      <w:r>
        <w:rPr>
          <w:rFonts w:hint="eastAsia" w:hAnsi="宋体"/>
          <w:color w:val="auto"/>
          <w:sz w:val="24"/>
          <w:highlight w:val="none"/>
        </w:rPr>
        <w:t>定：</w:t>
      </w:r>
      <w:r>
        <w:rPr>
          <w:rFonts w:hint="eastAsia" w:hAnsi="宋体"/>
          <w:color w:val="auto"/>
          <w:sz w:val="24"/>
          <w:highlight w:val="none"/>
          <w:u w:val="single"/>
        </w:rPr>
        <w:t>中标后双方协商</w:t>
      </w:r>
      <w:r>
        <w:rPr>
          <w:rFonts w:hint="eastAsia" w:hAnsi="宋体"/>
          <w:color w:val="auto"/>
          <w:sz w:val="24"/>
          <w:highlight w:val="none"/>
        </w:rPr>
        <w:t xml:space="preserve">。  </w:t>
      </w:r>
    </w:p>
    <w:p>
      <w:pPr>
        <w:spacing w:line="440" w:lineRule="exact"/>
        <w:ind w:firstLine="480" w:firstLineChars="200"/>
        <w:rPr>
          <w:rFonts w:hAnsi="宋体"/>
          <w:color w:val="auto"/>
          <w:sz w:val="24"/>
          <w:highlight w:val="none"/>
        </w:rPr>
      </w:pPr>
      <w:r>
        <w:rPr>
          <w:rFonts w:hAnsi="宋体"/>
          <w:color w:val="auto"/>
          <w:sz w:val="24"/>
          <w:highlight w:val="none"/>
        </w:rPr>
        <w:t>20.3.1 争议评审小组的确定</w:t>
      </w:r>
    </w:p>
    <w:p>
      <w:pPr>
        <w:spacing w:line="440" w:lineRule="exact"/>
        <w:ind w:firstLine="480" w:firstLineChars="200"/>
        <w:rPr>
          <w:rFonts w:hAnsi="宋体"/>
          <w:color w:val="auto"/>
          <w:sz w:val="24"/>
          <w:highlight w:val="none"/>
          <w:u w:val="single"/>
        </w:rPr>
      </w:pPr>
      <w:r>
        <w:rPr>
          <w:rFonts w:hAnsi="宋体"/>
          <w:color w:val="auto"/>
          <w:sz w:val="24"/>
          <w:highlight w:val="none"/>
        </w:rPr>
        <w:t>争议评审小组成员的确定：</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r>
        <w:rPr>
          <w:rFonts w:hAnsi="宋体"/>
          <w:color w:val="auto"/>
          <w:sz w:val="24"/>
          <w:highlight w:val="none"/>
        </w:rPr>
        <w:t>。</w:t>
      </w:r>
    </w:p>
    <w:p>
      <w:pPr>
        <w:spacing w:line="440" w:lineRule="exact"/>
        <w:ind w:firstLine="480" w:firstLineChars="200"/>
        <w:rPr>
          <w:rFonts w:hAnsi="宋体"/>
          <w:color w:val="auto"/>
          <w:sz w:val="24"/>
          <w:highlight w:val="none"/>
        </w:rPr>
      </w:pPr>
      <w:r>
        <w:rPr>
          <w:rFonts w:hAnsi="宋体"/>
          <w:color w:val="auto"/>
          <w:sz w:val="24"/>
          <w:highlight w:val="none"/>
        </w:rPr>
        <w:t>选定争议评审员的期限：</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r>
        <w:rPr>
          <w:rFonts w:hAnsi="宋体"/>
          <w:color w:val="auto"/>
          <w:sz w:val="24"/>
          <w:highlight w:val="none"/>
        </w:rPr>
        <w:t>。</w:t>
      </w:r>
    </w:p>
    <w:p>
      <w:pPr>
        <w:spacing w:line="440" w:lineRule="exact"/>
        <w:ind w:firstLine="480" w:firstLineChars="200"/>
        <w:rPr>
          <w:rFonts w:hAnsi="宋体"/>
          <w:color w:val="auto"/>
          <w:sz w:val="24"/>
          <w:highlight w:val="none"/>
        </w:rPr>
      </w:pPr>
      <w:r>
        <w:rPr>
          <w:rFonts w:hAnsi="宋体"/>
          <w:color w:val="auto"/>
          <w:sz w:val="24"/>
          <w:highlight w:val="none"/>
        </w:rPr>
        <w:t>争议评审小组成员的报酬承担方式：</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r>
        <w:rPr>
          <w:rFonts w:hAnsi="宋体"/>
          <w:color w:val="auto"/>
          <w:sz w:val="24"/>
          <w:highlight w:val="none"/>
        </w:rPr>
        <w:t>。</w:t>
      </w:r>
    </w:p>
    <w:p>
      <w:pPr>
        <w:spacing w:line="440" w:lineRule="exact"/>
        <w:ind w:firstLine="480" w:firstLineChars="200"/>
        <w:rPr>
          <w:rFonts w:hAnsi="宋体"/>
          <w:color w:val="auto"/>
          <w:sz w:val="24"/>
          <w:highlight w:val="none"/>
        </w:rPr>
      </w:pPr>
      <w:r>
        <w:rPr>
          <w:rFonts w:hAnsi="宋体"/>
          <w:color w:val="auto"/>
          <w:sz w:val="24"/>
          <w:highlight w:val="none"/>
        </w:rPr>
        <w:t>其他事项的约定：</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r>
        <w:rPr>
          <w:rFonts w:hAnsi="宋体"/>
          <w:color w:val="auto"/>
          <w:sz w:val="24"/>
          <w:highlight w:val="none"/>
        </w:rPr>
        <w:t>。</w:t>
      </w:r>
    </w:p>
    <w:p>
      <w:pPr>
        <w:autoSpaceDE w:val="0"/>
        <w:autoSpaceDN w:val="0"/>
        <w:adjustRightInd w:val="0"/>
        <w:spacing w:line="440" w:lineRule="exact"/>
        <w:ind w:firstLine="480" w:firstLineChars="200"/>
        <w:rPr>
          <w:rFonts w:hAnsi="宋体"/>
          <w:color w:val="auto"/>
          <w:kern w:val="0"/>
          <w:sz w:val="24"/>
          <w:highlight w:val="none"/>
        </w:rPr>
      </w:pPr>
      <w:r>
        <w:rPr>
          <w:rFonts w:hAnsi="宋体"/>
          <w:color w:val="auto"/>
          <w:kern w:val="0"/>
          <w:sz w:val="24"/>
          <w:highlight w:val="none"/>
        </w:rPr>
        <w:t>20.3.2 争议评审小组的决定</w:t>
      </w:r>
    </w:p>
    <w:p>
      <w:pPr>
        <w:spacing w:line="440" w:lineRule="exact"/>
        <w:ind w:firstLine="480" w:firstLineChars="200"/>
        <w:rPr>
          <w:rFonts w:hAnsi="宋体"/>
          <w:color w:val="auto"/>
          <w:sz w:val="24"/>
          <w:highlight w:val="none"/>
        </w:rPr>
      </w:pPr>
      <w:r>
        <w:rPr>
          <w:rFonts w:hAnsi="宋体"/>
          <w:color w:val="auto"/>
          <w:sz w:val="24"/>
          <w:highlight w:val="none"/>
        </w:rPr>
        <w:t>合同当事人关于本项的约定：</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r>
        <w:rPr>
          <w:rFonts w:hAnsi="宋体"/>
          <w:color w:val="auto"/>
          <w:sz w:val="24"/>
          <w:highlight w:val="none"/>
        </w:rPr>
        <w:t>。</w:t>
      </w:r>
    </w:p>
    <w:p>
      <w:pPr>
        <w:spacing w:line="440" w:lineRule="exact"/>
        <w:ind w:firstLine="480" w:firstLineChars="200"/>
        <w:rPr>
          <w:rFonts w:hint="eastAsia" w:hAnsi="宋体"/>
          <w:color w:val="auto"/>
          <w:sz w:val="24"/>
          <w:highlight w:val="none"/>
        </w:rPr>
      </w:pPr>
      <w:r>
        <w:rPr>
          <w:rFonts w:hAnsi="宋体"/>
          <w:color w:val="auto"/>
          <w:sz w:val="24"/>
          <w:highlight w:val="none"/>
        </w:rPr>
        <w:t>20.4仲裁或诉讼</w:t>
      </w:r>
      <w:bookmarkEnd w:id="903"/>
    </w:p>
    <w:p>
      <w:pPr>
        <w:spacing w:line="440" w:lineRule="exact"/>
        <w:ind w:firstLine="480" w:firstLineChars="200"/>
        <w:rPr>
          <w:rFonts w:hint="eastAsia" w:hAnsi="宋体"/>
          <w:color w:val="auto"/>
          <w:sz w:val="24"/>
          <w:highlight w:val="none"/>
        </w:rPr>
      </w:pPr>
      <w:r>
        <w:rPr>
          <w:rFonts w:hint="eastAsia" w:hAnsi="宋体"/>
          <w:color w:val="auto"/>
          <w:sz w:val="24"/>
          <w:highlight w:val="none"/>
        </w:rPr>
        <w:t>因合同及合同有关事项发生的争议，双方当事人一致同意提交</w:t>
      </w:r>
      <w:r>
        <w:rPr>
          <w:rFonts w:hint="eastAsia" w:hAnsi="宋体"/>
          <w:b/>
          <w:color w:val="auto"/>
          <w:sz w:val="24"/>
          <w:highlight w:val="none"/>
        </w:rPr>
        <w:t>杭州仲裁委员会申请仲裁</w:t>
      </w:r>
      <w:r>
        <w:rPr>
          <w:rFonts w:hint="eastAsia" w:hAnsi="宋体"/>
          <w:color w:val="auto"/>
          <w:sz w:val="24"/>
          <w:highlight w:val="none"/>
        </w:rPr>
        <w:t>；但双方当事人特别约定下列解决方式中第</w:t>
      </w:r>
      <w:r>
        <w:rPr>
          <w:rFonts w:hint="eastAsia" w:hAnsi="宋体"/>
          <w:color w:val="auto"/>
          <w:sz w:val="24"/>
          <w:highlight w:val="none"/>
          <w:u w:val="single"/>
        </w:rPr>
        <w:t xml:space="preserve"> 2 </w:t>
      </w:r>
      <w:r>
        <w:rPr>
          <w:rFonts w:hint="eastAsia" w:hAnsi="宋体"/>
          <w:color w:val="auto"/>
          <w:sz w:val="24"/>
          <w:highlight w:val="none"/>
        </w:rPr>
        <w:t>种方式解决争议的除外：</w:t>
      </w:r>
    </w:p>
    <w:p>
      <w:pPr>
        <w:spacing w:line="440" w:lineRule="exact"/>
        <w:ind w:firstLine="480" w:firstLineChars="200"/>
        <w:rPr>
          <w:rFonts w:hAnsi="宋体"/>
          <w:color w:val="auto"/>
          <w:sz w:val="24"/>
          <w:highlight w:val="none"/>
        </w:rPr>
      </w:pPr>
      <w:r>
        <w:rPr>
          <w:rFonts w:hAnsi="宋体"/>
          <w:color w:val="auto"/>
          <w:sz w:val="24"/>
          <w:highlight w:val="none"/>
        </w:rPr>
        <w:t>（1）向</w:t>
      </w:r>
      <w:r>
        <w:rPr>
          <w:rFonts w:hAnsi="宋体"/>
          <w:color w:val="auto"/>
          <w:sz w:val="24"/>
          <w:highlight w:val="none"/>
          <w:u w:val="single"/>
        </w:rPr>
        <w:t xml:space="preserve">                     </w:t>
      </w:r>
      <w:r>
        <w:rPr>
          <w:rFonts w:hAnsi="宋体"/>
          <w:color w:val="auto"/>
          <w:sz w:val="24"/>
          <w:highlight w:val="none"/>
        </w:rPr>
        <w:t>仲裁委员会申请仲裁；</w:t>
      </w:r>
    </w:p>
    <w:p>
      <w:pPr>
        <w:spacing w:line="440" w:lineRule="exact"/>
        <w:ind w:firstLine="480" w:firstLineChars="200"/>
        <w:rPr>
          <w:rFonts w:hAnsi="宋体"/>
          <w:color w:val="auto"/>
          <w:sz w:val="24"/>
          <w:highlight w:val="none"/>
        </w:rPr>
      </w:pPr>
      <w:r>
        <w:rPr>
          <w:rFonts w:hAnsi="宋体"/>
          <w:color w:val="auto"/>
          <w:sz w:val="24"/>
          <w:highlight w:val="none"/>
        </w:rPr>
        <w:t>（2）向</w:t>
      </w:r>
      <w:r>
        <w:rPr>
          <w:rFonts w:hAnsi="宋体"/>
          <w:color w:val="auto"/>
          <w:sz w:val="24"/>
          <w:highlight w:val="none"/>
          <w:u w:val="single"/>
        </w:rPr>
        <w:t xml:space="preserve">  </w:t>
      </w:r>
      <w:r>
        <w:rPr>
          <w:rFonts w:hint="eastAsia" w:hAnsi="宋体"/>
          <w:color w:val="auto"/>
          <w:sz w:val="24"/>
          <w:highlight w:val="none"/>
          <w:u w:val="single"/>
        </w:rPr>
        <w:t>工程所在地</w:t>
      </w:r>
      <w:r>
        <w:rPr>
          <w:rFonts w:hAnsi="宋体"/>
          <w:color w:val="auto"/>
          <w:sz w:val="24"/>
          <w:highlight w:val="none"/>
          <w:u w:val="single"/>
        </w:rPr>
        <w:t xml:space="preserve"> </w:t>
      </w:r>
      <w:r>
        <w:rPr>
          <w:rFonts w:hAnsi="宋体"/>
          <w:color w:val="auto"/>
          <w:sz w:val="24"/>
          <w:highlight w:val="none"/>
        </w:rPr>
        <w:t>人民法院起诉。</w:t>
      </w:r>
      <w:bookmarkEnd w:id="904"/>
      <w:bookmarkEnd w:id="905"/>
      <w:bookmarkEnd w:id="906"/>
      <w:bookmarkEnd w:id="907"/>
      <w:bookmarkEnd w:id="908"/>
      <w:bookmarkEnd w:id="909"/>
    </w:p>
    <w:p>
      <w:pPr>
        <w:spacing w:line="440" w:lineRule="exact"/>
        <w:ind w:firstLine="480" w:firstLineChars="200"/>
        <w:rPr>
          <w:rFonts w:hint="eastAsia" w:hAnsi="宋体"/>
          <w:b/>
          <w:color w:val="auto"/>
          <w:sz w:val="24"/>
          <w:highlight w:val="none"/>
          <w:u w:val="single"/>
        </w:rPr>
      </w:pPr>
      <w:r>
        <w:rPr>
          <w:rFonts w:hint="eastAsia" w:hAnsi="宋体"/>
          <w:color w:val="auto"/>
          <w:sz w:val="24"/>
          <w:highlight w:val="none"/>
        </w:rPr>
        <w:t>20.5</w:t>
      </w:r>
      <w:r>
        <w:rPr>
          <w:rFonts w:hint="eastAsia" w:hAnsi="宋体"/>
          <w:b/>
          <w:color w:val="auto"/>
          <w:sz w:val="24"/>
          <w:highlight w:val="none"/>
          <w:u w:val="single"/>
        </w:rPr>
        <w:t>其它</w:t>
      </w:r>
    </w:p>
    <w:p>
      <w:pPr>
        <w:spacing w:line="440" w:lineRule="exact"/>
        <w:ind w:firstLine="482" w:firstLineChars="200"/>
        <w:rPr>
          <w:rFonts w:hint="eastAsia" w:hAnsi="宋体"/>
          <w:b/>
          <w:color w:val="auto"/>
          <w:sz w:val="24"/>
          <w:highlight w:val="none"/>
        </w:rPr>
      </w:pPr>
      <w:r>
        <w:rPr>
          <w:rFonts w:hint="eastAsia" w:hAnsi="宋体"/>
          <w:b/>
          <w:color w:val="auto"/>
          <w:sz w:val="24"/>
          <w:highlight w:val="none"/>
          <w:u w:val="single"/>
        </w:rPr>
        <w:t xml:space="preserve">合同双方确认，本合同及本合同约定的其它文件组成部分中的各项约定都是通过法定招标过程形成的合法成果，不存在与招标文件和中标人投标文件实质性内容不一致的条款。如果存在任何此类不一致的条款，也不是合同双方真实意思的表示，对合同双方不构成任何合同或法律约束力。合同双方也不存在且也不会签订任何背离本合同实质性内容的其他协议或合同。如果存在或签订背离本合同实质性内容的其他协议或合同，也不是合同双方真实意思的表示，对合同双方不构成任何合同或法律约束力。      </w:t>
      </w:r>
    </w:p>
    <w:p>
      <w:pPr>
        <w:spacing w:line="440" w:lineRule="exact"/>
        <w:ind w:firstLine="482" w:firstLineChars="200"/>
        <w:rPr>
          <w:rFonts w:hint="eastAsia" w:hAnsi="宋体"/>
          <w:b/>
          <w:color w:val="auto"/>
          <w:sz w:val="24"/>
          <w:highlight w:val="none"/>
          <w:u w:val="single"/>
        </w:rPr>
      </w:pPr>
      <w:r>
        <w:rPr>
          <w:rFonts w:hint="eastAsia" w:hAnsi="宋体"/>
          <w:b/>
          <w:color w:val="auto"/>
          <w:sz w:val="24"/>
          <w:highlight w:val="none"/>
          <w:u w:val="single"/>
        </w:rPr>
        <w:t>发包人保留在签约后调整部分承包范围的权力直至某些项目的取消，承包人投标的投标单价不作调整。</w:t>
      </w:r>
    </w:p>
    <w:p>
      <w:pPr>
        <w:spacing w:line="440" w:lineRule="exact"/>
        <w:ind w:firstLine="482" w:firstLineChars="200"/>
        <w:rPr>
          <w:rFonts w:hint="eastAsia" w:hAnsi="宋体"/>
          <w:b/>
          <w:color w:val="auto"/>
          <w:sz w:val="24"/>
          <w:highlight w:val="none"/>
          <w:u w:val="single"/>
        </w:rPr>
      </w:pPr>
      <w:r>
        <w:rPr>
          <w:rFonts w:hint="eastAsia" w:hAnsi="宋体"/>
          <w:b/>
          <w:color w:val="auto"/>
          <w:sz w:val="24"/>
          <w:highlight w:val="none"/>
          <w:u w:val="single"/>
        </w:rPr>
        <w:t>工程建设项目承发包双方在签订业务合同的同时，必须签订廉政责任书,明确作为廉政承诺。</w:t>
      </w:r>
    </w:p>
    <w:p>
      <w:pPr>
        <w:spacing w:line="440" w:lineRule="exact"/>
        <w:ind w:firstLine="482" w:firstLineChars="200"/>
        <w:rPr>
          <w:rFonts w:hint="eastAsia" w:hAnsi="宋体"/>
          <w:b/>
          <w:color w:val="auto"/>
          <w:sz w:val="24"/>
          <w:highlight w:val="none"/>
          <w:u w:val="single"/>
        </w:rPr>
      </w:pPr>
      <w:r>
        <w:rPr>
          <w:rFonts w:hint="eastAsia" w:hAnsi="宋体"/>
          <w:b/>
          <w:color w:val="auto"/>
          <w:sz w:val="24"/>
          <w:highlight w:val="none"/>
          <w:u w:val="single"/>
        </w:rPr>
        <w:t>竣工验收后的工程结算最终以审计审核为准。</w:t>
      </w:r>
    </w:p>
    <w:p>
      <w:pPr>
        <w:spacing w:line="440" w:lineRule="exact"/>
        <w:ind w:firstLine="482" w:firstLineChars="200"/>
        <w:rPr>
          <w:rFonts w:hint="eastAsia" w:hAnsi="宋体"/>
          <w:b/>
          <w:color w:val="auto"/>
          <w:sz w:val="24"/>
          <w:highlight w:val="none"/>
          <w:u w:val="single"/>
        </w:rPr>
      </w:pPr>
      <w:r>
        <w:rPr>
          <w:rFonts w:hint="eastAsia" w:hAnsi="宋体"/>
          <w:b/>
          <w:color w:val="auto"/>
          <w:sz w:val="24"/>
          <w:highlight w:val="none"/>
          <w:u w:val="single"/>
        </w:rPr>
        <w:t>20.6联系单管理及造价核定管理约定：</w:t>
      </w:r>
    </w:p>
    <w:p>
      <w:pPr>
        <w:spacing w:line="440" w:lineRule="exact"/>
        <w:ind w:firstLine="482" w:firstLineChars="200"/>
        <w:rPr>
          <w:rFonts w:hint="eastAsia" w:hAnsi="宋体"/>
          <w:b/>
          <w:color w:val="auto"/>
          <w:sz w:val="24"/>
          <w:highlight w:val="none"/>
          <w:u w:val="single"/>
        </w:rPr>
      </w:pPr>
      <w:r>
        <w:rPr>
          <w:rFonts w:hint="eastAsia" w:hAnsi="宋体"/>
          <w:b/>
          <w:color w:val="auto"/>
          <w:sz w:val="24"/>
          <w:highlight w:val="none"/>
          <w:u w:val="single"/>
        </w:rPr>
        <w:t>（1）承包人提出的尤其涉及费用的联系单必须依据充分，用详尽的资料、图纸附加图片、照片予以说明，以便于发包人及造价监审单位审核，否则发包人可予以退回或拒签。</w:t>
      </w:r>
    </w:p>
    <w:p>
      <w:pPr>
        <w:spacing w:line="440" w:lineRule="exact"/>
        <w:ind w:firstLine="482" w:firstLineChars="200"/>
        <w:rPr>
          <w:rFonts w:hint="eastAsia" w:hAnsi="宋体"/>
          <w:b/>
          <w:color w:val="auto"/>
          <w:sz w:val="24"/>
          <w:highlight w:val="none"/>
          <w:u w:val="single"/>
        </w:rPr>
      </w:pPr>
      <w:r>
        <w:rPr>
          <w:rFonts w:hint="eastAsia" w:hAnsi="宋体"/>
          <w:b/>
          <w:color w:val="auto"/>
          <w:sz w:val="24"/>
          <w:highlight w:val="none"/>
          <w:u w:val="single"/>
        </w:rPr>
        <w:t>（2）竣工验收合格后，承包人在28天内向发包人提交竣工结算报告及完整的结算资料。</w:t>
      </w:r>
    </w:p>
    <w:p>
      <w:pPr>
        <w:spacing w:line="440" w:lineRule="exact"/>
        <w:ind w:firstLine="482" w:firstLineChars="200"/>
        <w:rPr>
          <w:rFonts w:hint="eastAsia" w:hAnsi="宋体"/>
          <w:b/>
          <w:color w:val="auto"/>
          <w:sz w:val="24"/>
          <w:highlight w:val="none"/>
          <w:u w:val="single"/>
        </w:rPr>
      </w:pPr>
      <w:r>
        <w:rPr>
          <w:rFonts w:hint="eastAsia" w:hAnsi="宋体"/>
          <w:b/>
          <w:color w:val="auto"/>
          <w:sz w:val="24"/>
          <w:highlight w:val="none"/>
          <w:u w:val="single"/>
        </w:rPr>
        <w:t>（3）施工过程中的变更联系单价款结算最终以结算审计审核为准。</w:t>
      </w:r>
    </w:p>
    <w:p>
      <w:pPr>
        <w:spacing w:line="440" w:lineRule="exact"/>
        <w:ind w:firstLine="482" w:firstLineChars="200"/>
        <w:rPr>
          <w:rFonts w:hint="eastAsia" w:hAnsi="宋体"/>
          <w:b/>
          <w:color w:val="auto"/>
          <w:sz w:val="24"/>
          <w:highlight w:val="none"/>
          <w:u w:val="single"/>
        </w:rPr>
      </w:pPr>
      <w:r>
        <w:rPr>
          <w:rFonts w:hint="eastAsia" w:hAnsi="宋体"/>
          <w:b/>
          <w:color w:val="auto"/>
          <w:sz w:val="24"/>
          <w:highlight w:val="none"/>
          <w:u w:val="single"/>
        </w:rPr>
        <w:t>（4）若承包单位报送的工程结算经审核后核减率大于5%的，核减大于5%部分按核减额5%计算审核费用由承包单位承担。</w:t>
      </w:r>
    </w:p>
    <w:p>
      <w:pPr>
        <w:spacing w:line="440" w:lineRule="exact"/>
        <w:ind w:firstLine="482" w:firstLineChars="200"/>
        <w:rPr>
          <w:rFonts w:hint="eastAsia" w:hAnsi="宋体"/>
          <w:b/>
          <w:color w:val="auto"/>
          <w:sz w:val="24"/>
          <w:highlight w:val="none"/>
        </w:rPr>
      </w:pPr>
    </w:p>
    <w:p>
      <w:pPr>
        <w:spacing w:line="440" w:lineRule="exact"/>
        <w:ind w:firstLine="482" w:firstLineChars="200"/>
        <w:rPr>
          <w:rFonts w:hint="eastAsia" w:hAnsi="宋体"/>
          <w:b/>
          <w:color w:val="auto"/>
          <w:sz w:val="24"/>
          <w:highlight w:val="none"/>
        </w:rPr>
      </w:pPr>
      <w:r>
        <w:rPr>
          <w:rFonts w:hint="eastAsia" w:hAnsi="宋体"/>
          <w:b/>
          <w:color w:val="auto"/>
          <w:sz w:val="24"/>
          <w:highlight w:val="none"/>
        </w:rPr>
        <w:t>发包人保留在正式签订合同前修改、完善合同条款的权利。</w:t>
      </w:r>
    </w:p>
    <w:p>
      <w:pPr>
        <w:spacing w:line="400" w:lineRule="exact"/>
        <w:ind w:firstLine="480" w:firstLineChars="200"/>
        <w:rPr>
          <w:rFonts w:hint="eastAsia" w:hAnsi="宋体"/>
          <w:color w:val="auto"/>
          <w:sz w:val="24"/>
          <w:highlight w:val="none"/>
        </w:rPr>
      </w:pPr>
      <w:r>
        <w:rPr>
          <w:rFonts w:hint="eastAsia" w:hAnsi="宋体"/>
          <w:color w:val="auto"/>
          <w:sz w:val="24"/>
          <w:highlight w:val="none"/>
        </w:rPr>
        <w:t>附件：</w:t>
      </w:r>
    </w:p>
    <w:p>
      <w:pPr>
        <w:spacing w:line="400" w:lineRule="exact"/>
        <w:ind w:firstLine="480" w:firstLineChars="200"/>
        <w:rPr>
          <w:rFonts w:hint="eastAsia" w:hAnsi="宋体"/>
          <w:color w:val="auto"/>
          <w:sz w:val="24"/>
          <w:highlight w:val="none"/>
        </w:rPr>
      </w:pPr>
      <w:r>
        <w:rPr>
          <w:rFonts w:hAnsi="宋体"/>
          <w:color w:val="auto"/>
          <w:sz w:val="24"/>
          <w:highlight w:val="none"/>
        </w:rPr>
        <w:t>附件1：承包人承揽工程项目一览表</w:t>
      </w:r>
    </w:p>
    <w:p>
      <w:pPr>
        <w:spacing w:line="420" w:lineRule="exact"/>
        <w:ind w:firstLine="480" w:firstLineChars="200"/>
        <w:jc w:val="left"/>
        <w:rPr>
          <w:rFonts w:hint="eastAsia" w:hAnsi="宋体" w:cs="宋体"/>
          <w:color w:val="auto"/>
          <w:sz w:val="24"/>
          <w:szCs w:val="24"/>
          <w:highlight w:val="none"/>
        </w:rPr>
      </w:pPr>
      <w:r>
        <w:rPr>
          <w:rFonts w:hint="eastAsia" w:hAnsi="宋体" w:cs="宋体"/>
          <w:color w:val="auto"/>
          <w:sz w:val="24"/>
          <w:szCs w:val="24"/>
          <w:highlight w:val="none"/>
        </w:rPr>
        <w:t>专用合同条款附件：</w:t>
      </w:r>
    </w:p>
    <w:p>
      <w:pPr>
        <w:spacing w:line="420" w:lineRule="exact"/>
        <w:ind w:firstLine="480" w:firstLineChars="200"/>
        <w:jc w:val="left"/>
        <w:rPr>
          <w:rFonts w:hAnsi="宋体" w:cs="宋体"/>
          <w:color w:val="auto"/>
          <w:sz w:val="24"/>
          <w:szCs w:val="24"/>
          <w:highlight w:val="none"/>
        </w:rPr>
      </w:pPr>
      <w:r>
        <w:rPr>
          <w:rFonts w:hint="eastAsia" w:hAnsi="宋体" w:cs="宋体"/>
          <w:color w:val="auto"/>
          <w:sz w:val="24"/>
          <w:szCs w:val="24"/>
          <w:highlight w:val="none"/>
        </w:rPr>
        <w:t>附件</w:t>
      </w:r>
      <w:r>
        <w:rPr>
          <w:rFonts w:hint="eastAsia" w:hAnsi="宋体" w:cs="宋体"/>
          <w:color w:val="auto"/>
          <w:sz w:val="24"/>
          <w:szCs w:val="24"/>
          <w:highlight w:val="none"/>
          <w:lang w:val="en-US" w:eastAsia="zh-CN"/>
        </w:rPr>
        <w:t>2</w:t>
      </w:r>
      <w:r>
        <w:rPr>
          <w:rFonts w:hint="eastAsia" w:hAnsi="宋体" w:cs="宋体"/>
          <w:color w:val="auto"/>
          <w:sz w:val="24"/>
          <w:szCs w:val="24"/>
          <w:highlight w:val="none"/>
        </w:rPr>
        <w:t>：承包人用于本工程施工的机械设备表</w:t>
      </w:r>
    </w:p>
    <w:p>
      <w:pPr>
        <w:spacing w:line="420" w:lineRule="exact"/>
        <w:ind w:firstLine="480" w:firstLineChars="200"/>
        <w:jc w:val="left"/>
        <w:rPr>
          <w:rFonts w:hAnsi="宋体" w:cs="宋体"/>
          <w:color w:val="auto"/>
          <w:sz w:val="24"/>
          <w:szCs w:val="24"/>
          <w:highlight w:val="none"/>
        </w:rPr>
      </w:pPr>
      <w:r>
        <w:rPr>
          <w:rFonts w:hint="eastAsia" w:hAnsi="宋体" w:cs="宋体"/>
          <w:color w:val="auto"/>
          <w:sz w:val="24"/>
          <w:szCs w:val="24"/>
          <w:highlight w:val="none"/>
        </w:rPr>
        <w:t>附件</w:t>
      </w:r>
      <w:r>
        <w:rPr>
          <w:rFonts w:hint="eastAsia" w:hAnsi="宋体" w:cs="宋体"/>
          <w:color w:val="auto"/>
          <w:sz w:val="24"/>
          <w:szCs w:val="24"/>
          <w:highlight w:val="none"/>
          <w:lang w:val="en-US" w:eastAsia="zh-CN"/>
        </w:rPr>
        <w:t>3</w:t>
      </w:r>
      <w:r>
        <w:rPr>
          <w:rFonts w:hint="eastAsia" w:hAnsi="宋体" w:cs="宋体"/>
          <w:color w:val="auto"/>
          <w:sz w:val="24"/>
          <w:szCs w:val="24"/>
          <w:highlight w:val="none"/>
        </w:rPr>
        <w:t>：工程质量保修书</w:t>
      </w:r>
    </w:p>
    <w:p>
      <w:pPr>
        <w:spacing w:line="420" w:lineRule="exact"/>
        <w:ind w:firstLine="480" w:firstLineChars="200"/>
        <w:jc w:val="left"/>
        <w:rPr>
          <w:rFonts w:hAnsi="宋体" w:cs="宋体"/>
          <w:color w:val="auto"/>
          <w:sz w:val="24"/>
          <w:szCs w:val="24"/>
          <w:highlight w:val="none"/>
        </w:rPr>
      </w:pPr>
      <w:r>
        <w:rPr>
          <w:rFonts w:hint="eastAsia" w:hAnsi="宋体" w:cs="宋体"/>
          <w:color w:val="auto"/>
          <w:sz w:val="24"/>
          <w:szCs w:val="24"/>
          <w:highlight w:val="none"/>
        </w:rPr>
        <w:t>附件4：承包人主要施工管理人员表</w:t>
      </w:r>
    </w:p>
    <w:p>
      <w:pPr>
        <w:spacing w:line="400" w:lineRule="exact"/>
        <w:jc w:val="left"/>
        <w:rPr>
          <w:rFonts w:hint="eastAsia" w:hAnsi="宋体"/>
          <w:color w:val="auto"/>
          <w:sz w:val="24"/>
          <w:highlight w:val="none"/>
        </w:rPr>
      </w:pPr>
    </w:p>
    <w:p>
      <w:pPr>
        <w:pStyle w:val="797"/>
        <w:rPr>
          <w:rFonts w:hint="eastAsia" w:hAnsi="宋体"/>
          <w:color w:val="auto"/>
          <w:sz w:val="24"/>
          <w:highlight w:val="none"/>
        </w:rPr>
      </w:pPr>
    </w:p>
    <w:p>
      <w:pPr>
        <w:pStyle w:val="797"/>
        <w:ind w:left="0" w:leftChars="0" w:firstLine="0" w:firstLineChars="0"/>
        <w:rPr>
          <w:rFonts w:hint="eastAsia" w:hAnsi="宋体"/>
          <w:color w:val="auto"/>
          <w:sz w:val="24"/>
          <w:highlight w:val="none"/>
        </w:rPr>
      </w:pPr>
      <w:r>
        <w:rPr>
          <w:rFonts w:hint="eastAsia" w:hAnsi="宋体"/>
          <w:color w:val="auto"/>
          <w:sz w:val="24"/>
          <w:highlight w:val="none"/>
        </w:rPr>
        <w:br w:type="page"/>
      </w:r>
    </w:p>
    <w:p>
      <w:pPr>
        <w:spacing w:line="400" w:lineRule="exact"/>
        <w:jc w:val="left"/>
        <w:rPr>
          <w:rFonts w:hint="eastAsia" w:hAnsi="宋体"/>
          <w:color w:val="auto"/>
          <w:sz w:val="24"/>
          <w:highlight w:val="none"/>
        </w:rPr>
      </w:pPr>
      <w:r>
        <w:rPr>
          <w:rFonts w:hint="eastAsia" w:hAnsi="宋体"/>
          <w:color w:val="auto"/>
          <w:sz w:val="24"/>
          <w:highlight w:val="none"/>
        </w:rPr>
        <w:t>附件1：</w:t>
      </w:r>
    </w:p>
    <w:p>
      <w:pPr>
        <w:spacing w:line="400" w:lineRule="exact"/>
        <w:jc w:val="center"/>
        <w:rPr>
          <w:rFonts w:hint="eastAsia" w:hAnsi="宋体"/>
          <w:color w:val="auto"/>
          <w:sz w:val="24"/>
          <w:highlight w:val="none"/>
        </w:rPr>
      </w:pPr>
      <w:r>
        <w:rPr>
          <w:rFonts w:hAnsi="宋体"/>
          <w:color w:val="auto"/>
          <w:sz w:val="24"/>
          <w:highlight w:val="none"/>
        </w:rPr>
        <w:t>承包人承揽工程项目一览表</w:t>
      </w:r>
    </w:p>
    <w:tbl>
      <w:tblPr>
        <w:tblStyle w:val="6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12"/>
        <w:gridCol w:w="891"/>
        <w:gridCol w:w="1591"/>
        <w:gridCol w:w="878"/>
        <w:gridCol w:w="900"/>
        <w:gridCol w:w="864"/>
        <w:gridCol w:w="1308"/>
        <w:gridCol w:w="1144"/>
        <w:gridCol w:w="851"/>
        <w:gridCol w:w="7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12" w:type="dxa"/>
            <w:tcBorders>
              <w:top w:val="single" w:color="auto" w:sz="12" w:space="0"/>
              <w:bottom w:val="double" w:color="auto" w:sz="6" w:space="0"/>
            </w:tcBorders>
            <w:noWrap w:val="0"/>
            <w:vAlign w:val="center"/>
          </w:tcPr>
          <w:p>
            <w:pPr>
              <w:pStyle w:val="26"/>
              <w:keepNext/>
              <w:spacing w:after="0" w:line="400" w:lineRule="exact"/>
              <w:ind w:left="84" w:right="84"/>
              <w:rPr>
                <w:rFonts w:hAnsi="宋体"/>
                <w:color w:val="auto"/>
                <w:sz w:val="24"/>
                <w:highlight w:val="none"/>
                <w:lang w:val="en-US" w:eastAsia="zh-CN"/>
              </w:rPr>
            </w:pPr>
            <w:r>
              <w:rPr>
                <w:rFonts w:hAnsi="宋体"/>
                <w:color w:val="auto"/>
                <w:sz w:val="24"/>
                <w:highlight w:val="none"/>
                <w:lang w:val="en-US" w:eastAsia="zh-CN"/>
              </w:rPr>
              <w:t>单位工程名称</w:t>
            </w:r>
          </w:p>
        </w:tc>
        <w:tc>
          <w:tcPr>
            <w:tcW w:w="891" w:type="dxa"/>
            <w:tcBorders>
              <w:top w:val="single" w:color="auto" w:sz="12" w:space="0"/>
              <w:bottom w:val="double" w:color="auto" w:sz="6" w:space="0"/>
            </w:tcBorders>
            <w:noWrap w:val="0"/>
            <w:vAlign w:val="center"/>
          </w:tcPr>
          <w:p>
            <w:pPr>
              <w:pStyle w:val="26"/>
              <w:keepNext/>
              <w:spacing w:after="0" w:line="400" w:lineRule="exact"/>
              <w:ind w:left="84" w:right="84"/>
              <w:rPr>
                <w:rFonts w:hAnsi="宋体"/>
                <w:color w:val="auto"/>
                <w:sz w:val="24"/>
                <w:highlight w:val="none"/>
                <w:lang w:val="en-US" w:eastAsia="zh-CN"/>
              </w:rPr>
            </w:pPr>
            <w:r>
              <w:rPr>
                <w:rFonts w:hAnsi="宋体"/>
                <w:color w:val="auto"/>
                <w:sz w:val="24"/>
                <w:highlight w:val="none"/>
                <w:lang w:val="en-US" w:eastAsia="zh-CN"/>
              </w:rPr>
              <w:t>建设规模</w:t>
            </w:r>
          </w:p>
        </w:tc>
        <w:tc>
          <w:tcPr>
            <w:tcW w:w="1591" w:type="dxa"/>
            <w:tcBorders>
              <w:top w:val="single" w:color="auto" w:sz="12" w:space="0"/>
              <w:bottom w:val="double" w:color="auto" w:sz="6" w:space="0"/>
            </w:tcBorders>
            <w:noWrap w:val="0"/>
            <w:vAlign w:val="center"/>
          </w:tcPr>
          <w:p>
            <w:pPr>
              <w:pStyle w:val="26"/>
              <w:keepNext/>
              <w:spacing w:after="0" w:line="400" w:lineRule="exact"/>
              <w:ind w:left="84" w:right="84"/>
              <w:rPr>
                <w:rFonts w:hAnsi="宋体"/>
                <w:color w:val="auto"/>
                <w:sz w:val="24"/>
                <w:highlight w:val="none"/>
                <w:lang w:val="en-US" w:eastAsia="zh-CN"/>
              </w:rPr>
            </w:pPr>
            <w:r>
              <w:rPr>
                <w:rFonts w:hAnsi="宋体"/>
                <w:color w:val="auto"/>
                <w:sz w:val="24"/>
                <w:highlight w:val="none"/>
                <w:lang w:val="en-US" w:eastAsia="zh-CN"/>
              </w:rPr>
              <w:t>建筑面积(平方米)</w:t>
            </w:r>
          </w:p>
        </w:tc>
        <w:tc>
          <w:tcPr>
            <w:tcW w:w="878" w:type="dxa"/>
            <w:tcBorders>
              <w:top w:val="single" w:color="auto" w:sz="12" w:space="0"/>
              <w:bottom w:val="double" w:color="auto" w:sz="6" w:space="0"/>
            </w:tcBorders>
            <w:noWrap w:val="0"/>
            <w:vAlign w:val="center"/>
          </w:tcPr>
          <w:p>
            <w:pPr>
              <w:pStyle w:val="26"/>
              <w:keepNext/>
              <w:spacing w:after="0" w:line="400" w:lineRule="exact"/>
              <w:ind w:left="84" w:right="84"/>
              <w:rPr>
                <w:rFonts w:hint="eastAsia" w:hAnsi="宋体"/>
                <w:color w:val="auto"/>
                <w:sz w:val="24"/>
                <w:highlight w:val="none"/>
                <w:lang w:val="en-US" w:eastAsia="zh-CN"/>
              </w:rPr>
            </w:pPr>
            <w:r>
              <w:rPr>
                <w:rFonts w:hAnsi="宋体"/>
                <w:color w:val="auto"/>
                <w:sz w:val="24"/>
                <w:highlight w:val="none"/>
                <w:lang w:val="en-US" w:eastAsia="zh-CN"/>
              </w:rPr>
              <w:t>结构</w:t>
            </w:r>
          </w:p>
          <w:p>
            <w:pPr>
              <w:pStyle w:val="26"/>
              <w:keepNext/>
              <w:spacing w:after="0" w:line="400" w:lineRule="exact"/>
              <w:ind w:left="84" w:right="84"/>
              <w:rPr>
                <w:rFonts w:hAnsi="宋体"/>
                <w:color w:val="auto"/>
                <w:sz w:val="24"/>
                <w:highlight w:val="none"/>
                <w:lang w:val="en-US" w:eastAsia="zh-CN"/>
              </w:rPr>
            </w:pPr>
            <w:r>
              <w:rPr>
                <w:rFonts w:hint="eastAsia" w:hAnsi="宋体"/>
                <w:color w:val="auto"/>
                <w:sz w:val="24"/>
                <w:highlight w:val="none"/>
                <w:lang w:val="en-US" w:eastAsia="zh-CN"/>
              </w:rPr>
              <w:t>形式</w:t>
            </w:r>
          </w:p>
        </w:tc>
        <w:tc>
          <w:tcPr>
            <w:tcW w:w="900" w:type="dxa"/>
            <w:tcBorders>
              <w:top w:val="single" w:color="auto" w:sz="12" w:space="0"/>
              <w:bottom w:val="double" w:color="auto" w:sz="6" w:space="0"/>
            </w:tcBorders>
            <w:noWrap w:val="0"/>
            <w:vAlign w:val="center"/>
          </w:tcPr>
          <w:p>
            <w:pPr>
              <w:pStyle w:val="26"/>
              <w:keepNext/>
              <w:spacing w:after="0" w:line="400" w:lineRule="exact"/>
              <w:ind w:left="84" w:right="84"/>
              <w:rPr>
                <w:rFonts w:hAnsi="宋体"/>
                <w:color w:val="auto"/>
                <w:sz w:val="24"/>
                <w:highlight w:val="none"/>
                <w:lang w:val="en-US" w:eastAsia="zh-CN"/>
              </w:rPr>
            </w:pPr>
            <w:r>
              <w:rPr>
                <w:rFonts w:hAnsi="宋体"/>
                <w:color w:val="auto"/>
                <w:sz w:val="24"/>
                <w:highlight w:val="none"/>
                <w:lang w:val="en-US" w:eastAsia="zh-CN"/>
              </w:rPr>
              <w:t>层数</w:t>
            </w:r>
          </w:p>
        </w:tc>
        <w:tc>
          <w:tcPr>
            <w:tcW w:w="864" w:type="dxa"/>
            <w:tcBorders>
              <w:top w:val="single" w:color="auto" w:sz="12" w:space="0"/>
              <w:bottom w:val="double" w:color="auto" w:sz="6" w:space="0"/>
            </w:tcBorders>
            <w:noWrap w:val="0"/>
            <w:vAlign w:val="center"/>
          </w:tcPr>
          <w:p>
            <w:pPr>
              <w:pStyle w:val="26"/>
              <w:keepNext/>
              <w:spacing w:after="0" w:line="400" w:lineRule="exact"/>
              <w:ind w:left="84" w:right="84"/>
              <w:rPr>
                <w:rFonts w:hAnsi="宋体"/>
                <w:color w:val="auto"/>
                <w:sz w:val="24"/>
                <w:highlight w:val="none"/>
                <w:lang w:val="en-US" w:eastAsia="zh-CN"/>
              </w:rPr>
            </w:pPr>
            <w:r>
              <w:rPr>
                <w:rFonts w:hAnsi="宋体"/>
                <w:color w:val="auto"/>
                <w:sz w:val="24"/>
                <w:highlight w:val="none"/>
                <w:lang w:val="en-US" w:eastAsia="zh-CN"/>
              </w:rPr>
              <w:t>生产能力</w:t>
            </w:r>
          </w:p>
        </w:tc>
        <w:tc>
          <w:tcPr>
            <w:tcW w:w="1308" w:type="dxa"/>
            <w:tcBorders>
              <w:top w:val="single" w:color="auto" w:sz="12" w:space="0"/>
              <w:bottom w:val="double" w:color="auto" w:sz="6" w:space="0"/>
            </w:tcBorders>
            <w:noWrap w:val="0"/>
            <w:vAlign w:val="center"/>
          </w:tcPr>
          <w:p>
            <w:pPr>
              <w:pStyle w:val="26"/>
              <w:keepNext/>
              <w:spacing w:after="0" w:line="400" w:lineRule="exact"/>
              <w:ind w:left="84" w:right="84"/>
              <w:rPr>
                <w:rFonts w:hAnsi="宋体"/>
                <w:color w:val="auto"/>
                <w:sz w:val="24"/>
                <w:highlight w:val="none"/>
                <w:lang w:val="en-US" w:eastAsia="zh-CN"/>
              </w:rPr>
            </w:pPr>
            <w:r>
              <w:rPr>
                <w:rFonts w:hAnsi="宋体"/>
                <w:color w:val="auto"/>
                <w:sz w:val="24"/>
                <w:highlight w:val="none"/>
                <w:lang w:val="en-US" w:eastAsia="zh-CN"/>
              </w:rPr>
              <w:t>设备安装内容</w:t>
            </w:r>
          </w:p>
        </w:tc>
        <w:tc>
          <w:tcPr>
            <w:tcW w:w="1144" w:type="dxa"/>
            <w:tcBorders>
              <w:top w:val="single" w:color="auto" w:sz="12" w:space="0"/>
              <w:bottom w:val="double" w:color="auto" w:sz="6" w:space="0"/>
            </w:tcBorders>
            <w:noWrap w:val="0"/>
            <w:vAlign w:val="center"/>
          </w:tcPr>
          <w:p>
            <w:pPr>
              <w:pStyle w:val="26"/>
              <w:keepNext/>
              <w:spacing w:after="0" w:line="400" w:lineRule="exact"/>
              <w:ind w:left="84" w:right="84"/>
              <w:rPr>
                <w:rFonts w:hAnsi="宋体"/>
                <w:color w:val="auto"/>
                <w:sz w:val="24"/>
                <w:highlight w:val="none"/>
                <w:lang w:val="en-US" w:eastAsia="zh-CN"/>
              </w:rPr>
            </w:pPr>
            <w:r>
              <w:rPr>
                <w:rFonts w:hAnsi="宋体"/>
                <w:color w:val="auto"/>
                <w:sz w:val="24"/>
                <w:highlight w:val="none"/>
                <w:lang w:val="en-US" w:eastAsia="zh-CN"/>
              </w:rPr>
              <w:t>合同价格（元）</w:t>
            </w:r>
          </w:p>
        </w:tc>
        <w:tc>
          <w:tcPr>
            <w:tcW w:w="851" w:type="dxa"/>
            <w:tcBorders>
              <w:top w:val="single" w:color="auto" w:sz="12" w:space="0"/>
              <w:bottom w:val="double" w:color="auto" w:sz="6" w:space="0"/>
            </w:tcBorders>
            <w:noWrap w:val="0"/>
            <w:vAlign w:val="center"/>
          </w:tcPr>
          <w:p>
            <w:pPr>
              <w:pStyle w:val="26"/>
              <w:keepNext/>
              <w:spacing w:after="0" w:line="400" w:lineRule="exact"/>
              <w:ind w:left="84" w:right="84"/>
              <w:rPr>
                <w:rFonts w:hAnsi="宋体"/>
                <w:color w:val="auto"/>
                <w:sz w:val="24"/>
                <w:highlight w:val="none"/>
                <w:lang w:val="en-US" w:eastAsia="zh-CN"/>
              </w:rPr>
            </w:pPr>
            <w:r>
              <w:rPr>
                <w:rFonts w:hAnsi="宋体"/>
                <w:color w:val="auto"/>
                <w:sz w:val="24"/>
                <w:highlight w:val="none"/>
                <w:lang w:val="en-US" w:eastAsia="zh-CN"/>
              </w:rPr>
              <w:t>开工日期</w:t>
            </w:r>
          </w:p>
        </w:tc>
        <w:tc>
          <w:tcPr>
            <w:tcW w:w="734" w:type="dxa"/>
            <w:tcBorders>
              <w:top w:val="single" w:color="auto" w:sz="12" w:space="0"/>
              <w:bottom w:val="double" w:color="auto" w:sz="6" w:space="0"/>
            </w:tcBorders>
            <w:noWrap w:val="0"/>
            <w:vAlign w:val="center"/>
          </w:tcPr>
          <w:p>
            <w:pPr>
              <w:pStyle w:val="26"/>
              <w:keepNext/>
              <w:spacing w:after="0" w:line="400" w:lineRule="exact"/>
              <w:ind w:left="84" w:right="84"/>
              <w:rPr>
                <w:rFonts w:hAnsi="宋体"/>
                <w:color w:val="auto"/>
                <w:sz w:val="24"/>
                <w:highlight w:val="none"/>
                <w:lang w:val="en-US" w:eastAsia="zh-CN"/>
              </w:rPr>
            </w:pPr>
            <w:r>
              <w:rPr>
                <w:rFonts w:hAnsi="宋体"/>
                <w:color w:val="auto"/>
                <w:sz w:val="24"/>
                <w:highlight w:val="none"/>
                <w:lang w:val="en-US" w:eastAsia="zh-CN"/>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12" w:type="dxa"/>
            <w:tcBorders>
              <w:top w:val="double" w:color="auto" w:sz="6" w:space="0"/>
              <w:bottom w:val="single" w:color="auto" w:sz="6" w:space="0"/>
            </w:tcBorders>
            <w:noWrap w:val="0"/>
            <w:vAlign w:val="center"/>
          </w:tcPr>
          <w:p>
            <w:pPr>
              <w:pStyle w:val="26"/>
              <w:keepNext/>
              <w:spacing w:after="0" w:line="400" w:lineRule="exact"/>
              <w:ind w:left="84" w:right="84"/>
              <w:rPr>
                <w:rFonts w:hAnsi="宋体"/>
                <w:color w:val="auto"/>
                <w:sz w:val="24"/>
                <w:highlight w:val="none"/>
                <w:lang w:val="en-US" w:eastAsia="zh-CN"/>
              </w:rPr>
            </w:pPr>
          </w:p>
        </w:tc>
        <w:tc>
          <w:tcPr>
            <w:tcW w:w="891" w:type="dxa"/>
            <w:tcBorders>
              <w:top w:val="double" w:color="auto" w:sz="6" w:space="0"/>
              <w:bottom w:val="single" w:color="auto" w:sz="6" w:space="0"/>
            </w:tcBorders>
            <w:noWrap w:val="0"/>
            <w:vAlign w:val="center"/>
          </w:tcPr>
          <w:p>
            <w:pPr>
              <w:pStyle w:val="26"/>
              <w:keepNext/>
              <w:spacing w:after="0" w:line="400" w:lineRule="exact"/>
              <w:ind w:left="84" w:right="84"/>
              <w:rPr>
                <w:rFonts w:hAnsi="宋体"/>
                <w:color w:val="auto"/>
                <w:sz w:val="24"/>
                <w:highlight w:val="none"/>
                <w:lang w:val="en-US" w:eastAsia="zh-CN"/>
              </w:rPr>
            </w:pPr>
          </w:p>
        </w:tc>
        <w:tc>
          <w:tcPr>
            <w:tcW w:w="1591" w:type="dxa"/>
            <w:tcBorders>
              <w:top w:val="double" w:color="auto" w:sz="6" w:space="0"/>
              <w:bottom w:val="single" w:color="auto" w:sz="6" w:space="0"/>
            </w:tcBorders>
            <w:noWrap w:val="0"/>
            <w:vAlign w:val="center"/>
          </w:tcPr>
          <w:p>
            <w:pPr>
              <w:pStyle w:val="26"/>
              <w:keepNext/>
              <w:spacing w:after="0" w:line="400" w:lineRule="exact"/>
              <w:ind w:left="84" w:right="84"/>
              <w:rPr>
                <w:rFonts w:hAnsi="宋体"/>
                <w:color w:val="auto"/>
                <w:sz w:val="24"/>
                <w:highlight w:val="none"/>
                <w:lang w:val="en-US" w:eastAsia="zh-CN"/>
              </w:rPr>
            </w:pPr>
          </w:p>
        </w:tc>
        <w:tc>
          <w:tcPr>
            <w:tcW w:w="878" w:type="dxa"/>
            <w:tcBorders>
              <w:top w:val="double" w:color="auto" w:sz="6" w:space="0"/>
              <w:bottom w:val="single" w:color="auto" w:sz="6" w:space="0"/>
            </w:tcBorders>
            <w:noWrap w:val="0"/>
            <w:vAlign w:val="center"/>
          </w:tcPr>
          <w:p>
            <w:pPr>
              <w:pStyle w:val="26"/>
              <w:keepNext/>
              <w:spacing w:after="0" w:line="400" w:lineRule="exact"/>
              <w:ind w:left="84" w:right="84"/>
              <w:rPr>
                <w:rFonts w:hAnsi="宋体"/>
                <w:color w:val="auto"/>
                <w:sz w:val="24"/>
                <w:highlight w:val="none"/>
                <w:lang w:val="en-US" w:eastAsia="zh-CN"/>
              </w:rPr>
            </w:pPr>
          </w:p>
        </w:tc>
        <w:tc>
          <w:tcPr>
            <w:tcW w:w="900" w:type="dxa"/>
            <w:tcBorders>
              <w:top w:val="double" w:color="auto" w:sz="6" w:space="0"/>
              <w:bottom w:val="single" w:color="auto" w:sz="6" w:space="0"/>
            </w:tcBorders>
            <w:noWrap w:val="0"/>
            <w:vAlign w:val="center"/>
          </w:tcPr>
          <w:p>
            <w:pPr>
              <w:pStyle w:val="26"/>
              <w:keepNext/>
              <w:spacing w:after="0" w:line="400" w:lineRule="exact"/>
              <w:ind w:left="84" w:right="84"/>
              <w:rPr>
                <w:rFonts w:hAnsi="宋体"/>
                <w:color w:val="auto"/>
                <w:sz w:val="24"/>
                <w:highlight w:val="none"/>
                <w:lang w:val="en-US" w:eastAsia="zh-CN"/>
              </w:rPr>
            </w:pPr>
          </w:p>
        </w:tc>
        <w:tc>
          <w:tcPr>
            <w:tcW w:w="864" w:type="dxa"/>
            <w:tcBorders>
              <w:top w:val="double" w:color="auto" w:sz="6" w:space="0"/>
              <w:bottom w:val="single" w:color="auto" w:sz="6" w:space="0"/>
            </w:tcBorders>
            <w:noWrap w:val="0"/>
            <w:vAlign w:val="center"/>
          </w:tcPr>
          <w:p>
            <w:pPr>
              <w:pStyle w:val="26"/>
              <w:keepNext/>
              <w:spacing w:after="0" w:line="400" w:lineRule="exact"/>
              <w:ind w:left="84" w:right="84"/>
              <w:rPr>
                <w:rFonts w:hAnsi="宋体"/>
                <w:color w:val="auto"/>
                <w:sz w:val="24"/>
                <w:highlight w:val="none"/>
                <w:lang w:val="en-US" w:eastAsia="zh-CN"/>
              </w:rPr>
            </w:pPr>
          </w:p>
        </w:tc>
        <w:tc>
          <w:tcPr>
            <w:tcW w:w="1308" w:type="dxa"/>
            <w:tcBorders>
              <w:top w:val="double" w:color="auto" w:sz="6" w:space="0"/>
              <w:bottom w:val="single" w:color="auto" w:sz="6" w:space="0"/>
            </w:tcBorders>
            <w:noWrap w:val="0"/>
            <w:vAlign w:val="center"/>
          </w:tcPr>
          <w:p>
            <w:pPr>
              <w:pStyle w:val="26"/>
              <w:keepNext/>
              <w:spacing w:after="0" w:line="400" w:lineRule="exact"/>
              <w:ind w:left="84" w:right="84"/>
              <w:rPr>
                <w:rFonts w:hAnsi="宋体"/>
                <w:color w:val="auto"/>
                <w:sz w:val="24"/>
                <w:highlight w:val="none"/>
                <w:lang w:val="en-US" w:eastAsia="zh-CN"/>
              </w:rPr>
            </w:pPr>
          </w:p>
        </w:tc>
        <w:tc>
          <w:tcPr>
            <w:tcW w:w="1144" w:type="dxa"/>
            <w:tcBorders>
              <w:top w:val="double" w:color="auto" w:sz="6" w:space="0"/>
              <w:bottom w:val="single" w:color="auto" w:sz="6" w:space="0"/>
            </w:tcBorders>
            <w:noWrap w:val="0"/>
            <w:vAlign w:val="center"/>
          </w:tcPr>
          <w:p>
            <w:pPr>
              <w:pStyle w:val="26"/>
              <w:keepNext/>
              <w:spacing w:after="0" w:line="400" w:lineRule="exact"/>
              <w:ind w:left="84" w:right="84"/>
              <w:rPr>
                <w:rFonts w:hAnsi="宋体"/>
                <w:color w:val="auto"/>
                <w:sz w:val="24"/>
                <w:highlight w:val="none"/>
                <w:lang w:val="en-US" w:eastAsia="zh-CN"/>
              </w:rPr>
            </w:pPr>
          </w:p>
        </w:tc>
        <w:tc>
          <w:tcPr>
            <w:tcW w:w="851" w:type="dxa"/>
            <w:tcBorders>
              <w:top w:val="double" w:color="auto" w:sz="6" w:space="0"/>
              <w:bottom w:val="single" w:color="auto" w:sz="6" w:space="0"/>
            </w:tcBorders>
            <w:noWrap w:val="0"/>
            <w:vAlign w:val="center"/>
          </w:tcPr>
          <w:p>
            <w:pPr>
              <w:pStyle w:val="26"/>
              <w:keepNext/>
              <w:spacing w:after="0" w:line="400" w:lineRule="exact"/>
              <w:ind w:left="84" w:right="84"/>
              <w:rPr>
                <w:rFonts w:hAnsi="宋体"/>
                <w:color w:val="auto"/>
                <w:sz w:val="24"/>
                <w:highlight w:val="none"/>
                <w:lang w:val="en-US" w:eastAsia="zh-CN"/>
              </w:rPr>
            </w:pPr>
          </w:p>
        </w:tc>
        <w:tc>
          <w:tcPr>
            <w:tcW w:w="734" w:type="dxa"/>
            <w:tcBorders>
              <w:top w:val="double" w:color="auto" w:sz="6" w:space="0"/>
              <w:bottom w:val="single" w:color="auto" w:sz="6" w:space="0"/>
            </w:tcBorders>
            <w:noWrap w:val="0"/>
            <w:vAlign w:val="center"/>
          </w:tcPr>
          <w:p>
            <w:pPr>
              <w:pStyle w:val="26"/>
              <w:keepNext/>
              <w:spacing w:after="0" w:line="400" w:lineRule="exact"/>
              <w:ind w:left="84" w:right="84"/>
              <w:rPr>
                <w:rFonts w:hAnsi="宋体"/>
                <w:color w:val="auto"/>
                <w:sz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12" w:type="dxa"/>
            <w:tcBorders>
              <w:top w:val="nil"/>
            </w:tcBorders>
            <w:noWrap w:val="0"/>
            <w:vAlign w:val="center"/>
          </w:tcPr>
          <w:p>
            <w:pPr>
              <w:pStyle w:val="26"/>
              <w:keepNext/>
              <w:spacing w:after="0" w:line="400" w:lineRule="exact"/>
              <w:ind w:left="84" w:right="84"/>
              <w:rPr>
                <w:rFonts w:hAnsi="宋体"/>
                <w:color w:val="auto"/>
                <w:sz w:val="24"/>
                <w:highlight w:val="none"/>
                <w:lang w:val="en-US" w:eastAsia="zh-CN"/>
              </w:rPr>
            </w:pPr>
          </w:p>
        </w:tc>
        <w:tc>
          <w:tcPr>
            <w:tcW w:w="891" w:type="dxa"/>
            <w:tcBorders>
              <w:top w:val="nil"/>
            </w:tcBorders>
            <w:noWrap w:val="0"/>
            <w:vAlign w:val="center"/>
          </w:tcPr>
          <w:p>
            <w:pPr>
              <w:pStyle w:val="26"/>
              <w:keepNext/>
              <w:spacing w:after="0" w:line="400" w:lineRule="exact"/>
              <w:ind w:left="84" w:right="84"/>
              <w:rPr>
                <w:rFonts w:hAnsi="宋体"/>
                <w:color w:val="auto"/>
                <w:sz w:val="24"/>
                <w:highlight w:val="none"/>
                <w:lang w:val="en-US" w:eastAsia="zh-CN"/>
              </w:rPr>
            </w:pPr>
          </w:p>
        </w:tc>
        <w:tc>
          <w:tcPr>
            <w:tcW w:w="1591" w:type="dxa"/>
            <w:tcBorders>
              <w:top w:val="nil"/>
            </w:tcBorders>
            <w:noWrap w:val="0"/>
            <w:vAlign w:val="center"/>
          </w:tcPr>
          <w:p>
            <w:pPr>
              <w:pStyle w:val="26"/>
              <w:keepNext/>
              <w:spacing w:after="0" w:line="400" w:lineRule="exact"/>
              <w:ind w:left="84" w:right="84"/>
              <w:rPr>
                <w:rFonts w:hAnsi="宋体"/>
                <w:color w:val="auto"/>
                <w:sz w:val="24"/>
                <w:highlight w:val="none"/>
                <w:lang w:val="en-US" w:eastAsia="zh-CN"/>
              </w:rPr>
            </w:pPr>
          </w:p>
        </w:tc>
        <w:tc>
          <w:tcPr>
            <w:tcW w:w="878" w:type="dxa"/>
            <w:tcBorders>
              <w:top w:val="nil"/>
            </w:tcBorders>
            <w:noWrap w:val="0"/>
            <w:vAlign w:val="center"/>
          </w:tcPr>
          <w:p>
            <w:pPr>
              <w:pStyle w:val="26"/>
              <w:keepNext/>
              <w:spacing w:after="0" w:line="400" w:lineRule="exact"/>
              <w:ind w:left="84" w:right="84"/>
              <w:rPr>
                <w:rFonts w:hAnsi="宋体"/>
                <w:color w:val="auto"/>
                <w:sz w:val="24"/>
                <w:highlight w:val="none"/>
                <w:lang w:val="en-US" w:eastAsia="zh-CN"/>
              </w:rPr>
            </w:pPr>
          </w:p>
        </w:tc>
        <w:tc>
          <w:tcPr>
            <w:tcW w:w="900" w:type="dxa"/>
            <w:tcBorders>
              <w:top w:val="nil"/>
            </w:tcBorders>
            <w:noWrap w:val="0"/>
            <w:vAlign w:val="center"/>
          </w:tcPr>
          <w:p>
            <w:pPr>
              <w:pStyle w:val="26"/>
              <w:keepNext/>
              <w:spacing w:after="0" w:line="400" w:lineRule="exact"/>
              <w:ind w:left="84" w:right="84"/>
              <w:rPr>
                <w:rFonts w:hAnsi="宋体"/>
                <w:color w:val="auto"/>
                <w:sz w:val="24"/>
                <w:highlight w:val="none"/>
                <w:lang w:val="en-US" w:eastAsia="zh-CN"/>
              </w:rPr>
            </w:pPr>
          </w:p>
        </w:tc>
        <w:tc>
          <w:tcPr>
            <w:tcW w:w="864" w:type="dxa"/>
            <w:tcBorders>
              <w:top w:val="nil"/>
            </w:tcBorders>
            <w:noWrap w:val="0"/>
            <w:vAlign w:val="center"/>
          </w:tcPr>
          <w:p>
            <w:pPr>
              <w:pStyle w:val="26"/>
              <w:keepNext/>
              <w:spacing w:after="0" w:line="400" w:lineRule="exact"/>
              <w:ind w:left="84" w:right="84"/>
              <w:rPr>
                <w:rFonts w:hAnsi="宋体"/>
                <w:color w:val="auto"/>
                <w:sz w:val="24"/>
                <w:highlight w:val="none"/>
                <w:lang w:val="en-US" w:eastAsia="zh-CN"/>
              </w:rPr>
            </w:pPr>
          </w:p>
        </w:tc>
        <w:tc>
          <w:tcPr>
            <w:tcW w:w="1308" w:type="dxa"/>
            <w:tcBorders>
              <w:top w:val="nil"/>
            </w:tcBorders>
            <w:noWrap w:val="0"/>
            <w:vAlign w:val="center"/>
          </w:tcPr>
          <w:p>
            <w:pPr>
              <w:pStyle w:val="26"/>
              <w:keepNext/>
              <w:spacing w:after="0" w:line="400" w:lineRule="exact"/>
              <w:ind w:left="84" w:right="84"/>
              <w:rPr>
                <w:rFonts w:hAnsi="宋体"/>
                <w:color w:val="auto"/>
                <w:sz w:val="24"/>
                <w:highlight w:val="none"/>
                <w:lang w:val="en-US" w:eastAsia="zh-CN"/>
              </w:rPr>
            </w:pPr>
          </w:p>
        </w:tc>
        <w:tc>
          <w:tcPr>
            <w:tcW w:w="1144" w:type="dxa"/>
            <w:tcBorders>
              <w:top w:val="nil"/>
            </w:tcBorders>
            <w:noWrap w:val="0"/>
            <w:vAlign w:val="center"/>
          </w:tcPr>
          <w:p>
            <w:pPr>
              <w:pStyle w:val="26"/>
              <w:keepNext/>
              <w:spacing w:after="0" w:line="400" w:lineRule="exact"/>
              <w:ind w:left="84" w:right="84"/>
              <w:rPr>
                <w:rFonts w:hAnsi="宋体"/>
                <w:color w:val="auto"/>
                <w:sz w:val="24"/>
                <w:highlight w:val="none"/>
                <w:lang w:val="en-US" w:eastAsia="zh-CN"/>
              </w:rPr>
            </w:pPr>
          </w:p>
        </w:tc>
        <w:tc>
          <w:tcPr>
            <w:tcW w:w="851" w:type="dxa"/>
            <w:tcBorders>
              <w:top w:val="nil"/>
            </w:tcBorders>
            <w:noWrap w:val="0"/>
            <w:vAlign w:val="center"/>
          </w:tcPr>
          <w:p>
            <w:pPr>
              <w:pStyle w:val="26"/>
              <w:keepNext/>
              <w:spacing w:after="0" w:line="400" w:lineRule="exact"/>
              <w:ind w:left="84" w:right="84"/>
              <w:rPr>
                <w:rFonts w:hAnsi="宋体"/>
                <w:color w:val="auto"/>
                <w:sz w:val="24"/>
                <w:highlight w:val="none"/>
                <w:lang w:val="en-US" w:eastAsia="zh-CN"/>
              </w:rPr>
            </w:pPr>
          </w:p>
        </w:tc>
        <w:tc>
          <w:tcPr>
            <w:tcW w:w="734" w:type="dxa"/>
            <w:tcBorders>
              <w:top w:val="nil"/>
            </w:tcBorders>
            <w:noWrap w:val="0"/>
            <w:vAlign w:val="center"/>
          </w:tcPr>
          <w:p>
            <w:pPr>
              <w:pStyle w:val="26"/>
              <w:keepNext/>
              <w:spacing w:after="0" w:line="400" w:lineRule="exact"/>
              <w:ind w:left="84" w:right="84"/>
              <w:rPr>
                <w:rFonts w:hAnsi="宋体"/>
                <w:color w:val="auto"/>
                <w:sz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12" w:type="dxa"/>
            <w:tcBorders>
              <w:top w:val="nil"/>
            </w:tcBorders>
            <w:noWrap w:val="0"/>
            <w:vAlign w:val="center"/>
          </w:tcPr>
          <w:p>
            <w:pPr>
              <w:pStyle w:val="26"/>
              <w:keepNext/>
              <w:spacing w:after="0" w:line="400" w:lineRule="exact"/>
              <w:ind w:left="84" w:right="84"/>
              <w:rPr>
                <w:rFonts w:hAnsi="宋体"/>
                <w:color w:val="auto"/>
                <w:sz w:val="24"/>
                <w:highlight w:val="none"/>
                <w:lang w:val="en-US" w:eastAsia="zh-CN"/>
              </w:rPr>
            </w:pPr>
          </w:p>
        </w:tc>
        <w:tc>
          <w:tcPr>
            <w:tcW w:w="891" w:type="dxa"/>
            <w:tcBorders>
              <w:top w:val="nil"/>
            </w:tcBorders>
            <w:noWrap w:val="0"/>
            <w:vAlign w:val="center"/>
          </w:tcPr>
          <w:p>
            <w:pPr>
              <w:pStyle w:val="26"/>
              <w:keepNext/>
              <w:spacing w:after="0" w:line="400" w:lineRule="exact"/>
              <w:ind w:left="84" w:right="84"/>
              <w:rPr>
                <w:rFonts w:hAnsi="宋体"/>
                <w:color w:val="auto"/>
                <w:sz w:val="24"/>
                <w:highlight w:val="none"/>
                <w:lang w:val="en-US" w:eastAsia="zh-CN"/>
              </w:rPr>
            </w:pPr>
          </w:p>
        </w:tc>
        <w:tc>
          <w:tcPr>
            <w:tcW w:w="1591" w:type="dxa"/>
            <w:tcBorders>
              <w:top w:val="nil"/>
            </w:tcBorders>
            <w:noWrap w:val="0"/>
            <w:vAlign w:val="center"/>
          </w:tcPr>
          <w:p>
            <w:pPr>
              <w:pStyle w:val="26"/>
              <w:keepNext/>
              <w:spacing w:after="0" w:line="400" w:lineRule="exact"/>
              <w:ind w:left="84" w:right="84"/>
              <w:rPr>
                <w:rFonts w:hAnsi="宋体"/>
                <w:color w:val="auto"/>
                <w:sz w:val="24"/>
                <w:highlight w:val="none"/>
                <w:lang w:val="en-US" w:eastAsia="zh-CN"/>
              </w:rPr>
            </w:pPr>
          </w:p>
        </w:tc>
        <w:tc>
          <w:tcPr>
            <w:tcW w:w="878" w:type="dxa"/>
            <w:tcBorders>
              <w:top w:val="nil"/>
            </w:tcBorders>
            <w:noWrap w:val="0"/>
            <w:vAlign w:val="center"/>
          </w:tcPr>
          <w:p>
            <w:pPr>
              <w:pStyle w:val="26"/>
              <w:keepNext/>
              <w:spacing w:after="0" w:line="400" w:lineRule="exact"/>
              <w:ind w:left="84" w:right="84"/>
              <w:rPr>
                <w:rFonts w:hAnsi="宋体"/>
                <w:color w:val="auto"/>
                <w:sz w:val="24"/>
                <w:highlight w:val="none"/>
                <w:lang w:val="en-US" w:eastAsia="zh-CN"/>
              </w:rPr>
            </w:pPr>
          </w:p>
        </w:tc>
        <w:tc>
          <w:tcPr>
            <w:tcW w:w="900" w:type="dxa"/>
            <w:tcBorders>
              <w:top w:val="nil"/>
            </w:tcBorders>
            <w:noWrap w:val="0"/>
            <w:vAlign w:val="center"/>
          </w:tcPr>
          <w:p>
            <w:pPr>
              <w:pStyle w:val="26"/>
              <w:keepNext/>
              <w:spacing w:after="0" w:line="400" w:lineRule="exact"/>
              <w:ind w:left="84" w:right="84"/>
              <w:rPr>
                <w:rFonts w:hAnsi="宋体"/>
                <w:color w:val="auto"/>
                <w:sz w:val="24"/>
                <w:highlight w:val="none"/>
                <w:lang w:val="en-US" w:eastAsia="zh-CN"/>
              </w:rPr>
            </w:pPr>
          </w:p>
        </w:tc>
        <w:tc>
          <w:tcPr>
            <w:tcW w:w="864" w:type="dxa"/>
            <w:tcBorders>
              <w:top w:val="nil"/>
            </w:tcBorders>
            <w:noWrap w:val="0"/>
            <w:vAlign w:val="center"/>
          </w:tcPr>
          <w:p>
            <w:pPr>
              <w:pStyle w:val="26"/>
              <w:keepNext/>
              <w:spacing w:after="0" w:line="400" w:lineRule="exact"/>
              <w:ind w:left="84" w:right="84"/>
              <w:rPr>
                <w:rFonts w:hAnsi="宋体"/>
                <w:color w:val="auto"/>
                <w:sz w:val="24"/>
                <w:highlight w:val="none"/>
                <w:lang w:val="en-US" w:eastAsia="zh-CN"/>
              </w:rPr>
            </w:pPr>
          </w:p>
        </w:tc>
        <w:tc>
          <w:tcPr>
            <w:tcW w:w="1308" w:type="dxa"/>
            <w:tcBorders>
              <w:top w:val="nil"/>
            </w:tcBorders>
            <w:noWrap w:val="0"/>
            <w:vAlign w:val="center"/>
          </w:tcPr>
          <w:p>
            <w:pPr>
              <w:pStyle w:val="26"/>
              <w:keepNext/>
              <w:spacing w:after="0" w:line="400" w:lineRule="exact"/>
              <w:ind w:left="84" w:right="84"/>
              <w:rPr>
                <w:rFonts w:hAnsi="宋体"/>
                <w:color w:val="auto"/>
                <w:sz w:val="24"/>
                <w:highlight w:val="none"/>
                <w:lang w:val="en-US" w:eastAsia="zh-CN"/>
              </w:rPr>
            </w:pPr>
          </w:p>
        </w:tc>
        <w:tc>
          <w:tcPr>
            <w:tcW w:w="1144" w:type="dxa"/>
            <w:tcBorders>
              <w:top w:val="nil"/>
            </w:tcBorders>
            <w:noWrap w:val="0"/>
            <w:vAlign w:val="center"/>
          </w:tcPr>
          <w:p>
            <w:pPr>
              <w:pStyle w:val="26"/>
              <w:keepNext/>
              <w:spacing w:after="0" w:line="400" w:lineRule="exact"/>
              <w:ind w:left="84" w:right="84"/>
              <w:rPr>
                <w:rFonts w:hAnsi="宋体"/>
                <w:color w:val="auto"/>
                <w:sz w:val="24"/>
                <w:highlight w:val="none"/>
                <w:lang w:val="en-US" w:eastAsia="zh-CN"/>
              </w:rPr>
            </w:pPr>
          </w:p>
        </w:tc>
        <w:tc>
          <w:tcPr>
            <w:tcW w:w="851" w:type="dxa"/>
            <w:tcBorders>
              <w:top w:val="nil"/>
            </w:tcBorders>
            <w:noWrap w:val="0"/>
            <w:vAlign w:val="center"/>
          </w:tcPr>
          <w:p>
            <w:pPr>
              <w:pStyle w:val="26"/>
              <w:keepNext/>
              <w:spacing w:after="0" w:line="400" w:lineRule="exact"/>
              <w:ind w:left="84" w:right="84"/>
              <w:rPr>
                <w:rFonts w:hAnsi="宋体"/>
                <w:color w:val="auto"/>
                <w:sz w:val="24"/>
                <w:highlight w:val="none"/>
                <w:lang w:val="en-US" w:eastAsia="zh-CN"/>
              </w:rPr>
            </w:pPr>
          </w:p>
        </w:tc>
        <w:tc>
          <w:tcPr>
            <w:tcW w:w="734" w:type="dxa"/>
            <w:tcBorders>
              <w:top w:val="nil"/>
            </w:tcBorders>
            <w:noWrap w:val="0"/>
            <w:vAlign w:val="center"/>
          </w:tcPr>
          <w:p>
            <w:pPr>
              <w:pStyle w:val="26"/>
              <w:keepNext/>
              <w:spacing w:after="0" w:line="400" w:lineRule="exact"/>
              <w:ind w:left="84" w:right="84"/>
              <w:rPr>
                <w:rFonts w:hAnsi="宋体"/>
                <w:color w:val="auto"/>
                <w:sz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12" w:type="dxa"/>
            <w:noWrap w:val="0"/>
            <w:vAlign w:val="center"/>
          </w:tcPr>
          <w:p>
            <w:pPr>
              <w:pStyle w:val="26"/>
              <w:keepNext/>
              <w:spacing w:after="0" w:line="400" w:lineRule="exact"/>
              <w:ind w:left="84" w:right="84"/>
              <w:rPr>
                <w:rFonts w:hAnsi="宋体"/>
                <w:color w:val="auto"/>
                <w:sz w:val="24"/>
                <w:highlight w:val="none"/>
                <w:lang w:val="en-US" w:eastAsia="zh-CN"/>
              </w:rPr>
            </w:pPr>
          </w:p>
        </w:tc>
        <w:tc>
          <w:tcPr>
            <w:tcW w:w="891" w:type="dxa"/>
            <w:noWrap w:val="0"/>
            <w:vAlign w:val="center"/>
          </w:tcPr>
          <w:p>
            <w:pPr>
              <w:pStyle w:val="26"/>
              <w:keepNext/>
              <w:spacing w:after="0" w:line="400" w:lineRule="exact"/>
              <w:ind w:left="84" w:right="84"/>
              <w:rPr>
                <w:rFonts w:hAnsi="宋体"/>
                <w:color w:val="auto"/>
                <w:sz w:val="24"/>
                <w:highlight w:val="none"/>
                <w:lang w:val="en-US" w:eastAsia="zh-CN"/>
              </w:rPr>
            </w:pPr>
          </w:p>
        </w:tc>
        <w:tc>
          <w:tcPr>
            <w:tcW w:w="1591" w:type="dxa"/>
            <w:noWrap w:val="0"/>
            <w:vAlign w:val="center"/>
          </w:tcPr>
          <w:p>
            <w:pPr>
              <w:pStyle w:val="26"/>
              <w:keepNext/>
              <w:spacing w:after="0" w:line="400" w:lineRule="exact"/>
              <w:ind w:left="84" w:right="84"/>
              <w:rPr>
                <w:rFonts w:hAnsi="宋体"/>
                <w:color w:val="auto"/>
                <w:sz w:val="24"/>
                <w:highlight w:val="none"/>
                <w:lang w:val="en-US" w:eastAsia="zh-CN"/>
              </w:rPr>
            </w:pPr>
          </w:p>
        </w:tc>
        <w:tc>
          <w:tcPr>
            <w:tcW w:w="878" w:type="dxa"/>
            <w:noWrap w:val="0"/>
            <w:vAlign w:val="center"/>
          </w:tcPr>
          <w:p>
            <w:pPr>
              <w:pStyle w:val="26"/>
              <w:keepNext/>
              <w:spacing w:after="0" w:line="400" w:lineRule="exact"/>
              <w:ind w:left="84" w:right="84"/>
              <w:rPr>
                <w:rFonts w:hAnsi="宋体"/>
                <w:color w:val="auto"/>
                <w:sz w:val="24"/>
                <w:highlight w:val="none"/>
                <w:lang w:val="en-US" w:eastAsia="zh-CN"/>
              </w:rPr>
            </w:pPr>
          </w:p>
        </w:tc>
        <w:tc>
          <w:tcPr>
            <w:tcW w:w="900" w:type="dxa"/>
            <w:noWrap w:val="0"/>
            <w:vAlign w:val="center"/>
          </w:tcPr>
          <w:p>
            <w:pPr>
              <w:pStyle w:val="26"/>
              <w:keepNext/>
              <w:spacing w:after="0" w:line="400" w:lineRule="exact"/>
              <w:ind w:left="84" w:right="84"/>
              <w:rPr>
                <w:rFonts w:hAnsi="宋体"/>
                <w:color w:val="auto"/>
                <w:sz w:val="24"/>
                <w:highlight w:val="none"/>
                <w:lang w:val="en-US" w:eastAsia="zh-CN"/>
              </w:rPr>
            </w:pPr>
          </w:p>
        </w:tc>
        <w:tc>
          <w:tcPr>
            <w:tcW w:w="864" w:type="dxa"/>
            <w:noWrap w:val="0"/>
            <w:vAlign w:val="center"/>
          </w:tcPr>
          <w:p>
            <w:pPr>
              <w:pStyle w:val="26"/>
              <w:keepNext/>
              <w:spacing w:after="0" w:line="400" w:lineRule="exact"/>
              <w:ind w:left="84" w:right="84"/>
              <w:rPr>
                <w:rFonts w:hAnsi="宋体"/>
                <w:color w:val="auto"/>
                <w:sz w:val="24"/>
                <w:highlight w:val="none"/>
                <w:lang w:val="en-US" w:eastAsia="zh-CN"/>
              </w:rPr>
            </w:pPr>
          </w:p>
        </w:tc>
        <w:tc>
          <w:tcPr>
            <w:tcW w:w="1308" w:type="dxa"/>
            <w:noWrap w:val="0"/>
            <w:vAlign w:val="center"/>
          </w:tcPr>
          <w:p>
            <w:pPr>
              <w:pStyle w:val="26"/>
              <w:keepNext/>
              <w:spacing w:after="0" w:line="400" w:lineRule="exact"/>
              <w:ind w:left="84" w:right="84"/>
              <w:rPr>
                <w:rFonts w:hAnsi="宋体"/>
                <w:color w:val="auto"/>
                <w:sz w:val="24"/>
                <w:highlight w:val="none"/>
                <w:lang w:val="en-US" w:eastAsia="zh-CN"/>
              </w:rPr>
            </w:pPr>
          </w:p>
        </w:tc>
        <w:tc>
          <w:tcPr>
            <w:tcW w:w="1144" w:type="dxa"/>
            <w:noWrap w:val="0"/>
            <w:vAlign w:val="center"/>
          </w:tcPr>
          <w:p>
            <w:pPr>
              <w:pStyle w:val="26"/>
              <w:keepNext/>
              <w:spacing w:after="0" w:line="400" w:lineRule="exact"/>
              <w:ind w:left="84" w:right="84"/>
              <w:rPr>
                <w:rFonts w:hAnsi="宋体"/>
                <w:color w:val="auto"/>
                <w:sz w:val="24"/>
                <w:highlight w:val="none"/>
                <w:lang w:val="en-US" w:eastAsia="zh-CN"/>
              </w:rPr>
            </w:pPr>
          </w:p>
        </w:tc>
        <w:tc>
          <w:tcPr>
            <w:tcW w:w="851" w:type="dxa"/>
            <w:noWrap w:val="0"/>
            <w:vAlign w:val="center"/>
          </w:tcPr>
          <w:p>
            <w:pPr>
              <w:pStyle w:val="26"/>
              <w:keepNext/>
              <w:spacing w:after="0" w:line="400" w:lineRule="exact"/>
              <w:ind w:left="84" w:right="84"/>
              <w:rPr>
                <w:rFonts w:hAnsi="宋体"/>
                <w:color w:val="auto"/>
                <w:sz w:val="24"/>
                <w:highlight w:val="none"/>
                <w:lang w:val="en-US" w:eastAsia="zh-CN"/>
              </w:rPr>
            </w:pPr>
          </w:p>
        </w:tc>
        <w:tc>
          <w:tcPr>
            <w:tcW w:w="734" w:type="dxa"/>
            <w:noWrap w:val="0"/>
            <w:vAlign w:val="center"/>
          </w:tcPr>
          <w:p>
            <w:pPr>
              <w:pStyle w:val="26"/>
              <w:keepNext/>
              <w:spacing w:after="0" w:line="400" w:lineRule="exact"/>
              <w:ind w:left="84" w:right="84"/>
              <w:rPr>
                <w:rFonts w:hAnsi="宋体"/>
                <w:color w:val="auto"/>
                <w:sz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12" w:type="dxa"/>
            <w:noWrap w:val="0"/>
            <w:vAlign w:val="center"/>
          </w:tcPr>
          <w:p>
            <w:pPr>
              <w:pStyle w:val="26"/>
              <w:keepNext/>
              <w:spacing w:after="0" w:line="400" w:lineRule="exact"/>
              <w:ind w:left="84" w:right="84"/>
              <w:rPr>
                <w:rFonts w:hAnsi="宋体"/>
                <w:color w:val="auto"/>
                <w:sz w:val="24"/>
                <w:highlight w:val="none"/>
                <w:lang w:val="en-US" w:eastAsia="zh-CN"/>
              </w:rPr>
            </w:pPr>
          </w:p>
        </w:tc>
        <w:tc>
          <w:tcPr>
            <w:tcW w:w="891" w:type="dxa"/>
            <w:noWrap w:val="0"/>
            <w:vAlign w:val="center"/>
          </w:tcPr>
          <w:p>
            <w:pPr>
              <w:pStyle w:val="26"/>
              <w:keepNext/>
              <w:spacing w:after="0" w:line="400" w:lineRule="exact"/>
              <w:ind w:left="84" w:right="84"/>
              <w:rPr>
                <w:rFonts w:hAnsi="宋体"/>
                <w:color w:val="auto"/>
                <w:sz w:val="24"/>
                <w:highlight w:val="none"/>
                <w:lang w:val="en-US" w:eastAsia="zh-CN"/>
              </w:rPr>
            </w:pPr>
          </w:p>
        </w:tc>
        <w:tc>
          <w:tcPr>
            <w:tcW w:w="1591" w:type="dxa"/>
            <w:noWrap w:val="0"/>
            <w:vAlign w:val="center"/>
          </w:tcPr>
          <w:p>
            <w:pPr>
              <w:pStyle w:val="26"/>
              <w:keepNext/>
              <w:spacing w:after="0" w:line="400" w:lineRule="exact"/>
              <w:ind w:left="84" w:right="84"/>
              <w:rPr>
                <w:rFonts w:hAnsi="宋体"/>
                <w:color w:val="auto"/>
                <w:sz w:val="24"/>
                <w:highlight w:val="none"/>
                <w:lang w:val="en-US" w:eastAsia="zh-CN"/>
              </w:rPr>
            </w:pPr>
          </w:p>
        </w:tc>
        <w:tc>
          <w:tcPr>
            <w:tcW w:w="878" w:type="dxa"/>
            <w:noWrap w:val="0"/>
            <w:vAlign w:val="center"/>
          </w:tcPr>
          <w:p>
            <w:pPr>
              <w:pStyle w:val="26"/>
              <w:keepNext/>
              <w:spacing w:after="0" w:line="400" w:lineRule="exact"/>
              <w:ind w:left="84" w:right="84"/>
              <w:rPr>
                <w:rFonts w:hAnsi="宋体"/>
                <w:color w:val="auto"/>
                <w:sz w:val="24"/>
                <w:highlight w:val="none"/>
                <w:lang w:val="en-US" w:eastAsia="zh-CN"/>
              </w:rPr>
            </w:pPr>
          </w:p>
        </w:tc>
        <w:tc>
          <w:tcPr>
            <w:tcW w:w="900" w:type="dxa"/>
            <w:noWrap w:val="0"/>
            <w:vAlign w:val="center"/>
          </w:tcPr>
          <w:p>
            <w:pPr>
              <w:pStyle w:val="26"/>
              <w:keepNext/>
              <w:spacing w:after="0" w:line="400" w:lineRule="exact"/>
              <w:ind w:left="84" w:right="84"/>
              <w:rPr>
                <w:rFonts w:hAnsi="宋体"/>
                <w:color w:val="auto"/>
                <w:sz w:val="24"/>
                <w:highlight w:val="none"/>
                <w:lang w:val="en-US" w:eastAsia="zh-CN"/>
              </w:rPr>
            </w:pPr>
          </w:p>
        </w:tc>
        <w:tc>
          <w:tcPr>
            <w:tcW w:w="864" w:type="dxa"/>
            <w:noWrap w:val="0"/>
            <w:vAlign w:val="center"/>
          </w:tcPr>
          <w:p>
            <w:pPr>
              <w:pStyle w:val="26"/>
              <w:keepNext/>
              <w:spacing w:after="0" w:line="400" w:lineRule="exact"/>
              <w:ind w:left="84" w:right="84"/>
              <w:rPr>
                <w:rFonts w:hAnsi="宋体"/>
                <w:color w:val="auto"/>
                <w:sz w:val="24"/>
                <w:highlight w:val="none"/>
                <w:lang w:val="en-US" w:eastAsia="zh-CN"/>
              </w:rPr>
            </w:pPr>
          </w:p>
        </w:tc>
        <w:tc>
          <w:tcPr>
            <w:tcW w:w="1308" w:type="dxa"/>
            <w:noWrap w:val="0"/>
            <w:vAlign w:val="center"/>
          </w:tcPr>
          <w:p>
            <w:pPr>
              <w:pStyle w:val="26"/>
              <w:keepNext/>
              <w:spacing w:after="0" w:line="400" w:lineRule="exact"/>
              <w:ind w:left="84" w:right="84"/>
              <w:rPr>
                <w:rFonts w:hAnsi="宋体"/>
                <w:color w:val="auto"/>
                <w:sz w:val="24"/>
                <w:highlight w:val="none"/>
                <w:lang w:val="en-US" w:eastAsia="zh-CN"/>
              </w:rPr>
            </w:pPr>
          </w:p>
        </w:tc>
        <w:tc>
          <w:tcPr>
            <w:tcW w:w="1144" w:type="dxa"/>
            <w:noWrap w:val="0"/>
            <w:vAlign w:val="center"/>
          </w:tcPr>
          <w:p>
            <w:pPr>
              <w:pStyle w:val="26"/>
              <w:keepNext/>
              <w:spacing w:after="0" w:line="400" w:lineRule="exact"/>
              <w:ind w:left="84" w:right="84"/>
              <w:rPr>
                <w:rFonts w:hAnsi="宋体"/>
                <w:color w:val="auto"/>
                <w:sz w:val="24"/>
                <w:highlight w:val="none"/>
                <w:lang w:val="en-US" w:eastAsia="zh-CN"/>
              </w:rPr>
            </w:pPr>
          </w:p>
        </w:tc>
        <w:tc>
          <w:tcPr>
            <w:tcW w:w="851" w:type="dxa"/>
            <w:noWrap w:val="0"/>
            <w:vAlign w:val="center"/>
          </w:tcPr>
          <w:p>
            <w:pPr>
              <w:pStyle w:val="26"/>
              <w:keepNext/>
              <w:spacing w:after="0" w:line="400" w:lineRule="exact"/>
              <w:ind w:left="84" w:right="84"/>
              <w:rPr>
                <w:rFonts w:hAnsi="宋体"/>
                <w:color w:val="auto"/>
                <w:sz w:val="24"/>
                <w:highlight w:val="none"/>
                <w:lang w:val="en-US" w:eastAsia="zh-CN"/>
              </w:rPr>
            </w:pPr>
          </w:p>
        </w:tc>
        <w:tc>
          <w:tcPr>
            <w:tcW w:w="734" w:type="dxa"/>
            <w:noWrap w:val="0"/>
            <w:vAlign w:val="center"/>
          </w:tcPr>
          <w:p>
            <w:pPr>
              <w:pStyle w:val="26"/>
              <w:keepNext/>
              <w:spacing w:after="0" w:line="400" w:lineRule="exact"/>
              <w:ind w:left="84" w:right="84"/>
              <w:rPr>
                <w:rFonts w:hAnsi="宋体"/>
                <w:color w:val="auto"/>
                <w:sz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12" w:type="dxa"/>
            <w:noWrap w:val="0"/>
            <w:vAlign w:val="center"/>
          </w:tcPr>
          <w:p>
            <w:pPr>
              <w:pStyle w:val="26"/>
              <w:keepNext/>
              <w:spacing w:after="0" w:line="400" w:lineRule="exact"/>
              <w:ind w:left="84" w:right="84"/>
              <w:rPr>
                <w:rFonts w:hAnsi="宋体"/>
                <w:color w:val="auto"/>
                <w:sz w:val="24"/>
                <w:highlight w:val="none"/>
                <w:lang w:val="en-US" w:eastAsia="zh-CN"/>
              </w:rPr>
            </w:pPr>
          </w:p>
        </w:tc>
        <w:tc>
          <w:tcPr>
            <w:tcW w:w="891" w:type="dxa"/>
            <w:noWrap w:val="0"/>
            <w:vAlign w:val="center"/>
          </w:tcPr>
          <w:p>
            <w:pPr>
              <w:pStyle w:val="26"/>
              <w:keepNext/>
              <w:spacing w:after="0" w:line="400" w:lineRule="exact"/>
              <w:ind w:left="84" w:right="84"/>
              <w:rPr>
                <w:rFonts w:hAnsi="宋体"/>
                <w:color w:val="auto"/>
                <w:sz w:val="24"/>
                <w:highlight w:val="none"/>
                <w:lang w:val="en-US" w:eastAsia="zh-CN"/>
              </w:rPr>
            </w:pPr>
          </w:p>
        </w:tc>
        <w:tc>
          <w:tcPr>
            <w:tcW w:w="1591" w:type="dxa"/>
            <w:noWrap w:val="0"/>
            <w:vAlign w:val="center"/>
          </w:tcPr>
          <w:p>
            <w:pPr>
              <w:pStyle w:val="26"/>
              <w:keepNext/>
              <w:spacing w:after="0" w:line="400" w:lineRule="exact"/>
              <w:ind w:left="84" w:right="84"/>
              <w:rPr>
                <w:rFonts w:hAnsi="宋体"/>
                <w:color w:val="auto"/>
                <w:sz w:val="24"/>
                <w:highlight w:val="none"/>
                <w:lang w:val="en-US" w:eastAsia="zh-CN"/>
              </w:rPr>
            </w:pPr>
          </w:p>
        </w:tc>
        <w:tc>
          <w:tcPr>
            <w:tcW w:w="878" w:type="dxa"/>
            <w:noWrap w:val="0"/>
            <w:vAlign w:val="center"/>
          </w:tcPr>
          <w:p>
            <w:pPr>
              <w:pStyle w:val="26"/>
              <w:keepNext/>
              <w:spacing w:after="0" w:line="400" w:lineRule="exact"/>
              <w:ind w:left="84" w:right="84"/>
              <w:rPr>
                <w:rFonts w:hAnsi="宋体"/>
                <w:color w:val="auto"/>
                <w:sz w:val="24"/>
                <w:highlight w:val="none"/>
                <w:lang w:val="en-US" w:eastAsia="zh-CN"/>
              </w:rPr>
            </w:pPr>
          </w:p>
        </w:tc>
        <w:tc>
          <w:tcPr>
            <w:tcW w:w="900" w:type="dxa"/>
            <w:noWrap w:val="0"/>
            <w:vAlign w:val="center"/>
          </w:tcPr>
          <w:p>
            <w:pPr>
              <w:pStyle w:val="26"/>
              <w:keepNext/>
              <w:spacing w:after="0" w:line="400" w:lineRule="exact"/>
              <w:ind w:left="84" w:right="84"/>
              <w:rPr>
                <w:rFonts w:hAnsi="宋体"/>
                <w:color w:val="auto"/>
                <w:sz w:val="24"/>
                <w:highlight w:val="none"/>
                <w:lang w:val="en-US" w:eastAsia="zh-CN"/>
              </w:rPr>
            </w:pPr>
          </w:p>
        </w:tc>
        <w:tc>
          <w:tcPr>
            <w:tcW w:w="864" w:type="dxa"/>
            <w:noWrap w:val="0"/>
            <w:vAlign w:val="center"/>
          </w:tcPr>
          <w:p>
            <w:pPr>
              <w:pStyle w:val="26"/>
              <w:keepNext/>
              <w:spacing w:after="0" w:line="400" w:lineRule="exact"/>
              <w:ind w:left="84" w:right="84"/>
              <w:rPr>
                <w:rFonts w:hAnsi="宋体"/>
                <w:color w:val="auto"/>
                <w:sz w:val="24"/>
                <w:highlight w:val="none"/>
                <w:lang w:val="en-US" w:eastAsia="zh-CN"/>
              </w:rPr>
            </w:pPr>
          </w:p>
        </w:tc>
        <w:tc>
          <w:tcPr>
            <w:tcW w:w="1308" w:type="dxa"/>
            <w:noWrap w:val="0"/>
            <w:vAlign w:val="center"/>
          </w:tcPr>
          <w:p>
            <w:pPr>
              <w:pStyle w:val="26"/>
              <w:keepNext/>
              <w:spacing w:after="0" w:line="400" w:lineRule="exact"/>
              <w:ind w:left="84" w:right="84"/>
              <w:rPr>
                <w:rFonts w:hAnsi="宋体"/>
                <w:color w:val="auto"/>
                <w:sz w:val="24"/>
                <w:highlight w:val="none"/>
                <w:lang w:val="en-US" w:eastAsia="zh-CN"/>
              </w:rPr>
            </w:pPr>
          </w:p>
        </w:tc>
        <w:tc>
          <w:tcPr>
            <w:tcW w:w="1144" w:type="dxa"/>
            <w:noWrap w:val="0"/>
            <w:vAlign w:val="center"/>
          </w:tcPr>
          <w:p>
            <w:pPr>
              <w:pStyle w:val="26"/>
              <w:keepNext/>
              <w:spacing w:after="0" w:line="400" w:lineRule="exact"/>
              <w:ind w:left="84" w:right="84"/>
              <w:rPr>
                <w:rFonts w:hAnsi="宋体"/>
                <w:color w:val="auto"/>
                <w:sz w:val="24"/>
                <w:highlight w:val="none"/>
                <w:lang w:val="en-US" w:eastAsia="zh-CN"/>
              </w:rPr>
            </w:pPr>
          </w:p>
        </w:tc>
        <w:tc>
          <w:tcPr>
            <w:tcW w:w="851" w:type="dxa"/>
            <w:noWrap w:val="0"/>
            <w:vAlign w:val="center"/>
          </w:tcPr>
          <w:p>
            <w:pPr>
              <w:pStyle w:val="26"/>
              <w:keepNext/>
              <w:spacing w:after="0" w:line="400" w:lineRule="exact"/>
              <w:ind w:left="84" w:right="84"/>
              <w:rPr>
                <w:rFonts w:hAnsi="宋体"/>
                <w:color w:val="auto"/>
                <w:sz w:val="24"/>
                <w:highlight w:val="none"/>
                <w:lang w:val="en-US" w:eastAsia="zh-CN"/>
              </w:rPr>
            </w:pPr>
          </w:p>
        </w:tc>
        <w:tc>
          <w:tcPr>
            <w:tcW w:w="734" w:type="dxa"/>
            <w:noWrap w:val="0"/>
            <w:vAlign w:val="center"/>
          </w:tcPr>
          <w:p>
            <w:pPr>
              <w:pStyle w:val="26"/>
              <w:keepNext/>
              <w:spacing w:after="0" w:line="400" w:lineRule="exact"/>
              <w:ind w:left="84" w:right="84"/>
              <w:rPr>
                <w:rFonts w:hAnsi="宋体"/>
                <w:color w:val="auto"/>
                <w:sz w:val="24"/>
                <w:highlight w:val="none"/>
                <w:lang w:val="en-US" w:eastAsia="zh-CN"/>
              </w:rPr>
            </w:pPr>
          </w:p>
        </w:tc>
      </w:tr>
    </w:tbl>
    <w:p>
      <w:pPr>
        <w:spacing w:line="440" w:lineRule="exact"/>
        <w:rPr>
          <w:rFonts w:hint="eastAsia" w:hAnsi="宋体"/>
          <w:color w:val="auto"/>
          <w:sz w:val="24"/>
          <w:highlight w:val="none"/>
        </w:rPr>
      </w:pPr>
    </w:p>
    <w:p>
      <w:pPr>
        <w:spacing w:line="440" w:lineRule="exact"/>
        <w:rPr>
          <w:rFonts w:hAnsi="宋体"/>
          <w:color w:val="auto"/>
          <w:sz w:val="24"/>
          <w:highlight w:val="none"/>
        </w:rPr>
      </w:pPr>
      <w:r>
        <w:rPr>
          <w:rFonts w:hAnsi="宋体"/>
          <w:color w:val="auto"/>
          <w:sz w:val="24"/>
          <w:highlight w:val="none"/>
        </w:rPr>
        <w:t>附件</w:t>
      </w:r>
      <w:r>
        <w:rPr>
          <w:rFonts w:hint="eastAsia" w:hAnsi="宋体"/>
          <w:color w:val="auto"/>
          <w:sz w:val="24"/>
          <w:highlight w:val="none"/>
          <w:lang w:val="en-US" w:eastAsia="zh-CN"/>
        </w:rPr>
        <w:t>2</w:t>
      </w:r>
      <w:r>
        <w:rPr>
          <w:rFonts w:hAnsi="宋体"/>
          <w:color w:val="auto"/>
          <w:sz w:val="24"/>
          <w:highlight w:val="none"/>
        </w:rPr>
        <w:t>：</w:t>
      </w:r>
    </w:p>
    <w:p>
      <w:pPr>
        <w:spacing w:before="156" w:beforeLines="50" w:after="156" w:afterLines="50" w:line="440" w:lineRule="exact"/>
        <w:jc w:val="center"/>
        <w:rPr>
          <w:rFonts w:hAnsi="宋体"/>
          <w:color w:val="auto"/>
          <w:sz w:val="24"/>
          <w:highlight w:val="none"/>
        </w:rPr>
      </w:pPr>
      <w:r>
        <w:rPr>
          <w:rFonts w:hAnsi="宋体"/>
          <w:color w:val="auto"/>
          <w:sz w:val="24"/>
          <w:highlight w:val="none"/>
        </w:rPr>
        <w:t>承包人用于本工程施工的机械设备表</w:t>
      </w:r>
    </w:p>
    <w:tbl>
      <w:tblPr>
        <w:tblStyle w:val="6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162" w:type="dxa"/>
            <w:tcBorders>
              <w:top w:val="single" w:color="auto" w:sz="12" w:space="0"/>
              <w:bottom w:val="double" w:color="auto" w:sz="6" w:space="0"/>
            </w:tcBorders>
            <w:noWrap w:val="0"/>
            <w:vAlign w:val="center"/>
          </w:tcPr>
          <w:p>
            <w:pPr>
              <w:pStyle w:val="26"/>
              <w:keepNext/>
              <w:spacing w:after="0" w:line="440" w:lineRule="exact"/>
              <w:ind w:left="84" w:right="84"/>
              <w:jc w:val="center"/>
              <w:rPr>
                <w:rFonts w:hAnsi="宋体"/>
                <w:color w:val="auto"/>
                <w:sz w:val="24"/>
                <w:highlight w:val="none"/>
                <w:lang w:val="en-US" w:eastAsia="zh-CN"/>
              </w:rPr>
            </w:pPr>
            <w:r>
              <w:rPr>
                <w:rFonts w:hAnsi="宋体"/>
                <w:color w:val="auto"/>
                <w:sz w:val="24"/>
                <w:highlight w:val="none"/>
                <w:lang w:val="en-US" w:eastAsia="zh-CN"/>
              </w:rPr>
              <w:t>序号</w:t>
            </w:r>
          </w:p>
        </w:tc>
        <w:tc>
          <w:tcPr>
            <w:tcW w:w="1418" w:type="dxa"/>
            <w:tcBorders>
              <w:top w:val="single" w:color="auto" w:sz="12" w:space="0"/>
              <w:bottom w:val="double" w:color="auto" w:sz="6" w:space="0"/>
            </w:tcBorders>
            <w:noWrap w:val="0"/>
            <w:vAlign w:val="center"/>
          </w:tcPr>
          <w:p>
            <w:pPr>
              <w:pStyle w:val="26"/>
              <w:keepNext/>
              <w:spacing w:after="0" w:line="440" w:lineRule="exact"/>
              <w:ind w:left="84" w:right="84"/>
              <w:jc w:val="center"/>
              <w:rPr>
                <w:rFonts w:hAnsi="宋体"/>
                <w:color w:val="auto"/>
                <w:sz w:val="24"/>
                <w:highlight w:val="none"/>
                <w:lang w:val="en-US" w:eastAsia="zh-CN"/>
              </w:rPr>
            </w:pPr>
            <w:r>
              <w:rPr>
                <w:rFonts w:hAnsi="宋体"/>
                <w:color w:val="auto"/>
                <w:sz w:val="24"/>
                <w:highlight w:val="none"/>
                <w:lang w:val="en-US" w:eastAsia="zh-CN"/>
              </w:rPr>
              <w:t>机械或设备名称</w:t>
            </w:r>
          </w:p>
        </w:tc>
        <w:tc>
          <w:tcPr>
            <w:tcW w:w="850" w:type="dxa"/>
            <w:tcBorders>
              <w:top w:val="single" w:color="auto" w:sz="12" w:space="0"/>
              <w:bottom w:val="double" w:color="auto" w:sz="6" w:space="0"/>
            </w:tcBorders>
            <w:noWrap w:val="0"/>
            <w:vAlign w:val="center"/>
          </w:tcPr>
          <w:p>
            <w:pPr>
              <w:pStyle w:val="26"/>
              <w:keepNext/>
              <w:spacing w:after="0" w:line="440" w:lineRule="exact"/>
              <w:ind w:left="84" w:right="84"/>
              <w:jc w:val="center"/>
              <w:rPr>
                <w:rFonts w:hAnsi="宋体"/>
                <w:color w:val="auto"/>
                <w:sz w:val="24"/>
                <w:highlight w:val="none"/>
                <w:lang w:val="en-US" w:eastAsia="zh-CN"/>
              </w:rPr>
            </w:pPr>
            <w:r>
              <w:rPr>
                <w:rFonts w:hAnsi="宋体"/>
                <w:color w:val="auto"/>
                <w:sz w:val="24"/>
                <w:highlight w:val="none"/>
                <w:lang w:val="en-US" w:eastAsia="zh-CN"/>
              </w:rPr>
              <w:t>规格型号</w:t>
            </w:r>
          </w:p>
        </w:tc>
        <w:tc>
          <w:tcPr>
            <w:tcW w:w="1058" w:type="dxa"/>
            <w:tcBorders>
              <w:top w:val="single" w:color="auto" w:sz="12" w:space="0"/>
              <w:bottom w:val="double" w:color="auto" w:sz="6" w:space="0"/>
            </w:tcBorders>
            <w:noWrap w:val="0"/>
            <w:vAlign w:val="center"/>
          </w:tcPr>
          <w:p>
            <w:pPr>
              <w:pStyle w:val="26"/>
              <w:keepNext/>
              <w:spacing w:after="0" w:line="440" w:lineRule="exact"/>
              <w:ind w:left="84" w:right="84"/>
              <w:jc w:val="center"/>
              <w:rPr>
                <w:rFonts w:hAnsi="宋体"/>
                <w:color w:val="auto"/>
                <w:sz w:val="24"/>
                <w:highlight w:val="none"/>
                <w:lang w:val="en-US" w:eastAsia="zh-CN"/>
              </w:rPr>
            </w:pPr>
            <w:r>
              <w:rPr>
                <w:rFonts w:hAnsi="宋体"/>
                <w:color w:val="auto"/>
                <w:sz w:val="24"/>
                <w:highlight w:val="none"/>
                <w:lang w:val="en-US" w:eastAsia="zh-CN"/>
              </w:rPr>
              <w:t>数量</w:t>
            </w:r>
          </w:p>
        </w:tc>
        <w:tc>
          <w:tcPr>
            <w:tcW w:w="880" w:type="dxa"/>
            <w:tcBorders>
              <w:top w:val="single" w:color="auto" w:sz="12" w:space="0"/>
              <w:bottom w:val="double" w:color="auto" w:sz="6" w:space="0"/>
            </w:tcBorders>
            <w:noWrap w:val="0"/>
            <w:vAlign w:val="center"/>
          </w:tcPr>
          <w:p>
            <w:pPr>
              <w:pStyle w:val="26"/>
              <w:keepNext/>
              <w:spacing w:after="0" w:line="440" w:lineRule="exact"/>
              <w:ind w:left="84" w:right="84"/>
              <w:jc w:val="center"/>
              <w:rPr>
                <w:rFonts w:hAnsi="宋体"/>
                <w:color w:val="auto"/>
                <w:sz w:val="24"/>
                <w:highlight w:val="none"/>
                <w:lang w:val="en-US" w:eastAsia="zh-CN"/>
              </w:rPr>
            </w:pPr>
            <w:r>
              <w:rPr>
                <w:rFonts w:hAnsi="宋体"/>
                <w:color w:val="auto"/>
                <w:sz w:val="24"/>
                <w:highlight w:val="none"/>
                <w:lang w:val="en-US" w:eastAsia="zh-CN"/>
              </w:rPr>
              <w:t>产地</w:t>
            </w:r>
          </w:p>
        </w:tc>
        <w:tc>
          <w:tcPr>
            <w:tcW w:w="1020" w:type="dxa"/>
            <w:tcBorders>
              <w:top w:val="single" w:color="auto" w:sz="12" w:space="0"/>
              <w:bottom w:val="double" w:color="auto" w:sz="6" w:space="0"/>
            </w:tcBorders>
            <w:noWrap w:val="0"/>
            <w:vAlign w:val="center"/>
          </w:tcPr>
          <w:p>
            <w:pPr>
              <w:pStyle w:val="26"/>
              <w:keepNext/>
              <w:spacing w:after="0" w:line="440" w:lineRule="exact"/>
              <w:ind w:left="84" w:right="84"/>
              <w:jc w:val="center"/>
              <w:rPr>
                <w:rFonts w:hint="eastAsia" w:hAnsi="宋体"/>
                <w:color w:val="auto"/>
                <w:sz w:val="24"/>
                <w:highlight w:val="none"/>
                <w:lang w:val="en-US" w:eastAsia="zh-CN"/>
              </w:rPr>
            </w:pPr>
            <w:r>
              <w:rPr>
                <w:rFonts w:hAnsi="宋体"/>
                <w:color w:val="auto"/>
                <w:sz w:val="24"/>
                <w:highlight w:val="none"/>
                <w:lang w:val="en-US" w:eastAsia="zh-CN"/>
              </w:rPr>
              <w:t>制造</w:t>
            </w:r>
          </w:p>
          <w:p>
            <w:pPr>
              <w:pStyle w:val="26"/>
              <w:keepNext/>
              <w:spacing w:after="0" w:line="440" w:lineRule="exact"/>
              <w:ind w:left="84" w:right="84"/>
              <w:jc w:val="center"/>
              <w:rPr>
                <w:rFonts w:hAnsi="宋体"/>
                <w:color w:val="auto"/>
                <w:sz w:val="24"/>
                <w:highlight w:val="none"/>
                <w:lang w:val="en-US" w:eastAsia="zh-CN"/>
              </w:rPr>
            </w:pPr>
            <w:r>
              <w:rPr>
                <w:rFonts w:hAnsi="宋体"/>
                <w:color w:val="auto"/>
                <w:sz w:val="24"/>
                <w:highlight w:val="none"/>
                <w:lang w:val="en-US" w:eastAsia="zh-CN"/>
              </w:rPr>
              <w:t>年份</w:t>
            </w:r>
          </w:p>
        </w:tc>
        <w:tc>
          <w:tcPr>
            <w:tcW w:w="1480" w:type="dxa"/>
            <w:tcBorders>
              <w:top w:val="single" w:color="auto" w:sz="12" w:space="0"/>
              <w:bottom w:val="double" w:color="auto" w:sz="6" w:space="0"/>
            </w:tcBorders>
            <w:noWrap w:val="0"/>
            <w:vAlign w:val="center"/>
          </w:tcPr>
          <w:p>
            <w:pPr>
              <w:pStyle w:val="26"/>
              <w:keepNext/>
              <w:spacing w:after="0" w:line="440" w:lineRule="exact"/>
              <w:ind w:left="84" w:right="84"/>
              <w:jc w:val="center"/>
              <w:rPr>
                <w:rFonts w:hAnsi="宋体"/>
                <w:color w:val="auto"/>
                <w:sz w:val="24"/>
                <w:highlight w:val="none"/>
                <w:lang w:val="en-US" w:eastAsia="zh-CN"/>
              </w:rPr>
            </w:pPr>
            <w:r>
              <w:rPr>
                <w:rFonts w:hAnsi="宋体"/>
                <w:color w:val="auto"/>
                <w:sz w:val="24"/>
                <w:highlight w:val="none"/>
                <w:lang w:val="en-US" w:eastAsia="zh-CN"/>
              </w:rPr>
              <w:t>额定功率(kW)</w:t>
            </w:r>
          </w:p>
        </w:tc>
        <w:tc>
          <w:tcPr>
            <w:tcW w:w="1020" w:type="dxa"/>
            <w:tcBorders>
              <w:top w:val="single" w:color="auto" w:sz="12" w:space="0"/>
              <w:bottom w:val="double" w:color="auto" w:sz="6" w:space="0"/>
            </w:tcBorders>
            <w:noWrap w:val="0"/>
            <w:vAlign w:val="center"/>
          </w:tcPr>
          <w:p>
            <w:pPr>
              <w:pStyle w:val="26"/>
              <w:keepNext/>
              <w:spacing w:after="0" w:line="440" w:lineRule="exact"/>
              <w:ind w:left="84" w:right="84"/>
              <w:jc w:val="center"/>
              <w:rPr>
                <w:rFonts w:hint="eastAsia" w:hAnsi="宋体"/>
                <w:color w:val="auto"/>
                <w:sz w:val="24"/>
                <w:highlight w:val="none"/>
                <w:lang w:val="en-US" w:eastAsia="zh-CN"/>
              </w:rPr>
            </w:pPr>
            <w:r>
              <w:rPr>
                <w:rFonts w:hAnsi="宋体"/>
                <w:color w:val="auto"/>
                <w:sz w:val="24"/>
                <w:highlight w:val="none"/>
                <w:lang w:val="en-US" w:eastAsia="zh-CN"/>
              </w:rPr>
              <w:t>生产</w:t>
            </w:r>
          </w:p>
          <w:p>
            <w:pPr>
              <w:pStyle w:val="26"/>
              <w:keepNext/>
              <w:spacing w:after="0" w:line="440" w:lineRule="exact"/>
              <w:ind w:left="84" w:right="84"/>
              <w:jc w:val="center"/>
              <w:rPr>
                <w:rFonts w:hAnsi="宋体"/>
                <w:color w:val="auto"/>
                <w:sz w:val="24"/>
                <w:highlight w:val="none"/>
                <w:lang w:val="en-US" w:eastAsia="zh-CN"/>
              </w:rPr>
            </w:pPr>
            <w:r>
              <w:rPr>
                <w:rFonts w:hAnsi="宋体"/>
                <w:color w:val="auto"/>
                <w:sz w:val="24"/>
                <w:highlight w:val="none"/>
                <w:lang w:val="en-US" w:eastAsia="zh-CN"/>
              </w:rPr>
              <w:t>能力</w:t>
            </w:r>
          </w:p>
        </w:tc>
        <w:tc>
          <w:tcPr>
            <w:tcW w:w="921" w:type="dxa"/>
            <w:tcBorders>
              <w:top w:val="single" w:color="auto" w:sz="12" w:space="0"/>
              <w:bottom w:val="double" w:color="auto" w:sz="6" w:space="0"/>
            </w:tcBorders>
            <w:noWrap w:val="0"/>
            <w:vAlign w:val="center"/>
          </w:tcPr>
          <w:p>
            <w:pPr>
              <w:pStyle w:val="26"/>
              <w:keepNext/>
              <w:spacing w:after="0" w:line="440" w:lineRule="exact"/>
              <w:ind w:left="84" w:right="84"/>
              <w:jc w:val="center"/>
              <w:rPr>
                <w:rFonts w:hAnsi="宋体"/>
                <w:color w:val="auto"/>
                <w:sz w:val="24"/>
                <w:highlight w:val="none"/>
                <w:lang w:val="en-US" w:eastAsia="zh-CN"/>
              </w:rPr>
            </w:pPr>
            <w:r>
              <w:rPr>
                <w:rFonts w:hAnsi="宋体"/>
                <w:color w:val="auto"/>
                <w:sz w:val="24"/>
                <w:highlight w:val="none"/>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double" w:color="auto" w:sz="6" w:space="0"/>
              <w:bottom w:val="single" w:color="auto" w:sz="6" w:space="0"/>
            </w:tcBorders>
            <w:noWrap w:val="0"/>
            <w:vAlign w:val="center"/>
          </w:tcPr>
          <w:p>
            <w:pPr>
              <w:pStyle w:val="26"/>
              <w:keepNext/>
              <w:spacing w:after="0" w:line="440" w:lineRule="exact"/>
              <w:ind w:left="84" w:right="84"/>
              <w:jc w:val="center"/>
              <w:rPr>
                <w:rFonts w:hAnsi="宋体"/>
                <w:color w:val="auto"/>
                <w:sz w:val="24"/>
                <w:highlight w:val="none"/>
                <w:lang w:val="en-US" w:eastAsia="zh-CN"/>
              </w:rPr>
            </w:pPr>
          </w:p>
        </w:tc>
        <w:tc>
          <w:tcPr>
            <w:tcW w:w="1418" w:type="dxa"/>
            <w:tcBorders>
              <w:top w:val="double" w:color="auto" w:sz="6" w:space="0"/>
              <w:bottom w:val="single" w:color="auto" w:sz="6" w:space="0"/>
            </w:tcBorders>
            <w:noWrap w:val="0"/>
            <w:vAlign w:val="center"/>
          </w:tcPr>
          <w:p>
            <w:pPr>
              <w:pStyle w:val="26"/>
              <w:keepNext/>
              <w:spacing w:after="0" w:line="440" w:lineRule="exact"/>
              <w:ind w:left="84" w:right="84"/>
              <w:jc w:val="center"/>
              <w:rPr>
                <w:rFonts w:hAnsi="宋体"/>
                <w:color w:val="auto"/>
                <w:sz w:val="24"/>
                <w:highlight w:val="none"/>
                <w:lang w:val="en-US" w:eastAsia="zh-CN"/>
              </w:rPr>
            </w:pPr>
          </w:p>
        </w:tc>
        <w:tc>
          <w:tcPr>
            <w:tcW w:w="850" w:type="dxa"/>
            <w:tcBorders>
              <w:top w:val="double" w:color="auto" w:sz="6" w:space="0"/>
              <w:bottom w:val="single" w:color="auto" w:sz="6" w:space="0"/>
            </w:tcBorders>
            <w:noWrap w:val="0"/>
            <w:vAlign w:val="center"/>
          </w:tcPr>
          <w:p>
            <w:pPr>
              <w:pStyle w:val="26"/>
              <w:keepNext/>
              <w:spacing w:after="0" w:line="440" w:lineRule="exact"/>
              <w:ind w:left="84" w:right="84"/>
              <w:jc w:val="center"/>
              <w:rPr>
                <w:rFonts w:hAnsi="宋体"/>
                <w:color w:val="auto"/>
                <w:sz w:val="24"/>
                <w:highlight w:val="none"/>
                <w:lang w:val="en-US" w:eastAsia="zh-CN"/>
              </w:rPr>
            </w:pPr>
          </w:p>
        </w:tc>
        <w:tc>
          <w:tcPr>
            <w:tcW w:w="1058" w:type="dxa"/>
            <w:tcBorders>
              <w:top w:val="double" w:color="auto" w:sz="6" w:space="0"/>
              <w:bottom w:val="single" w:color="auto" w:sz="6" w:space="0"/>
            </w:tcBorders>
            <w:noWrap w:val="0"/>
            <w:vAlign w:val="center"/>
          </w:tcPr>
          <w:p>
            <w:pPr>
              <w:pStyle w:val="26"/>
              <w:keepNext/>
              <w:spacing w:after="0" w:line="440" w:lineRule="exact"/>
              <w:ind w:left="84" w:right="84"/>
              <w:jc w:val="center"/>
              <w:rPr>
                <w:rFonts w:hAnsi="宋体"/>
                <w:color w:val="auto"/>
                <w:sz w:val="24"/>
                <w:highlight w:val="none"/>
                <w:lang w:val="en-US" w:eastAsia="zh-CN"/>
              </w:rPr>
            </w:pPr>
          </w:p>
        </w:tc>
        <w:tc>
          <w:tcPr>
            <w:tcW w:w="880" w:type="dxa"/>
            <w:tcBorders>
              <w:top w:val="double" w:color="auto" w:sz="6" w:space="0"/>
              <w:bottom w:val="single" w:color="auto" w:sz="6" w:space="0"/>
            </w:tcBorders>
            <w:noWrap w:val="0"/>
            <w:vAlign w:val="center"/>
          </w:tcPr>
          <w:p>
            <w:pPr>
              <w:pStyle w:val="26"/>
              <w:keepNext/>
              <w:spacing w:after="0" w:line="440" w:lineRule="exact"/>
              <w:ind w:left="84" w:right="84"/>
              <w:jc w:val="center"/>
              <w:rPr>
                <w:rFonts w:hAnsi="宋体"/>
                <w:color w:val="auto"/>
                <w:sz w:val="24"/>
                <w:highlight w:val="none"/>
                <w:lang w:val="en-US" w:eastAsia="zh-CN"/>
              </w:rPr>
            </w:pPr>
          </w:p>
        </w:tc>
        <w:tc>
          <w:tcPr>
            <w:tcW w:w="1020" w:type="dxa"/>
            <w:tcBorders>
              <w:top w:val="double" w:color="auto" w:sz="6" w:space="0"/>
              <w:bottom w:val="single" w:color="auto" w:sz="6" w:space="0"/>
            </w:tcBorders>
            <w:noWrap w:val="0"/>
            <w:vAlign w:val="center"/>
          </w:tcPr>
          <w:p>
            <w:pPr>
              <w:pStyle w:val="26"/>
              <w:keepNext/>
              <w:spacing w:after="0" w:line="440" w:lineRule="exact"/>
              <w:ind w:left="84" w:right="84"/>
              <w:jc w:val="center"/>
              <w:rPr>
                <w:rFonts w:hAnsi="宋体"/>
                <w:color w:val="auto"/>
                <w:sz w:val="24"/>
                <w:highlight w:val="none"/>
                <w:lang w:val="en-US" w:eastAsia="zh-CN"/>
              </w:rPr>
            </w:pPr>
          </w:p>
        </w:tc>
        <w:tc>
          <w:tcPr>
            <w:tcW w:w="1480" w:type="dxa"/>
            <w:tcBorders>
              <w:top w:val="double" w:color="auto" w:sz="6" w:space="0"/>
              <w:bottom w:val="single" w:color="auto" w:sz="6" w:space="0"/>
            </w:tcBorders>
            <w:noWrap w:val="0"/>
            <w:vAlign w:val="center"/>
          </w:tcPr>
          <w:p>
            <w:pPr>
              <w:pStyle w:val="26"/>
              <w:keepNext/>
              <w:spacing w:after="0" w:line="440" w:lineRule="exact"/>
              <w:ind w:left="84" w:right="84"/>
              <w:jc w:val="center"/>
              <w:rPr>
                <w:rFonts w:hAnsi="宋体"/>
                <w:color w:val="auto"/>
                <w:sz w:val="24"/>
                <w:highlight w:val="none"/>
                <w:lang w:val="en-US" w:eastAsia="zh-CN"/>
              </w:rPr>
            </w:pPr>
          </w:p>
        </w:tc>
        <w:tc>
          <w:tcPr>
            <w:tcW w:w="1020" w:type="dxa"/>
            <w:tcBorders>
              <w:top w:val="double" w:color="auto" w:sz="6" w:space="0"/>
              <w:bottom w:val="single" w:color="auto" w:sz="6" w:space="0"/>
            </w:tcBorders>
            <w:noWrap w:val="0"/>
            <w:vAlign w:val="center"/>
          </w:tcPr>
          <w:p>
            <w:pPr>
              <w:pStyle w:val="26"/>
              <w:keepNext/>
              <w:spacing w:after="0" w:line="440" w:lineRule="exact"/>
              <w:ind w:left="84" w:right="84"/>
              <w:jc w:val="center"/>
              <w:rPr>
                <w:rFonts w:hAnsi="宋体"/>
                <w:color w:val="auto"/>
                <w:sz w:val="24"/>
                <w:highlight w:val="none"/>
                <w:lang w:val="en-US" w:eastAsia="zh-CN"/>
              </w:rPr>
            </w:pPr>
          </w:p>
        </w:tc>
        <w:tc>
          <w:tcPr>
            <w:tcW w:w="921" w:type="dxa"/>
            <w:tcBorders>
              <w:top w:val="double" w:color="auto" w:sz="6" w:space="0"/>
              <w:bottom w:val="single" w:color="auto" w:sz="6" w:space="0"/>
            </w:tcBorders>
            <w:noWrap w:val="0"/>
            <w:vAlign w:val="center"/>
          </w:tcPr>
          <w:p>
            <w:pPr>
              <w:pStyle w:val="26"/>
              <w:keepNext/>
              <w:spacing w:after="0" w:line="440" w:lineRule="exact"/>
              <w:ind w:left="84" w:right="84"/>
              <w:jc w:val="center"/>
              <w:rPr>
                <w:rFonts w:hAnsi="宋体"/>
                <w:color w:val="auto"/>
                <w:sz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nil"/>
            </w:tcBorders>
            <w:noWrap w:val="0"/>
            <w:vAlign w:val="center"/>
          </w:tcPr>
          <w:p>
            <w:pPr>
              <w:pStyle w:val="26"/>
              <w:keepNext/>
              <w:spacing w:after="0" w:line="440" w:lineRule="exact"/>
              <w:ind w:left="84" w:right="84"/>
              <w:jc w:val="center"/>
              <w:rPr>
                <w:rFonts w:hAnsi="宋体"/>
                <w:color w:val="auto"/>
                <w:sz w:val="24"/>
                <w:highlight w:val="none"/>
                <w:lang w:val="en-US" w:eastAsia="zh-CN"/>
              </w:rPr>
            </w:pPr>
          </w:p>
        </w:tc>
        <w:tc>
          <w:tcPr>
            <w:tcW w:w="1418" w:type="dxa"/>
            <w:tcBorders>
              <w:top w:val="nil"/>
            </w:tcBorders>
            <w:noWrap w:val="0"/>
            <w:vAlign w:val="center"/>
          </w:tcPr>
          <w:p>
            <w:pPr>
              <w:pStyle w:val="26"/>
              <w:keepNext/>
              <w:spacing w:after="0" w:line="440" w:lineRule="exact"/>
              <w:ind w:left="84" w:right="84"/>
              <w:jc w:val="center"/>
              <w:rPr>
                <w:rFonts w:hAnsi="宋体"/>
                <w:color w:val="auto"/>
                <w:sz w:val="24"/>
                <w:highlight w:val="none"/>
                <w:lang w:val="en-US" w:eastAsia="zh-CN"/>
              </w:rPr>
            </w:pPr>
          </w:p>
        </w:tc>
        <w:tc>
          <w:tcPr>
            <w:tcW w:w="850" w:type="dxa"/>
            <w:tcBorders>
              <w:top w:val="nil"/>
            </w:tcBorders>
            <w:noWrap w:val="0"/>
            <w:vAlign w:val="center"/>
          </w:tcPr>
          <w:p>
            <w:pPr>
              <w:pStyle w:val="26"/>
              <w:keepNext/>
              <w:spacing w:after="0" w:line="440" w:lineRule="exact"/>
              <w:ind w:left="84" w:right="84"/>
              <w:jc w:val="center"/>
              <w:rPr>
                <w:rFonts w:hAnsi="宋体"/>
                <w:color w:val="auto"/>
                <w:sz w:val="24"/>
                <w:highlight w:val="none"/>
                <w:lang w:val="en-US" w:eastAsia="zh-CN"/>
              </w:rPr>
            </w:pPr>
          </w:p>
        </w:tc>
        <w:tc>
          <w:tcPr>
            <w:tcW w:w="1058" w:type="dxa"/>
            <w:tcBorders>
              <w:top w:val="nil"/>
            </w:tcBorders>
            <w:noWrap w:val="0"/>
            <w:vAlign w:val="center"/>
          </w:tcPr>
          <w:p>
            <w:pPr>
              <w:pStyle w:val="26"/>
              <w:keepNext/>
              <w:spacing w:after="0" w:line="440" w:lineRule="exact"/>
              <w:ind w:left="84" w:right="84"/>
              <w:jc w:val="center"/>
              <w:rPr>
                <w:rFonts w:hAnsi="宋体"/>
                <w:color w:val="auto"/>
                <w:sz w:val="24"/>
                <w:highlight w:val="none"/>
                <w:lang w:val="en-US" w:eastAsia="zh-CN"/>
              </w:rPr>
            </w:pPr>
          </w:p>
        </w:tc>
        <w:tc>
          <w:tcPr>
            <w:tcW w:w="880" w:type="dxa"/>
            <w:tcBorders>
              <w:top w:val="nil"/>
            </w:tcBorders>
            <w:noWrap w:val="0"/>
            <w:vAlign w:val="center"/>
          </w:tcPr>
          <w:p>
            <w:pPr>
              <w:pStyle w:val="26"/>
              <w:keepNext/>
              <w:spacing w:after="0" w:line="440" w:lineRule="exact"/>
              <w:ind w:left="84" w:right="84"/>
              <w:jc w:val="center"/>
              <w:rPr>
                <w:rFonts w:hAnsi="宋体"/>
                <w:color w:val="auto"/>
                <w:sz w:val="24"/>
                <w:highlight w:val="none"/>
                <w:lang w:val="en-US" w:eastAsia="zh-CN"/>
              </w:rPr>
            </w:pPr>
          </w:p>
        </w:tc>
        <w:tc>
          <w:tcPr>
            <w:tcW w:w="1020" w:type="dxa"/>
            <w:tcBorders>
              <w:top w:val="nil"/>
            </w:tcBorders>
            <w:noWrap w:val="0"/>
            <w:vAlign w:val="center"/>
          </w:tcPr>
          <w:p>
            <w:pPr>
              <w:pStyle w:val="26"/>
              <w:keepNext/>
              <w:spacing w:after="0" w:line="440" w:lineRule="exact"/>
              <w:ind w:left="84" w:right="84"/>
              <w:jc w:val="center"/>
              <w:rPr>
                <w:rFonts w:hAnsi="宋体"/>
                <w:color w:val="auto"/>
                <w:sz w:val="24"/>
                <w:highlight w:val="none"/>
                <w:lang w:val="en-US" w:eastAsia="zh-CN"/>
              </w:rPr>
            </w:pPr>
          </w:p>
        </w:tc>
        <w:tc>
          <w:tcPr>
            <w:tcW w:w="1480" w:type="dxa"/>
            <w:tcBorders>
              <w:top w:val="nil"/>
            </w:tcBorders>
            <w:noWrap w:val="0"/>
            <w:vAlign w:val="center"/>
          </w:tcPr>
          <w:p>
            <w:pPr>
              <w:pStyle w:val="26"/>
              <w:keepNext/>
              <w:spacing w:after="0" w:line="440" w:lineRule="exact"/>
              <w:ind w:left="84" w:right="84"/>
              <w:jc w:val="center"/>
              <w:rPr>
                <w:rFonts w:hAnsi="宋体"/>
                <w:color w:val="auto"/>
                <w:sz w:val="24"/>
                <w:highlight w:val="none"/>
                <w:lang w:val="en-US" w:eastAsia="zh-CN"/>
              </w:rPr>
            </w:pPr>
          </w:p>
        </w:tc>
        <w:tc>
          <w:tcPr>
            <w:tcW w:w="1020" w:type="dxa"/>
            <w:tcBorders>
              <w:top w:val="nil"/>
            </w:tcBorders>
            <w:noWrap w:val="0"/>
            <w:vAlign w:val="center"/>
          </w:tcPr>
          <w:p>
            <w:pPr>
              <w:pStyle w:val="26"/>
              <w:keepNext/>
              <w:spacing w:after="0" w:line="440" w:lineRule="exact"/>
              <w:ind w:left="84" w:right="84"/>
              <w:jc w:val="center"/>
              <w:rPr>
                <w:rFonts w:hAnsi="宋体"/>
                <w:color w:val="auto"/>
                <w:sz w:val="24"/>
                <w:highlight w:val="none"/>
                <w:lang w:val="en-US" w:eastAsia="zh-CN"/>
              </w:rPr>
            </w:pPr>
          </w:p>
        </w:tc>
        <w:tc>
          <w:tcPr>
            <w:tcW w:w="921" w:type="dxa"/>
            <w:tcBorders>
              <w:top w:val="nil"/>
            </w:tcBorders>
            <w:noWrap w:val="0"/>
            <w:vAlign w:val="center"/>
          </w:tcPr>
          <w:p>
            <w:pPr>
              <w:pStyle w:val="26"/>
              <w:keepNext/>
              <w:spacing w:after="0" w:line="440" w:lineRule="exact"/>
              <w:ind w:left="84" w:right="84"/>
              <w:jc w:val="center"/>
              <w:rPr>
                <w:rFonts w:hAnsi="宋体"/>
                <w:color w:val="auto"/>
                <w:sz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jc w:val="center"/>
              <w:rPr>
                <w:rFonts w:hAnsi="宋体"/>
                <w:color w:val="auto"/>
                <w:sz w:val="24"/>
                <w:highlight w:val="none"/>
              </w:rPr>
            </w:pPr>
          </w:p>
        </w:tc>
        <w:tc>
          <w:tcPr>
            <w:tcW w:w="1418" w:type="dxa"/>
            <w:noWrap w:val="0"/>
            <w:vAlign w:val="center"/>
          </w:tcPr>
          <w:p>
            <w:pPr>
              <w:jc w:val="center"/>
              <w:rPr>
                <w:rFonts w:hAnsi="宋体"/>
                <w:color w:val="auto"/>
                <w:sz w:val="24"/>
                <w:highlight w:val="none"/>
              </w:rPr>
            </w:pPr>
          </w:p>
        </w:tc>
        <w:tc>
          <w:tcPr>
            <w:tcW w:w="850" w:type="dxa"/>
            <w:noWrap w:val="0"/>
            <w:vAlign w:val="center"/>
          </w:tcPr>
          <w:p>
            <w:pPr>
              <w:jc w:val="center"/>
              <w:rPr>
                <w:rFonts w:hAnsi="宋体"/>
                <w:color w:val="auto"/>
                <w:sz w:val="24"/>
                <w:highlight w:val="none"/>
              </w:rPr>
            </w:pPr>
          </w:p>
        </w:tc>
        <w:tc>
          <w:tcPr>
            <w:tcW w:w="1058" w:type="dxa"/>
            <w:noWrap w:val="0"/>
            <w:vAlign w:val="center"/>
          </w:tcPr>
          <w:p>
            <w:pPr>
              <w:jc w:val="center"/>
              <w:rPr>
                <w:rFonts w:hAnsi="宋体"/>
                <w:color w:val="auto"/>
                <w:sz w:val="24"/>
                <w:highlight w:val="none"/>
              </w:rPr>
            </w:pPr>
          </w:p>
        </w:tc>
        <w:tc>
          <w:tcPr>
            <w:tcW w:w="880" w:type="dxa"/>
            <w:noWrap w:val="0"/>
            <w:vAlign w:val="center"/>
          </w:tcPr>
          <w:p>
            <w:pPr>
              <w:jc w:val="center"/>
              <w:rPr>
                <w:rFonts w:hAnsi="宋体"/>
                <w:color w:val="auto"/>
                <w:sz w:val="24"/>
                <w:highlight w:val="none"/>
              </w:rPr>
            </w:pPr>
          </w:p>
        </w:tc>
        <w:tc>
          <w:tcPr>
            <w:tcW w:w="1020" w:type="dxa"/>
            <w:noWrap w:val="0"/>
            <w:vAlign w:val="center"/>
          </w:tcPr>
          <w:p>
            <w:pPr>
              <w:jc w:val="center"/>
              <w:rPr>
                <w:rFonts w:hAnsi="宋体"/>
                <w:color w:val="auto"/>
                <w:sz w:val="24"/>
                <w:highlight w:val="none"/>
              </w:rPr>
            </w:pPr>
          </w:p>
        </w:tc>
        <w:tc>
          <w:tcPr>
            <w:tcW w:w="1480" w:type="dxa"/>
            <w:noWrap w:val="0"/>
            <w:vAlign w:val="center"/>
          </w:tcPr>
          <w:p>
            <w:pPr>
              <w:jc w:val="center"/>
              <w:rPr>
                <w:rFonts w:hAnsi="宋体"/>
                <w:color w:val="auto"/>
                <w:sz w:val="24"/>
                <w:highlight w:val="none"/>
              </w:rPr>
            </w:pPr>
          </w:p>
        </w:tc>
        <w:tc>
          <w:tcPr>
            <w:tcW w:w="1020" w:type="dxa"/>
            <w:noWrap w:val="0"/>
            <w:vAlign w:val="center"/>
          </w:tcPr>
          <w:p>
            <w:pPr>
              <w:jc w:val="center"/>
              <w:rPr>
                <w:rFonts w:hAnsi="宋体"/>
                <w:color w:val="auto"/>
                <w:sz w:val="24"/>
                <w:highlight w:val="none"/>
              </w:rPr>
            </w:pPr>
          </w:p>
        </w:tc>
        <w:tc>
          <w:tcPr>
            <w:tcW w:w="921" w:type="dxa"/>
            <w:noWrap w:val="0"/>
            <w:vAlign w:val="center"/>
          </w:tcPr>
          <w:p>
            <w:pPr>
              <w:jc w:val="center"/>
              <w:rPr>
                <w:rFonts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jc w:val="center"/>
              <w:rPr>
                <w:rFonts w:hAnsi="宋体"/>
                <w:color w:val="auto"/>
                <w:sz w:val="24"/>
                <w:highlight w:val="none"/>
              </w:rPr>
            </w:pPr>
          </w:p>
        </w:tc>
        <w:tc>
          <w:tcPr>
            <w:tcW w:w="1418" w:type="dxa"/>
            <w:noWrap w:val="0"/>
            <w:vAlign w:val="center"/>
          </w:tcPr>
          <w:p>
            <w:pPr>
              <w:jc w:val="center"/>
              <w:rPr>
                <w:rFonts w:hAnsi="宋体"/>
                <w:color w:val="auto"/>
                <w:sz w:val="24"/>
                <w:highlight w:val="none"/>
              </w:rPr>
            </w:pPr>
          </w:p>
        </w:tc>
        <w:tc>
          <w:tcPr>
            <w:tcW w:w="850" w:type="dxa"/>
            <w:noWrap w:val="0"/>
            <w:vAlign w:val="center"/>
          </w:tcPr>
          <w:p>
            <w:pPr>
              <w:jc w:val="center"/>
              <w:rPr>
                <w:rFonts w:hAnsi="宋体"/>
                <w:color w:val="auto"/>
                <w:sz w:val="24"/>
                <w:highlight w:val="none"/>
              </w:rPr>
            </w:pPr>
          </w:p>
        </w:tc>
        <w:tc>
          <w:tcPr>
            <w:tcW w:w="1058" w:type="dxa"/>
            <w:noWrap w:val="0"/>
            <w:vAlign w:val="center"/>
          </w:tcPr>
          <w:p>
            <w:pPr>
              <w:jc w:val="center"/>
              <w:rPr>
                <w:rFonts w:hAnsi="宋体"/>
                <w:color w:val="auto"/>
                <w:sz w:val="24"/>
                <w:highlight w:val="none"/>
              </w:rPr>
            </w:pPr>
          </w:p>
        </w:tc>
        <w:tc>
          <w:tcPr>
            <w:tcW w:w="880" w:type="dxa"/>
            <w:noWrap w:val="0"/>
            <w:vAlign w:val="center"/>
          </w:tcPr>
          <w:p>
            <w:pPr>
              <w:jc w:val="center"/>
              <w:rPr>
                <w:rFonts w:hAnsi="宋体"/>
                <w:color w:val="auto"/>
                <w:sz w:val="24"/>
                <w:highlight w:val="none"/>
              </w:rPr>
            </w:pPr>
          </w:p>
        </w:tc>
        <w:tc>
          <w:tcPr>
            <w:tcW w:w="1020" w:type="dxa"/>
            <w:noWrap w:val="0"/>
            <w:vAlign w:val="center"/>
          </w:tcPr>
          <w:p>
            <w:pPr>
              <w:jc w:val="center"/>
              <w:rPr>
                <w:rFonts w:hAnsi="宋体"/>
                <w:color w:val="auto"/>
                <w:sz w:val="24"/>
                <w:highlight w:val="none"/>
              </w:rPr>
            </w:pPr>
          </w:p>
        </w:tc>
        <w:tc>
          <w:tcPr>
            <w:tcW w:w="1480" w:type="dxa"/>
            <w:noWrap w:val="0"/>
            <w:vAlign w:val="center"/>
          </w:tcPr>
          <w:p>
            <w:pPr>
              <w:jc w:val="center"/>
              <w:rPr>
                <w:rFonts w:hAnsi="宋体"/>
                <w:color w:val="auto"/>
                <w:sz w:val="24"/>
                <w:highlight w:val="none"/>
              </w:rPr>
            </w:pPr>
          </w:p>
        </w:tc>
        <w:tc>
          <w:tcPr>
            <w:tcW w:w="1020" w:type="dxa"/>
            <w:noWrap w:val="0"/>
            <w:vAlign w:val="center"/>
          </w:tcPr>
          <w:p>
            <w:pPr>
              <w:jc w:val="center"/>
              <w:rPr>
                <w:rFonts w:hAnsi="宋体"/>
                <w:color w:val="auto"/>
                <w:sz w:val="24"/>
                <w:highlight w:val="none"/>
              </w:rPr>
            </w:pPr>
          </w:p>
        </w:tc>
        <w:tc>
          <w:tcPr>
            <w:tcW w:w="921" w:type="dxa"/>
            <w:noWrap w:val="0"/>
            <w:vAlign w:val="center"/>
          </w:tcPr>
          <w:p>
            <w:pPr>
              <w:jc w:val="center"/>
              <w:rPr>
                <w:rFonts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jc w:val="center"/>
              <w:rPr>
                <w:rFonts w:hAnsi="宋体"/>
                <w:color w:val="auto"/>
                <w:sz w:val="24"/>
                <w:highlight w:val="none"/>
              </w:rPr>
            </w:pPr>
          </w:p>
        </w:tc>
        <w:tc>
          <w:tcPr>
            <w:tcW w:w="1418" w:type="dxa"/>
            <w:noWrap w:val="0"/>
            <w:vAlign w:val="center"/>
          </w:tcPr>
          <w:p>
            <w:pPr>
              <w:jc w:val="center"/>
              <w:rPr>
                <w:rFonts w:hAnsi="宋体"/>
                <w:color w:val="auto"/>
                <w:sz w:val="24"/>
                <w:highlight w:val="none"/>
              </w:rPr>
            </w:pPr>
          </w:p>
        </w:tc>
        <w:tc>
          <w:tcPr>
            <w:tcW w:w="850" w:type="dxa"/>
            <w:noWrap w:val="0"/>
            <w:vAlign w:val="center"/>
          </w:tcPr>
          <w:p>
            <w:pPr>
              <w:jc w:val="center"/>
              <w:rPr>
                <w:rFonts w:hAnsi="宋体"/>
                <w:color w:val="auto"/>
                <w:sz w:val="24"/>
                <w:highlight w:val="none"/>
              </w:rPr>
            </w:pPr>
          </w:p>
        </w:tc>
        <w:tc>
          <w:tcPr>
            <w:tcW w:w="1058" w:type="dxa"/>
            <w:noWrap w:val="0"/>
            <w:vAlign w:val="center"/>
          </w:tcPr>
          <w:p>
            <w:pPr>
              <w:jc w:val="center"/>
              <w:rPr>
                <w:rFonts w:hAnsi="宋体"/>
                <w:color w:val="auto"/>
                <w:sz w:val="24"/>
                <w:highlight w:val="none"/>
              </w:rPr>
            </w:pPr>
          </w:p>
        </w:tc>
        <w:tc>
          <w:tcPr>
            <w:tcW w:w="880" w:type="dxa"/>
            <w:noWrap w:val="0"/>
            <w:vAlign w:val="center"/>
          </w:tcPr>
          <w:p>
            <w:pPr>
              <w:jc w:val="center"/>
              <w:rPr>
                <w:rFonts w:hAnsi="宋体"/>
                <w:color w:val="auto"/>
                <w:sz w:val="24"/>
                <w:highlight w:val="none"/>
              </w:rPr>
            </w:pPr>
          </w:p>
        </w:tc>
        <w:tc>
          <w:tcPr>
            <w:tcW w:w="1020" w:type="dxa"/>
            <w:noWrap w:val="0"/>
            <w:vAlign w:val="center"/>
          </w:tcPr>
          <w:p>
            <w:pPr>
              <w:jc w:val="center"/>
              <w:rPr>
                <w:rFonts w:hAnsi="宋体"/>
                <w:color w:val="auto"/>
                <w:sz w:val="24"/>
                <w:highlight w:val="none"/>
              </w:rPr>
            </w:pPr>
          </w:p>
        </w:tc>
        <w:tc>
          <w:tcPr>
            <w:tcW w:w="1480" w:type="dxa"/>
            <w:noWrap w:val="0"/>
            <w:vAlign w:val="center"/>
          </w:tcPr>
          <w:p>
            <w:pPr>
              <w:jc w:val="center"/>
              <w:rPr>
                <w:rFonts w:hAnsi="宋体"/>
                <w:color w:val="auto"/>
                <w:sz w:val="24"/>
                <w:highlight w:val="none"/>
              </w:rPr>
            </w:pPr>
          </w:p>
        </w:tc>
        <w:tc>
          <w:tcPr>
            <w:tcW w:w="1020" w:type="dxa"/>
            <w:noWrap w:val="0"/>
            <w:vAlign w:val="center"/>
          </w:tcPr>
          <w:p>
            <w:pPr>
              <w:jc w:val="center"/>
              <w:rPr>
                <w:rFonts w:hAnsi="宋体"/>
                <w:color w:val="auto"/>
                <w:sz w:val="24"/>
                <w:highlight w:val="none"/>
              </w:rPr>
            </w:pPr>
          </w:p>
        </w:tc>
        <w:tc>
          <w:tcPr>
            <w:tcW w:w="921" w:type="dxa"/>
            <w:noWrap w:val="0"/>
            <w:vAlign w:val="center"/>
          </w:tcPr>
          <w:p>
            <w:pPr>
              <w:jc w:val="center"/>
              <w:rPr>
                <w:rFonts w:hAnsi="宋体"/>
                <w:color w:val="auto"/>
                <w:sz w:val="24"/>
                <w:highlight w:val="none"/>
              </w:rPr>
            </w:pPr>
          </w:p>
        </w:tc>
      </w:tr>
    </w:tbl>
    <w:p>
      <w:pPr>
        <w:spacing w:line="440" w:lineRule="exact"/>
        <w:rPr>
          <w:rFonts w:hint="eastAsia" w:hAnsi="宋体"/>
          <w:color w:val="auto"/>
          <w:sz w:val="24"/>
          <w:highlight w:val="none"/>
        </w:rPr>
      </w:pPr>
    </w:p>
    <w:p>
      <w:pPr>
        <w:spacing w:line="440" w:lineRule="exact"/>
        <w:rPr>
          <w:rFonts w:hint="eastAsia" w:hAnsi="宋体"/>
          <w:color w:val="auto"/>
          <w:sz w:val="24"/>
          <w:highlight w:val="none"/>
        </w:rPr>
      </w:pPr>
    </w:p>
    <w:p>
      <w:pPr>
        <w:pStyle w:val="797"/>
        <w:rPr>
          <w:rFonts w:hint="eastAsia" w:hAnsi="宋体"/>
          <w:color w:val="auto"/>
          <w:sz w:val="24"/>
          <w:highlight w:val="none"/>
        </w:rPr>
      </w:pPr>
    </w:p>
    <w:p>
      <w:pPr>
        <w:pStyle w:val="797"/>
        <w:rPr>
          <w:rFonts w:hint="eastAsia" w:hAnsi="宋体"/>
          <w:color w:val="auto"/>
          <w:sz w:val="24"/>
          <w:highlight w:val="none"/>
        </w:rPr>
      </w:pPr>
    </w:p>
    <w:p>
      <w:pPr>
        <w:pStyle w:val="797"/>
        <w:rPr>
          <w:rFonts w:hint="eastAsia" w:hAnsi="宋体"/>
          <w:color w:val="auto"/>
          <w:sz w:val="24"/>
          <w:highlight w:val="none"/>
        </w:rPr>
      </w:pPr>
    </w:p>
    <w:p>
      <w:pPr>
        <w:pStyle w:val="797"/>
        <w:rPr>
          <w:rFonts w:hint="eastAsia"/>
          <w:color w:val="auto"/>
          <w:highlight w:val="none"/>
        </w:rPr>
      </w:pPr>
      <w:r>
        <w:rPr>
          <w:rFonts w:hint="eastAsia" w:hAnsi="宋体"/>
          <w:color w:val="auto"/>
          <w:sz w:val="24"/>
          <w:highlight w:val="none"/>
        </w:rPr>
        <w:br w:type="page"/>
      </w:r>
    </w:p>
    <w:p>
      <w:pPr>
        <w:spacing w:line="460" w:lineRule="exact"/>
        <w:rPr>
          <w:rFonts w:hAnsi="宋体"/>
          <w:color w:val="auto"/>
          <w:sz w:val="24"/>
          <w:highlight w:val="none"/>
        </w:rPr>
      </w:pPr>
      <w:r>
        <w:rPr>
          <w:rFonts w:hAnsi="宋体"/>
          <w:color w:val="auto"/>
          <w:sz w:val="24"/>
          <w:highlight w:val="none"/>
        </w:rPr>
        <w:t>附件</w:t>
      </w:r>
      <w:r>
        <w:rPr>
          <w:rFonts w:hint="eastAsia" w:hAnsi="宋体"/>
          <w:color w:val="auto"/>
          <w:sz w:val="24"/>
          <w:highlight w:val="none"/>
          <w:lang w:val="en-US" w:eastAsia="zh-CN"/>
        </w:rPr>
        <w:t>3</w:t>
      </w:r>
      <w:r>
        <w:rPr>
          <w:rFonts w:hAnsi="宋体"/>
          <w:color w:val="auto"/>
          <w:sz w:val="24"/>
          <w:highlight w:val="none"/>
        </w:rPr>
        <w:t xml:space="preserve">：    </w:t>
      </w:r>
    </w:p>
    <w:p>
      <w:pPr>
        <w:spacing w:line="460" w:lineRule="exact"/>
        <w:jc w:val="center"/>
        <w:rPr>
          <w:rFonts w:hAnsi="宋体"/>
          <w:b/>
          <w:color w:val="auto"/>
          <w:sz w:val="24"/>
          <w:highlight w:val="none"/>
        </w:rPr>
      </w:pPr>
      <w:r>
        <w:rPr>
          <w:rFonts w:hAnsi="宋体"/>
          <w:b/>
          <w:color w:val="auto"/>
          <w:sz w:val="24"/>
          <w:highlight w:val="none"/>
        </w:rPr>
        <w:t>工程质量保修书</w:t>
      </w:r>
    </w:p>
    <w:p>
      <w:pPr>
        <w:spacing w:line="460" w:lineRule="exact"/>
        <w:jc w:val="center"/>
        <w:rPr>
          <w:rFonts w:hint="eastAsia" w:hAnsi="宋体"/>
          <w:b/>
          <w:color w:val="auto"/>
          <w:sz w:val="24"/>
          <w:highlight w:val="none"/>
        </w:rPr>
      </w:pPr>
      <w:r>
        <w:rPr>
          <w:rFonts w:hint="eastAsia" w:hAnsi="宋体"/>
          <w:b/>
          <w:color w:val="auto"/>
          <w:sz w:val="24"/>
          <w:highlight w:val="none"/>
        </w:rPr>
        <w:t xml:space="preserve">  </w:t>
      </w:r>
    </w:p>
    <w:p>
      <w:pPr>
        <w:spacing w:line="460" w:lineRule="exact"/>
        <w:ind w:firstLine="420" w:firstLineChars="200"/>
        <w:rPr>
          <w:rFonts w:hint="default" w:hAnsi="宋体"/>
          <w:color w:val="auto"/>
          <w:highlight w:val="none"/>
          <w:lang w:val="en-US" w:eastAsia="zh-CN"/>
        </w:rPr>
      </w:pPr>
      <w:r>
        <w:rPr>
          <w:rFonts w:hAnsi="宋体"/>
          <w:color w:val="auto"/>
          <w:highlight w:val="none"/>
        </w:rPr>
        <w:t>发包人（全称）：</w:t>
      </w:r>
      <w:r>
        <w:rPr>
          <w:rFonts w:hint="eastAsia" w:hAnsi="宋体"/>
          <w:color w:val="auto"/>
          <w:highlight w:val="none"/>
          <w:lang w:val="en-US" w:eastAsia="zh-CN"/>
        </w:rPr>
        <w:t xml:space="preserve"> </w:t>
      </w:r>
      <w:r>
        <w:rPr>
          <w:rFonts w:hint="eastAsia" w:hAnsi="宋体"/>
          <w:color w:val="auto"/>
          <w:highlight w:val="none"/>
          <w:u w:val="single"/>
          <w:lang w:val="en-US" w:eastAsia="zh-CN"/>
        </w:rPr>
        <w:t xml:space="preserve">                                       </w:t>
      </w:r>
    </w:p>
    <w:p>
      <w:pPr>
        <w:spacing w:line="460" w:lineRule="exact"/>
        <w:ind w:firstLine="480" w:firstLineChars="200"/>
        <w:rPr>
          <w:color w:val="auto"/>
          <w:sz w:val="24"/>
          <w:highlight w:val="none"/>
          <w:u w:val="single"/>
        </w:rPr>
      </w:pPr>
      <w:r>
        <w:rPr>
          <w:rFonts w:hAnsi="宋体"/>
          <w:color w:val="auto"/>
          <w:sz w:val="24"/>
          <w:highlight w:val="none"/>
        </w:rPr>
        <w:t>承包人（全称）：</w:t>
      </w:r>
      <w:r>
        <w:rPr>
          <w:color w:val="auto"/>
          <w:sz w:val="24"/>
          <w:highlight w:val="none"/>
          <w:u w:val="single"/>
        </w:rPr>
        <w:t xml:space="preserve">                                 </w:t>
      </w:r>
    </w:p>
    <w:p>
      <w:pPr>
        <w:spacing w:line="460" w:lineRule="exact"/>
        <w:ind w:firstLine="480" w:firstLineChars="200"/>
        <w:rPr>
          <w:rFonts w:hAnsi="宋体"/>
          <w:color w:val="auto"/>
          <w:sz w:val="24"/>
          <w:highlight w:val="none"/>
        </w:rPr>
      </w:pPr>
      <w:r>
        <w:rPr>
          <w:rFonts w:hAnsi="宋体"/>
          <w:color w:val="auto"/>
          <w:sz w:val="24"/>
          <w:highlight w:val="none"/>
        </w:rPr>
        <w:t>发包人和承包人根据《中华人民共和国建筑法》和《建设工程质量管理条例》，经协商一致就</w:t>
      </w:r>
      <w:r>
        <w:rPr>
          <w:rFonts w:hint="eastAsia" w:hAnsi="宋体"/>
          <w:color w:val="auto"/>
          <w:sz w:val="24"/>
          <w:highlight w:val="none"/>
          <w:u w:val="single"/>
          <w:lang w:eastAsia="zh-CN"/>
        </w:rPr>
        <w:t>龙岗污水处理厂提标改造工程——设备工程</w:t>
      </w:r>
      <w:r>
        <w:rPr>
          <w:rFonts w:hAnsi="宋体"/>
          <w:color w:val="auto"/>
          <w:sz w:val="24"/>
          <w:highlight w:val="none"/>
        </w:rPr>
        <w:t>（</w:t>
      </w:r>
      <w:r>
        <w:rPr>
          <w:rFonts w:hint="eastAsia" w:hAnsi="宋体"/>
          <w:color w:val="auto"/>
          <w:sz w:val="24"/>
          <w:highlight w:val="none"/>
          <w:lang w:val="en-US" w:eastAsia="zh-CN"/>
        </w:rPr>
        <w:t>项目</w:t>
      </w:r>
      <w:r>
        <w:rPr>
          <w:rFonts w:hAnsi="宋体"/>
          <w:color w:val="auto"/>
          <w:sz w:val="24"/>
          <w:highlight w:val="none"/>
        </w:rPr>
        <w:t>全称）签订工程质量保修书。</w:t>
      </w:r>
    </w:p>
    <w:p>
      <w:pPr>
        <w:spacing w:line="460" w:lineRule="exact"/>
        <w:ind w:firstLine="480" w:firstLineChars="200"/>
        <w:rPr>
          <w:rFonts w:hAnsi="宋体"/>
          <w:color w:val="auto"/>
          <w:sz w:val="24"/>
          <w:highlight w:val="none"/>
        </w:rPr>
      </w:pPr>
      <w:r>
        <w:rPr>
          <w:rFonts w:hAnsi="宋体"/>
          <w:color w:val="auto"/>
          <w:sz w:val="24"/>
          <w:highlight w:val="none"/>
        </w:rPr>
        <w:t>一、工程质量保修范围和内容</w:t>
      </w:r>
    </w:p>
    <w:p>
      <w:pPr>
        <w:spacing w:line="460" w:lineRule="exact"/>
        <w:ind w:firstLine="480" w:firstLineChars="200"/>
        <w:rPr>
          <w:rFonts w:hAnsi="宋体"/>
          <w:color w:val="auto"/>
          <w:sz w:val="24"/>
          <w:highlight w:val="none"/>
        </w:rPr>
      </w:pPr>
      <w:r>
        <w:rPr>
          <w:rFonts w:hAnsi="宋体"/>
          <w:color w:val="auto"/>
          <w:sz w:val="24"/>
          <w:highlight w:val="none"/>
        </w:rPr>
        <w:t>承包人在质量保修期内，按照有关法律规定和合同约定，承担工程质量保修责任。</w:t>
      </w:r>
    </w:p>
    <w:p>
      <w:pPr>
        <w:pStyle w:val="26"/>
        <w:spacing w:after="0" w:line="460" w:lineRule="exact"/>
        <w:ind w:firstLine="480" w:firstLineChars="200"/>
        <w:rPr>
          <w:rFonts w:hint="eastAsia" w:hAnsi="宋体"/>
          <w:color w:val="auto"/>
          <w:sz w:val="24"/>
          <w:highlight w:val="none"/>
        </w:rPr>
      </w:pPr>
      <w:r>
        <w:rPr>
          <w:rFonts w:hAnsi="宋体"/>
          <w:color w:val="auto"/>
          <w:sz w:val="24"/>
          <w:highlight w:val="none"/>
        </w:rPr>
        <w:t>质量保修范围包括</w:t>
      </w:r>
      <w:r>
        <w:rPr>
          <w:rFonts w:hint="eastAsia" w:hAnsi="宋体"/>
          <w:color w:val="auto"/>
          <w:sz w:val="24"/>
          <w:highlight w:val="none"/>
        </w:rPr>
        <w:t>施工图纸、工程量清单、招标文件规定范围内的工程</w:t>
      </w:r>
      <w:r>
        <w:rPr>
          <w:rFonts w:hAnsi="宋体"/>
          <w:color w:val="auto"/>
          <w:sz w:val="24"/>
          <w:highlight w:val="none"/>
        </w:rPr>
        <w:t>以及双方约定的其他项目。具体保修的内容，双方约定如下：</w:t>
      </w:r>
      <w:r>
        <w:rPr>
          <w:rFonts w:hint="eastAsia" w:hAnsi="宋体"/>
          <w:color w:val="auto"/>
          <w:sz w:val="24"/>
          <w:highlight w:val="none"/>
        </w:rPr>
        <w:t>施工招标范围内的所有工程。</w:t>
      </w:r>
    </w:p>
    <w:p>
      <w:pPr>
        <w:spacing w:line="460" w:lineRule="exact"/>
        <w:ind w:firstLine="480" w:firstLineChars="200"/>
        <w:rPr>
          <w:rFonts w:hAnsi="宋体"/>
          <w:color w:val="auto"/>
          <w:sz w:val="24"/>
          <w:highlight w:val="none"/>
        </w:rPr>
      </w:pPr>
      <w:r>
        <w:rPr>
          <w:rFonts w:hAnsi="宋体"/>
          <w:color w:val="auto"/>
          <w:sz w:val="24"/>
          <w:highlight w:val="none"/>
        </w:rPr>
        <w:t>二、质量保修期</w:t>
      </w:r>
    </w:p>
    <w:p>
      <w:pPr>
        <w:spacing w:line="460" w:lineRule="exact"/>
        <w:ind w:firstLine="480" w:firstLineChars="200"/>
        <w:rPr>
          <w:rFonts w:hAnsi="宋体"/>
          <w:color w:val="auto"/>
          <w:sz w:val="24"/>
          <w:highlight w:val="none"/>
        </w:rPr>
      </w:pPr>
      <w:r>
        <w:rPr>
          <w:rFonts w:hAnsi="宋体"/>
          <w:color w:val="auto"/>
          <w:sz w:val="24"/>
          <w:highlight w:val="none"/>
        </w:rPr>
        <w:t>根据《建设工程质量管理条例》及有关规定，工程的质量保修期如下：</w:t>
      </w:r>
    </w:p>
    <w:p>
      <w:pPr>
        <w:pStyle w:val="26"/>
        <w:spacing w:after="0" w:line="460" w:lineRule="exact"/>
        <w:ind w:firstLine="480" w:firstLineChars="200"/>
        <w:rPr>
          <w:rFonts w:hint="eastAsia" w:hAnsi="宋体"/>
          <w:color w:val="auto"/>
          <w:sz w:val="24"/>
          <w:highlight w:val="none"/>
        </w:rPr>
      </w:pPr>
      <w:r>
        <w:rPr>
          <w:rFonts w:hint="eastAsia" w:hAnsi="宋体"/>
          <w:color w:val="auto"/>
          <w:sz w:val="24"/>
          <w:highlight w:val="none"/>
        </w:rPr>
        <w:t>1.地基基础工程和主体结构工程为设计文件规定的该工程合理使用年限；</w:t>
      </w:r>
    </w:p>
    <w:p>
      <w:pPr>
        <w:pStyle w:val="26"/>
        <w:spacing w:after="0" w:line="460" w:lineRule="exact"/>
        <w:ind w:firstLine="480" w:firstLineChars="200"/>
        <w:rPr>
          <w:rFonts w:hint="eastAsia" w:hAnsi="宋体"/>
          <w:color w:val="auto"/>
          <w:sz w:val="24"/>
          <w:highlight w:val="none"/>
        </w:rPr>
      </w:pPr>
      <w:r>
        <w:rPr>
          <w:rFonts w:hint="eastAsia" w:hAnsi="宋体"/>
          <w:color w:val="auto"/>
          <w:sz w:val="24"/>
          <w:highlight w:val="none"/>
        </w:rPr>
        <w:t>2.屋面防水工程、地下室防水工程、有防水要求的卫生间、房间和外墙面的防渗漏为8年（消费者权益保护法规定）；</w:t>
      </w:r>
    </w:p>
    <w:p>
      <w:pPr>
        <w:pStyle w:val="26"/>
        <w:spacing w:after="0" w:line="460" w:lineRule="exact"/>
        <w:ind w:firstLine="480" w:firstLineChars="200"/>
        <w:rPr>
          <w:rFonts w:hint="eastAsia" w:hAnsi="宋体"/>
          <w:color w:val="auto"/>
          <w:sz w:val="24"/>
          <w:highlight w:val="none"/>
        </w:rPr>
      </w:pPr>
      <w:r>
        <w:rPr>
          <w:rFonts w:hint="eastAsia" w:hAnsi="宋体"/>
          <w:color w:val="auto"/>
          <w:sz w:val="24"/>
          <w:highlight w:val="none"/>
        </w:rPr>
        <w:t>3.土建工程、安装工程</w:t>
      </w:r>
      <w:r>
        <w:rPr>
          <w:rFonts w:hint="eastAsia" w:hAnsi="宋体"/>
          <w:color w:val="auto"/>
          <w:sz w:val="24"/>
          <w:highlight w:val="none"/>
          <w:lang w:eastAsia="zh-CN"/>
        </w:rPr>
        <w:t>、</w:t>
      </w:r>
      <w:r>
        <w:rPr>
          <w:rFonts w:hint="eastAsia" w:hAnsi="宋体"/>
          <w:color w:val="auto"/>
          <w:sz w:val="24"/>
          <w:highlight w:val="none"/>
          <w:lang w:val="en-US" w:eastAsia="zh-CN"/>
        </w:rPr>
        <w:t>装修工程</w:t>
      </w:r>
      <w:r>
        <w:rPr>
          <w:rFonts w:hint="eastAsia" w:hAnsi="宋体"/>
          <w:color w:val="auto"/>
          <w:sz w:val="24"/>
          <w:highlight w:val="none"/>
        </w:rPr>
        <w:t>为</w:t>
      </w:r>
      <w:r>
        <w:rPr>
          <w:rFonts w:hint="eastAsia" w:hAnsi="宋体"/>
          <w:color w:val="auto"/>
          <w:sz w:val="24"/>
          <w:highlight w:val="none"/>
          <w:u w:val="single"/>
          <w:lang w:val="en-US" w:eastAsia="zh-CN"/>
        </w:rPr>
        <w:t>2</w:t>
      </w:r>
      <w:r>
        <w:rPr>
          <w:rFonts w:hint="eastAsia" w:hAnsi="宋体"/>
          <w:color w:val="auto"/>
          <w:sz w:val="24"/>
          <w:highlight w:val="none"/>
        </w:rPr>
        <w:t>年；</w:t>
      </w:r>
    </w:p>
    <w:p>
      <w:pPr>
        <w:spacing w:line="460" w:lineRule="exact"/>
        <w:ind w:firstLine="480" w:firstLineChars="200"/>
        <w:rPr>
          <w:rFonts w:hint="eastAsia" w:hAnsi="宋体"/>
          <w:color w:val="auto"/>
          <w:sz w:val="24"/>
          <w:highlight w:val="none"/>
        </w:rPr>
      </w:pPr>
      <w:r>
        <w:rPr>
          <w:rFonts w:hint="eastAsia" w:hAnsi="宋体"/>
          <w:color w:val="auto"/>
          <w:sz w:val="24"/>
          <w:highlight w:val="none"/>
        </w:rPr>
        <w:t>4.门窗工程为</w:t>
      </w:r>
      <w:r>
        <w:rPr>
          <w:rFonts w:hint="eastAsia" w:hAnsi="宋体"/>
          <w:color w:val="auto"/>
          <w:sz w:val="24"/>
          <w:highlight w:val="none"/>
          <w:u w:val="single"/>
        </w:rPr>
        <w:t xml:space="preserve">  5  </w:t>
      </w:r>
      <w:r>
        <w:rPr>
          <w:rFonts w:hint="eastAsia" w:hAnsi="宋体"/>
          <w:color w:val="auto"/>
          <w:sz w:val="24"/>
          <w:highlight w:val="none"/>
        </w:rPr>
        <w:t>年。</w:t>
      </w:r>
    </w:p>
    <w:p>
      <w:pPr>
        <w:pStyle w:val="26"/>
        <w:spacing w:after="0" w:line="460" w:lineRule="exact"/>
        <w:ind w:firstLine="480" w:firstLineChars="200"/>
        <w:rPr>
          <w:rFonts w:hint="eastAsia" w:hAnsi="宋体"/>
          <w:color w:val="auto"/>
          <w:sz w:val="24"/>
          <w:highlight w:val="none"/>
        </w:rPr>
      </w:pPr>
      <w:r>
        <w:rPr>
          <w:rFonts w:hint="eastAsia" w:hAnsi="宋体"/>
          <w:color w:val="auto"/>
          <w:sz w:val="24"/>
          <w:highlight w:val="none"/>
        </w:rPr>
        <w:t>5.</w:t>
      </w:r>
      <w:r>
        <w:rPr>
          <w:rFonts w:hint="eastAsia" w:hAnsi="宋体"/>
          <w:color w:val="auto"/>
          <w:sz w:val="24"/>
          <w:highlight w:val="none"/>
          <w:lang w:eastAsia="zh-CN"/>
        </w:rPr>
        <w:t>绿化</w:t>
      </w:r>
      <w:r>
        <w:rPr>
          <w:rFonts w:hint="eastAsia" w:hAnsi="宋体"/>
          <w:color w:val="auto"/>
          <w:sz w:val="24"/>
          <w:highlight w:val="none"/>
        </w:rPr>
        <w:t>工程为</w:t>
      </w:r>
      <w:r>
        <w:rPr>
          <w:rFonts w:hint="eastAsia" w:hAnsi="宋体"/>
          <w:color w:val="auto"/>
          <w:sz w:val="24"/>
          <w:highlight w:val="none"/>
          <w:u w:val="single"/>
          <w:lang w:val="en-US" w:eastAsia="zh-CN"/>
        </w:rPr>
        <w:t xml:space="preserve"> 3 </w:t>
      </w:r>
      <w:r>
        <w:rPr>
          <w:rFonts w:hint="eastAsia" w:hAnsi="宋体"/>
          <w:color w:val="auto"/>
          <w:sz w:val="24"/>
          <w:highlight w:val="none"/>
        </w:rPr>
        <w:t>年；</w:t>
      </w:r>
    </w:p>
    <w:p>
      <w:pPr>
        <w:pStyle w:val="26"/>
        <w:spacing w:after="0" w:line="460" w:lineRule="exact"/>
        <w:ind w:firstLine="480" w:firstLineChars="200"/>
        <w:rPr>
          <w:rFonts w:hint="eastAsia" w:hAnsi="宋体"/>
          <w:color w:val="auto"/>
          <w:sz w:val="24"/>
          <w:highlight w:val="none"/>
        </w:rPr>
      </w:pPr>
      <w:r>
        <w:rPr>
          <w:rFonts w:hint="eastAsia" w:hAnsi="宋体"/>
          <w:color w:val="auto"/>
          <w:sz w:val="24"/>
          <w:highlight w:val="none"/>
          <w:lang w:val="en-US" w:eastAsia="zh-CN"/>
        </w:rPr>
        <w:t>6</w:t>
      </w:r>
      <w:r>
        <w:rPr>
          <w:rFonts w:hint="eastAsia" w:hAnsi="宋体"/>
          <w:color w:val="auto"/>
          <w:sz w:val="24"/>
          <w:highlight w:val="none"/>
        </w:rPr>
        <w:t>.供热与供冷系统为</w:t>
      </w:r>
      <w:r>
        <w:rPr>
          <w:rFonts w:hint="eastAsia" w:hAnsi="宋体"/>
          <w:color w:val="auto"/>
          <w:sz w:val="24"/>
          <w:highlight w:val="none"/>
          <w:u w:val="single"/>
          <w:lang w:val="en-US" w:eastAsia="zh-CN"/>
        </w:rPr>
        <w:t>2</w:t>
      </w:r>
      <w:r>
        <w:rPr>
          <w:rFonts w:hint="eastAsia" w:hAnsi="宋体"/>
          <w:color w:val="auto"/>
          <w:sz w:val="24"/>
          <w:highlight w:val="none"/>
        </w:rPr>
        <w:t>个采暖期、供冷期；</w:t>
      </w:r>
    </w:p>
    <w:p>
      <w:pPr>
        <w:pStyle w:val="26"/>
        <w:spacing w:after="0" w:line="460" w:lineRule="exact"/>
        <w:ind w:firstLine="480" w:firstLineChars="200"/>
        <w:rPr>
          <w:rFonts w:hint="eastAsia" w:hAnsi="宋体"/>
          <w:color w:val="auto"/>
          <w:sz w:val="24"/>
          <w:highlight w:val="none"/>
        </w:rPr>
      </w:pPr>
      <w:r>
        <w:rPr>
          <w:rFonts w:hint="eastAsia" w:hAnsi="宋体"/>
          <w:color w:val="auto"/>
          <w:sz w:val="24"/>
          <w:highlight w:val="none"/>
          <w:lang w:val="en-US" w:eastAsia="zh-CN"/>
        </w:rPr>
        <w:t>7</w:t>
      </w:r>
      <w:r>
        <w:rPr>
          <w:rFonts w:hint="eastAsia" w:hAnsi="宋体"/>
          <w:color w:val="auto"/>
          <w:sz w:val="24"/>
          <w:highlight w:val="none"/>
        </w:rPr>
        <w:t>.给排水设施、道路等配套工程为</w:t>
      </w:r>
      <w:r>
        <w:rPr>
          <w:rFonts w:hint="eastAsia" w:hAnsi="宋体"/>
          <w:color w:val="auto"/>
          <w:sz w:val="24"/>
          <w:highlight w:val="none"/>
          <w:u w:val="single"/>
        </w:rPr>
        <w:t xml:space="preserve"> </w:t>
      </w:r>
      <w:r>
        <w:rPr>
          <w:rFonts w:hint="eastAsia" w:hAnsi="宋体"/>
          <w:color w:val="auto"/>
          <w:sz w:val="24"/>
          <w:highlight w:val="none"/>
          <w:u w:val="single"/>
          <w:lang w:val="en-US" w:eastAsia="zh-CN"/>
        </w:rPr>
        <w:t>2</w:t>
      </w:r>
      <w:r>
        <w:rPr>
          <w:rFonts w:hint="eastAsia" w:hAnsi="宋体"/>
          <w:color w:val="auto"/>
          <w:sz w:val="24"/>
          <w:highlight w:val="none"/>
          <w:u w:val="single"/>
        </w:rPr>
        <w:t xml:space="preserve"> </w:t>
      </w:r>
      <w:r>
        <w:rPr>
          <w:rFonts w:hint="eastAsia" w:hAnsi="宋体"/>
          <w:color w:val="auto"/>
          <w:sz w:val="24"/>
          <w:highlight w:val="none"/>
        </w:rPr>
        <w:t>年；</w:t>
      </w:r>
    </w:p>
    <w:p>
      <w:pPr>
        <w:snapToGrid w:val="0"/>
        <w:spacing w:line="460" w:lineRule="exact"/>
        <w:ind w:firstLine="480" w:firstLineChars="200"/>
        <w:rPr>
          <w:rFonts w:hint="eastAsia" w:hAnsi="宋体"/>
          <w:color w:val="auto"/>
          <w:sz w:val="24"/>
          <w:highlight w:val="none"/>
        </w:rPr>
      </w:pPr>
      <w:r>
        <w:rPr>
          <w:rFonts w:hint="eastAsia" w:hAnsi="宋体"/>
          <w:color w:val="auto"/>
          <w:sz w:val="24"/>
          <w:highlight w:val="none"/>
          <w:lang w:val="en-US" w:eastAsia="zh-CN"/>
        </w:rPr>
        <w:t>8</w:t>
      </w:r>
      <w:r>
        <w:rPr>
          <w:rFonts w:hint="eastAsia" w:hAnsi="宋体"/>
          <w:color w:val="auto"/>
          <w:sz w:val="24"/>
          <w:highlight w:val="none"/>
        </w:rPr>
        <w:t>.其他工程保修期限约定如下：</w:t>
      </w:r>
      <w:r>
        <w:rPr>
          <w:rFonts w:hint="eastAsia" w:hAnsi="宋体"/>
          <w:color w:val="auto"/>
          <w:sz w:val="24"/>
          <w:highlight w:val="none"/>
          <w:u w:val="single"/>
        </w:rPr>
        <w:t>以上未注明的工程质量保修年限，按</w:t>
      </w:r>
      <w:r>
        <w:rPr>
          <w:rFonts w:hAnsi="宋体"/>
          <w:color w:val="auto"/>
          <w:sz w:val="24"/>
          <w:highlight w:val="none"/>
          <w:u w:val="single"/>
        </w:rPr>
        <w:t>2000年1月10日国务院第25次常务会议通过</w:t>
      </w:r>
      <w:r>
        <w:rPr>
          <w:rFonts w:hint="eastAsia" w:hAnsi="宋体"/>
          <w:color w:val="auto"/>
          <w:sz w:val="24"/>
          <w:highlight w:val="none"/>
          <w:u w:val="single"/>
        </w:rPr>
        <w:t>的《建设工程质量管理条例》执行。质量保修期从工程实际竣工验收合格之日算起。分单项竣工验收的工程，按单项工程分别计算质量保修期。</w:t>
      </w:r>
    </w:p>
    <w:p>
      <w:pPr>
        <w:spacing w:line="400" w:lineRule="exact"/>
        <w:ind w:firstLine="480" w:firstLineChars="200"/>
        <w:rPr>
          <w:rFonts w:hAnsi="宋体"/>
          <w:color w:val="auto"/>
          <w:sz w:val="24"/>
          <w:szCs w:val="24"/>
          <w:highlight w:val="none"/>
        </w:rPr>
      </w:pPr>
      <w:r>
        <w:rPr>
          <w:rFonts w:hAnsi="宋体"/>
          <w:color w:val="auto"/>
          <w:sz w:val="24"/>
          <w:highlight w:val="none"/>
        </w:rPr>
        <w:t>质量保修期自工程竣工验收合格之日起计算。</w:t>
      </w:r>
      <w:r>
        <w:rPr>
          <w:rFonts w:hint="eastAsia" w:hAnsi="宋体"/>
          <w:color w:val="auto"/>
          <w:sz w:val="24"/>
          <w:szCs w:val="24"/>
          <w:highlight w:val="none"/>
        </w:rPr>
        <w:t>分单项竣工验收的工程，按单项工程分别计算质量保修期。</w:t>
      </w:r>
    </w:p>
    <w:p>
      <w:pPr>
        <w:spacing w:line="460" w:lineRule="exact"/>
        <w:ind w:firstLine="480" w:firstLineChars="200"/>
        <w:rPr>
          <w:rFonts w:hAnsi="宋体"/>
          <w:color w:val="auto"/>
          <w:sz w:val="24"/>
          <w:highlight w:val="none"/>
        </w:rPr>
      </w:pPr>
      <w:r>
        <w:rPr>
          <w:rFonts w:hAnsi="宋体"/>
          <w:color w:val="auto"/>
          <w:sz w:val="24"/>
          <w:highlight w:val="none"/>
        </w:rPr>
        <w:t>三、缺陷责任期</w:t>
      </w:r>
    </w:p>
    <w:p>
      <w:pPr>
        <w:spacing w:line="460" w:lineRule="exact"/>
        <w:ind w:firstLine="480" w:firstLineChars="200"/>
        <w:rPr>
          <w:rFonts w:hAnsi="宋体"/>
          <w:color w:val="auto"/>
          <w:sz w:val="24"/>
          <w:highlight w:val="none"/>
        </w:rPr>
      </w:pPr>
      <w:r>
        <w:rPr>
          <w:rFonts w:hAnsi="宋体"/>
          <w:color w:val="auto"/>
          <w:sz w:val="24"/>
          <w:highlight w:val="none"/>
        </w:rPr>
        <w:t>工程缺陷责任期为</w:t>
      </w:r>
      <w:r>
        <w:rPr>
          <w:rFonts w:hAnsi="宋体"/>
          <w:color w:val="auto"/>
          <w:sz w:val="24"/>
          <w:highlight w:val="none"/>
          <w:u w:val="single"/>
        </w:rPr>
        <w:t xml:space="preserve">  </w:t>
      </w:r>
      <w:r>
        <w:rPr>
          <w:rFonts w:hint="eastAsia" w:hAnsi="宋体"/>
          <w:color w:val="auto"/>
          <w:sz w:val="24"/>
          <w:highlight w:val="none"/>
          <w:u w:val="single"/>
        </w:rPr>
        <w:t>24</w:t>
      </w:r>
      <w:r>
        <w:rPr>
          <w:rFonts w:hAnsi="宋体"/>
          <w:color w:val="auto"/>
          <w:sz w:val="24"/>
          <w:highlight w:val="none"/>
          <w:u w:val="single"/>
        </w:rPr>
        <w:t xml:space="preserve">  </w:t>
      </w:r>
      <w:r>
        <w:rPr>
          <w:rFonts w:hAnsi="宋体"/>
          <w:color w:val="auto"/>
          <w:sz w:val="24"/>
          <w:highlight w:val="none"/>
        </w:rPr>
        <w:t>个月</w:t>
      </w:r>
      <w:r>
        <w:rPr>
          <w:rFonts w:hint="eastAsia" w:hAnsi="宋体" w:cs="宋体"/>
          <w:color w:val="auto"/>
          <w:sz w:val="24"/>
          <w:szCs w:val="24"/>
          <w:highlight w:val="none"/>
        </w:rPr>
        <w:t>，</w:t>
      </w:r>
      <w:r>
        <w:rPr>
          <w:rFonts w:hint="eastAsia" w:ascii="宋体" w:hAnsi="宋体" w:eastAsia="宋体" w:cs="宋体"/>
          <w:b/>
          <w:bCs/>
          <w:color w:val="auto"/>
          <w:sz w:val="24"/>
          <w:szCs w:val="24"/>
          <w:highlight w:val="none"/>
        </w:rPr>
        <w:t>缺陷责任期自工程通过竣工验收之日起计算。</w:t>
      </w:r>
      <w:r>
        <w:rPr>
          <w:rFonts w:hAnsi="宋体"/>
          <w:color w:val="auto"/>
          <w:sz w:val="24"/>
          <w:highlight w:val="none"/>
        </w:rPr>
        <w:t>单位工程先于全部工程进行验收，单位工程缺陷责任期自单位工程验收合格之日起算。</w:t>
      </w:r>
    </w:p>
    <w:p>
      <w:pPr>
        <w:spacing w:line="460" w:lineRule="exact"/>
        <w:ind w:firstLine="480" w:firstLineChars="200"/>
        <w:rPr>
          <w:rFonts w:hAnsi="宋体"/>
          <w:color w:val="auto"/>
          <w:sz w:val="24"/>
          <w:highlight w:val="none"/>
        </w:rPr>
      </w:pPr>
      <w:r>
        <w:rPr>
          <w:rFonts w:hAnsi="宋体"/>
          <w:color w:val="auto"/>
          <w:sz w:val="24"/>
          <w:highlight w:val="none"/>
        </w:rPr>
        <w:t>缺陷责任期终止后，发包人应退还剩余的质量保证金。</w:t>
      </w:r>
    </w:p>
    <w:p>
      <w:pPr>
        <w:spacing w:line="460" w:lineRule="exact"/>
        <w:ind w:firstLine="480" w:firstLineChars="200"/>
        <w:rPr>
          <w:rFonts w:hAnsi="宋体"/>
          <w:color w:val="auto"/>
          <w:sz w:val="24"/>
          <w:highlight w:val="none"/>
        </w:rPr>
      </w:pPr>
      <w:r>
        <w:rPr>
          <w:rFonts w:hAnsi="宋体"/>
          <w:color w:val="auto"/>
          <w:sz w:val="24"/>
          <w:highlight w:val="none"/>
        </w:rPr>
        <w:t>四、质量保修责任</w:t>
      </w:r>
    </w:p>
    <w:p>
      <w:pPr>
        <w:spacing w:line="460" w:lineRule="exact"/>
        <w:ind w:firstLine="480" w:firstLineChars="200"/>
        <w:rPr>
          <w:rFonts w:hAnsi="宋体"/>
          <w:color w:val="auto"/>
          <w:sz w:val="24"/>
          <w:highlight w:val="none"/>
        </w:rPr>
      </w:pPr>
      <w:r>
        <w:rPr>
          <w:rFonts w:hint="eastAsia" w:hAnsi="宋体"/>
          <w:color w:val="auto"/>
          <w:sz w:val="24"/>
          <w:highlight w:val="none"/>
        </w:rPr>
        <w:t>1．</w:t>
      </w:r>
      <w:r>
        <w:rPr>
          <w:rFonts w:hAnsi="宋体"/>
          <w:color w:val="auto"/>
          <w:sz w:val="24"/>
          <w:highlight w:val="none"/>
        </w:rPr>
        <w:t>属于保修范围、内容的项目，承包人应当在接到保修通知之日起</w:t>
      </w:r>
      <w:r>
        <w:rPr>
          <w:rFonts w:hint="eastAsia" w:hAnsi="宋体"/>
          <w:color w:val="auto"/>
          <w:sz w:val="24"/>
          <w:highlight w:val="none"/>
        </w:rPr>
        <w:t>12小时</w:t>
      </w:r>
      <w:r>
        <w:rPr>
          <w:rFonts w:hAnsi="宋体"/>
          <w:color w:val="auto"/>
          <w:sz w:val="24"/>
          <w:highlight w:val="none"/>
        </w:rPr>
        <w:t>内派人保修。承包人不在约定期限内派人保修的，发包人可以委托他人修理</w:t>
      </w:r>
      <w:r>
        <w:rPr>
          <w:rFonts w:hint="eastAsia" w:hAnsi="宋体"/>
          <w:color w:val="auto"/>
          <w:sz w:val="24"/>
          <w:highlight w:val="none"/>
        </w:rPr>
        <w:t>，保修费用从质量保修金内扣除。</w:t>
      </w:r>
    </w:p>
    <w:p>
      <w:pPr>
        <w:snapToGrid w:val="0"/>
        <w:spacing w:line="460" w:lineRule="exact"/>
        <w:ind w:firstLine="480" w:firstLineChars="200"/>
        <w:rPr>
          <w:rFonts w:hAnsi="宋体"/>
          <w:color w:val="auto"/>
          <w:sz w:val="24"/>
          <w:highlight w:val="none"/>
        </w:rPr>
      </w:pPr>
      <w:r>
        <w:rPr>
          <w:rFonts w:hint="eastAsia" w:hAnsi="宋体"/>
          <w:color w:val="auto"/>
          <w:sz w:val="24"/>
          <w:highlight w:val="none"/>
        </w:rPr>
        <w:t>2．</w:t>
      </w:r>
      <w:r>
        <w:rPr>
          <w:rFonts w:hAnsi="宋体"/>
          <w:color w:val="auto"/>
          <w:sz w:val="24"/>
          <w:highlight w:val="none"/>
        </w:rPr>
        <w:t>发生紧急事故需抢修的，承包人在接到事故通知后，应当立即到达事故现场抢修。</w:t>
      </w:r>
      <w:r>
        <w:rPr>
          <w:rFonts w:hint="eastAsia" w:hAnsi="宋体"/>
          <w:color w:val="auto"/>
          <w:sz w:val="24"/>
          <w:highlight w:val="none"/>
        </w:rPr>
        <w:t>非承包人施工质量引起的事故，抢修费用由发包人承担。</w:t>
      </w:r>
    </w:p>
    <w:p>
      <w:pPr>
        <w:spacing w:line="460" w:lineRule="exact"/>
        <w:ind w:firstLine="480" w:firstLineChars="200"/>
        <w:rPr>
          <w:rFonts w:hAnsi="宋体"/>
          <w:color w:val="auto"/>
          <w:sz w:val="24"/>
          <w:highlight w:val="none"/>
        </w:rPr>
      </w:pPr>
      <w:r>
        <w:rPr>
          <w:rFonts w:hint="eastAsia" w:hAnsi="宋体"/>
          <w:color w:val="auto"/>
          <w:sz w:val="24"/>
          <w:highlight w:val="none"/>
        </w:rPr>
        <w:t>3．</w:t>
      </w:r>
      <w:r>
        <w:rPr>
          <w:rFonts w:hAnsi="宋体"/>
          <w:color w:val="auto"/>
          <w:sz w:val="24"/>
          <w:highlight w:val="none"/>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460" w:lineRule="exact"/>
        <w:ind w:firstLine="480" w:firstLineChars="200"/>
        <w:rPr>
          <w:rFonts w:hAnsi="宋体"/>
          <w:color w:val="auto"/>
          <w:sz w:val="24"/>
          <w:highlight w:val="none"/>
        </w:rPr>
      </w:pPr>
      <w:r>
        <w:rPr>
          <w:rFonts w:hint="eastAsia" w:hAnsi="宋体"/>
          <w:color w:val="auto"/>
          <w:sz w:val="24"/>
          <w:highlight w:val="none"/>
        </w:rPr>
        <w:t>4．</w:t>
      </w:r>
      <w:r>
        <w:rPr>
          <w:rFonts w:hAnsi="宋体"/>
          <w:color w:val="auto"/>
          <w:sz w:val="24"/>
          <w:highlight w:val="none"/>
        </w:rPr>
        <w:t>质量保修完成后，由发包人组织验收。</w:t>
      </w:r>
    </w:p>
    <w:p>
      <w:pPr>
        <w:spacing w:line="460" w:lineRule="exact"/>
        <w:ind w:firstLine="480" w:firstLineChars="200"/>
        <w:rPr>
          <w:rFonts w:hAnsi="宋体"/>
          <w:color w:val="auto"/>
          <w:sz w:val="24"/>
          <w:highlight w:val="none"/>
        </w:rPr>
      </w:pPr>
      <w:r>
        <w:rPr>
          <w:rFonts w:hAnsi="宋体"/>
          <w:color w:val="auto"/>
          <w:sz w:val="24"/>
          <w:highlight w:val="none"/>
        </w:rPr>
        <w:t>五、保修费用</w:t>
      </w:r>
    </w:p>
    <w:p>
      <w:pPr>
        <w:snapToGrid w:val="0"/>
        <w:spacing w:line="460" w:lineRule="exact"/>
        <w:ind w:firstLine="480" w:firstLineChars="200"/>
        <w:rPr>
          <w:rFonts w:hAnsi="宋体"/>
          <w:color w:val="auto"/>
          <w:sz w:val="24"/>
          <w:highlight w:val="none"/>
        </w:rPr>
      </w:pPr>
      <w:r>
        <w:rPr>
          <w:rFonts w:hAnsi="宋体"/>
          <w:color w:val="auto"/>
          <w:sz w:val="24"/>
          <w:highlight w:val="none"/>
        </w:rPr>
        <w:t>保修费用由造成质量缺陷的责任方承担。</w:t>
      </w:r>
      <w:r>
        <w:rPr>
          <w:rFonts w:hint="eastAsia" w:hAnsi="宋体"/>
          <w:color w:val="auto"/>
          <w:sz w:val="24"/>
          <w:highlight w:val="none"/>
        </w:rPr>
        <w:t xml:space="preserve">本工程约定的工程质量保修金为工程结算审定价款的 </w:t>
      </w:r>
      <w:r>
        <w:rPr>
          <w:rFonts w:hint="eastAsia" w:hAnsi="宋体"/>
          <w:color w:val="auto"/>
          <w:sz w:val="24"/>
          <w:highlight w:val="none"/>
          <w:u w:val="single"/>
        </w:rPr>
        <w:t xml:space="preserve"> </w:t>
      </w:r>
      <w:r>
        <w:rPr>
          <w:rFonts w:hint="eastAsia" w:hAnsi="宋体"/>
          <w:color w:val="auto"/>
          <w:sz w:val="24"/>
          <w:highlight w:val="none"/>
          <w:u w:val="single"/>
          <w:lang w:val="en-US" w:eastAsia="zh-CN"/>
        </w:rPr>
        <w:t>1</w:t>
      </w:r>
      <w:r>
        <w:rPr>
          <w:rFonts w:hint="eastAsia" w:hAnsi="宋体"/>
          <w:color w:val="auto"/>
          <w:sz w:val="24"/>
          <w:highlight w:val="none"/>
          <w:u w:val="single"/>
        </w:rPr>
        <w:t xml:space="preserve">.5 </w:t>
      </w:r>
      <w:r>
        <w:rPr>
          <w:rFonts w:hint="eastAsia" w:hAnsi="宋体"/>
          <w:color w:val="auto"/>
          <w:sz w:val="24"/>
          <w:highlight w:val="none"/>
        </w:rPr>
        <w:t>%，本工程双方约定承包人向发包人支付工程量保修金金额为（大写）：</w:t>
      </w:r>
      <w:r>
        <w:rPr>
          <w:rFonts w:hint="eastAsia" w:hAnsi="宋体"/>
          <w:color w:val="auto"/>
          <w:sz w:val="24"/>
          <w:highlight w:val="none"/>
          <w:u w:val="single"/>
        </w:rPr>
        <w:t xml:space="preserve">       </w:t>
      </w:r>
      <w:r>
        <w:rPr>
          <w:rFonts w:hint="eastAsia" w:hAnsi="宋体"/>
          <w:color w:val="auto"/>
          <w:sz w:val="24"/>
          <w:highlight w:val="none"/>
        </w:rPr>
        <w:t>。质量保修金银行利率为</w:t>
      </w:r>
      <w:r>
        <w:rPr>
          <w:rFonts w:hint="eastAsia" w:hAnsi="宋体"/>
          <w:color w:val="auto"/>
          <w:sz w:val="24"/>
          <w:highlight w:val="none"/>
          <w:u w:val="single"/>
        </w:rPr>
        <w:t xml:space="preserve">  0   </w:t>
      </w:r>
      <w:r>
        <w:rPr>
          <w:rFonts w:hint="eastAsia" w:hAnsi="宋体"/>
          <w:color w:val="auto"/>
          <w:sz w:val="24"/>
          <w:highlight w:val="none"/>
        </w:rPr>
        <w:t>。</w:t>
      </w:r>
    </w:p>
    <w:p>
      <w:pPr>
        <w:spacing w:line="460" w:lineRule="exact"/>
        <w:ind w:firstLine="480" w:firstLineChars="200"/>
        <w:jc w:val="left"/>
        <w:rPr>
          <w:rFonts w:hAnsi="宋体"/>
          <w:color w:val="auto"/>
          <w:sz w:val="24"/>
          <w:highlight w:val="none"/>
        </w:rPr>
      </w:pPr>
      <w:r>
        <w:rPr>
          <w:rFonts w:hAnsi="宋体"/>
          <w:color w:val="auto"/>
          <w:sz w:val="24"/>
          <w:highlight w:val="none"/>
        </w:rPr>
        <w:t>六、双方约定的其他工程质量保修事项：</w:t>
      </w:r>
      <w:r>
        <w:rPr>
          <w:rFonts w:hint="eastAsia" w:hAnsi="宋体"/>
          <w:color w:val="auto"/>
          <w:sz w:val="24"/>
          <w:highlight w:val="none"/>
          <w:u w:val="single"/>
        </w:rPr>
        <w:t xml:space="preserve">        /                  </w:t>
      </w:r>
      <w:r>
        <w:rPr>
          <w:rFonts w:hAnsi="宋体"/>
          <w:color w:val="auto"/>
          <w:sz w:val="24"/>
          <w:highlight w:val="none"/>
        </w:rPr>
        <w:t>。</w:t>
      </w:r>
    </w:p>
    <w:p>
      <w:pPr>
        <w:spacing w:line="460" w:lineRule="exact"/>
        <w:ind w:firstLine="480" w:firstLineChars="200"/>
        <w:rPr>
          <w:rFonts w:hAnsi="宋体"/>
          <w:color w:val="auto"/>
          <w:sz w:val="24"/>
          <w:highlight w:val="none"/>
        </w:rPr>
      </w:pPr>
      <w:r>
        <w:rPr>
          <w:rFonts w:hAnsi="宋体"/>
          <w:color w:val="auto"/>
          <w:sz w:val="24"/>
          <w:highlight w:val="none"/>
        </w:rPr>
        <w:t>工程质量保修书由发包人、承包人在工程竣工验收前共同签署，作为施工合同附件，其有效期限至保修期满。</w:t>
      </w:r>
    </w:p>
    <w:p>
      <w:pPr>
        <w:spacing w:line="460" w:lineRule="exact"/>
        <w:ind w:firstLine="480" w:firstLineChars="200"/>
        <w:rPr>
          <w:rFonts w:hAnsi="宋体"/>
          <w:color w:val="auto"/>
          <w:sz w:val="24"/>
          <w:highlight w:val="none"/>
        </w:rPr>
      </w:pPr>
    </w:p>
    <w:p>
      <w:pPr>
        <w:spacing w:line="460" w:lineRule="exact"/>
        <w:ind w:firstLine="480" w:firstLineChars="200"/>
        <w:rPr>
          <w:rFonts w:hAnsi="宋体"/>
          <w:color w:val="auto"/>
          <w:sz w:val="24"/>
          <w:highlight w:val="none"/>
        </w:rPr>
      </w:pPr>
    </w:p>
    <w:p>
      <w:pPr>
        <w:spacing w:line="460" w:lineRule="exact"/>
        <w:ind w:firstLine="480" w:firstLineChars="200"/>
        <w:rPr>
          <w:rFonts w:hAnsi="宋体"/>
          <w:color w:val="auto"/>
          <w:sz w:val="24"/>
          <w:highlight w:val="none"/>
        </w:rPr>
      </w:pPr>
      <w:r>
        <w:rPr>
          <w:rFonts w:hAnsi="宋体"/>
          <w:color w:val="auto"/>
          <w:sz w:val="24"/>
          <w:highlight w:val="none"/>
        </w:rPr>
        <w:t>发包人(公章)：</w:t>
      </w:r>
      <w:r>
        <w:rPr>
          <w:rFonts w:hAnsi="宋体"/>
          <w:color w:val="auto"/>
          <w:sz w:val="24"/>
          <w:highlight w:val="none"/>
          <w:u w:val="single"/>
        </w:rPr>
        <w:t xml:space="preserve"> </w:t>
      </w:r>
      <w:r>
        <w:rPr>
          <w:rFonts w:hint="eastAsia" w:hAnsi="宋体" w:cs="宋体"/>
          <w:color w:val="auto"/>
          <w:sz w:val="24"/>
          <w:highlight w:val="none"/>
          <w:u w:val="single"/>
        </w:rPr>
        <w:t xml:space="preserve">       </w:t>
      </w:r>
      <w:r>
        <w:rPr>
          <w:rFonts w:hAnsi="宋体"/>
          <w:color w:val="auto"/>
          <w:sz w:val="24"/>
          <w:highlight w:val="none"/>
        </w:rPr>
        <w:t xml:space="preserve"> 承包人(公章)：</w:t>
      </w:r>
      <w:r>
        <w:rPr>
          <w:rFonts w:hint="eastAsia" w:hAnsi="宋体" w:cs="宋体"/>
          <w:color w:val="auto"/>
          <w:sz w:val="24"/>
          <w:highlight w:val="none"/>
          <w:u w:val="single"/>
        </w:rPr>
        <w:t></w:t>
      </w:r>
      <w:r>
        <w:rPr>
          <w:rFonts w:hint="eastAsia" w:hAnsi="宋体"/>
          <w:color w:val="auto"/>
          <w:sz w:val="24"/>
          <w:highlight w:val="none"/>
          <w:u w:val="single"/>
        </w:rPr>
        <w:t xml:space="preserve">          </w:t>
      </w:r>
      <w:r>
        <w:rPr>
          <w:rFonts w:hint="eastAsia" w:hAnsi="宋体" w:cs="宋体"/>
          <w:color w:val="auto"/>
          <w:sz w:val="24"/>
          <w:highlight w:val="none"/>
          <w:u w:val="single"/>
        </w:rPr>
        <w:t xml:space="preserve"> </w:t>
      </w:r>
    </w:p>
    <w:p>
      <w:pPr>
        <w:spacing w:line="460" w:lineRule="exact"/>
        <w:ind w:firstLine="480" w:firstLineChars="200"/>
        <w:rPr>
          <w:rFonts w:hAnsi="宋体"/>
          <w:color w:val="auto"/>
          <w:sz w:val="24"/>
          <w:highlight w:val="none"/>
        </w:rPr>
      </w:pPr>
      <w:r>
        <w:rPr>
          <w:rFonts w:hAnsi="宋体"/>
          <w:color w:val="auto"/>
          <w:sz w:val="24"/>
          <w:highlight w:val="none"/>
        </w:rPr>
        <w:t>地  址：</w:t>
      </w:r>
      <w:r>
        <w:rPr>
          <w:rFonts w:hAnsi="宋体"/>
          <w:color w:val="auto"/>
          <w:sz w:val="24"/>
          <w:highlight w:val="none"/>
          <w:u w:val="single"/>
        </w:rPr>
        <w:t xml:space="preserve"> </w:t>
      </w:r>
      <w:r>
        <w:rPr>
          <w:rFonts w:hint="eastAsia" w:hAnsi="宋体" w:cs="宋体"/>
          <w:color w:val="auto"/>
          <w:sz w:val="24"/>
          <w:highlight w:val="none"/>
          <w:u w:val="single"/>
        </w:rPr>
        <w:t xml:space="preserve">    </w:t>
      </w:r>
      <w:r>
        <w:rPr>
          <w:rFonts w:hint="eastAsia" w:hAnsi="宋体"/>
          <w:color w:val="auto"/>
          <w:sz w:val="24"/>
          <w:highlight w:val="none"/>
        </w:rPr>
        <w:t xml:space="preserve"> </w:t>
      </w:r>
      <w:r>
        <w:rPr>
          <w:rFonts w:hAnsi="宋体"/>
          <w:color w:val="auto"/>
          <w:sz w:val="24"/>
          <w:highlight w:val="none"/>
        </w:rPr>
        <w:t>地  址：</w:t>
      </w:r>
      <w:r>
        <w:rPr>
          <w:rFonts w:hint="eastAsia" w:hAnsi="宋体" w:cs="宋体"/>
          <w:color w:val="auto"/>
          <w:sz w:val="24"/>
          <w:highlight w:val="none"/>
          <w:u w:val="single"/>
        </w:rPr>
        <w:t></w:t>
      </w:r>
      <w:r>
        <w:rPr>
          <w:rFonts w:hint="eastAsia" w:hAnsi="宋体"/>
          <w:color w:val="auto"/>
          <w:sz w:val="24"/>
          <w:highlight w:val="none"/>
          <w:u w:val="single"/>
        </w:rPr>
        <w:t xml:space="preserve"> </w:t>
      </w:r>
      <w:r>
        <w:rPr>
          <w:rFonts w:hint="eastAsia" w:hAnsi="宋体" w:cs="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p>
    <w:p>
      <w:pPr>
        <w:spacing w:line="460" w:lineRule="exact"/>
        <w:ind w:firstLine="480" w:firstLineChars="200"/>
        <w:rPr>
          <w:rFonts w:hAnsi="宋体"/>
          <w:color w:val="auto"/>
          <w:sz w:val="24"/>
          <w:highlight w:val="none"/>
        </w:rPr>
      </w:pPr>
      <w:r>
        <w:rPr>
          <w:rFonts w:hAnsi="宋体"/>
          <w:color w:val="auto"/>
          <w:sz w:val="24"/>
          <w:highlight w:val="none"/>
        </w:rPr>
        <w:t>法定代表人(签字)：</w:t>
      </w:r>
      <w:r>
        <w:rPr>
          <w:rFonts w:hint="eastAsia" w:hAnsi="宋体" w:cs="宋体"/>
          <w:color w:val="auto"/>
          <w:sz w:val="24"/>
          <w:highlight w:val="none"/>
          <w:u w:val="single"/>
        </w:rPr>
        <w:t></w:t>
      </w:r>
      <w:r>
        <w:rPr>
          <w:rFonts w:hint="eastAsia" w:hAnsi="宋体"/>
          <w:color w:val="auto"/>
          <w:sz w:val="24"/>
          <w:highlight w:val="none"/>
          <w:u w:val="single"/>
        </w:rPr>
        <w:t xml:space="preserve">    </w:t>
      </w:r>
      <w:r>
        <w:rPr>
          <w:rFonts w:hAnsi="宋体"/>
          <w:color w:val="auto"/>
          <w:sz w:val="24"/>
          <w:highlight w:val="none"/>
          <w:u w:val="single"/>
        </w:rPr>
        <w:t xml:space="preserve">  </w:t>
      </w:r>
      <w:r>
        <w:rPr>
          <w:rFonts w:hAnsi="宋体"/>
          <w:color w:val="auto"/>
          <w:sz w:val="24"/>
          <w:highlight w:val="none"/>
        </w:rPr>
        <w:t xml:space="preserve"> 法定代表人(签字)：</w:t>
      </w:r>
      <w:r>
        <w:rPr>
          <w:rFonts w:hint="eastAsia" w:hAnsi="宋体" w:cs="宋体"/>
          <w:color w:val="auto"/>
          <w:sz w:val="24"/>
          <w:highlight w:val="none"/>
          <w:u w:val="single"/>
        </w:rPr>
        <w:t></w:t>
      </w:r>
      <w:r>
        <w:rPr>
          <w:rFonts w:hint="eastAsia" w:hAnsi="宋体"/>
          <w:color w:val="auto"/>
          <w:sz w:val="24"/>
          <w:highlight w:val="none"/>
          <w:u w:val="single"/>
        </w:rPr>
        <w:t xml:space="preserve">      </w:t>
      </w:r>
      <w:r>
        <w:rPr>
          <w:rFonts w:hAnsi="宋体"/>
          <w:color w:val="auto"/>
          <w:sz w:val="24"/>
          <w:highlight w:val="none"/>
          <w:u w:val="single"/>
        </w:rPr>
        <w:t xml:space="preserve"> </w:t>
      </w:r>
    </w:p>
    <w:p>
      <w:pPr>
        <w:spacing w:line="460" w:lineRule="exact"/>
        <w:ind w:firstLine="480" w:firstLineChars="200"/>
        <w:rPr>
          <w:rFonts w:hAnsi="宋体"/>
          <w:color w:val="auto"/>
          <w:sz w:val="24"/>
          <w:highlight w:val="none"/>
        </w:rPr>
      </w:pPr>
      <w:r>
        <w:rPr>
          <w:rFonts w:hAnsi="宋体"/>
          <w:color w:val="auto"/>
          <w:sz w:val="24"/>
          <w:highlight w:val="none"/>
        </w:rPr>
        <w:t>委托代理人(签字)：</w:t>
      </w:r>
      <w:r>
        <w:rPr>
          <w:rFonts w:hint="eastAsia" w:hAnsi="宋体" w:cs="宋体"/>
          <w:color w:val="auto"/>
          <w:sz w:val="24"/>
          <w:highlight w:val="none"/>
          <w:u w:val="single"/>
        </w:rPr>
        <w:t xml:space="preserve">      </w:t>
      </w:r>
      <w:r>
        <w:rPr>
          <w:rFonts w:hAnsi="宋体"/>
          <w:color w:val="auto"/>
          <w:sz w:val="24"/>
          <w:highlight w:val="none"/>
        </w:rPr>
        <w:t xml:space="preserve"> 委托代理人(签字)：</w:t>
      </w:r>
      <w:r>
        <w:rPr>
          <w:rFonts w:hint="eastAsia" w:hAnsi="宋体" w:cs="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p>
    <w:p>
      <w:pPr>
        <w:spacing w:line="460" w:lineRule="exact"/>
        <w:ind w:firstLine="480" w:firstLineChars="200"/>
        <w:rPr>
          <w:rFonts w:hAnsi="宋体"/>
          <w:color w:val="auto"/>
          <w:sz w:val="24"/>
          <w:highlight w:val="none"/>
        </w:rPr>
      </w:pPr>
      <w:r>
        <w:rPr>
          <w:rFonts w:hAnsi="宋体"/>
          <w:color w:val="auto"/>
          <w:sz w:val="24"/>
          <w:highlight w:val="none"/>
        </w:rPr>
        <w:t>电  话：</w:t>
      </w:r>
      <w:r>
        <w:rPr>
          <w:rFonts w:hint="eastAsia" w:hAnsi="宋体" w:cs="宋体"/>
          <w:color w:val="auto"/>
          <w:sz w:val="24"/>
          <w:highlight w:val="none"/>
          <w:u w:val="single"/>
        </w:rPr>
        <w:t xml:space="preserve">   </w:t>
      </w:r>
      <w:r>
        <w:rPr>
          <w:rFonts w:hAnsi="宋体"/>
          <w:color w:val="auto"/>
          <w:sz w:val="24"/>
          <w:highlight w:val="none"/>
        </w:rPr>
        <w:t xml:space="preserve"> 电  话：</w:t>
      </w:r>
      <w:r>
        <w:rPr>
          <w:rFonts w:hint="eastAsia" w:hAnsi="宋体" w:cs="宋体"/>
          <w:color w:val="auto"/>
          <w:sz w:val="24"/>
          <w:highlight w:val="none"/>
          <w:u w:val="single"/>
        </w:rPr>
        <w:t></w:t>
      </w:r>
      <w:r>
        <w:rPr>
          <w:rFonts w:hint="eastAsia" w:hAnsi="宋体"/>
          <w:color w:val="auto"/>
          <w:sz w:val="24"/>
          <w:highlight w:val="none"/>
          <w:u w:val="single"/>
        </w:rPr>
        <w:t xml:space="preserve">  </w:t>
      </w:r>
      <w:r>
        <w:rPr>
          <w:rFonts w:hAnsi="宋体"/>
          <w:color w:val="auto"/>
          <w:sz w:val="24"/>
          <w:highlight w:val="none"/>
          <w:u w:val="single"/>
        </w:rPr>
        <w:t xml:space="preserve">   </w:t>
      </w:r>
    </w:p>
    <w:p>
      <w:pPr>
        <w:spacing w:line="460" w:lineRule="exact"/>
        <w:ind w:firstLine="480" w:firstLineChars="200"/>
        <w:rPr>
          <w:rFonts w:hAnsi="宋体"/>
          <w:color w:val="auto"/>
          <w:sz w:val="24"/>
          <w:highlight w:val="none"/>
        </w:rPr>
      </w:pPr>
      <w:r>
        <w:rPr>
          <w:rFonts w:hAnsi="宋体"/>
          <w:color w:val="auto"/>
          <w:sz w:val="24"/>
          <w:highlight w:val="none"/>
        </w:rPr>
        <w:t>传  真：</w:t>
      </w:r>
      <w:r>
        <w:rPr>
          <w:rFonts w:hint="eastAsia" w:hAnsi="宋体" w:cs="宋体"/>
          <w:color w:val="auto"/>
          <w:sz w:val="24"/>
          <w:highlight w:val="none"/>
          <w:u w:val="single"/>
        </w:rPr>
        <w:t xml:space="preserve">   </w:t>
      </w:r>
      <w:r>
        <w:rPr>
          <w:rFonts w:hAnsi="宋体"/>
          <w:color w:val="auto"/>
          <w:sz w:val="24"/>
          <w:highlight w:val="none"/>
        </w:rPr>
        <w:t xml:space="preserve"> 传  真：</w:t>
      </w:r>
      <w:r>
        <w:rPr>
          <w:rFonts w:hint="eastAsia" w:hAnsi="宋体" w:cs="宋体"/>
          <w:color w:val="auto"/>
          <w:sz w:val="24"/>
          <w:highlight w:val="none"/>
          <w:u w:val="single"/>
        </w:rPr>
        <w:t></w:t>
      </w:r>
      <w:r>
        <w:rPr>
          <w:rFonts w:hint="eastAsia" w:hAnsi="宋体"/>
          <w:color w:val="auto"/>
          <w:sz w:val="24"/>
          <w:highlight w:val="none"/>
          <w:u w:val="single"/>
        </w:rPr>
        <w:t xml:space="preserve">  </w:t>
      </w:r>
      <w:r>
        <w:rPr>
          <w:rFonts w:hint="eastAsia" w:hAnsi="宋体" w:cs="宋体"/>
          <w:color w:val="auto"/>
          <w:sz w:val="24"/>
          <w:highlight w:val="none"/>
          <w:u w:val="single"/>
        </w:rPr>
        <w:t xml:space="preserve">   </w:t>
      </w:r>
    </w:p>
    <w:p>
      <w:pPr>
        <w:spacing w:line="460" w:lineRule="exact"/>
        <w:ind w:firstLine="480" w:firstLineChars="200"/>
        <w:rPr>
          <w:rFonts w:hAnsi="宋体"/>
          <w:color w:val="auto"/>
          <w:sz w:val="24"/>
          <w:highlight w:val="none"/>
        </w:rPr>
      </w:pPr>
      <w:r>
        <w:rPr>
          <w:rFonts w:hAnsi="宋体"/>
          <w:color w:val="auto"/>
          <w:sz w:val="24"/>
          <w:highlight w:val="none"/>
        </w:rPr>
        <w:t>开户银行：</w:t>
      </w:r>
      <w:r>
        <w:rPr>
          <w:rFonts w:hint="eastAsia" w:hAnsi="宋体" w:cs="宋体"/>
          <w:color w:val="auto"/>
          <w:sz w:val="24"/>
          <w:highlight w:val="none"/>
          <w:u w:val="single"/>
        </w:rPr>
        <w:t xml:space="preserve">   </w:t>
      </w:r>
      <w:r>
        <w:rPr>
          <w:rFonts w:hAnsi="宋体"/>
          <w:color w:val="auto"/>
          <w:sz w:val="24"/>
          <w:highlight w:val="none"/>
        </w:rPr>
        <w:t xml:space="preserve"> 开户银行：</w:t>
      </w:r>
      <w:r>
        <w:rPr>
          <w:rFonts w:hint="eastAsia" w:hAnsi="宋体" w:cs="宋体"/>
          <w:color w:val="auto"/>
          <w:sz w:val="24"/>
          <w:highlight w:val="none"/>
          <w:u w:val="single"/>
        </w:rPr>
        <w:t xml:space="preserve">   </w:t>
      </w:r>
    </w:p>
    <w:p>
      <w:pPr>
        <w:spacing w:line="460" w:lineRule="exact"/>
        <w:ind w:firstLine="480" w:firstLineChars="200"/>
        <w:rPr>
          <w:rFonts w:hAnsi="宋体"/>
          <w:color w:val="auto"/>
          <w:sz w:val="24"/>
          <w:highlight w:val="none"/>
        </w:rPr>
      </w:pPr>
      <w:r>
        <w:rPr>
          <w:rFonts w:hAnsi="宋体"/>
          <w:color w:val="auto"/>
          <w:sz w:val="24"/>
          <w:highlight w:val="none"/>
        </w:rPr>
        <w:t>账  号：</w:t>
      </w:r>
      <w:r>
        <w:rPr>
          <w:rFonts w:hint="eastAsia" w:hAnsi="宋体" w:cs="宋体"/>
          <w:color w:val="auto"/>
          <w:sz w:val="24"/>
          <w:highlight w:val="none"/>
          <w:u w:val="single"/>
        </w:rPr>
        <w:t xml:space="preserve">       </w:t>
      </w:r>
      <w:r>
        <w:rPr>
          <w:rFonts w:hint="eastAsia" w:hAnsi="宋体"/>
          <w:color w:val="auto"/>
          <w:sz w:val="24"/>
          <w:highlight w:val="none"/>
        </w:rPr>
        <w:t xml:space="preserve">  </w:t>
      </w:r>
      <w:r>
        <w:rPr>
          <w:rFonts w:hAnsi="宋体"/>
          <w:color w:val="auto"/>
          <w:sz w:val="24"/>
          <w:highlight w:val="none"/>
        </w:rPr>
        <w:t>账</w:t>
      </w:r>
      <w:r>
        <w:rPr>
          <w:rFonts w:hint="eastAsia" w:hAnsi="宋体"/>
          <w:color w:val="auto"/>
          <w:sz w:val="24"/>
          <w:highlight w:val="none"/>
        </w:rPr>
        <w:t xml:space="preserve"> </w:t>
      </w:r>
      <w:r>
        <w:rPr>
          <w:rFonts w:hAnsi="宋体"/>
          <w:color w:val="auto"/>
          <w:sz w:val="24"/>
          <w:highlight w:val="none"/>
        </w:rPr>
        <w:t xml:space="preserve"> 号：</w:t>
      </w:r>
      <w:r>
        <w:rPr>
          <w:rFonts w:hint="eastAsia" w:hAnsi="宋体" w:cs="宋体"/>
          <w:color w:val="auto"/>
          <w:sz w:val="24"/>
          <w:highlight w:val="none"/>
          <w:u w:val="single"/>
        </w:rPr>
        <w:t></w:t>
      </w:r>
      <w:r>
        <w:rPr>
          <w:rFonts w:hint="eastAsia" w:hAnsi="宋体"/>
          <w:color w:val="auto"/>
          <w:sz w:val="24"/>
          <w:highlight w:val="none"/>
          <w:u w:val="single"/>
        </w:rPr>
        <w:t xml:space="preserve">  </w:t>
      </w:r>
      <w:r>
        <w:rPr>
          <w:rFonts w:hAnsi="宋体"/>
          <w:color w:val="auto"/>
          <w:sz w:val="24"/>
          <w:highlight w:val="none"/>
          <w:u w:val="single"/>
        </w:rPr>
        <w:t xml:space="preserve">  </w:t>
      </w:r>
      <w:r>
        <w:rPr>
          <w:rFonts w:hint="eastAsia" w:hAnsi="宋体"/>
          <w:color w:val="auto"/>
          <w:sz w:val="24"/>
          <w:highlight w:val="none"/>
          <w:u w:val="single"/>
        </w:rPr>
        <w:t xml:space="preserve"> </w:t>
      </w:r>
    </w:p>
    <w:p>
      <w:pPr>
        <w:spacing w:line="460" w:lineRule="exact"/>
        <w:ind w:firstLine="480" w:firstLineChars="200"/>
        <w:rPr>
          <w:rFonts w:hint="eastAsia" w:hAnsi="宋体" w:cs="宋体"/>
          <w:color w:val="auto"/>
          <w:sz w:val="24"/>
          <w:highlight w:val="none"/>
          <w:u w:val="single"/>
        </w:rPr>
      </w:pPr>
      <w:r>
        <w:rPr>
          <w:rFonts w:hAnsi="宋体"/>
          <w:color w:val="auto"/>
          <w:sz w:val="24"/>
          <w:highlight w:val="none"/>
        </w:rPr>
        <w:t>邮政编码：</w:t>
      </w:r>
      <w:r>
        <w:rPr>
          <w:rFonts w:hAnsi="宋体"/>
          <w:color w:val="auto"/>
          <w:sz w:val="24"/>
          <w:highlight w:val="none"/>
          <w:u w:val="single"/>
        </w:rPr>
        <w:t xml:space="preserve"> </w:t>
      </w:r>
      <w:r>
        <w:rPr>
          <w:rFonts w:hint="eastAsia" w:hAnsi="宋体" w:cs="宋体"/>
          <w:color w:val="auto"/>
          <w:sz w:val="24"/>
          <w:highlight w:val="none"/>
          <w:u w:val="single"/>
        </w:rPr>
        <w:t xml:space="preserve">    </w:t>
      </w:r>
      <w:r>
        <w:rPr>
          <w:rFonts w:hAnsi="宋体"/>
          <w:color w:val="auto"/>
          <w:sz w:val="24"/>
          <w:highlight w:val="none"/>
        </w:rPr>
        <w:t xml:space="preserve"> 邮政编码：</w:t>
      </w:r>
      <w:r>
        <w:rPr>
          <w:rFonts w:hint="eastAsia" w:hAnsi="宋体" w:cs="宋体"/>
          <w:color w:val="auto"/>
          <w:sz w:val="24"/>
          <w:highlight w:val="none"/>
          <w:u w:val="single"/>
        </w:rPr>
        <w:t xml:space="preserve">   </w:t>
      </w:r>
    </w:p>
    <w:p>
      <w:pPr>
        <w:spacing w:line="440" w:lineRule="exact"/>
        <w:rPr>
          <w:rFonts w:hint="eastAsia" w:hAnsi="宋体"/>
          <w:color w:val="auto"/>
          <w:sz w:val="24"/>
          <w:highlight w:val="none"/>
        </w:rPr>
      </w:pPr>
    </w:p>
    <w:p>
      <w:pPr>
        <w:pStyle w:val="2"/>
        <w:rPr>
          <w:rFonts w:hint="eastAsia"/>
        </w:rPr>
        <w:sectPr>
          <w:pgSz w:w="11906" w:h="16838"/>
          <w:pgMar w:top="1077" w:right="1020" w:bottom="1077" w:left="1020" w:header="851" w:footer="992" w:gutter="0"/>
          <w:cols w:space="720" w:num="1"/>
          <w:titlePg/>
          <w:docGrid w:linePitch="312" w:charSpace="0"/>
        </w:sectPr>
      </w:pPr>
    </w:p>
    <w:bookmarkEnd w:id="394"/>
    <w:p>
      <w:pPr>
        <w:spacing w:line="360" w:lineRule="auto"/>
        <w:ind w:left="-420" w:leftChars="-200" w:right="-420" w:rightChars="-200"/>
        <w:rPr>
          <w:rFonts w:hint="eastAsia" w:ascii="宋体" w:hAnsi="宋体" w:eastAsia="宋体" w:cs="宋体"/>
          <w:sz w:val="24"/>
        </w:rPr>
      </w:pPr>
    </w:p>
    <w:p>
      <w:pPr>
        <w:spacing w:line="360" w:lineRule="auto"/>
        <w:ind w:left="-420" w:leftChars="-200" w:right="-420" w:rightChars="-200" w:firstLine="480" w:firstLineChars="200"/>
        <w:jc w:val="both"/>
        <w:outlineLvl w:val="0"/>
        <w:rPr>
          <w:rFonts w:hint="eastAsia" w:ascii="宋体" w:hAnsi="宋体" w:eastAsia="宋体" w:cs="宋体"/>
          <w:sz w:val="24"/>
        </w:rPr>
      </w:pPr>
    </w:p>
    <w:p>
      <w:pPr>
        <w:spacing w:line="360" w:lineRule="auto"/>
        <w:ind w:left="-420" w:leftChars="-200" w:right="-420" w:rightChars="-200" w:firstLine="480" w:firstLineChars="200"/>
        <w:jc w:val="center"/>
        <w:outlineLvl w:val="0"/>
        <w:rPr>
          <w:rFonts w:hint="eastAsia" w:ascii="宋体" w:hAnsi="宋体" w:eastAsia="宋体" w:cs="宋体"/>
          <w:sz w:val="24"/>
        </w:rPr>
      </w:pPr>
    </w:p>
    <w:p>
      <w:pPr>
        <w:spacing w:line="360" w:lineRule="auto"/>
        <w:jc w:val="center"/>
        <w:outlineLvl w:val="0"/>
        <w:rPr>
          <w:rFonts w:hint="eastAsia" w:ascii="宋体" w:hAnsi="宋体" w:eastAsia="宋体" w:cs="宋体"/>
          <w:b/>
          <w:sz w:val="36"/>
          <w:szCs w:val="20"/>
        </w:rPr>
      </w:pPr>
      <w:r>
        <w:rPr>
          <w:rFonts w:hint="eastAsia" w:ascii="宋体" w:hAnsi="宋体" w:eastAsia="宋体" w:cs="宋体"/>
          <w:b/>
          <w:sz w:val="36"/>
          <w:szCs w:val="20"/>
        </w:rPr>
        <w:t>第六部分</w:t>
      </w:r>
      <w:bookmarkEnd w:id="392"/>
      <w:r>
        <w:rPr>
          <w:rFonts w:hint="eastAsia" w:ascii="宋体" w:hAnsi="宋体" w:eastAsia="宋体" w:cs="宋体"/>
          <w:b/>
          <w:sz w:val="36"/>
          <w:szCs w:val="20"/>
        </w:rPr>
        <w:t xml:space="preserve"> </w:t>
      </w:r>
      <w:bookmarkEnd w:id="393"/>
      <w:r>
        <w:rPr>
          <w:rFonts w:hint="eastAsia" w:ascii="宋体" w:hAnsi="宋体" w:eastAsia="宋体" w:cs="宋体"/>
          <w:b/>
          <w:sz w:val="36"/>
          <w:szCs w:val="20"/>
        </w:rPr>
        <w:t>应提交的有关格式范例</w:t>
      </w:r>
    </w:p>
    <w:p>
      <w:pPr>
        <w:spacing w:line="360" w:lineRule="auto"/>
        <w:jc w:val="center"/>
        <w:outlineLvl w:val="0"/>
        <w:rPr>
          <w:rFonts w:hint="eastAsia" w:ascii="宋体" w:hAnsi="宋体" w:eastAsia="宋体" w:cs="宋体"/>
          <w:b/>
          <w:kern w:val="0"/>
          <w:sz w:val="36"/>
          <w:szCs w:val="36"/>
        </w:rPr>
      </w:pPr>
    </w:p>
    <w:p>
      <w:pPr>
        <w:spacing w:line="360" w:lineRule="auto"/>
        <w:jc w:val="center"/>
        <w:outlineLvl w:val="0"/>
        <w:rPr>
          <w:rFonts w:hint="eastAsia" w:ascii="宋体" w:hAnsi="宋体" w:eastAsia="宋体" w:cs="宋体"/>
          <w:b/>
          <w:kern w:val="0"/>
          <w:sz w:val="36"/>
          <w:szCs w:val="36"/>
        </w:rPr>
      </w:pPr>
      <w:r>
        <w:rPr>
          <w:rFonts w:hint="eastAsia" w:ascii="宋体" w:hAnsi="宋体" w:eastAsia="宋体" w:cs="宋体"/>
          <w:b/>
          <w:kern w:val="0"/>
          <w:sz w:val="36"/>
          <w:szCs w:val="36"/>
        </w:rPr>
        <w:t>资格文件部分</w:t>
      </w:r>
    </w:p>
    <w:p>
      <w:pPr>
        <w:spacing w:line="360" w:lineRule="auto"/>
        <w:jc w:val="center"/>
        <w:outlineLvl w:val="0"/>
        <w:rPr>
          <w:rFonts w:hint="eastAsia" w:ascii="宋体" w:hAnsi="宋体" w:eastAsia="宋体" w:cs="宋体"/>
          <w:b/>
          <w:kern w:val="0"/>
          <w:sz w:val="36"/>
          <w:szCs w:val="36"/>
        </w:rPr>
      </w:pPr>
      <w:r>
        <w:rPr>
          <w:rFonts w:hint="eastAsia" w:ascii="宋体" w:hAnsi="宋体" w:eastAsia="宋体" w:cs="宋体"/>
          <w:b/>
          <w:kern w:val="0"/>
          <w:sz w:val="36"/>
          <w:szCs w:val="36"/>
        </w:rPr>
        <w:t>目录</w:t>
      </w:r>
    </w:p>
    <w:p>
      <w:pPr>
        <w:spacing w:line="360" w:lineRule="auto"/>
        <w:jc w:val="center"/>
        <w:outlineLvl w:val="0"/>
        <w:rPr>
          <w:rFonts w:hint="eastAsia" w:ascii="宋体" w:hAnsi="宋体" w:eastAsia="宋体" w:cs="宋体"/>
          <w:b/>
          <w:kern w:val="0"/>
          <w:sz w:val="36"/>
          <w:szCs w:val="36"/>
        </w:rPr>
      </w:pPr>
    </w:p>
    <w:p>
      <w:pPr>
        <w:snapToGrid w:val="0"/>
        <w:spacing w:line="360" w:lineRule="auto"/>
        <w:rPr>
          <w:rFonts w:hint="eastAsia" w:ascii="宋体" w:hAnsi="宋体" w:eastAsia="宋体" w:cs="宋体"/>
          <w:sz w:val="24"/>
        </w:rPr>
      </w:pPr>
      <w:r>
        <w:rPr>
          <w:rFonts w:hint="eastAsia" w:ascii="宋体" w:hAnsi="宋体" w:eastAsia="宋体" w:cs="宋体"/>
          <w:sz w:val="24"/>
        </w:rPr>
        <w:t>（1）符合参加政府采购活动应当具备的一般条件的承诺函……………（页码）</w:t>
      </w:r>
    </w:p>
    <w:p>
      <w:pPr>
        <w:snapToGrid w:val="0"/>
        <w:spacing w:line="360" w:lineRule="auto"/>
        <w:rPr>
          <w:rFonts w:hint="eastAsia" w:ascii="宋体" w:hAnsi="宋体" w:eastAsia="宋体" w:cs="宋体"/>
          <w:sz w:val="24"/>
        </w:rPr>
      </w:pPr>
      <w:r>
        <w:rPr>
          <w:rFonts w:hint="eastAsia" w:ascii="宋体" w:hAnsi="宋体" w:eastAsia="宋体" w:cs="宋体"/>
          <w:sz w:val="24"/>
        </w:rPr>
        <w:t>（2）落实政府采购政策需满足的资格要求………………………………（页码）</w:t>
      </w:r>
    </w:p>
    <w:p>
      <w:pPr>
        <w:snapToGrid w:val="0"/>
        <w:spacing w:line="360" w:lineRule="auto"/>
        <w:rPr>
          <w:rFonts w:hint="eastAsia" w:ascii="宋体" w:hAnsi="宋体" w:eastAsia="宋体" w:cs="宋体"/>
          <w:sz w:val="24"/>
        </w:rPr>
      </w:pPr>
      <w:r>
        <w:rPr>
          <w:rFonts w:hint="eastAsia" w:ascii="宋体" w:hAnsi="宋体" w:eastAsia="宋体" w:cs="宋体"/>
          <w:sz w:val="24"/>
        </w:rPr>
        <w:t>（3）本项目的特定资格要求………………………………………………（页码）</w:t>
      </w:r>
    </w:p>
    <w:p>
      <w:pPr>
        <w:snapToGrid w:val="0"/>
        <w:spacing w:line="360" w:lineRule="auto"/>
        <w:ind w:firstLine="480" w:firstLineChars="200"/>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p>
    <w:p>
      <w:pPr>
        <w:snapToGrid w:val="0"/>
        <w:spacing w:line="360" w:lineRule="auto"/>
        <w:ind w:right="480"/>
        <w:jc w:val="center"/>
        <w:rPr>
          <w:rFonts w:hint="eastAsia" w:ascii="宋体" w:hAnsi="宋体" w:eastAsia="宋体" w:cs="宋体"/>
          <w:b/>
          <w:kern w:val="0"/>
          <w:sz w:val="32"/>
          <w:szCs w:val="32"/>
        </w:rPr>
      </w:pPr>
      <w:r>
        <w:rPr>
          <w:rFonts w:hint="eastAsia" w:ascii="宋体" w:hAnsi="宋体" w:eastAsia="宋体" w:cs="宋体"/>
          <w:kern w:val="0"/>
          <w:sz w:val="24"/>
        </w:rPr>
        <w:br w:type="page"/>
      </w:r>
      <w:r>
        <w:rPr>
          <w:rFonts w:hint="eastAsia" w:ascii="宋体" w:hAnsi="宋体" w:eastAsia="宋体" w:cs="宋体"/>
          <w:b/>
          <w:kern w:val="0"/>
          <w:sz w:val="32"/>
          <w:szCs w:val="32"/>
        </w:rPr>
        <w:t xml:space="preserve">  </w:t>
      </w:r>
    </w:p>
    <w:p>
      <w:pPr>
        <w:numPr>
          <w:ilvl w:val="0"/>
          <w:numId w:val="3"/>
        </w:numPr>
        <w:snapToGrid w:val="0"/>
        <w:spacing w:line="360" w:lineRule="auto"/>
        <w:ind w:right="480"/>
        <w:jc w:val="center"/>
        <w:rPr>
          <w:rFonts w:hint="eastAsia" w:ascii="宋体" w:hAnsi="宋体" w:eastAsia="宋体" w:cs="宋体"/>
          <w:b/>
          <w:kern w:val="0"/>
          <w:sz w:val="32"/>
          <w:szCs w:val="32"/>
        </w:rPr>
      </w:pPr>
      <w:r>
        <w:rPr>
          <w:rFonts w:hint="eastAsia" w:ascii="宋体" w:hAnsi="宋体" w:eastAsia="宋体" w:cs="宋体"/>
          <w:b/>
          <w:kern w:val="0"/>
          <w:sz w:val="32"/>
          <w:szCs w:val="32"/>
        </w:rPr>
        <w:t>符合参加政府采购活动应当具备的一般条件的承诺函</w:t>
      </w:r>
    </w:p>
    <w:p>
      <w:pPr>
        <w:pStyle w:val="2"/>
        <w:numPr>
          <w:ilvl w:val="0"/>
          <w:numId w:val="0"/>
        </w:numPr>
        <w:rPr>
          <w:rFonts w:hint="eastAsia"/>
        </w:rPr>
      </w:pPr>
    </w:p>
    <w:p>
      <w:pPr>
        <w:snapToGrid w:val="0"/>
        <w:spacing w:line="360" w:lineRule="auto"/>
        <w:rPr>
          <w:rFonts w:hint="eastAsia" w:ascii="宋体" w:hAnsi="宋体" w:eastAsia="宋体" w:cs="宋体"/>
          <w:sz w:val="24"/>
        </w:rPr>
      </w:pPr>
      <w:r>
        <w:rPr>
          <w:rFonts w:hint="eastAsia" w:ascii="宋体" w:hAnsi="宋体" w:eastAsia="宋体" w:cs="宋体"/>
          <w:sz w:val="24"/>
        </w:rPr>
        <w:t>（采购人）、（采购代理机构）：</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我方参与（项目名称）【招标编号：（采购编号）】政府采购活动，郑重承诺：</w:t>
      </w:r>
    </w:p>
    <w:p>
      <w:pPr>
        <w:snapToGrid w:val="0"/>
        <w:spacing w:line="360" w:lineRule="auto"/>
        <w:ind w:firstLine="360" w:firstLineChars="150"/>
        <w:rPr>
          <w:rFonts w:hint="eastAsia" w:ascii="宋体" w:hAnsi="宋体" w:eastAsia="宋体" w:cs="宋体"/>
          <w:sz w:val="24"/>
        </w:rPr>
      </w:pPr>
      <w:r>
        <w:rPr>
          <w:rFonts w:hint="eastAsia" w:ascii="宋体" w:hAnsi="宋体" w:eastAsia="宋体" w:cs="宋体"/>
          <w:sz w:val="24"/>
        </w:rPr>
        <w:t>（一）具备《中华人民共和国政府采购法》第二十二条第一款规定的条件：</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1、具有独立承担民事责任的能力；</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2、具有良好的商业信誉和健全的财务会计制度； </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3、具有履行合同所必需的设备和专业技术能力；</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4、有依法缴纳税收和社会保障资金的良好记录；</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5、参加政府采购活动前三年内，在经营活动中没有重大违法记录；</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6、具有法律、行政法规规定的其他条件。</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（三）不存在以下情况：</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宋体" w:hAnsi="宋体" w:eastAsia="宋体" w:cs="宋体"/>
          <w:kern w:val="0"/>
          <w:sz w:val="24"/>
        </w:rPr>
      </w:pPr>
      <w:r>
        <w:rPr>
          <w:rFonts w:hint="eastAsia" w:ascii="宋体" w:hAnsi="宋体" w:eastAsia="宋体" w:cs="宋体"/>
          <w:kern w:val="0"/>
          <w:sz w:val="24"/>
          <w:lang w:val="zh-CN"/>
        </w:rPr>
        <w:t>投标人名称(电子签名)：</w:t>
      </w:r>
    </w:p>
    <w:p>
      <w:pPr>
        <w:snapToGrid w:val="0"/>
        <w:spacing w:line="360" w:lineRule="auto"/>
        <w:rPr>
          <w:rFonts w:hint="eastAsia" w:ascii="宋体" w:hAnsi="宋体" w:eastAsia="宋体" w:cs="宋体"/>
          <w:kern w:val="0"/>
          <w:sz w:val="24"/>
        </w:rPr>
      </w:pPr>
      <w:r>
        <w:rPr>
          <w:rFonts w:hint="eastAsia" w:ascii="宋体" w:hAnsi="宋体" w:eastAsia="宋体" w:cs="宋体"/>
          <w:kern w:val="0"/>
          <w:sz w:val="24"/>
          <w:lang w:val="zh-CN"/>
        </w:rPr>
        <w:t xml:space="preserve">                        </w:t>
      </w:r>
      <w:r>
        <w:rPr>
          <w:rFonts w:hint="eastAsia" w:ascii="宋体" w:hAnsi="宋体" w:eastAsia="宋体" w:cs="宋体"/>
          <w:kern w:val="0"/>
          <w:sz w:val="24"/>
        </w:rPr>
        <w:t xml:space="preserve">                      </w:t>
      </w:r>
      <w:r>
        <w:rPr>
          <w:rFonts w:hint="eastAsia" w:ascii="宋体" w:hAnsi="宋体" w:eastAsia="宋体" w:cs="宋体"/>
          <w:kern w:val="0"/>
          <w:sz w:val="24"/>
          <w:lang w:val="zh-CN"/>
        </w:rPr>
        <w:t>日期</w:t>
      </w:r>
      <w:r>
        <w:rPr>
          <w:rFonts w:hint="eastAsia" w:ascii="宋体" w:hAnsi="宋体" w:eastAsia="宋体" w:cs="宋体"/>
          <w:kern w:val="0"/>
          <w:sz w:val="24"/>
        </w:rPr>
        <w:t xml:space="preserve">：  年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lang w:val="zh-CN"/>
        </w:rPr>
        <w:t>日</w:t>
      </w: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rPr>
          <w:rFonts w:hint="eastAsia" w:ascii="宋体" w:hAnsi="宋体" w:eastAsia="宋体" w:cs="宋体"/>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pStyle w:val="2"/>
        <w:rPr>
          <w:rFonts w:hint="eastAsia" w:ascii="宋体" w:hAnsi="宋体" w:eastAsia="宋体" w:cs="宋体"/>
          <w:b/>
          <w:kern w:val="0"/>
          <w:sz w:val="32"/>
          <w:szCs w:val="32"/>
        </w:rPr>
      </w:pPr>
    </w:p>
    <w:p>
      <w:pPr>
        <w:pStyle w:val="3"/>
        <w:rPr>
          <w:rFonts w:hint="eastAsia"/>
        </w:rPr>
      </w:pPr>
    </w:p>
    <w:p>
      <w:pPr>
        <w:numPr>
          <w:ilvl w:val="0"/>
          <w:numId w:val="3"/>
        </w:numPr>
        <w:snapToGrid w:val="0"/>
        <w:spacing w:line="360" w:lineRule="auto"/>
        <w:ind w:left="0" w:leftChars="0" w:right="480" w:firstLine="0" w:firstLineChars="0"/>
        <w:jc w:val="center"/>
        <w:rPr>
          <w:rFonts w:hint="eastAsia" w:ascii="宋体" w:hAnsi="宋体" w:eastAsia="宋体" w:cs="宋体"/>
          <w:b/>
          <w:kern w:val="0"/>
          <w:sz w:val="32"/>
          <w:szCs w:val="32"/>
        </w:rPr>
      </w:pPr>
      <w:r>
        <w:rPr>
          <w:rFonts w:hint="eastAsia" w:ascii="宋体" w:hAnsi="宋体" w:eastAsia="宋体" w:cs="宋体"/>
          <w:b/>
          <w:kern w:val="0"/>
          <w:sz w:val="32"/>
          <w:szCs w:val="32"/>
        </w:rPr>
        <w:t>落实政府采购政策需满足的资格要求</w:t>
      </w:r>
    </w:p>
    <w:p>
      <w:pPr>
        <w:pStyle w:val="2"/>
        <w:numPr>
          <w:ilvl w:val="0"/>
          <w:numId w:val="0"/>
        </w:numPr>
        <w:ind w:leftChars="0"/>
        <w:rPr>
          <w:rFonts w:hint="eastAsia"/>
        </w:rPr>
      </w:pPr>
    </w:p>
    <w:p>
      <w:pPr>
        <w:spacing w:line="360" w:lineRule="auto"/>
        <w:rPr>
          <w:rFonts w:hint="eastAsia" w:ascii="宋体" w:hAnsi="宋体" w:eastAsia="宋体" w:cs="宋体"/>
          <w:sz w:val="24"/>
        </w:rPr>
      </w:pPr>
      <w:r>
        <w:rPr>
          <w:rFonts w:hint="eastAsia" w:ascii="宋体" w:hAnsi="宋体" w:eastAsia="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宋体" w:hAnsi="宋体" w:eastAsia="宋体" w:cs="宋体"/>
          <w:sz w:val="24"/>
        </w:rPr>
      </w:pPr>
      <w:r>
        <w:rPr>
          <w:rFonts w:hint="eastAsia" w:ascii="宋体" w:hAnsi="宋体" w:eastAsia="宋体" w:cs="宋体"/>
          <w:b/>
          <w:sz w:val="24"/>
        </w:rPr>
        <w:t>A</w:t>
      </w:r>
      <w:r>
        <w:rPr>
          <w:rFonts w:hint="eastAsia" w:ascii="宋体" w:hAnsi="宋体" w:eastAsia="宋体" w:cs="宋体"/>
          <w:sz w:val="24"/>
        </w:rPr>
        <w:t xml:space="preserve">.专门面向中小企业，货物全部由符合政策要求的中小企业（或小微企业）制造或者服务全部由符合政策要求的中小企业（或小微企业）承接的，提供相应的中小企业声明函（附件5）。 </w:t>
      </w:r>
    </w:p>
    <w:p>
      <w:pPr>
        <w:widowControl/>
        <w:spacing w:line="360" w:lineRule="auto"/>
        <w:ind w:firstLine="480"/>
        <w:jc w:val="left"/>
        <w:rPr>
          <w:rFonts w:hint="eastAsia" w:ascii="宋体" w:hAnsi="宋体" w:eastAsia="宋体" w:cs="宋体"/>
          <w:sz w:val="24"/>
        </w:rPr>
      </w:pPr>
    </w:p>
    <w:p>
      <w:pPr>
        <w:widowControl/>
        <w:spacing w:line="360" w:lineRule="auto"/>
        <w:ind w:firstLine="472" w:firstLineChars="196"/>
        <w:jc w:val="left"/>
        <w:rPr>
          <w:rFonts w:hint="eastAsia" w:ascii="宋体" w:hAnsi="宋体" w:eastAsia="宋体" w:cs="宋体"/>
          <w:sz w:val="24"/>
        </w:rPr>
      </w:pPr>
      <w:r>
        <w:rPr>
          <w:rFonts w:hint="eastAsia" w:ascii="宋体" w:hAnsi="宋体" w:eastAsia="宋体" w:cs="宋体"/>
          <w:b/>
          <w:sz w:val="24"/>
        </w:rPr>
        <w:t>B.</w:t>
      </w:r>
      <w:r>
        <w:rPr>
          <w:rFonts w:hint="eastAsia" w:ascii="宋体" w:hAnsi="宋体" w:eastAsia="宋体" w:cs="宋体"/>
          <w:sz w:val="24"/>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widowControl/>
        <w:spacing w:line="360" w:lineRule="auto"/>
        <w:ind w:left="150"/>
        <w:jc w:val="center"/>
        <w:rPr>
          <w:rFonts w:hint="eastAsia" w:ascii="宋体" w:hAnsi="宋体" w:eastAsia="宋体" w:cs="宋体"/>
          <w:b/>
          <w:kern w:val="0"/>
          <w:sz w:val="32"/>
          <w:szCs w:val="32"/>
        </w:rPr>
      </w:pPr>
    </w:p>
    <w:p>
      <w:pPr>
        <w:pStyle w:val="2"/>
        <w:rPr>
          <w:rFonts w:hint="eastAsia" w:ascii="宋体" w:hAnsi="宋体" w:eastAsia="宋体" w:cs="宋体"/>
          <w:b/>
          <w:kern w:val="0"/>
          <w:sz w:val="32"/>
          <w:szCs w:val="32"/>
        </w:rPr>
      </w:pPr>
    </w:p>
    <w:p>
      <w:pPr>
        <w:pStyle w:val="3"/>
        <w:rPr>
          <w:rFonts w:hint="eastAsia" w:ascii="宋体" w:hAnsi="宋体" w:eastAsia="宋体" w:cs="宋体"/>
          <w:b/>
          <w:kern w:val="0"/>
          <w:sz w:val="32"/>
          <w:szCs w:val="32"/>
        </w:rPr>
      </w:pPr>
    </w:p>
    <w:p>
      <w:pPr>
        <w:pStyle w:val="4"/>
        <w:rPr>
          <w:rFonts w:hint="eastAsia"/>
        </w:rPr>
      </w:pPr>
    </w:p>
    <w:p>
      <w:pPr>
        <w:widowControl/>
        <w:spacing w:line="360" w:lineRule="auto"/>
        <w:ind w:left="150"/>
        <w:jc w:val="center"/>
        <w:rPr>
          <w:rFonts w:hint="eastAsia" w:ascii="宋体" w:hAnsi="宋体" w:eastAsia="宋体" w:cs="宋体"/>
          <w:b/>
          <w:kern w:val="0"/>
          <w:sz w:val="32"/>
          <w:szCs w:val="32"/>
        </w:rPr>
      </w:pPr>
      <w:r>
        <w:rPr>
          <w:rFonts w:hint="eastAsia" w:ascii="宋体" w:hAnsi="宋体" w:eastAsia="宋体" w:cs="宋体"/>
          <w:b/>
          <w:kern w:val="0"/>
          <w:sz w:val="32"/>
          <w:szCs w:val="32"/>
        </w:rPr>
        <w:t>三、本项目的特定资格要求</w:t>
      </w:r>
    </w:p>
    <w:p>
      <w:pPr>
        <w:spacing w:line="360" w:lineRule="auto"/>
        <w:jc w:val="center"/>
        <w:rPr>
          <w:rFonts w:hint="eastAsia" w:ascii="宋体" w:hAnsi="宋体" w:eastAsia="宋体" w:cs="宋体"/>
          <w:sz w:val="24"/>
        </w:rPr>
      </w:pPr>
      <w:r>
        <w:rPr>
          <w:rFonts w:hint="eastAsia" w:ascii="宋体" w:hAnsi="宋体" w:eastAsia="宋体" w:cs="宋体"/>
          <w:sz w:val="24"/>
        </w:rPr>
        <w:t>（根据招标公告本项目的特定资格要求提供相应的材料；未要求的，无需提供）</w:t>
      </w:r>
    </w:p>
    <w:p>
      <w:pPr>
        <w:rPr>
          <w:rFonts w:hint="eastAsia" w:ascii="宋体" w:hAnsi="宋体" w:eastAsia="宋体" w:cs="宋体"/>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pacing w:line="360" w:lineRule="auto"/>
        <w:jc w:val="both"/>
        <w:outlineLvl w:val="0"/>
        <w:rPr>
          <w:rFonts w:hint="eastAsia" w:ascii="宋体" w:hAnsi="宋体" w:eastAsia="宋体" w:cs="宋体"/>
          <w:b/>
          <w:kern w:val="0"/>
          <w:sz w:val="36"/>
          <w:szCs w:val="36"/>
        </w:rPr>
      </w:pPr>
    </w:p>
    <w:p>
      <w:pPr>
        <w:spacing w:line="360" w:lineRule="auto"/>
        <w:ind w:right="420" w:firstLine="3614" w:firstLineChars="1000"/>
        <w:rPr>
          <w:rFonts w:hint="eastAsia" w:ascii="宋体" w:hAnsi="宋体" w:eastAsia="宋体" w:cs="宋体"/>
          <w:b/>
          <w:kern w:val="0"/>
          <w:sz w:val="36"/>
          <w:szCs w:val="36"/>
        </w:rPr>
      </w:pPr>
    </w:p>
    <w:p>
      <w:pPr>
        <w:spacing w:line="360" w:lineRule="auto"/>
        <w:ind w:right="420" w:firstLine="3614" w:firstLineChars="1000"/>
        <w:rPr>
          <w:rFonts w:hint="eastAsia" w:ascii="宋体" w:hAnsi="宋体" w:eastAsia="宋体" w:cs="宋体"/>
          <w:b/>
          <w:kern w:val="0"/>
          <w:sz w:val="36"/>
          <w:szCs w:val="36"/>
        </w:rPr>
      </w:pPr>
      <w:r>
        <w:rPr>
          <w:rFonts w:hint="eastAsia" w:ascii="宋体" w:hAnsi="宋体" w:eastAsia="宋体" w:cs="宋体"/>
          <w:b/>
          <w:kern w:val="0"/>
          <w:sz w:val="36"/>
          <w:szCs w:val="36"/>
        </w:rPr>
        <w:t>商务技术文件部分</w:t>
      </w:r>
    </w:p>
    <w:p>
      <w:pPr>
        <w:spacing w:line="360" w:lineRule="auto"/>
        <w:jc w:val="center"/>
        <w:outlineLvl w:val="0"/>
        <w:rPr>
          <w:rFonts w:hint="eastAsia" w:ascii="宋体" w:hAnsi="宋体" w:eastAsia="宋体" w:cs="宋体"/>
          <w:b/>
          <w:kern w:val="0"/>
          <w:sz w:val="24"/>
        </w:rPr>
      </w:pPr>
    </w:p>
    <w:p>
      <w:pPr>
        <w:spacing w:line="360" w:lineRule="auto"/>
        <w:jc w:val="center"/>
        <w:outlineLvl w:val="0"/>
        <w:rPr>
          <w:rFonts w:hint="eastAsia" w:ascii="宋体" w:hAnsi="宋体" w:eastAsia="宋体" w:cs="宋体"/>
          <w:b/>
          <w:kern w:val="0"/>
          <w:sz w:val="28"/>
          <w:szCs w:val="28"/>
        </w:rPr>
      </w:pPr>
      <w:r>
        <w:rPr>
          <w:rFonts w:hint="eastAsia" w:ascii="宋体" w:hAnsi="宋体" w:eastAsia="宋体" w:cs="宋体"/>
          <w:b/>
          <w:kern w:val="0"/>
          <w:sz w:val="28"/>
          <w:szCs w:val="28"/>
        </w:rPr>
        <w:t>目录</w:t>
      </w:r>
    </w:p>
    <w:p>
      <w:pPr>
        <w:numPr>
          <w:ilvl w:val="0"/>
          <w:numId w:val="4"/>
        </w:numPr>
        <w:snapToGrid w:val="0"/>
        <w:spacing w:line="360" w:lineRule="auto"/>
        <w:ind w:left="479" w:leftChars="228"/>
        <w:rPr>
          <w:rFonts w:hint="eastAsia" w:ascii="宋体" w:hAnsi="宋体" w:eastAsia="宋体" w:cs="宋体"/>
        </w:rPr>
      </w:pPr>
      <w:r>
        <w:rPr>
          <w:rFonts w:hint="eastAsia" w:ascii="宋体" w:hAnsi="宋体" w:eastAsia="宋体" w:cs="宋体"/>
          <w:sz w:val="24"/>
        </w:rPr>
        <w:t>投标函</w:t>
      </w:r>
      <w:r>
        <w:rPr>
          <w:rFonts w:hint="eastAsia" w:ascii="宋体" w:hAnsi="宋体" w:eastAsia="宋体" w:cs="宋体"/>
        </w:rPr>
        <w:t>…………………………………………………………………………………（页码）</w:t>
      </w:r>
    </w:p>
    <w:p>
      <w:pPr>
        <w:numPr>
          <w:ilvl w:val="0"/>
          <w:numId w:val="0"/>
        </w:numPr>
        <w:snapToGrid w:val="0"/>
        <w:spacing w:line="360" w:lineRule="auto"/>
        <w:ind w:firstLine="480" w:firstLineChars="200"/>
        <w:rPr>
          <w:rFonts w:hint="eastAsia" w:ascii="宋体" w:hAnsi="宋体" w:eastAsia="宋体" w:cs="宋体"/>
        </w:rPr>
      </w:pPr>
      <w:r>
        <w:rPr>
          <w:rFonts w:hint="eastAsia" w:ascii="宋体" w:hAnsi="宋体" w:eastAsia="宋体" w:cs="宋体"/>
          <w:sz w:val="24"/>
        </w:rPr>
        <w:t>（2）授权委托书或法定代表人（单位负责人、自然人本人）身份证明</w:t>
      </w:r>
      <w:r>
        <w:rPr>
          <w:rFonts w:hint="eastAsia" w:ascii="宋体" w:hAnsi="宋体" w:eastAsia="宋体" w:cs="宋体"/>
        </w:rPr>
        <w:t>………（页码）</w:t>
      </w:r>
    </w:p>
    <w:p>
      <w:pPr>
        <w:snapToGrid w:val="0"/>
        <w:spacing w:line="360" w:lineRule="auto"/>
        <w:ind w:firstLine="480" w:firstLineChars="200"/>
        <w:rPr>
          <w:rFonts w:hint="eastAsia" w:ascii="宋体" w:hAnsi="宋体" w:eastAsia="宋体" w:cs="宋体"/>
        </w:rPr>
      </w:pPr>
      <w:r>
        <w:rPr>
          <w:rFonts w:hint="eastAsia" w:ascii="宋体" w:hAnsi="宋体" w:eastAsia="宋体" w:cs="宋体"/>
          <w:sz w:val="24"/>
        </w:rPr>
        <w:t>（</w:t>
      </w:r>
      <w:r>
        <w:rPr>
          <w:rFonts w:hint="eastAsia" w:ascii="宋体" w:hAnsi="宋体" w:cs="宋体"/>
          <w:sz w:val="24"/>
          <w:lang w:val="en-US" w:eastAsia="zh-CN"/>
        </w:rPr>
        <w:t>3</w:t>
      </w:r>
      <w:r>
        <w:rPr>
          <w:rFonts w:hint="eastAsia" w:ascii="宋体" w:hAnsi="宋体" w:eastAsia="宋体" w:cs="宋体"/>
          <w:sz w:val="24"/>
        </w:rPr>
        <w:t>）符合性审查资料</w:t>
      </w:r>
      <w:r>
        <w:rPr>
          <w:rFonts w:hint="eastAsia" w:ascii="宋体" w:hAnsi="宋体" w:eastAsia="宋体" w:cs="宋体"/>
        </w:rPr>
        <w:t>………………………………………………………………………（页码）</w:t>
      </w:r>
    </w:p>
    <w:p>
      <w:pPr>
        <w:snapToGrid w:val="0"/>
        <w:spacing w:line="360" w:lineRule="auto"/>
        <w:ind w:left="479" w:leftChars="228"/>
        <w:rPr>
          <w:rFonts w:hint="eastAsia" w:ascii="宋体" w:hAnsi="宋体" w:eastAsia="宋体" w:cs="宋体"/>
        </w:rPr>
      </w:pPr>
      <w:r>
        <w:rPr>
          <w:rFonts w:hint="eastAsia" w:ascii="宋体" w:hAnsi="宋体" w:eastAsia="宋体" w:cs="宋体"/>
          <w:sz w:val="24"/>
        </w:rPr>
        <w:t>（</w:t>
      </w:r>
      <w:r>
        <w:rPr>
          <w:rFonts w:hint="eastAsia" w:ascii="宋体" w:hAnsi="宋体" w:cs="宋体"/>
          <w:sz w:val="24"/>
          <w:lang w:val="en-US" w:eastAsia="zh-CN"/>
        </w:rPr>
        <w:t>4</w:t>
      </w:r>
      <w:r>
        <w:rPr>
          <w:rFonts w:hint="eastAsia" w:ascii="宋体" w:hAnsi="宋体" w:eastAsia="宋体" w:cs="宋体"/>
          <w:sz w:val="24"/>
        </w:rPr>
        <w:t>）评标标准相应的商务技术资料</w:t>
      </w:r>
      <w:r>
        <w:rPr>
          <w:rFonts w:hint="eastAsia" w:ascii="宋体" w:hAnsi="宋体" w:eastAsia="宋体" w:cs="宋体"/>
        </w:rPr>
        <w:t>…………………………</w:t>
      </w:r>
      <w:r>
        <w:rPr>
          <w:rFonts w:hint="eastAsia" w:ascii="宋体" w:hAnsi="宋体" w:eastAsia="宋体" w:cs="宋体"/>
          <w:sz w:val="24"/>
        </w:rPr>
        <w:t>………</w:t>
      </w:r>
      <w:r>
        <w:rPr>
          <w:rFonts w:hint="eastAsia" w:ascii="宋体" w:hAnsi="宋体" w:eastAsia="宋体" w:cs="宋体"/>
        </w:rPr>
        <w:t>…</w:t>
      </w:r>
      <w:r>
        <w:rPr>
          <w:rFonts w:hint="eastAsia" w:ascii="宋体" w:hAnsi="宋体" w:eastAsia="宋体" w:cs="宋体"/>
          <w:sz w:val="24"/>
        </w:rPr>
        <w:t>…</w:t>
      </w:r>
      <w:r>
        <w:rPr>
          <w:rFonts w:hint="eastAsia" w:ascii="宋体" w:hAnsi="宋体" w:eastAsia="宋体" w:cs="宋体"/>
        </w:rPr>
        <w:t>……………（页码）</w:t>
      </w:r>
    </w:p>
    <w:p>
      <w:pPr>
        <w:snapToGrid w:val="0"/>
        <w:spacing w:line="360" w:lineRule="auto"/>
        <w:ind w:left="479" w:leftChars="228"/>
        <w:rPr>
          <w:rFonts w:hint="eastAsia" w:ascii="宋体" w:hAnsi="宋体" w:eastAsia="宋体" w:cs="宋体"/>
        </w:rPr>
      </w:pPr>
      <w:r>
        <w:rPr>
          <w:rFonts w:hint="eastAsia" w:ascii="宋体" w:hAnsi="宋体" w:eastAsia="宋体" w:cs="宋体"/>
          <w:sz w:val="24"/>
        </w:rPr>
        <w:t>（</w:t>
      </w:r>
      <w:r>
        <w:rPr>
          <w:rFonts w:hint="eastAsia" w:ascii="宋体" w:hAnsi="宋体" w:cs="宋体"/>
          <w:sz w:val="24"/>
          <w:lang w:val="en-US" w:eastAsia="zh-CN"/>
        </w:rPr>
        <w:t>5</w:t>
      </w:r>
      <w:r>
        <w:rPr>
          <w:rFonts w:hint="eastAsia" w:ascii="宋体" w:hAnsi="宋体" w:eastAsia="宋体" w:cs="宋体"/>
          <w:sz w:val="24"/>
        </w:rPr>
        <w:t>）商务技术偏离表</w:t>
      </w:r>
      <w:r>
        <w:rPr>
          <w:rFonts w:hint="eastAsia" w:ascii="宋体" w:hAnsi="宋体" w:eastAsia="宋体" w:cs="宋体"/>
        </w:rPr>
        <w:t>………………………………………………………………………（页码）</w:t>
      </w:r>
    </w:p>
    <w:p>
      <w:pPr>
        <w:snapToGrid w:val="0"/>
        <w:spacing w:line="360" w:lineRule="auto"/>
        <w:ind w:left="479" w:leftChars="228"/>
        <w:rPr>
          <w:rFonts w:hint="eastAsia" w:ascii="宋体" w:hAnsi="宋体" w:eastAsia="宋体" w:cs="宋体"/>
        </w:rPr>
      </w:pPr>
      <w:r>
        <w:rPr>
          <w:rFonts w:hint="eastAsia" w:ascii="宋体" w:hAnsi="宋体" w:eastAsia="宋体" w:cs="宋体"/>
          <w:sz w:val="24"/>
          <w:lang w:val="zh-CN"/>
        </w:rPr>
        <w:t>（</w:t>
      </w:r>
      <w:r>
        <w:rPr>
          <w:rFonts w:hint="eastAsia" w:ascii="宋体" w:hAnsi="宋体" w:cs="宋体"/>
          <w:sz w:val="24"/>
          <w:lang w:val="en-US" w:eastAsia="zh-CN"/>
        </w:rPr>
        <w:t>6</w:t>
      </w:r>
      <w:r>
        <w:rPr>
          <w:rFonts w:hint="eastAsia" w:ascii="宋体" w:hAnsi="宋体" w:eastAsia="宋体" w:cs="宋体"/>
          <w:sz w:val="24"/>
          <w:lang w:val="zh-CN"/>
        </w:rPr>
        <w:t>）政府采购供应商廉洁自律承诺书</w:t>
      </w:r>
      <w:r>
        <w:rPr>
          <w:rFonts w:hint="eastAsia" w:ascii="宋体" w:hAnsi="宋体" w:eastAsia="宋体" w:cs="宋体"/>
        </w:rPr>
        <w:t>…………………………………………………（页码）</w:t>
      </w: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outlineLvl w:val="0"/>
        <w:rPr>
          <w:rFonts w:hint="eastAsia" w:ascii="宋体" w:hAnsi="宋体" w:eastAsia="宋体" w:cs="宋体"/>
          <w:b/>
          <w:kern w:val="0"/>
          <w:sz w:val="32"/>
          <w:szCs w:val="32"/>
        </w:rPr>
      </w:pPr>
    </w:p>
    <w:p>
      <w:pPr>
        <w:snapToGrid w:val="0"/>
        <w:spacing w:line="360" w:lineRule="auto"/>
        <w:jc w:val="center"/>
        <w:outlineLvl w:val="0"/>
        <w:rPr>
          <w:rFonts w:hint="eastAsia" w:ascii="宋体" w:hAnsi="宋体" w:eastAsia="宋体" w:cs="宋体"/>
          <w:b/>
          <w:kern w:val="0"/>
          <w:sz w:val="32"/>
          <w:szCs w:val="32"/>
        </w:rPr>
      </w:pPr>
    </w:p>
    <w:p>
      <w:pPr>
        <w:rPr>
          <w:rFonts w:hint="eastAsia" w:ascii="宋体" w:hAnsi="宋体" w:eastAsia="宋体" w:cs="宋体"/>
        </w:rPr>
      </w:pPr>
    </w:p>
    <w:p>
      <w:pPr>
        <w:snapToGrid w:val="0"/>
        <w:spacing w:line="360" w:lineRule="auto"/>
        <w:jc w:val="center"/>
        <w:outlineLvl w:val="0"/>
        <w:rPr>
          <w:rFonts w:hint="eastAsia" w:ascii="宋体" w:hAnsi="宋体" w:eastAsia="宋体" w:cs="宋体"/>
          <w:b/>
          <w:kern w:val="0"/>
          <w:sz w:val="32"/>
          <w:szCs w:val="32"/>
        </w:rPr>
      </w:pPr>
    </w:p>
    <w:p>
      <w:pPr>
        <w:snapToGrid w:val="0"/>
        <w:spacing w:line="360" w:lineRule="auto"/>
        <w:jc w:val="center"/>
        <w:outlineLvl w:val="0"/>
        <w:rPr>
          <w:rFonts w:hint="eastAsia" w:ascii="宋体" w:hAnsi="宋体" w:eastAsia="宋体" w:cs="宋体"/>
          <w:b/>
          <w:kern w:val="0"/>
          <w:sz w:val="32"/>
          <w:szCs w:val="32"/>
        </w:rPr>
      </w:pPr>
    </w:p>
    <w:p>
      <w:pPr>
        <w:snapToGrid w:val="0"/>
        <w:spacing w:line="360" w:lineRule="auto"/>
        <w:jc w:val="center"/>
        <w:outlineLvl w:val="0"/>
        <w:rPr>
          <w:rFonts w:hint="eastAsia" w:ascii="宋体" w:hAnsi="宋体" w:eastAsia="宋体" w:cs="宋体"/>
          <w:b/>
          <w:kern w:val="0"/>
          <w:sz w:val="32"/>
          <w:szCs w:val="32"/>
        </w:rPr>
      </w:pPr>
    </w:p>
    <w:p>
      <w:pPr>
        <w:snapToGrid w:val="0"/>
        <w:spacing w:line="360" w:lineRule="auto"/>
        <w:jc w:val="center"/>
        <w:outlineLvl w:val="0"/>
        <w:rPr>
          <w:rFonts w:hint="eastAsia" w:ascii="宋体" w:hAnsi="宋体" w:eastAsia="宋体" w:cs="宋体"/>
          <w:b/>
          <w:kern w:val="0"/>
          <w:sz w:val="32"/>
          <w:szCs w:val="32"/>
        </w:rPr>
      </w:pPr>
    </w:p>
    <w:p>
      <w:pPr>
        <w:snapToGrid w:val="0"/>
        <w:spacing w:line="360" w:lineRule="auto"/>
        <w:jc w:val="center"/>
        <w:outlineLvl w:val="0"/>
        <w:rPr>
          <w:rFonts w:hint="eastAsia" w:ascii="宋体" w:hAnsi="宋体" w:eastAsia="宋体" w:cs="宋体"/>
          <w:b/>
          <w:kern w:val="0"/>
          <w:sz w:val="32"/>
          <w:szCs w:val="32"/>
        </w:rPr>
      </w:pPr>
    </w:p>
    <w:p>
      <w:pPr>
        <w:snapToGrid w:val="0"/>
        <w:spacing w:line="360" w:lineRule="auto"/>
        <w:jc w:val="center"/>
        <w:outlineLvl w:val="0"/>
        <w:rPr>
          <w:rFonts w:hint="eastAsia" w:ascii="宋体" w:hAnsi="宋体" w:eastAsia="宋体" w:cs="宋体"/>
          <w:b/>
          <w:kern w:val="0"/>
          <w:sz w:val="32"/>
          <w:szCs w:val="32"/>
        </w:rPr>
      </w:pPr>
    </w:p>
    <w:p>
      <w:pPr>
        <w:pStyle w:val="2"/>
        <w:rPr>
          <w:rFonts w:hint="eastAsia"/>
        </w:rPr>
      </w:pPr>
    </w:p>
    <w:p>
      <w:pPr>
        <w:snapToGrid w:val="0"/>
        <w:spacing w:line="360" w:lineRule="auto"/>
        <w:jc w:val="center"/>
        <w:outlineLvl w:val="0"/>
        <w:rPr>
          <w:rFonts w:hint="eastAsia" w:ascii="宋体" w:hAnsi="宋体" w:eastAsia="宋体" w:cs="宋体"/>
          <w:b/>
          <w:kern w:val="0"/>
          <w:sz w:val="32"/>
          <w:szCs w:val="32"/>
        </w:rPr>
      </w:pPr>
    </w:p>
    <w:p>
      <w:pPr>
        <w:snapToGrid w:val="0"/>
        <w:spacing w:line="360" w:lineRule="auto"/>
        <w:jc w:val="center"/>
        <w:outlineLvl w:val="0"/>
        <w:rPr>
          <w:rFonts w:hint="eastAsia" w:ascii="宋体" w:hAnsi="宋体" w:eastAsia="宋体" w:cs="宋体"/>
          <w:b/>
          <w:sz w:val="32"/>
          <w:szCs w:val="32"/>
        </w:rPr>
      </w:pPr>
      <w:r>
        <w:rPr>
          <w:rFonts w:hint="eastAsia" w:ascii="宋体" w:hAnsi="宋体" w:eastAsia="宋体" w:cs="宋体"/>
          <w:b/>
          <w:kern w:val="0"/>
          <w:sz w:val="32"/>
          <w:szCs w:val="32"/>
        </w:rPr>
        <w:t>一、投标</w:t>
      </w:r>
      <w:r>
        <w:rPr>
          <w:rFonts w:hint="eastAsia" w:ascii="宋体" w:hAnsi="宋体" w:eastAsia="宋体" w:cs="宋体"/>
          <w:b/>
          <w:sz w:val="32"/>
          <w:szCs w:val="32"/>
        </w:rPr>
        <w:t>函</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sz w:val="24"/>
        </w:rPr>
      </w:pPr>
      <w:r>
        <w:rPr>
          <w:rFonts w:hint="eastAsia" w:ascii="宋体" w:hAnsi="宋体" w:eastAsia="宋体" w:cs="宋体"/>
          <w:sz w:val="24"/>
        </w:rPr>
        <w:t>（采购人）、（采购代理机构）：</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sz w:val="24"/>
        </w:rPr>
      </w:pPr>
      <w:r>
        <w:rPr>
          <w:rFonts w:hint="eastAsia" w:ascii="宋体" w:hAnsi="宋体" w:eastAsia="宋体" w:cs="宋体"/>
          <w:sz w:val="24"/>
        </w:rPr>
        <w:t>我方参加你方组织的（项目名称）【招标编号：（采购编号）】招标的有关活动，并对此项目进行投标。为此：</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sz w:val="24"/>
        </w:rPr>
      </w:pPr>
      <w:r>
        <w:rPr>
          <w:rFonts w:hint="eastAsia" w:ascii="宋体" w:hAnsi="宋体" w:eastAsia="宋体" w:cs="宋体"/>
          <w:sz w:val="24"/>
        </w:rPr>
        <w:t>1、我方承诺投标有效期从提交投标文件的截止之日起</w:t>
      </w:r>
      <w:r>
        <w:rPr>
          <w:rFonts w:hint="eastAsia" w:ascii="宋体" w:hAnsi="宋体" w:eastAsia="宋体" w:cs="宋体"/>
          <w:sz w:val="24"/>
          <w:u w:val="single"/>
        </w:rPr>
        <w:t xml:space="preserve">     </w:t>
      </w:r>
      <w:r>
        <w:rPr>
          <w:rFonts w:hint="eastAsia" w:ascii="宋体" w:hAnsi="宋体" w:eastAsia="宋体" w:cs="宋体"/>
          <w:sz w:val="24"/>
        </w:rPr>
        <w:t>天（不少于90天）</w:t>
      </w:r>
      <w:r>
        <w:rPr>
          <w:rFonts w:hint="eastAsia" w:ascii="宋体" w:hAnsi="宋体" w:eastAsia="宋体" w:cs="宋体"/>
        </w:rPr>
        <w:t>，</w:t>
      </w:r>
      <w:r>
        <w:rPr>
          <w:rFonts w:hint="eastAsia" w:ascii="宋体" w:hAnsi="宋体" w:eastAsia="宋体" w:cs="宋体"/>
          <w:sz w:val="24"/>
        </w:rPr>
        <w:t>本投标文件在投标有效期满之前均具有约束力。</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sz w:val="24"/>
        </w:rPr>
      </w:pPr>
      <w:r>
        <w:rPr>
          <w:rFonts w:hint="eastAsia" w:ascii="宋体" w:hAnsi="宋体" w:eastAsia="宋体" w:cs="宋体"/>
          <w:sz w:val="24"/>
        </w:rPr>
        <w:t>2、我方的投标文件包括以下内容：</w:t>
      </w:r>
    </w:p>
    <w:p>
      <w:pPr>
        <w:keepNext w:val="0"/>
        <w:keepLines w:val="0"/>
        <w:pageBreakBefore w:val="0"/>
        <w:widowControl w:val="0"/>
        <w:kinsoku/>
        <w:wordWrap/>
        <w:overflowPunct/>
        <w:topLinePunct w:val="0"/>
        <w:autoSpaceDE/>
        <w:autoSpaceDN/>
        <w:bidi w:val="0"/>
        <w:adjustRightInd w:val="0"/>
        <w:snapToGrid w:val="0"/>
        <w:spacing w:line="400" w:lineRule="exact"/>
        <w:ind w:left="210" w:leftChars="100" w:firstLine="480" w:firstLineChars="200"/>
        <w:textAlignment w:val="auto"/>
        <w:rPr>
          <w:rFonts w:hint="eastAsia" w:ascii="宋体" w:hAnsi="宋体" w:eastAsia="宋体" w:cs="宋体"/>
          <w:sz w:val="24"/>
        </w:rPr>
      </w:pPr>
      <w:r>
        <w:rPr>
          <w:rFonts w:hint="eastAsia" w:ascii="宋体" w:hAnsi="宋体" w:eastAsia="宋体" w:cs="宋体"/>
          <w:sz w:val="24"/>
        </w:rPr>
        <w:t>2.1资格文件：</w:t>
      </w:r>
    </w:p>
    <w:p>
      <w:pPr>
        <w:keepNext w:val="0"/>
        <w:keepLines w:val="0"/>
        <w:pageBreakBefore w:val="0"/>
        <w:widowControl w:val="0"/>
        <w:kinsoku/>
        <w:wordWrap/>
        <w:overflowPunct/>
        <w:topLinePunct w:val="0"/>
        <w:autoSpaceDE/>
        <w:autoSpaceDN/>
        <w:bidi w:val="0"/>
        <w:adjustRightInd w:val="0"/>
        <w:snapToGrid w:val="0"/>
        <w:spacing w:line="400" w:lineRule="exact"/>
        <w:ind w:left="420" w:leftChars="200" w:firstLine="480" w:firstLineChars="200"/>
        <w:textAlignment w:val="auto"/>
        <w:rPr>
          <w:rFonts w:hint="eastAsia" w:ascii="宋体" w:hAnsi="宋体" w:eastAsia="宋体" w:cs="宋体"/>
          <w:sz w:val="24"/>
        </w:rPr>
      </w:pPr>
      <w:r>
        <w:rPr>
          <w:rFonts w:hint="eastAsia" w:ascii="宋体" w:hAnsi="宋体" w:eastAsia="宋体" w:cs="宋体"/>
          <w:sz w:val="24"/>
        </w:rPr>
        <w:t>2.1.1承诺函；</w:t>
      </w:r>
    </w:p>
    <w:p>
      <w:pPr>
        <w:keepNext w:val="0"/>
        <w:keepLines w:val="0"/>
        <w:pageBreakBefore w:val="0"/>
        <w:widowControl w:val="0"/>
        <w:kinsoku/>
        <w:wordWrap/>
        <w:overflowPunct/>
        <w:topLinePunct w:val="0"/>
        <w:autoSpaceDE/>
        <w:autoSpaceDN/>
        <w:bidi w:val="0"/>
        <w:adjustRightInd w:val="0"/>
        <w:snapToGrid w:val="0"/>
        <w:spacing w:line="400" w:lineRule="exact"/>
        <w:ind w:left="420" w:leftChars="200" w:firstLine="480" w:firstLineChars="200"/>
        <w:textAlignment w:val="auto"/>
        <w:rPr>
          <w:rFonts w:hint="eastAsia" w:ascii="宋体" w:hAnsi="宋体" w:eastAsia="宋体" w:cs="宋体"/>
          <w:sz w:val="24"/>
        </w:rPr>
      </w:pPr>
      <w:r>
        <w:rPr>
          <w:rFonts w:hint="eastAsia" w:ascii="宋体" w:hAnsi="宋体" w:eastAsia="宋体" w:cs="宋体"/>
          <w:sz w:val="24"/>
        </w:rPr>
        <w:t>2.1.2落实政府采购政策需满足的资格要求（如果有）；</w:t>
      </w:r>
    </w:p>
    <w:p>
      <w:pPr>
        <w:keepNext w:val="0"/>
        <w:keepLines w:val="0"/>
        <w:pageBreakBefore w:val="0"/>
        <w:widowControl w:val="0"/>
        <w:kinsoku/>
        <w:wordWrap/>
        <w:overflowPunct/>
        <w:topLinePunct w:val="0"/>
        <w:autoSpaceDE/>
        <w:autoSpaceDN/>
        <w:bidi w:val="0"/>
        <w:adjustRightInd w:val="0"/>
        <w:snapToGrid w:val="0"/>
        <w:spacing w:line="400" w:lineRule="exact"/>
        <w:ind w:left="420" w:leftChars="200" w:firstLine="480" w:firstLineChars="200"/>
        <w:textAlignment w:val="auto"/>
        <w:rPr>
          <w:rFonts w:hint="eastAsia" w:ascii="宋体" w:hAnsi="宋体" w:eastAsia="宋体" w:cs="宋体"/>
          <w:sz w:val="24"/>
        </w:rPr>
      </w:pPr>
      <w:r>
        <w:rPr>
          <w:rFonts w:hint="eastAsia" w:ascii="宋体" w:hAnsi="宋体" w:eastAsia="宋体" w:cs="宋体"/>
          <w:sz w:val="24"/>
        </w:rPr>
        <w:t>2.1.3本项目的特定资格要求（如果有）。</w:t>
      </w:r>
    </w:p>
    <w:p>
      <w:pPr>
        <w:keepNext w:val="0"/>
        <w:keepLines w:val="0"/>
        <w:pageBreakBefore w:val="0"/>
        <w:widowControl w:val="0"/>
        <w:kinsoku/>
        <w:wordWrap/>
        <w:overflowPunct/>
        <w:topLinePunct w:val="0"/>
        <w:autoSpaceDE/>
        <w:autoSpaceDN/>
        <w:bidi w:val="0"/>
        <w:adjustRightInd w:val="0"/>
        <w:snapToGrid w:val="0"/>
        <w:spacing w:line="400" w:lineRule="exact"/>
        <w:ind w:left="210" w:leftChars="100" w:firstLine="480" w:firstLineChars="200"/>
        <w:textAlignment w:val="auto"/>
        <w:rPr>
          <w:rFonts w:hint="eastAsia" w:ascii="宋体" w:hAnsi="宋体" w:eastAsia="宋体" w:cs="宋体"/>
          <w:sz w:val="24"/>
          <w:lang w:val="zh-CN"/>
        </w:rPr>
      </w:pPr>
      <w:r>
        <w:rPr>
          <w:rFonts w:hint="eastAsia" w:ascii="宋体" w:hAnsi="宋体" w:eastAsia="宋体" w:cs="宋体"/>
          <w:sz w:val="24"/>
        </w:rPr>
        <w:t>2</w:t>
      </w:r>
      <w:r>
        <w:rPr>
          <w:rFonts w:hint="eastAsia" w:ascii="宋体" w:hAnsi="宋体" w:eastAsia="宋体" w:cs="宋体"/>
          <w:sz w:val="24"/>
          <w:lang w:val="zh-CN"/>
        </w:rPr>
        <w:t>.</w:t>
      </w:r>
      <w:r>
        <w:rPr>
          <w:rFonts w:hint="eastAsia" w:ascii="宋体" w:hAnsi="宋体" w:eastAsia="宋体" w:cs="宋体"/>
          <w:sz w:val="24"/>
        </w:rPr>
        <w:t>2</w:t>
      </w:r>
      <w:r>
        <w:rPr>
          <w:rFonts w:hint="eastAsia" w:ascii="宋体" w:hAnsi="宋体" w:eastAsia="宋体" w:cs="宋体"/>
          <w:sz w:val="24"/>
          <w:lang w:val="zh-CN"/>
        </w:rPr>
        <w:t xml:space="preserve"> </w:t>
      </w:r>
      <w:r>
        <w:rPr>
          <w:rFonts w:hint="eastAsia" w:ascii="宋体" w:hAnsi="宋体" w:eastAsia="宋体" w:cs="宋体"/>
          <w:sz w:val="24"/>
        </w:rPr>
        <w:t>商务技术</w:t>
      </w:r>
      <w:r>
        <w:rPr>
          <w:rFonts w:hint="eastAsia" w:ascii="宋体" w:hAnsi="宋体" w:eastAsia="宋体" w:cs="宋体"/>
          <w:sz w:val="24"/>
          <w:lang w:val="zh-CN"/>
        </w:rPr>
        <w:t>文件：</w:t>
      </w:r>
    </w:p>
    <w:p>
      <w:pPr>
        <w:keepNext w:val="0"/>
        <w:keepLines w:val="0"/>
        <w:pageBreakBefore w:val="0"/>
        <w:widowControl w:val="0"/>
        <w:kinsoku/>
        <w:wordWrap/>
        <w:overflowPunct/>
        <w:topLinePunct w:val="0"/>
        <w:autoSpaceDE/>
        <w:autoSpaceDN/>
        <w:bidi w:val="0"/>
        <w:adjustRightInd w:val="0"/>
        <w:snapToGrid w:val="0"/>
        <w:spacing w:line="400" w:lineRule="exact"/>
        <w:ind w:left="420" w:leftChars="200" w:firstLine="480" w:firstLineChars="200"/>
        <w:textAlignment w:val="auto"/>
        <w:rPr>
          <w:rFonts w:hint="eastAsia" w:ascii="宋体" w:hAnsi="宋体" w:eastAsia="宋体" w:cs="宋体"/>
          <w:sz w:val="24"/>
        </w:rPr>
      </w:pPr>
      <w:r>
        <w:rPr>
          <w:rFonts w:hint="eastAsia" w:ascii="宋体" w:hAnsi="宋体" w:eastAsia="宋体" w:cs="宋体"/>
          <w:sz w:val="24"/>
        </w:rPr>
        <w:t>2.2.1投标函；</w:t>
      </w:r>
      <w:r>
        <w:rPr>
          <w:rFonts w:hint="eastAsia" w:ascii="宋体" w:hAnsi="宋体" w:eastAsia="宋体" w:cs="宋体"/>
          <w:sz w:val="24"/>
          <w:lang w:val="zh-CN"/>
        </w:rPr>
        <w:t xml:space="preserve"> </w:t>
      </w:r>
    </w:p>
    <w:p>
      <w:pPr>
        <w:keepNext w:val="0"/>
        <w:keepLines w:val="0"/>
        <w:pageBreakBefore w:val="0"/>
        <w:widowControl w:val="0"/>
        <w:kinsoku/>
        <w:wordWrap/>
        <w:overflowPunct/>
        <w:topLinePunct w:val="0"/>
        <w:autoSpaceDE/>
        <w:autoSpaceDN/>
        <w:bidi w:val="0"/>
        <w:adjustRightInd w:val="0"/>
        <w:snapToGrid w:val="0"/>
        <w:spacing w:line="400" w:lineRule="exact"/>
        <w:ind w:left="420" w:leftChars="200" w:firstLine="480" w:firstLineChars="200"/>
        <w:textAlignment w:val="auto"/>
        <w:rPr>
          <w:rFonts w:hint="eastAsia" w:ascii="宋体" w:hAnsi="宋体" w:eastAsia="宋体" w:cs="宋体"/>
          <w:sz w:val="24"/>
        </w:rPr>
      </w:pPr>
      <w:r>
        <w:rPr>
          <w:rFonts w:hint="eastAsia" w:ascii="宋体" w:hAnsi="宋体" w:eastAsia="宋体" w:cs="宋体"/>
          <w:sz w:val="24"/>
        </w:rPr>
        <w:t>2.2.2授权委托书或法定代表人（单位负责人）身份证明；</w:t>
      </w:r>
    </w:p>
    <w:p>
      <w:pPr>
        <w:keepNext w:val="0"/>
        <w:keepLines w:val="0"/>
        <w:pageBreakBefore w:val="0"/>
        <w:widowControl w:val="0"/>
        <w:kinsoku/>
        <w:wordWrap/>
        <w:overflowPunct/>
        <w:topLinePunct w:val="0"/>
        <w:autoSpaceDE/>
        <w:autoSpaceDN/>
        <w:bidi w:val="0"/>
        <w:adjustRightInd w:val="0"/>
        <w:snapToGrid w:val="0"/>
        <w:spacing w:line="400" w:lineRule="exact"/>
        <w:ind w:left="420" w:leftChars="200" w:firstLine="480" w:firstLineChars="200"/>
        <w:textAlignment w:val="auto"/>
        <w:rPr>
          <w:rFonts w:hint="eastAsia" w:ascii="宋体" w:hAnsi="宋体" w:eastAsia="宋体" w:cs="宋体"/>
          <w:sz w:val="24"/>
        </w:rPr>
      </w:pPr>
      <w:r>
        <w:rPr>
          <w:rFonts w:hint="eastAsia" w:ascii="宋体" w:hAnsi="宋体" w:eastAsia="宋体" w:cs="宋体"/>
          <w:sz w:val="24"/>
        </w:rPr>
        <w:t>2.2.</w:t>
      </w:r>
      <w:r>
        <w:rPr>
          <w:rFonts w:hint="eastAsia" w:ascii="宋体" w:hAnsi="宋体" w:cs="宋体"/>
          <w:sz w:val="24"/>
          <w:lang w:val="en-US" w:eastAsia="zh-CN"/>
        </w:rPr>
        <w:t>3</w:t>
      </w:r>
      <w:r>
        <w:rPr>
          <w:rFonts w:hint="eastAsia" w:ascii="宋体" w:hAnsi="宋体" w:eastAsia="宋体" w:cs="宋体"/>
          <w:sz w:val="24"/>
        </w:rPr>
        <w:t>符合性审查资料；</w:t>
      </w:r>
    </w:p>
    <w:p>
      <w:pPr>
        <w:keepNext w:val="0"/>
        <w:keepLines w:val="0"/>
        <w:pageBreakBefore w:val="0"/>
        <w:widowControl w:val="0"/>
        <w:kinsoku/>
        <w:wordWrap/>
        <w:overflowPunct/>
        <w:topLinePunct w:val="0"/>
        <w:autoSpaceDE/>
        <w:autoSpaceDN/>
        <w:bidi w:val="0"/>
        <w:adjustRightInd w:val="0"/>
        <w:snapToGrid w:val="0"/>
        <w:spacing w:line="400" w:lineRule="exact"/>
        <w:ind w:left="420" w:leftChars="200" w:firstLine="480" w:firstLineChars="200"/>
        <w:textAlignment w:val="auto"/>
        <w:rPr>
          <w:rFonts w:hint="eastAsia" w:ascii="宋体" w:hAnsi="宋体" w:eastAsia="宋体" w:cs="宋体"/>
          <w:sz w:val="24"/>
        </w:rPr>
      </w:pPr>
      <w:r>
        <w:rPr>
          <w:rFonts w:hint="eastAsia" w:ascii="宋体" w:hAnsi="宋体" w:eastAsia="宋体" w:cs="宋体"/>
          <w:sz w:val="24"/>
        </w:rPr>
        <w:t>2.2.</w:t>
      </w:r>
      <w:r>
        <w:rPr>
          <w:rFonts w:hint="eastAsia" w:ascii="宋体" w:hAnsi="宋体" w:cs="宋体"/>
          <w:sz w:val="24"/>
          <w:lang w:val="en-US" w:eastAsia="zh-CN"/>
        </w:rPr>
        <w:t>4</w:t>
      </w:r>
      <w:r>
        <w:rPr>
          <w:rFonts w:hint="eastAsia" w:ascii="宋体" w:hAnsi="宋体" w:eastAsia="宋体" w:cs="宋体"/>
          <w:sz w:val="24"/>
        </w:rPr>
        <w:t>评标标准相应的商务技术资料；</w:t>
      </w:r>
    </w:p>
    <w:p>
      <w:pPr>
        <w:keepNext w:val="0"/>
        <w:keepLines w:val="0"/>
        <w:pageBreakBefore w:val="0"/>
        <w:widowControl w:val="0"/>
        <w:kinsoku/>
        <w:wordWrap/>
        <w:overflowPunct/>
        <w:topLinePunct w:val="0"/>
        <w:autoSpaceDE/>
        <w:autoSpaceDN/>
        <w:bidi w:val="0"/>
        <w:adjustRightInd w:val="0"/>
        <w:snapToGrid w:val="0"/>
        <w:spacing w:line="400" w:lineRule="exact"/>
        <w:ind w:left="420" w:leftChars="200" w:firstLine="480" w:firstLineChars="200"/>
        <w:textAlignment w:val="auto"/>
        <w:rPr>
          <w:rFonts w:hint="eastAsia" w:ascii="宋体" w:hAnsi="宋体" w:eastAsia="宋体" w:cs="宋体"/>
          <w:sz w:val="24"/>
        </w:rPr>
      </w:pPr>
      <w:r>
        <w:rPr>
          <w:rFonts w:hint="eastAsia" w:ascii="宋体" w:hAnsi="宋体" w:eastAsia="宋体" w:cs="宋体"/>
          <w:sz w:val="24"/>
        </w:rPr>
        <w:t>2.2.</w:t>
      </w:r>
      <w:r>
        <w:rPr>
          <w:rFonts w:hint="eastAsia" w:ascii="宋体" w:hAnsi="宋体" w:cs="宋体"/>
          <w:sz w:val="24"/>
          <w:lang w:val="en-US" w:eastAsia="zh-CN"/>
        </w:rPr>
        <w:t>5</w:t>
      </w:r>
      <w:r>
        <w:rPr>
          <w:rFonts w:hint="eastAsia" w:ascii="宋体" w:hAnsi="宋体" w:eastAsia="宋体" w:cs="宋体"/>
          <w:sz w:val="24"/>
        </w:rPr>
        <w:t>商务技术偏离表；</w:t>
      </w:r>
    </w:p>
    <w:p>
      <w:pPr>
        <w:keepNext w:val="0"/>
        <w:keepLines w:val="0"/>
        <w:pageBreakBefore w:val="0"/>
        <w:widowControl w:val="0"/>
        <w:kinsoku/>
        <w:wordWrap/>
        <w:overflowPunct/>
        <w:topLinePunct w:val="0"/>
        <w:autoSpaceDE/>
        <w:autoSpaceDN/>
        <w:bidi w:val="0"/>
        <w:adjustRightInd w:val="0"/>
        <w:snapToGrid w:val="0"/>
        <w:spacing w:line="400" w:lineRule="exact"/>
        <w:ind w:left="420" w:leftChars="200" w:firstLine="480" w:firstLineChars="200"/>
        <w:textAlignment w:val="auto"/>
        <w:rPr>
          <w:rFonts w:hint="eastAsia" w:ascii="宋体" w:hAnsi="宋体" w:eastAsia="宋体" w:cs="宋体"/>
          <w:sz w:val="24"/>
          <w:lang w:val="zh-CN"/>
        </w:rPr>
      </w:pPr>
      <w:r>
        <w:rPr>
          <w:rFonts w:hint="eastAsia" w:ascii="宋体" w:hAnsi="宋体" w:eastAsia="宋体" w:cs="宋体"/>
          <w:sz w:val="24"/>
        </w:rPr>
        <w:t>2</w:t>
      </w:r>
      <w:r>
        <w:rPr>
          <w:rFonts w:hint="eastAsia" w:ascii="宋体" w:hAnsi="宋体" w:eastAsia="宋体" w:cs="宋体"/>
          <w:sz w:val="24"/>
          <w:lang w:val="zh-CN"/>
        </w:rPr>
        <w:t>.</w:t>
      </w:r>
      <w:r>
        <w:rPr>
          <w:rFonts w:hint="eastAsia" w:ascii="宋体" w:hAnsi="宋体" w:eastAsia="宋体" w:cs="宋体"/>
          <w:sz w:val="24"/>
        </w:rPr>
        <w:t>2</w:t>
      </w:r>
      <w:r>
        <w:rPr>
          <w:rFonts w:hint="eastAsia" w:ascii="宋体" w:hAnsi="宋体" w:eastAsia="宋体" w:cs="宋体"/>
          <w:sz w:val="24"/>
          <w:lang w:val="zh-CN"/>
        </w:rPr>
        <w:t>.</w:t>
      </w:r>
      <w:r>
        <w:rPr>
          <w:rFonts w:hint="eastAsia" w:ascii="宋体" w:hAnsi="宋体" w:cs="宋体"/>
          <w:sz w:val="24"/>
          <w:lang w:val="en-US" w:eastAsia="zh-CN"/>
        </w:rPr>
        <w:t>6</w:t>
      </w:r>
      <w:r>
        <w:rPr>
          <w:rFonts w:hint="eastAsia" w:ascii="宋体" w:hAnsi="宋体" w:eastAsia="宋体" w:cs="宋体"/>
          <w:sz w:val="24"/>
          <w:lang w:val="zh-CN"/>
        </w:rPr>
        <w:t>政府采购供应商廉洁自律承诺书；</w:t>
      </w:r>
    </w:p>
    <w:p>
      <w:pPr>
        <w:keepNext w:val="0"/>
        <w:keepLines w:val="0"/>
        <w:pageBreakBefore w:val="0"/>
        <w:widowControl w:val="0"/>
        <w:kinsoku/>
        <w:wordWrap/>
        <w:overflowPunct/>
        <w:topLinePunct w:val="0"/>
        <w:autoSpaceDE/>
        <w:autoSpaceDN/>
        <w:bidi w:val="0"/>
        <w:adjustRightInd w:val="0"/>
        <w:snapToGrid w:val="0"/>
        <w:spacing w:line="400" w:lineRule="exact"/>
        <w:ind w:left="210" w:leftChars="100" w:firstLine="480" w:firstLineChars="200"/>
        <w:textAlignment w:val="auto"/>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 w:val="24"/>
          <w:lang w:val="zh-CN"/>
        </w:rPr>
        <w:t>.</w:t>
      </w:r>
      <w:r>
        <w:rPr>
          <w:rFonts w:hint="eastAsia" w:ascii="宋体" w:hAnsi="宋体" w:eastAsia="宋体" w:cs="宋体"/>
          <w:sz w:val="24"/>
        </w:rPr>
        <w:t>3报价文件</w:t>
      </w:r>
    </w:p>
    <w:p>
      <w:pPr>
        <w:keepNext w:val="0"/>
        <w:keepLines w:val="0"/>
        <w:pageBreakBefore w:val="0"/>
        <w:widowControl w:val="0"/>
        <w:kinsoku/>
        <w:wordWrap/>
        <w:overflowPunct/>
        <w:topLinePunct w:val="0"/>
        <w:autoSpaceDE/>
        <w:autoSpaceDN/>
        <w:bidi w:val="0"/>
        <w:adjustRightInd w:val="0"/>
        <w:snapToGrid w:val="0"/>
        <w:spacing w:line="400" w:lineRule="exact"/>
        <w:ind w:left="420" w:leftChars="200" w:firstLine="480" w:firstLineChars="200"/>
        <w:textAlignment w:val="auto"/>
        <w:rPr>
          <w:rFonts w:hint="eastAsia" w:ascii="宋体" w:hAnsi="宋体" w:eastAsia="宋体" w:cs="宋体"/>
          <w:sz w:val="24"/>
        </w:rPr>
      </w:pPr>
      <w:r>
        <w:rPr>
          <w:rFonts w:hint="eastAsia" w:ascii="宋体" w:hAnsi="宋体" w:eastAsia="宋体" w:cs="宋体"/>
          <w:sz w:val="24"/>
        </w:rPr>
        <w:t>2.3.1开标一览表（报价表）；</w:t>
      </w:r>
    </w:p>
    <w:p>
      <w:pPr>
        <w:pStyle w:val="2"/>
        <w:ind w:left="0" w:leftChars="0" w:firstLine="960" w:firstLineChars="400"/>
        <w:rPr>
          <w:rFonts w:hint="eastAsia"/>
        </w:rPr>
      </w:pPr>
      <w:r>
        <w:rPr>
          <w:rFonts w:hint="eastAsia"/>
          <w:lang w:val="en-US" w:eastAsia="zh-CN"/>
        </w:rPr>
        <w:t>2.3.2</w:t>
      </w:r>
      <w:r>
        <w:rPr>
          <w:rFonts w:hint="eastAsia"/>
        </w:rPr>
        <w:t>报价明细表</w:t>
      </w:r>
    </w:p>
    <w:p>
      <w:pPr>
        <w:keepNext w:val="0"/>
        <w:keepLines w:val="0"/>
        <w:pageBreakBefore w:val="0"/>
        <w:widowControl w:val="0"/>
        <w:kinsoku/>
        <w:wordWrap/>
        <w:overflowPunct/>
        <w:topLinePunct w:val="0"/>
        <w:autoSpaceDE/>
        <w:autoSpaceDN/>
        <w:bidi w:val="0"/>
        <w:adjustRightInd w:val="0"/>
        <w:snapToGrid w:val="0"/>
        <w:spacing w:line="400" w:lineRule="exact"/>
        <w:ind w:left="420" w:leftChars="200" w:firstLine="480" w:firstLineChars="200"/>
        <w:textAlignment w:val="auto"/>
        <w:rPr>
          <w:rFonts w:hint="eastAsia" w:ascii="宋体" w:hAnsi="宋体" w:eastAsia="宋体" w:cs="宋体"/>
          <w:sz w:val="24"/>
        </w:rPr>
      </w:pPr>
      <w:r>
        <w:rPr>
          <w:rFonts w:hint="eastAsia" w:ascii="宋体" w:hAnsi="宋体" w:eastAsia="宋体" w:cs="宋体"/>
          <w:sz w:val="24"/>
        </w:rPr>
        <w:t>2.3.</w:t>
      </w:r>
      <w:r>
        <w:rPr>
          <w:rFonts w:hint="eastAsia" w:ascii="宋体" w:hAnsi="宋体" w:cs="宋体"/>
          <w:sz w:val="24"/>
          <w:lang w:val="en-US" w:eastAsia="zh-CN"/>
        </w:rPr>
        <w:t>3</w:t>
      </w:r>
      <w:r>
        <w:rPr>
          <w:rFonts w:hint="eastAsia" w:ascii="宋体" w:hAnsi="宋体" w:eastAsia="宋体" w:cs="宋体"/>
          <w:sz w:val="24"/>
        </w:rPr>
        <w:t>中小企业声明函（如果有）。</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sz w:val="24"/>
        </w:rPr>
      </w:pPr>
      <w:r>
        <w:rPr>
          <w:rFonts w:hint="eastAsia" w:ascii="宋体" w:hAnsi="宋体" w:eastAsia="宋体" w:cs="宋体"/>
          <w:sz w:val="24"/>
        </w:rPr>
        <w:t>3、我方承诺除商务技术偏离表列出的偏离外，我方响应招标文件的全部要求。</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sz w:val="24"/>
        </w:rPr>
      </w:pPr>
      <w:r>
        <w:rPr>
          <w:rFonts w:hint="eastAsia" w:ascii="宋体" w:hAnsi="宋体" w:eastAsia="宋体" w:cs="宋体"/>
          <w:sz w:val="24"/>
        </w:rPr>
        <w:t>4、如我方中标，我方承诺：</w:t>
      </w:r>
    </w:p>
    <w:p>
      <w:pPr>
        <w:keepNext w:val="0"/>
        <w:keepLines w:val="0"/>
        <w:pageBreakBefore w:val="0"/>
        <w:widowControl w:val="0"/>
        <w:kinsoku/>
        <w:wordWrap/>
        <w:overflowPunct/>
        <w:topLinePunct w:val="0"/>
        <w:autoSpaceDE/>
        <w:autoSpaceDN/>
        <w:bidi w:val="0"/>
        <w:adjustRightInd w:val="0"/>
        <w:snapToGrid w:val="0"/>
        <w:spacing w:line="400" w:lineRule="exact"/>
        <w:ind w:left="210" w:leftChars="100" w:firstLine="480" w:firstLineChars="200"/>
        <w:textAlignment w:val="auto"/>
        <w:rPr>
          <w:rFonts w:hint="eastAsia" w:ascii="宋体" w:hAnsi="宋体" w:eastAsia="宋体" w:cs="宋体"/>
          <w:sz w:val="24"/>
        </w:rPr>
      </w:pPr>
      <w:r>
        <w:rPr>
          <w:rFonts w:hint="eastAsia" w:ascii="宋体" w:hAnsi="宋体" w:eastAsia="宋体" w:cs="宋体"/>
          <w:sz w:val="24"/>
        </w:rPr>
        <w:t xml:space="preserve">4.1在收到中标通知书后，在中标通知书规定的期限内与你方签订合同； </w:t>
      </w:r>
    </w:p>
    <w:p>
      <w:pPr>
        <w:keepNext w:val="0"/>
        <w:keepLines w:val="0"/>
        <w:pageBreakBefore w:val="0"/>
        <w:widowControl w:val="0"/>
        <w:kinsoku/>
        <w:wordWrap/>
        <w:overflowPunct/>
        <w:topLinePunct w:val="0"/>
        <w:autoSpaceDE/>
        <w:autoSpaceDN/>
        <w:bidi w:val="0"/>
        <w:adjustRightInd w:val="0"/>
        <w:snapToGrid w:val="0"/>
        <w:spacing w:line="400" w:lineRule="exact"/>
        <w:ind w:left="210" w:leftChars="100" w:firstLine="480" w:firstLineChars="200"/>
        <w:textAlignment w:val="auto"/>
        <w:rPr>
          <w:rFonts w:hint="eastAsia" w:ascii="宋体" w:hAnsi="宋体" w:eastAsia="宋体" w:cs="宋体"/>
          <w:sz w:val="24"/>
        </w:rPr>
      </w:pPr>
      <w:r>
        <w:rPr>
          <w:rFonts w:hint="eastAsia" w:ascii="宋体" w:hAnsi="宋体" w:eastAsia="宋体" w:cs="宋体"/>
          <w:sz w:val="24"/>
        </w:rPr>
        <w:t xml:space="preserve">4.2在签订合同时不向你方提出附加条件； </w:t>
      </w:r>
    </w:p>
    <w:p>
      <w:pPr>
        <w:keepNext w:val="0"/>
        <w:keepLines w:val="0"/>
        <w:pageBreakBefore w:val="0"/>
        <w:widowControl w:val="0"/>
        <w:kinsoku/>
        <w:wordWrap/>
        <w:overflowPunct/>
        <w:topLinePunct w:val="0"/>
        <w:autoSpaceDE/>
        <w:autoSpaceDN/>
        <w:bidi w:val="0"/>
        <w:adjustRightInd w:val="0"/>
        <w:snapToGrid w:val="0"/>
        <w:spacing w:line="400" w:lineRule="exact"/>
        <w:ind w:left="210" w:leftChars="100" w:firstLine="480" w:firstLineChars="200"/>
        <w:textAlignment w:val="auto"/>
        <w:rPr>
          <w:rFonts w:hint="eastAsia" w:ascii="宋体" w:hAnsi="宋体" w:eastAsia="宋体" w:cs="宋体"/>
          <w:sz w:val="24"/>
        </w:rPr>
      </w:pPr>
      <w:r>
        <w:rPr>
          <w:rFonts w:hint="eastAsia" w:ascii="宋体" w:hAnsi="宋体" w:eastAsia="宋体" w:cs="宋体"/>
          <w:sz w:val="24"/>
        </w:rPr>
        <w:t xml:space="preserve">4.3按照招标文件要求提交履约保证金； </w:t>
      </w:r>
    </w:p>
    <w:p>
      <w:pPr>
        <w:keepNext w:val="0"/>
        <w:keepLines w:val="0"/>
        <w:pageBreakBefore w:val="0"/>
        <w:widowControl w:val="0"/>
        <w:kinsoku/>
        <w:wordWrap/>
        <w:overflowPunct/>
        <w:topLinePunct w:val="0"/>
        <w:autoSpaceDE/>
        <w:autoSpaceDN/>
        <w:bidi w:val="0"/>
        <w:adjustRightInd w:val="0"/>
        <w:snapToGrid w:val="0"/>
        <w:spacing w:line="400" w:lineRule="exact"/>
        <w:ind w:left="210" w:leftChars="100" w:firstLine="480" w:firstLineChars="200"/>
        <w:textAlignment w:val="auto"/>
        <w:rPr>
          <w:rFonts w:hint="eastAsia" w:ascii="宋体" w:hAnsi="宋体" w:eastAsia="宋体" w:cs="宋体"/>
          <w:sz w:val="24"/>
        </w:rPr>
      </w:pPr>
      <w:r>
        <w:rPr>
          <w:rFonts w:hint="eastAsia" w:ascii="宋体" w:hAnsi="宋体" w:eastAsia="宋体" w:cs="宋体"/>
          <w:sz w:val="24"/>
        </w:rPr>
        <w:t xml:space="preserve">4.4在合同约定的期限内完成合同规定的全部义务。 </w:t>
      </w:r>
    </w:p>
    <w:p>
      <w:pPr>
        <w:snapToGrid w:val="0"/>
        <w:spacing w:line="360" w:lineRule="auto"/>
        <w:ind w:left="210" w:leftChars="100" w:firstLine="480" w:firstLineChars="200"/>
        <w:rPr>
          <w:rFonts w:hint="eastAsia" w:ascii="宋体" w:hAnsi="宋体" w:eastAsia="宋体" w:cs="宋体"/>
          <w:sz w:val="24"/>
        </w:rPr>
      </w:pPr>
      <w:r>
        <w:rPr>
          <w:rFonts w:hint="eastAsia" w:ascii="宋体" w:hAnsi="宋体" w:eastAsia="宋体" w:cs="宋体"/>
          <w:sz w:val="24"/>
        </w:rPr>
        <w:t>5、其他补充说明:</w:t>
      </w:r>
      <w:r>
        <w:rPr>
          <w:rFonts w:hint="eastAsia" w:ascii="宋体" w:hAnsi="宋体" w:eastAsia="宋体" w:cs="宋体"/>
          <w:sz w:val="24"/>
          <w:u w:val="single"/>
        </w:rPr>
        <w:t xml:space="preserve">                                        </w:t>
      </w:r>
      <w:r>
        <w:rPr>
          <w:rFonts w:hint="eastAsia" w:ascii="宋体" w:hAnsi="宋体" w:eastAsia="宋体" w:cs="宋体"/>
          <w:sz w:val="24"/>
        </w:rPr>
        <w:t>。</w:t>
      </w:r>
    </w:p>
    <w:p>
      <w:pPr>
        <w:spacing w:line="360" w:lineRule="auto"/>
        <w:ind w:firstLine="3600" w:firstLineChars="1500"/>
        <w:rPr>
          <w:rFonts w:hint="eastAsia" w:ascii="宋体" w:hAnsi="宋体" w:eastAsia="宋体" w:cs="宋体"/>
          <w:sz w:val="24"/>
        </w:rPr>
      </w:pPr>
      <w:r>
        <w:rPr>
          <w:rFonts w:hint="eastAsia" w:ascii="宋体" w:hAnsi="宋体" w:eastAsia="宋体" w:cs="宋体"/>
          <w:sz w:val="24"/>
        </w:rPr>
        <w:t xml:space="preserve">投标人名称（电子签名）：                          </w:t>
      </w:r>
    </w:p>
    <w:p>
      <w:pPr>
        <w:spacing w:line="360" w:lineRule="auto"/>
        <w:jc w:val="center"/>
        <w:rPr>
          <w:rFonts w:hint="eastAsia" w:ascii="宋体" w:hAnsi="宋体" w:eastAsia="宋体" w:cs="宋体"/>
          <w:sz w:val="24"/>
        </w:rPr>
      </w:pPr>
      <w:r>
        <w:rPr>
          <w:rFonts w:hint="eastAsia" w:ascii="宋体" w:hAnsi="宋体" w:eastAsia="宋体" w:cs="宋体"/>
          <w:sz w:val="24"/>
        </w:rPr>
        <w:t xml:space="preserve">     日期：  年   月   日</w:t>
      </w:r>
    </w:p>
    <w:p>
      <w:pPr>
        <w:snapToGrid w:val="0"/>
        <w:spacing w:line="360" w:lineRule="auto"/>
        <w:ind w:left="420" w:leftChars="200" w:firstLine="4200" w:firstLineChars="1750"/>
        <w:rPr>
          <w:rFonts w:hint="eastAsia" w:ascii="宋体" w:hAnsi="宋体" w:eastAsia="宋体" w:cs="宋体"/>
          <w:kern w:val="0"/>
          <w:sz w:val="24"/>
          <w:u w:val="single"/>
          <w:lang w:val="zh-CN"/>
        </w:rPr>
      </w:pPr>
    </w:p>
    <w:p>
      <w:pPr>
        <w:jc w:val="both"/>
        <w:rPr>
          <w:rFonts w:hint="eastAsia" w:ascii="宋体" w:hAnsi="宋体" w:eastAsia="宋体" w:cs="宋体"/>
          <w:b/>
          <w:kern w:val="0"/>
          <w:sz w:val="32"/>
          <w:szCs w:val="32"/>
          <w:lang w:val="zh-CN"/>
        </w:rPr>
      </w:pPr>
    </w:p>
    <w:p>
      <w:pPr>
        <w:jc w:val="both"/>
        <w:rPr>
          <w:rFonts w:hint="eastAsia" w:ascii="宋体" w:hAnsi="宋体" w:eastAsia="宋体" w:cs="宋体"/>
          <w:b/>
          <w:kern w:val="0"/>
          <w:sz w:val="32"/>
          <w:szCs w:val="32"/>
          <w:lang w:val="zh-CN"/>
        </w:rPr>
      </w:pPr>
      <w:r>
        <w:rPr>
          <w:rFonts w:hint="eastAsia" w:ascii="宋体" w:hAnsi="宋体" w:eastAsia="宋体" w:cs="宋体"/>
          <w:b/>
          <w:kern w:val="0"/>
          <w:sz w:val="32"/>
          <w:szCs w:val="32"/>
          <w:lang w:val="zh-CN"/>
        </w:rPr>
        <w:t>二、授权委托书或法定代表人（单位负责人、自然人本人）身份证明</w:t>
      </w:r>
    </w:p>
    <w:p>
      <w:pPr>
        <w:snapToGrid w:val="0"/>
        <w:spacing w:line="360" w:lineRule="auto"/>
        <w:rPr>
          <w:rFonts w:hint="eastAsia" w:ascii="宋体" w:hAnsi="宋体" w:eastAsia="宋体" w:cs="宋体"/>
          <w:sz w:val="24"/>
        </w:rPr>
      </w:pPr>
      <w:r>
        <w:rPr>
          <w:rFonts w:hint="eastAsia" w:ascii="宋体" w:hAnsi="宋体" w:eastAsia="宋体" w:cs="宋体"/>
          <w:sz w:val="24"/>
        </w:rPr>
        <w:t xml:space="preserve">                                </w:t>
      </w:r>
    </w:p>
    <w:p>
      <w:pPr>
        <w:snapToGrid w:val="0"/>
        <w:spacing w:line="360" w:lineRule="auto"/>
        <w:ind w:firstLine="2872" w:firstLineChars="894"/>
        <w:rPr>
          <w:rFonts w:hint="eastAsia" w:ascii="宋体" w:hAnsi="宋体" w:eastAsia="宋体" w:cs="宋体"/>
        </w:rPr>
      </w:pPr>
      <w:r>
        <w:rPr>
          <w:rFonts w:hint="eastAsia" w:ascii="宋体" w:hAnsi="宋体" w:eastAsia="宋体" w:cs="宋体"/>
          <w:b/>
          <w:kern w:val="0"/>
          <w:sz w:val="32"/>
          <w:szCs w:val="32"/>
          <w:lang w:val="zh-CN"/>
        </w:rPr>
        <w:t>授权委托书（适用于非联合体投标）</w:t>
      </w:r>
      <w:r>
        <w:rPr>
          <w:rFonts w:hint="eastAsia" w:ascii="宋体" w:hAnsi="宋体" w:eastAsia="宋体" w:cs="宋体"/>
        </w:rPr>
        <w:t xml:space="preserve">                               </w:t>
      </w:r>
    </w:p>
    <w:p>
      <w:pPr>
        <w:snapToGrid w:val="0"/>
        <w:spacing w:line="360" w:lineRule="auto"/>
        <w:rPr>
          <w:rFonts w:hint="eastAsia" w:ascii="宋体" w:hAnsi="宋体" w:eastAsia="宋体" w:cs="宋体"/>
          <w:kern w:val="0"/>
          <w:sz w:val="24"/>
        </w:rPr>
      </w:pPr>
      <w:r>
        <w:rPr>
          <w:rFonts w:hint="eastAsia" w:ascii="宋体" w:hAnsi="宋体" w:eastAsia="宋体" w:cs="宋体"/>
          <w:sz w:val="24"/>
        </w:rPr>
        <w:t>（采购人）、（采购代理机构）</w:t>
      </w:r>
      <w:r>
        <w:rPr>
          <w:rFonts w:hint="eastAsia" w:ascii="宋体" w:hAnsi="宋体" w:eastAsia="宋体" w:cs="宋体"/>
          <w:kern w:val="0"/>
          <w:sz w:val="24"/>
          <w:lang w:val="zh-CN"/>
        </w:rPr>
        <w:t>：</w:t>
      </w:r>
    </w:p>
    <w:p>
      <w:pPr>
        <w:snapToGrid w:val="0"/>
        <w:spacing w:line="360" w:lineRule="auto"/>
        <w:ind w:firstLine="576"/>
        <w:rPr>
          <w:rFonts w:hint="eastAsia" w:ascii="宋体" w:hAnsi="宋体" w:eastAsia="宋体" w:cs="宋体"/>
          <w:kern w:val="0"/>
          <w:sz w:val="24"/>
        </w:rPr>
      </w:pPr>
      <w:r>
        <w:rPr>
          <w:rFonts w:hint="eastAsia" w:ascii="宋体" w:hAnsi="宋体" w:eastAsia="宋体" w:cs="宋体"/>
          <w:kern w:val="0"/>
          <w:sz w:val="24"/>
        </w:rPr>
        <w:t>现</w:t>
      </w:r>
      <w:r>
        <w:rPr>
          <w:rFonts w:hint="eastAsia" w:ascii="宋体" w:hAnsi="宋体" w:eastAsia="宋体" w:cs="宋体"/>
          <w:kern w:val="0"/>
          <w:sz w:val="24"/>
          <w:lang w:val="zh-CN"/>
        </w:rPr>
        <w:t>委托</w:t>
      </w:r>
      <w:r>
        <w:rPr>
          <w:rFonts w:hint="eastAsia" w:ascii="宋体" w:hAnsi="宋体" w:eastAsia="宋体" w:cs="宋体"/>
          <w:kern w:val="0"/>
          <w:sz w:val="24"/>
          <w:u w:val="single"/>
          <w:lang w:val="zh-CN"/>
        </w:rPr>
        <w:t xml:space="preserve">          </w:t>
      </w:r>
      <w:r>
        <w:rPr>
          <w:rFonts w:hint="eastAsia" w:ascii="宋体" w:hAnsi="宋体" w:eastAsia="宋体" w:cs="宋体"/>
          <w:kern w:val="0"/>
          <w:sz w:val="24"/>
          <w:lang w:val="zh-CN"/>
        </w:rPr>
        <w:t>（姓名）为我方代理人（身份证号码：</w:t>
      </w:r>
      <w:r>
        <w:rPr>
          <w:rFonts w:hint="eastAsia" w:ascii="宋体" w:hAnsi="宋体" w:eastAsia="宋体" w:cs="宋体"/>
          <w:kern w:val="0"/>
          <w:sz w:val="24"/>
          <w:u w:val="single"/>
          <w:lang w:val="zh-CN"/>
        </w:rPr>
        <w:t xml:space="preserve">          </w:t>
      </w:r>
      <w:r>
        <w:rPr>
          <w:rFonts w:hint="eastAsia" w:ascii="宋体" w:hAnsi="宋体" w:eastAsia="宋体" w:cs="宋体"/>
          <w:kern w:val="0"/>
          <w:sz w:val="24"/>
          <w:lang w:val="zh-CN"/>
        </w:rPr>
        <w:t>，手机：</w:t>
      </w:r>
      <w:r>
        <w:rPr>
          <w:rFonts w:hint="eastAsia" w:ascii="宋体" w:hAnsi="宋体" w:eastAsia="宋体" w:cs="宋体"/>
          <w:kern w:val="0"/>
          <w:sz w:val="24"/>
          <w:u w:val="single"/>
          <w:lang w:val="zh-CN"/>
        </w:rPr>
        <w:t xml:space="preserve">          </w:t>
      </w:r>
      <w:r>
        <w:rPr>
          <w:rFonts w:hint="eastAsia" w:ascii="宋体" w:hAnsi="宋体" w:eastAsia="宋体" w:cs="宋体"/>
          <w:kern w:val="0"/>
          <w:sz w:val="24"/>
          <w:lang w:val="zh-CN"/>
        </w:rPr>
        <w:t>），以我方名义处理</w:t>
      </w:r>
      <w:r>
        <w:rPr>
          <w:rFonts w:hint="eastAsia" w:ascii="宋体" w:hAnsi="宋体" w:eastAsia="宋体" w:cs="宋体"/>
          <w:sz w:val="24"/>
        </w:rPr>
        <w:t>（项目名称）【招标编号：（采购编号）】</w:t>
      </w:r>
      <w:r>
        <w:rPr>
          <w:rFonts w:hint="eastAsia" w:ascii="宋体" w:hAnsi="宋体" w:eastAsia="宋体" w:cs="宋体"/>
          <w:kern w:val="0"/>
          <w:sz w:val="24"/>
          <w:lang w:val="zh-CN"/>
        </w:rPr>
        <w:t>政府采购投标的一切事项，其法律后果由我方承担。</w:t>
      </w:r>
    </w:p>
    <w:p>
      <w:pPr>
        <w:snapToGrid w:val="0"/>
        <w:spacing w:line="360" w:lineRule="auto"/>
        <w:rPr>
          <w:rFonts w:hint="eastAsia" w:ascii="宋体" w:hAnsi="宋体" w:eastAsia="宋体" w:cs="宋体"/>
          <w:kern w:val="0"/>
          <w:sz w:val="24"/>
        </w:rPr>
      </w:pPr>
      <w:r>
        <w:rPr>
          <w:rFonts w:hint="eastAsia" w:ascii="宋体" w:hAnsi="宋体" w:eastAsia="宋体" w:cs="宋体"/>
          <w:kern w:val="0"/>
          <w:sz w:val="24"/>
        </w:rPr>
        <w:t xml:space="preserve">    </w:t>
      </w:r>
      <w:r>
        <w:rPr>
          <w:rFonts w:hint="eastAsia" w:ascii="宋体" w:hAnsi="宋体" w:eastAsia="宋体" w:cs="宋体"/>
          <w:kern w:val="0"/>
          <w:sz w:val="24"/>
          <w:lang w:val="zh-CN"/>
        </w:rPr>
        <w:t>委托期限</w:t>
      </w:r>
      <w:r>
        <w:rPr>
          <w:rFonts w:hint="eastAsia" w:ascii="宋体" w:hAnsi="宋体" w:eastAsia="宋体" w:cs="宋体"/>
          <w:kern w:val="0"/>
          <w:sz w:val="24"/>
        </w:rPr>
        <w:t>：</w:t>
      </w:r>
      <w:r>
        <w:rPr>
          <w:rFonts w:hint="eastAsia" w:ascii="宋体" w:hAnsi="宋体" w:eastAsia="宋体" w:cs="宋体"/>
          <w:kern w:val="0"/>
          <w:sz w:val="24"/>
          <w:lang w:val="zh-CN"/>
        </w:rPr>
        <w:t>自</w:t>
      </w:r>
      <w:r>
        <w:rPr>
          <w:rFonts w:hint="eastAsia" w:ascii="宋体" w:hAnsi="宋体" w:eastAsia="宋体" w:cs="宋体"/>
          <w:kern w:val="0"/>
          <w:sz w:val="24"/>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lang w:val="zh-CN"/>
        </w:rPr>
        <w:t>日起至</w:t>
      </w:r>
      <w:r>
        <w:rPr>
          <w:rFonts w:hint="eastAsia" w:ascii="宋体" w:hAnsi="宋体" w:eastAsia="宋体" w:cs="宋体"/>
          <w:kern w:val="0"/>
          <w:sz w:val="24"/>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lang w:val="zh-CN"/>
        </w:rPr>
        <w:t>日止。</w:t>
      </w:r>
    </w:p>
    <w:p>
      <w:pPr>
        <w:snapToGrid w:val="0"/>
        <w:spacing w:line="360" w:lineRule="auto"/>
        <w:rPr>
          <w:rFonts w:hint="eastAsia" w:ascii="宋体" w:hAnsi="宋体" w:eastAsia="宋体" w:cs="宋体"/>
          <w:kern w:val="0"/>
          <w:sz w:val="24"/>
        </w:rPr>
      </w:pPr>
      <w:r>
        <w:rPr>
          <w:rFonts w:hint="eastAsia" w:ascii="宋体" w:hAnsi="宋体" w:eastAsia="宋体" w:cs="宋体"/>
          <w:kern w:val="0"/>
          <w:sz w:val="24"/>
        </w:rPr>
        <w:t xml:space="preserve">    </w:t>
      </w:r>
      <w:r>
        <w:rPr>
          <w:rFonts w:hint="eastAsia" w:ascii="宋体" w:hAnsi="宋体" w:eastAsia="宋体" w:cs="宋体"/>
          <w:kern w:val="0"/>
          <w:sz w:val="24"/>
          <w:lang w:val="zh-CN"/>
        </w:rPr>
        <w:t>特此告知。</w:t>
      </w:r>
    </w:p>
    <w:p>
      <w:pPr>
        <w:snapToGrid w:val="0"/>
        <w:spacing w:line="360" w:lineRule="auto"/>
        <w:rPr>
          <w:rFonts w:hint="eastAsia" w:ascii="宋体" w:hAnsi="宋体" w:eastAsia="宋体" w:cs="宋体"/>
          <w:kern w:val="0"/>
          <w:sz w:val="24"/>
        </w:rPr>
      </w:pPr>
      <w:r>
        <w:rPr>
          <w:rFonts w:hint="eastAsia" w:ascii="宋体" w:hAnsi="宋体" w:eastAsia="宋体" w:cs="宋体"/>
          <w:kern w:val="0"/>
          <w:sz w:val="24"/>
          <w:lang w:val="zh-CN"/>
        </w:rPr>
        <w:t xml:space="preserve">                                                 投标人名称(电子签名)：</w:t>
      </w:r>
    </w:p>
    <w:p>
      <w:pPr>
        <w:snapToGrid w:val="0"/>
        <w:spacing w:line="360" w:lineRule="auto"/>
        <w:rPr>
          <w:rFonts w:hint="eastAsia" w:ascii="宋体" w:hAnsi="宋体" w:eastAsia="宋体" w:cs="宋体"/>
          <w:kern w:val="0"/>
          <w:sz w:val="24"/>
          <w:lang w:val="zh-CN"/>
        </w:rPr>
      </w:pPr>
      <w:r>
        <w:rPr>
          <w:rFonts w:hint="eastAsia" w:ascii="宋体" w:hAnsi="宋体" w:eastAsia="宋体" w:cs="宋体"/>
          <w:kern w:val="0"/>
          <w:sz w:val="24"/>
          <w:lang w:val="zh-CN"/>
        </w:rPr>
        <w:t xml:space="preserve">                                                 签发日期：  年  月   日</w:t>
      </w:r>
    </w:p>
    <w:p>
      <w:pPr>
        <w:snapToGrid w:val="0"/>
        <w:spacing w:line="360" w:lineRule="auto"/>
        <w:rPr>
          <w:rFonts w:hint="eastAsia" w:ascii="宋体" w:hAnsi="宋体" w:eastAsia="宋体" w:cs="宋体"/>
          <w:sz w:val="24"/>
        </w:rPr>
      </w:pPr>
    </w:p>
    <w:p>
      <w:pPr>
        <w:autoSpaceDE w:val="0"/>
        <w:autoSpaceDN w:val="0"/>
        <w:spacing w:line="360" w:lineRule="auto"/>
        <w:jc w:val="center"/>
        <w:rPr>
          <w:rFonts w:hint="eastAsia" w:ascii="宋体" w:hAnsi="宋体" w:eastAsia="宋体" w:cs="宋体"/>
          <w:b/>
          <w:sz w:val="24"/>
        </w:rPr>
      </w:pPr>
      <w:r>
        <w:rPr>
          <w:rFonts w:hint="eastAsia" w:ascii="宋体" w:hAnsi="宋体" w:eastAsia="宋体" w:cs="宋体"/>
          <w:b/>
          <w:kern w:val="0"/>
          <w:sz w:val="32"/>
          <w:szCs w:val="32"/>
          <w:lang w:val="zh-CN"/>
        </w:rPr>
        <w:t>法定代表人、单位负责人或自然人本人</w:t>
      </w:r>
      <w:r>
        <w:rPr>
          <w:rFonts w:hint="eastAsia" w:ascii="宋体" w:hAnsi="宋体" w:eastAsia="宋体" w:cs="宋体"/>
          <w:b/>
          <w:sz w:val="30"/>
          <w:szCs w:val="30"/>
        </w:rPr>
        <w:t>的身份证明（适用于法定代表人、单位负责人或者自然人本人代表投标人参加投标）</w:t>
      </w:r>
    </w:p>
    <w:p>
      <w:pPr>
        <w:pStyle w:val="146"/>
        <w:spacing w:line="360" w:lineRule="auto"/>
        <w:rPr>
          <w:rFonts w:hint="eastAsia" w:ascii="宋体" w:hAnsi="宋体" w:eastAsia="宋体" w:cs="宋体"/>
          <w:bCs/>
          <w:sz w:val="24"/>
        </w:rPr>
      </w:pPr>
      <w:r>
        <w:rPr>
          <w:rFonts w:hint="eastAsia" w:ascii="宋体" w:hAnsi="宋体" w:eastAsia="宋体" w:cs="宋体"/>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2" w:hRule="atLeast"/>
          <w:jc w:val="center"/>
        </w:trPr>
        <w:tc>
          <w:tcPr>
            <w:tcW w:w="9207" w:type="dxa"/>
          </w:tcPr>
          <w:p>
            <w:pPr>
              <w:pStyle w:val="146"/>
              <w:adjustRightInd w:val="0"/>
              <w:spacing w:line="360" w:lineRule="auto"/>
              <w:rPr>
                <w:rFonts w:hint="eastAsia" w:ascii="宋体" w:hAnsi="宋体" w:eastAsia="宋体" w:cs="宋体"/>
                <w:bCs/>
                <w:sz w:val="24"/>
              </w:rPr>
            </w:pPr>
            <w:r>
              <w:rPr>
                <w:rFonts w:hint="eastAsia" w:ascii="宋体" w:hAnsi="宋体" w:eastAsia="宋体" w:cs="宋体"/>
                <w:bCs/>
                <w:sz w:val="24"/>
              </w:rPr>
              <w:t>正面：                                 反面：</w:t>
            </w:r>
          </w:p>
          <w:p>
            <w:pPr>
              <w:pStyle w:val="146"/>
              <w:adjustRightInd w:val="0"/>
              <w:spacing w:line="360" w:lineRule="auto"/>
              <w:rPr>
                <w:rFonts w:hint="eastAsia" w:ascii="宋体" w:hAnsi="宋体" w:eastAsia="宋体" w:cs="宋体"/>
                <w:bCs/>
                <w:sz w:val="24"/>
              </w:rPr>
            </w:pPr>
          </w:p>
        </w:tc>
      </w:tr>
    </w:tbl>
    <w:p>
      <w:pPr>
        <w:snapToGrid w:val="0"/>
        <w:spacing w:line="360" w:lineRule="auto"/>
        <w:ind w:firstLine="576"/>
        <w:jc w:val="center"/>
        <w:rPr>
          <w:rFonts w:hint="eastAsia" w:ascii="宋体" w:hAnsi="宋体" w:eastAsia="宋体" w:cs="宋体"/>
          <w:kern w:val="0"/>
          <w:sz w:val="24"/>
          <w:lang w:val="zh-CN"/>
        </w:rPr>
      </w:pPr>
      <w:r>
        <w:rPr>
          <w:rFonts w:hint="eastAsia" w:ascii="宋体" w:hAnsi="宋体" w:eastAsia="宋体" w:cs="宋体"/>
          <w:kern w:val="0"/>
          <w:sz w:val="24"/>
          <w:lang w:val="zh-CN"/>
        </w:rPr>
        <w:t xml:space="preserve">                 </w:t>
      </w:r>
    </w:p>
    <w:p>
      <w:pPr>
        <w:snapToGrid w:val="0"/>
        <w:spacing w:line="360" w:lineRule="auto"/>
        <w:ind w:firstLine="576"/>
        <w:jc w:val="center"/>
        <w:rPr>
          <w:rFonts w:hint="eastAsia" w:ascii="宋体" w:hAnsi="宋体" w:eastAsia="宋体" w:cs="宋体"/>
          <w:kern w:val="0"/>
          <w:sz w:val="24"/>
          <w:lang w:val="zh-CN"/>
        </w:rPr>
      </w:pPr>
      <w:r>
        <w:rPr>
          <w:rFonts w:hint="eastAsia" w:ascii="宋体" w:hAnsi="宋体" w:eastAsia="宋体" w:cs="宋体"/>
          <w:kern w:val="0"/>
          <w:sz w:val="24"/>
          <w:lang w:val="zh-CN"/>
        </w:rPr>
        <w:t xml:space="preserve">                  投标人名称(电子签名)：                              </w:t>
      </w:r>
    </w:p>
    <w:p>
      <w:pPr>
        <w:spacing w:line="360" w:lineRule="auto"/>
        <w:jc w:val="center"/>
        <w:rPr>
          <w:rFonts w:hint="eastAsia" w:ascii="宋体" w:hAnsi="宋体" w:eastAsia="宋体" w:cs="宋体"/>
          <w:kern w:val="0"/>
          <w:sz w:val="24"/>
          <w:lang w:val="zh-CN"/>
        </w:rPr>
      </w:pPr>
      <w:r>
        <w:rPr>
          <w:rFonts w:hint="eastAsia" w:ascii="宋体" w:hAnsi="宋体" w:eastAsia="宋体" w:cs="宋体"/>
          <w:kern w:val="0"/>
          <w:sz w:val="24"/>
          <w:lang w:val="zh-CN"/>
        </w:rPr>
        <w:t xml:space="preserve">                   日期：  年  月  日</w:t>
      </w:r>
    </w:p>
    <w:p>
      <w:pPr>
        <w:jc w:val="center"/>
        <w:rPr>
          <w:rFonts w:hint="eastAsia" w:ascii="宋体" w:hAnsi="宋体" w:eastAsia="宋体" w:cs="宋体"/>
          <w:b/>
          <w:kern w:val="0"/>
          <w:sz w:val="32"/>
          <w:szCs w:val="32"/>
        </w:rPr>
      </w:pPr>
    </w:p>
    <w:p>
      <w:pPr>
        <w:jc w:val="both"/>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r>
        <w:rPr>
          <w:rFonts w:hint="eastAsia" w:ascii="宋体" w:hAnsi="宋体" w:cs="宋体"/>
          <w:b/>
          <w:kern w:val="0"/>
          <w:sz w:val="32"/>
          <w:szCs w:val="32"/>
          <w:lang w:eastAsia="zh-CN"/>
        </w:rPr>
        <w:t>三</w:t>
      </w:r>
      <w:r>
        <w:rPr>
          <w:rFonts w:hint="eastAsia" w:ascii="宋体" w:hAnsi="宋体" w:eastAsia="宋体" w:cs="宋体"/>
          <w:b/>
          <w:kern w:val="0"/>
          <w:sz w:val="32"/>
          <w:szCs w:val="32"/>
        </w:rPr>
        <w:t>、符合性审查资料</w:t>
      </w:r>
    </w:p>
    <w:p>
      <w:pPr>
        <w:jc w:val="center"/>
        <w:rPr>
          <w:rFonts w:hint="eastAsia" w:ascii="宋体" w:hAnsi="宋体" w:eastAsia="宋体" w:cs="宋体"/>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宋体" w:hAnsi="宋体" w:eastAsia="宋体" w:cs="宋体"/>
                <w:b/>
                <w:sz w:val="24"/>
              </w:rPr>
            </w:pPr>
            <w:r>
              <w:rPr>
                <w:rFonts w:hint="eastAsia" w:ascii="宋体" w:hAnsi="宋体" w:eastAsia="宋体" w:cs="宋体"/>
                <w:b/>
                <w:sz w:val="24"/>
              </w:rPr>
              <w:t>序号</w:t>
            </w:r>
          </w:p>
        </w:tc>
        <w:tc>
          <w:tcPr>
            <w:tcW w:w="4991" w:type="dxa"/>
            <w:vAlign w:val="center"/>
          </w:tcPr>
          <w:p>
            <w:pPr>
              <w:snapToGrid w:val="0"/>
              <w:spacing w:line="240" w:lineRule="atLeast"/>
              <w:jc w:val="center"/>
              <w:rPr>
                <w:rFonts w:hint="eastAsia" w:ascii="宋体" w:hAnsi="宋体" w:eastAsia="宋体" w:cs="宋体"/>
                <w:b/>
                <w:sz w:val="24"/>
              </w:rPr>
            </w:pPr>
            <w:r>
              <w:rPr>
                <w:rFonts w:hint="eastAsia" w:ascii="宋体" w:hAnsi="宋体" w:eastAsia="宋体" w:cs="宋体"/>
                <w:b/>
                <w:sz w:val="24"/>
              </w:rPr>
              <w:t>实质性要求</w:t>
            </w:r>
          </w:p>
        </w:tc>
        <w:tc>
          <w:tcPr>
            <w:tcW w:w="2551" w:type="dxa"/>
            <w:vAlign w:val="center"/>
          </w:tcPr>
          <w:p>
            <w:pPr>
              <w:snapToGrid w:val="0"/>
              <w:spacing w:line="240" w:lineRule="atLeast"/>
              <w:jc w:val="center"/>
              <w:rPr>
                <w:rFonts w:hint="eastAsia" w:ascii="宋体" w:hAnsi="宋体" w:eastAsia="宋体" w:cs="宋体"/>
                <w:b/>
                <w:sz w:val="24"/>
              </w:rPr>
            </w:pPr>
            <w:r>
              <w:rPr>
                <w:rFonts w:hint="eastAsia" w:ascii="宋体" w:hAnsi="宋体" w:eastAsia="宋体" w:cs="宋体"/>
                <w:b/>
                <w:sz w:val="24"/>
              </w:rPr>
              <w:t>需要提供的符合性审查资料</w:t>
            </w:r>
          </w:p>
        </w:tc>
        <w:tc>
          <w:tcPr>
            <w:tcW w:w="1418" w:type="dxa"/>
            <w:vAlign w:val="center"/>
          </w:tcPr>
          <w:p>
            <w:pPr>
              <w:snapToGrid w:val="0"/>
              <w:spacing w:line="240" w:lineRule="atLeast"/>
              <w:jc w:val="center"/>
              <w:rPr>
                <w:rFonts w:hint="eastAsia" w:ascii="宋体" w:hAnsi="宋体" w:eastAsia="宋体" w:cs="宋体"/>
                <w:b/>
                <w:sz w:val="24"/>
              </w:rPr>
            </w:pPr>
            <w:r>
              <w:rPr>
                <w:rFonts w:hint="eastAsia" w:ascii="宋体" w:hAnsi="宋体" w:eastAsia="宋体" w:cs="宋体"/>
                <w:b/>
                <w:sz w:val="24"/>
              </w:rPr>
              <w:t>投标文件中的</w:t>
            </w:r>
          </w:p>
          <w:p>
            <w:pPr>
              <w:snapToGrid w:val="0"/>
              <w:spacing w:line="240" w:lineRule="atLeast"/>
              <w:jc w:val="center"/>
              <w:rPr>
                <w:rFonts w:hint="eastAsia" w:ascii="宋体" w:hAnsi="宋体" w:eastAsia="宋体" w:cs="宋体"/>
                <w:b/>
                <w:sz w:val="24"/>
              </w:rPr>
            </w:pPr>
            <w:r>
              <w:rPr>
                <w:rFonts w:hint="eastAsia" w:ascii="宋体" w:hAnsi="宋体" w:eastAsia="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宋体" w:hAnsi="宋体" w:eastAsia="宋体" w:cs="宋体"/>
                <w:sz w:val="24"/>
              </w:rPr>
            </w:pPr>
            <w:r>
              <w:rPr>
                <w:rFonts w:hint="eastAsia" w:ascii="宋体" w:hAnsi="宋体" w:eastAsia="宋体" w:cs="宋体"/>
                <w:sz w:val="24"/>
              </w:rPr>
              <w:t>1</w:t>
            </w:r>
          </w:p>
        </w:tc>
        <w:tc>
          <w:tcPr>
            <w:tcW w:w="4991"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投标文件按照招标文件要求签署、盖章。</w:t>
            </w:r>
          </w:p>
        </w:tc>
        <w:tc>
          <w:tcPr>
            <w:tcW w:w="2551" w:type="dxa"/>
            <w:vAlign w:val="center"/>
          </w:tcPr>
          <w:p>
            <w:pPr>
              <w:jc w:val="center"/>
              <w:rPr>
                <w:rFonts w:hint="eastAsia" w:ascii="宋体" w:hAnsi="宋体" w:eastAsia="宋体" w:cs="宋体"/>
                <w:sz w:val="24"/>
              </w:rPr>
            </w:pPr>
            <w:r>
              <w:rPr>
                <w:rFonts w:hint="eastAsia" w:ascii="宋体" w:hAnsi="宋体" w:eastAsia="宋体" w:cs="宋体"/>
                <w:sz w:val="24"/>
              </w:rPr>
              <w:t>需要使用电子签名或者签字盖章的投标文件的组成部分</w:t>
            </w:r>
          </w:p>
        </w:tc>
        <w:tc>
          <w:tcPr>
            <w:tcW w:w="1418" w:type="dxa"/>
            <w:vAlign w:val="center"/>
          </w:tcPr>
          <w:p>
            <w:pPr>
              <w:jc w:val="center"/>
              <w:rPr>
                <w:rFonts w:hint="eastAsia" w:ascii="宋体" w:hAnsi="宋体" w:eastAsia="宋体" w:cs="宋体"/>
                <w:sz w:val="24"/>
              </w:rPr>
            </w:pPr>
            <w:r>
              <w:rPr>
                <w:rFonts w:hint="eastAsia" w:ascii="宋体" w:hAnsi="宋体" w:eastAsia="宋体" w:cs="宋体"/>
                <w:sz w:val="24"/>
              </w:rPr>
              <w:t>见投标文件</w:t>
            </w:r>
          </w:p>
          <w:p>
            <w:pPr>
              <w:jc w:val="center"/>
              <w:rPr>
                <w:rFonts w:hint="eastAsia" w:ascii="宋体" w:hAnsi="宋体" w:eastAsia="宋体" w:cs="宋体"/>
              </w:rPr>
            </w:pPr>
            <w:r>
              <w:rPr>
                <w:rFonts w:hint="eastAsia" w:ascii="宋体" w:hAnsi="宋体" w:eastAsia="宋体" w:cs="宋体"/>
                <w:sz w:val="24"/>
              </w:rPr>
              <w:t>第</w:t>
            </w:r>
            <w:r>
              <w:rPr>
                <w:rFonts w:hint="eastAsia" w:ascii="宋体" w:hAnsi="宋体" w:eastAsia="宋体" w:cs="宋体"/>
                <w:sz w:val="24"/>
                <w:u w:val="single"/>
              </w:rPr>
              <w:t xml:space="preserve">  </w:t>
            </w:r>
            <w:r>
              <w:rPr>
                <w:rFonts w:hint="eastAsia" w:ascii="宋体" w:hAnsi="宋体" w:eastAsia="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hint="eastAsia" w:ascii="宋体" w:hAnsi="宋体" w:eastAsia="宋体" w:cs="宋体"/>
                <w:sz w:val="24"/>
              </w:rPr>
            </w:pPr>
            <w:r>
              <w:rPr>
                <w:rFonts w:hint="eastAsia" w:ascii="宋体" w:hAnsi="宋体" w:eastAsia="宋体" w:cs="宋体"/>
                <w:sz w:val="24"/>
              </w:rPr>
              <w:t>2</w:t>
            </w:r>
          </w:p>
        </w:tc>
        <w:tc>
          <w:tcPr>
            <w:tcW w:w="4991"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jc w:val="center"/>
              <w:rPr>
                <w:rFonts w:hint="eastAsia" w:ascii="宋体" w:hAnsi="宋体" w:eastAsia="宋体" w:cs="宋体"/>
                <w:sz w:val="24"/>
              </w:rPr>
            </w:pPr>
            <w:r>
              <w:rPr>
                <w:rFonts w:hint="eastAsia" w:ascii="宋体" w:hAnsi="宋体" w:eastAsia="宋体" w:cs="宋体"/>
                <w:sz w:val="24"/>
              </w:rPr>
              <w:t>节能产品认证证书（本项目拟采购的产品不属于政府强制采购的节能产品品目清单范围的，无需提供）</w:t>
            </w:r>
          </w:p>
        </w:tc>
        <w:tc>
          <w:tcPr>
            <w:tcW w:w="1418" w:type="dxa"/>
            <w:vAlign w:val="center"/>
          </w:tcPr>
          <w:p>
            <w:pPr>
              <w:jc w:val="center"/>
              <w:rPr>
                <w:rFonts w:hint="eastAsia" w:ascii="宋体" w:hAnsi="宋体" w:eastAsia="宋体" w:cs="宋体"/>
                <w:sz w:val="24"/>
              </w:rPr>
            </w:pPr>
            <w:r>
              <w:rPr>
                <w:rFonts w:hint="eastAsia" w:ascii="宋体" w:hAnsi="宋体" w:eastAsia="宋体" w:cs="宋体"/>
                <w:sz w:val="24"/>
              </w:rPr>
              <w:t>投标文件</w:t>
            </w:r>
          </w:p>
          <w:p>
            <w:pPr>
              <w:pStyle w:val="7"/>
              <w:jc w:val="center"/>
              <w:rPr>
                <w:rFonts w:hint="eastAsia" w:ascii="宋体" w:hAnsi="宋体" w:eastAsia="宋体" w:cs="宋体"/>
                <w:lang w:val="en-US"/>
              </w:rPr>
            </w:pPr>
            <w:r>
              <w:rPr>
                <w:rFonts w:hint="eastAsia" w:ascii="宋体" w:hAnsi="宋体" w:eastAsia="宋体" w:cs="宋体"/>
                <w:b w:val="0"/>
                <w:bCs w:val="0"/>
                <w:sz w:val="24"/>
                <w:szCs w:val="24"/>
                <w:lang w:val="en-US"/>
              </w:rPr>
              <w:t>第</w:t>
            </w:r>
            <w:r>
              <w:rPr>
                <w:rFonts w:hint="eastAsia" w:ascii="宋体" w:hAnsi="宋体" w:eastAsia="宋体" w:cs="宋体"/>
                <w:b w:val="0"/>
                <w:bCs w:val="0"/>
                <w:sz w:val="24"/>
                <w:szCs w:val="24"/>
                <w:u w:val="single"/>
                <w:lang w:val="en-US"/>
              </w:rPr>
              <w:t xml:space="preserve">  </w:t>
            </w:r>
            <w:r>
              <w:rPr>
                <w:rFonts w:hint="eastAsia" w:ascii="宋体" w:hAnsi="宋体" w:eastAsia="宋体" w:cs="宋体"/>
                <w:b w:val="0"/>
                <w:bCs w:val="0"/>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宋体" w:hAnsi="宋体" w:eastAsia="宋体" w:cs="宋体"/>
                <w:sz w:val="24"/>
              </w:rPr>
            </w:pPr>
            <w:r>
              <w:rPr>
                <w:rFonts w:hint="eastAsia" w:ascii="宋体" w:hAnsi="宋体" w:eastAsia="宋体" w:cs="宋体"/>
                <w:sz w:val="24"/>
              </w:rPr>
              <w:t>3</w:t>
            </w:r>
          </w:p>
        </w:tc>
        <w:tc>
          <w:tcPr>
            <w:tcW w:w="4991" w:type="dxa"/>
            <w:vAlign w:val="bottom"/>
          </w:tcPr>
          <w:p>
            <w:pPr>
              <w:spacing w:line="360" w:lineRule="auto"/>
              <w:jc w:val="center"/>
              <w:rPr>
                <w:rFonts w:hint="eastAsia" w:ascii="宋体" w:hAnsi="宋体" w:eastAsia="宋体" w:cs="宋体"/>
                <w:sz w:val="24"/>
              </w:rPr>
            </w:pPr>
            <w:r>
              <w:rPr>
                <w:rFonts w:hint="eastAsia" w:ascii="宋体" w:hAnsi="宋体" w:eastAsia="宋体" w:cs="宋体"/>
                <w:sz w:val="24"/>
              </w:rPr>
              <w:t>投标文件中承诺的投标有效期不少于招标文件中载明的投标有效期。</w:t>
            </w:r>
          </w:p>
        </w:tc>
        <w:tc>
          <w:tcPr>
            <w:tcW w:w="2551" w:type="dxa"/>
            <w:vAlign w:val="center"/>
          </w:tcPr>
          <w:p>
            <w:pPr>
              <w:jc w:val="center"/>
              <w:rPr>
                <w:rFonts w:hint="eastAsia" w:ascii="宋体" w:hAnsi="宋体" w:eastAsia="宋体" w:cs="宋体"/>
                <w:sz w:val="24"/>
              </w:rPr>
            </w:pPr>
            <w:r>
              <w:rPr>
                <w:rFonts w:hint="eastAsia" w:ascii="宋体" w:hAnsi="宋体" w:eastAsia="宋体" w:cs="宋体"/>
                <w:sz w:val="24"/>
              </w:rPr>
              <w:t>投标函</w:t>
            </w:r>
          </w:p>
        </w:tc>
        <w:tc>
          <w:tcPr>
            <w:tcW w:w="1418" w:type="dxa"/>
            <w:vAlign w:val="center"/>
          </w:tcPr>
          <w:p>
            <w:pPr>
              <w:jc w:val="center"/>
              <w:rPr>
                <w:rFonts w:hint="eastAsia" w:ascii="宋体" w:hAnsi="宋体" w:eastAsia="宋体" w:cs="宋体"/>
              </w:rPr>
            </w:pPr>
            <w:r>
              <w:rPr>
                <w:rFonts w:hint="eastAsia" w:ascii="宋体" w:hAnsi="宋体" w:eastAsia="宋体" w:cs="宋体"/>
                <w:sz w:val="24"/>
              </w:rPr>
              <w:t>见投标文件第</w:t>
            </w:r>
            <w:r>
              <w:rPr>
                <w:rFonts w:hint="eastAsia" w:ascii="宋体" w:hAnsi="宋体" w:eastAsia="宋体" w:cs="宋体"/>
                <w:sz w:val="24"/>
                <w:u w:val="single"/>
              </w:rPr>
              <w:t xml:space="preserve">  </w:t>
            </w:r>
            <w:r>
              <w:rPr>
                <w:rFonts w:hint="eastAsia" w:ascii="宋体" w:hAnsi="宋体" w:eastAsia="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宋体" w:hAnsi="宋体" w:eastAsia="宋体" w:cs="宋体"/>
                <w:sz w:val="24"/>
              </w:rPr>
            </w:pPr>
            <w:r>
              <w:rPr>
                <w:rFonts w:hint="eastAsia" w:ascii="宋体" w:hAnsi="宋体" w:eastAsia="宋体" w:cs="宋体"/>
                <w:sz w:val="24"/>
              </w:rPr>
              <w:t>4</w:t>
            </w:r>
          </w:p>
        </w:tc>
        <w:tc>
          <w:tcPr>
            <w:tcW w:w="4991"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投标文件满足招标文件的其它实质性要求。</w:t>
            </w:r>
          </w:p>
        </w:tc>
        <w:tc>
          <w:tcPr>
            <w:tcW w:w="2551" w:type="dxa"/>
            <w:vAlign w:val="center"/>
          </w:tcPr>
          <w:p>
            <w:pPr>
              <w:jc w:val="center"/>
              <w:rPr>
                <w:rFonts w:hint="eastAsia" w:ascii="宋体" w:hAnsi="宋体" w:eastAsia="宋体" w:cs="宋体"/>
                <w:sz w:val="24"/>
              </w:rPr>
            </w:pPr>
            <w:r>
              <w:rPr>
                <w:rFonts w:hint="eastAsia" w:ascii="宋体" w:hAnsi="宋体" w:eastAsia="宋体" w:cs="宋体"/>
                <w:kern w:val="0"/>
                <w:sz w:val="24"/>
              </w:rPr>
              <w:t>招标文件其它实质性要求相应的材料（“▲” 系指实质性要求条款，招标文件无其它实质性要求的，无需提供）</w:t>
            </w:r>
          </w:p>
        </w:tc>
        <w:tc>
          <w:tcPr>
            <w:tcW w:w="1418" w:type="dxa"/>
            <w:vAlign w:val="center"/>
          </w:tcPr>
          <w:p>
            <w:pPr>
              <w:jc w:val="center"/>
              <w:rPr>
                <w:rFonts w:hint="eastAsia" w:ascii="宋体" w:hAnsi="宋体" w:eastAsia="宋体" w:cs="宋体"/>
              </w:rPr>
            </w:pPr>
            <w:r>
              <w:rPr>
                <w:rFonts w:hint="eastAsia" w:ascii="宋体" w:hAnsi="宋体" w:eastAsia="宋体" w:cs="宋体"/>
                <w:sz w:val="24"/>
              </w:rPr>
              <w:t>见投标文件第</w:t>
            </w:r>
            <w:r>
              <w:rPr>
                <w:rFonts w:hint="eastAsia" w:ascii="宋体" w:hAnsi="宋体" w:eastAsia="宋体" w:cs="宋体"/>
                <w:sz w:val="24"/>
                <w:u w:val="single"/>
              </w:rPr>
              <w:t xml:space="preserve">  </w:t>
            </w:r>
            <w:r>
              <w:rPr>
                <w:rFonts w:hint="eastAsia" w:ascii="宋体" w:hAnsi="宋体" w:eastAsia="宋体" w:cs="宋体"/>
                <w:sz w:val="24"/>
              </w:rPr>
              <w:t>页</w:t>
            </w:r>
          </w:p>
        </w:tc>
      </w:tr>
    </w:tbl>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r>
        <w:rPr>
          <w:rFonts w:hint="eastAsia" w:ascii="宋体" w:hAnsi="宋体" w:eastAsia="宋体" w:cs="宋体"/>
          <w:b/>
          <w:kern w:val="0"/>
          <w:sz w:val="32"/>
          <w:szCs w:val="32"/>
        </w:rPr>
        <w:t xml:space="preserve">            </w:t>
      </w: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pStyle w:val="2"/>
        <w:rPr>
          <w:rFonts w:hint="eastAsia"/>
        </w:rPr>
      </w:pPr>
    </w:p>
    <w:p>
      <w:pPr>
        <w:numPr>
          <w:ilvl w:val="0"/>
          <w:numId w:val="0"/>
        </w:numPr>
        <w:jc w:val="center"/>
        <w:rPr>
          <w:rFonts w:hint="eastAsia" w:ascii="宋体" w:hAnsi="宋体" w:eastAsia="宋体" w:cs="宋体"/>
          <w:b/>
          <w:kern w:val="0"/>
          <w:sz w:val="32"/>
          <w:szCs w:val="32"/>
        </w:rPr>
      </w:pPr>
      <w:r>
        <w:rPr>
          <w:rFonts w:hint="eastAsia" w:ascii="宋体" w:hAnsi="宋体" w:cs="宋体"/>
          <w:b/>
          <w:kern w:val="0"/>
          <w:sz w:val="32"/>
          <w:szCs w:val="32"/>
          <w:lang w:eastAsia="zh-CN"/>
        </w:rPr>
        <w:t>四、</w:t>
      </w:r>
      <w:r>
        <w:rPr>
          <w:rFonts w:hint="eastAsia" w:ascii="宋体" w:hAnsi="宋体" w:eastAsia="宋体" w:cs="宋体"/>
          <w:b/>
          <w:kern w:val="0"/>
          <w:sz w:val="32"/>
          <w:szCs w:val="32"/>
        </w:rPr>
        <w:t>评标标准相应的商务技术资料</w:t>
      </w:r>
    </w:p>
    <w:p>
      <w:pPr>
        <w:pStyle w:val="2"/>
        <w:numPr>
          <w:ilvl w:val="0"/>
          <w:numId w:val="0"/>
        </w:numPr>
        <w:rPr>
          <w:rFonts w:hint="eastAsia"/>
        </w:rPr>
      </w:pPr>
    </w:p>
    <w:p>
      <w:pPr>
        <w:snapToGrid w:val="0"/>
        <w:spacing w:line="360" w:lineRule="auto"/>
        <w:jc w:val="left"/>
        <w:rPr>
          <w:rFonts w:hint="eastAsia" w:ascii="宋体" w:hAnsi="宋体" w:eastAsia="宋体" w:cs="宋体"/>
          <w:b/>
          <w:sz w:val="24"/>
        </w:rPr>
      </w:pPr>
      <w:r>
        <w:rPr>
          <w:rFonts w:hint="eastAsia" w:ascii="宋体" w:hAnsi="宋体" w:eastAsia="宋体" w:cs="宋体"/>
          <w:b/>
          <w:sz w:val="24"/>
        </w:rPr>
        <w:t>（按招标文件第四部分评标办法前附表中“投标文件中评标标准相应的商务技术资料目录”提供资料）</w:t>
      </w: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numPr>
          <w:ilvl w:val="0"/>
          <w:numId w:val="0"/>
        </w:numPr>
        <w:ind w:leftChars="0"/>
        <w:jc w:val="center"/>
        <w:rPr>
          <w:rFonts w:hint="eastAsia" w:ascii="宋体" w:hAnsi="宋体" w:eastAsia="宋体" w:cs="宋体"/>
          <w:b/>
          <w:kern w:val="0"/>
          <w:sz w:val="32"/>
          <w:szCs w:val="32"/>
        </w:rPr>
      </w:pPr>
      <w:r>
        <w:rPr>
          <w:rFonts w:hint="eastAsia" w:ascii="宋体" w:hAnsi="宋体" w:cs="宋体"/>
          <w:b/>
          <w:kern w:val="0"/>
          <w:sz w:val="32"/>
          <w:szCs w:val="32"/>
          <w:lang w:eastAsia="zh-CN"/>
        </w:rPr>
        <w:t>五、</w:t>
      </w:r>
      <w:r>
        <w:rPr>
          <w:rFonts w:hint="eastAsia" w:ascii="宋体" w:hAnsi="宋体" w:eastAsia="宋体" w:cs="宋体"/>
          <w:b/>
          <w:kern w:val="0"/>
          <w:sz w:val="32"/>
          <w:szCs w:val="32"/>
        </w:rPr>
        <w:t>商务技术偏离表</w:t>
      </w:r>
    </w:p>
    <w:p>
      <w:pPr>
        <w:pStyle w:val="2"/>
        <w:numPr>
          <w:ilvl w:val="0"/>
          <w:numId w:val="0"/>
        </w:numPr>
        <w:ind w:leftChars="0"/>
        <w:rPr>
          <w:rFonts w:hint="eastAsia"/>
        </w:rPr>
      </w:pP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b/>
                <w:bCs/>
                <w:sz w:val="24"/>
              </w:rPr>
            </w:pPr>
            <w:r>
              <w:rPr>
                <w:rFonts w:hint="eastAsia" w:ascii="宋体" w:hAnsi="宋体" w:eastAsia="宋体" w:cs="宋体"/>
                <w:b/>
                <w:bCs/>
                <w:sz w:val="24"/>
              </w:rPr>
              <w:t>序号</w:t>
            </w:r>
          </w:p>
        </w:tc>
        <w:tc>
          <w:tcPr>
            <w:tcW w:w="3683" w:type="dxa"/>
          </w:tcPr>
          <w:p>
            <w:pPr>
              <w:jc w:val="center"/>
              <w:rPr>
                <w:rFonts w:hint="eastAsia" w:ascii="宋体" w:hAnsi="宋体" w:eastAsia="宋体" w:cs="宋体"/>
                <w:b/>
                <w:bCs/>
                <w:sz w:val="24"/>
              </w:rPr>
            </w:pPr>
            <w:r>
              <w:rPr>
                <w:rFonts w:hint="eastAsia" w:ascii="宋体" w:hAnsi="宋体" w:eastAsia="宋体" w:cs="宋体"/>
                <w:b/>
                <w:bCs/>
                <w:sz w:val="24"/>
              </w:rPr>
              <w:t>招标文件章节及具体内容</w:t>
            </w:r>
          </w:p>
        </w:tc>
        <w:tc>
          <w:tcPr>
            <w:tcW w:w="3546" w:type="dxa"/>
          </w:tcPr>
          <w:p>
            <w:pPr>
              <w:jc w:val="center"/>
              <w:rPr>
                <w:rFonts w:hint="eastAsia" w:ascii="宋体" w:hAnsi="宋体" w:eastAsia="宋体" w:cs="宋体"/>
                <w:b/>
                <w:bCs/>
                <w:sz w:val="24"/>
              </w:rPr>
            </w:pPr>
            <w:r>
              <w:rPr>
                <w:rFonts w:hint="eastAsia" w:ascii="宋体" w:hAnsi="宋体" w:eastAsia="宋体" w:cs="宋体"/>
                <w:b/>
                <w:bCs/>
                <w:sz w:val="24"/>
              </w:rPr>
              <w:t>投标文件章节及具体内容</w:t>
            </w:r>
          </w:p>
        </w:tc>
        <w:tc>
          <w:tcPr>
            <w:tcW w:w="1276" w:type="dxa"/>
          </w:tcPr>
          <w:p>
            <w:pPr>
              <w:jc w:val="center"/>
              <w:rPr>
                <w:rFonts w:hint="eastAsia" w:ascii="宋体" w:hAnsi="宋体" w:eastAsia="宋体" w:cs="宋体"/>
                <w:b/>
                <w:bCs/>
                <w:sz w:val="24"/>
              </w:rPr>
            </w:pPr>
            <w:r>
              <w:rPr>
                <w:rFonts w:hint="eastAsia" w:ascii="宋体" w:hAnsi="宋体" w:eastAsia="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kern w:val="0"/>
                <w:sz w:val="24"/>
              </w:rPr>
            </w:pPr>
            <w:r>
              <w:rPr>
                <w:rFonts w:hint="eastAsia" w:ascii="宋体" w:hAnsi="宋体" w:eastAsia="宋体" w:cs="宋体"/>
                <w:kern w:val="0"/>
                <w:sz w:val="24"/>
              </w:rPr>
              <w:t>1</w:t>
            </w:r>
          </w:p>
        </w:tc>
        <w:tc>
          <w:tcPr>
            <w:tcW w:w="3683" w:type="dxa"/>
          </w:tcPr>
          <w:p>
            <w:pPr>
              <w:jc w:val="center"/>
              <w:rPr>
                <w:rFonts w:hint="eastAsia" w:ascii="宋体" w:hAnsi="宋体" w:eastAsia="宋体" w:cs="宋体"/>
                <w:b/>
                <w:kern w:val="0"/>
                <w:sz w:val="32"/>
                <w:szCs w:val="32"/>
              </w:rPr>
            </w:pPr>
          </w:p>
        </w:tc>
        <w:tc>
          <w:tcPr>
            <w:tcW w:w="3546" w:type="dxa"/>
          </w:tcPr>
          <w:p>
            <w:pPr>
              <w:jc w:val="center"/>
              <w:rPr>
                <w:rFonts w:hint="eastAsia" w:ascii="宋体" w:hAnsi="宋体" w:eastAsia="宋体" w:cs="宋体"/>
                <w:b/>
                <w:kern w:val="0"/>
                <w:sz w:val="32"/>
                <w:szCs w:val="32"/>
              </w:rPr>
            </w:pPr>
          </w:p>
        </w:tc>
        <w:tc>
          <w:tcPr>
            <w:tcW w:w="1276" w:type="dxa"/>
          </w:tcPr>
          <w:p>
            <w:pPr>
              <w:jc w:val="center"/>
              <w:rPr>
                <w:rFonts w:hint="eastAsia" w:ascii="宋体" w:hAnsi="宋体" w:eastAsia="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kern w:val="0"/>
                <w:sz w:val="24"/>
              </w:rPr>
            </w:pPr>
            <w:r>
              <w:rPr>
                <w:rFonts w:hint="eastAsia" w:ascii="宋体" w:hAnsi="宋体" w:eastAsia="宋体" w:cs="宋体"/>
                <w:kern w:val="0"/>
                <w:sz w:val="24"/>
              </w:rPr>
              <w:t>2</w:t>
            </w:r>
          </w:p>
        </w:tc>
        <w:tc>
          <w:tcPr>
            <w:tcW w:w="3683" w:type="dxa"/>
          </w:tcPr>
          <w:p>
            <w:pPr>
              <w:jc w:val="center"/>
              <w:rPr>
                <w:rFonts w:hint="eastAsia" w:ascii="宋体" w:hAnsi="宋体" w:eastAsia="宋体" w:cs="宋体"/>
                <w:b/>
                <w:kern w:val="0"/>
                <w:sz w:val="32"/>
                <w:szCs w:val="32"/>
              </w:rPr>
            </w:pPr>
          </w:p>
        </w:tc>
        <w:tc>
          <w:tcPr>
            <w:tcW w:w="3546" w:type="dxa"/>
          </w:tcPr>
          <w:p>
            <w:pPr>
              <w:jc w:val="center"/>
              <w:rPr>
                <w:rFonts w:hint="eastAsia" w:ascii="宋体" w:hAnsi="宋体" w:eastAsia="宋体" w:cs="宋体"/>
                <w:b/>
                <w:kern w:val="0"/>
                <w:sz w:val="32"/>
                <w:szCs w:val="32"/>
              </w:rPr>
            </w:pPr>
          </w:p>
        </w:tc>
        <w:tc>
          <w:tcPr>
            <w:tcW w:w="1276" w:type="dxa"/>
          </w:tcPr>
          <w:p>
            <w:pPr>
              <w:jc w:val="center"/>
              <w:rPr>
                <w:rFonts w:hint="eastAsia" w:ascii="宋体" w:hAnsi="宋体" w:eastAsia="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hint="eastAsia" w:ascii="宋体" w:hAnsi="宋体" w:eastAsia="宋体" w:cs="宋体"/>
                <w:kern w:val="0"/>
                <w:sz w:val="24"/>
              </w:rPr>
            </w:pPr>
            <w:r>
              <w:rPr>
                <w:rFonts w:hint="eastAsia" w:ascii="宋体" w:hAnsi="宋体" w:eastAsia="宋体" w:cs="宋体"/>
                <w:kern w:val="0"/>
                <w:sz w:val="24"/>
              </w:rPr>
              <w:t>……</w:t>
            </w:r>
          </w:p>
        </w:tc>
        <w:tc>
          <w:tcPr>
            <w:tcW w:w="3683" w:type="dxa"/>
          </w:tcPr>
          <w:p>
            <w:pPr>
              <w:jc w:val="center"/>
              <w:rPr>
                <w:rFonts w:hint="eastAsia" w:ascii="宋体" w:hAnsi="宋体" w:eastAsia="宋体" w:cs="宋体"/>
                <w:b/>
                <w:kern w:val="0"/>
                <w:sz w:val="32"/>
                <w:szCs w:val="32"/>
              </w:rPr>
            </w:pPr>
          </w:p>
        </w:tc>
        <w:tc>
          <w:tcPr>
            <w:tcW w:w="3546" w:type="dxa"/>
          </w:tcPr>
          <w:p>
            <w:pPr>
              <w:jc w:val="center"/>
              <w:rPr>
                <w:rFonts w:hint="eastAsia" w:ascii="宋体" w:hAnsi="宋体" w:eastAsia="宋体" w:cs="宋体"/>
                <w:b/>
                <w:kern w:val="0"/>
                <w:sz w:val="32"/>
                <w:szCs w:val="32"/>
              </w:rPr>
            </w:pPr>
          </w:p>
        </w:tc>
        <w:tc>
          <w:tcPr>
            <w:tcW w:w="1276" w:type="dxa"/>
          </w:tcPr>
          <w:p>
            <w:pPr>
              <w:jc w:val="center"/>
              <w:rPr>
                <w:rFonts w:hint="eastAsia" w:ascii="宋体" w:hAnsi="宋体" w:eastAsia="宋体" w:cs="宋体"/>
                <w:b/>
                <w:kern w:val="0"/>
                <w:sz w:val="32"/>
                <w:szCs w:val="32"/>
              </w:rPr>
            </w:pPr>
          </w:p>
        </w:tc>
      </w:tr>
    </w:tbl>
    <w:p>
      <w:pPr>
        <w:jc w:val="left"/>
        <w:rPr>
          <w:rFonts w:hint="eastAsia" w:ascii="宋体" w:hAnsi="宋体" w:eastAsia="宋体" w:cs="宋体"/>
          <w:kern w:val="0"/>
          <w:sz w:val="24"/>
        </w:rPr>
      </w:pPr>
      <w:r>
        <w:rPr>
          <w:rFonts w:hint="eastAsia" w:ascii="宋体" w:hAnsi="宋体" w:eastAsia="宋体" w:cs="宋体"/>
          <w:kern w:val="0"/>
          <w:sz w:val="24"/>
        </w:rPr>
        <w:t>投标人保证：除商务技术偏离表列出的偏离外，投标人响应招标文件的全部要求</w:t>
      </w: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ind w:firstLine="2891" w:firstLineChars="900"/>
        <w:rPr>
          <w:rFonts w:hint="eastAsia" w:ascii="宋体" w:hAnsi="宋体" w:eastAsia="宋体" w:cs="宋体"/>
          <w:b/>
          <w:bCs/>
          <w:sz w:val="32"/>
          <w:szCs w:val="32"/>
        </w:rPr>
      </w:pPr>
    </w:p>
    <w:p>
      <w:pPr>
        <w:ind w:firstLine="2891" w:firstLineChars="900"/>
        <w:rPr>
          <w:rFonts w:hint="eastAsia" w:ascii="宋体" w:hAnsi="宋体" w:eastAsia="宋体" w:cs="宋体"/>
          <w:b/>
          <w:bCs/>
          <w:sz w:val="32"/>
          <w:szCs w:val="32"/>
        </w:rPr>
      </w:pPr>
    </w:p>
    <w:p>
      <w:pPr>
        <w:ind w:firstLine="2891" w:firstLineChars="900"/>
        <w:rPr>
          <w:rFonts w:hint="eastAsia" w:ascii="宋体" w:hAnsi="宋体" w:eastAsia="宋体" w:cs="宋体"/>
          <w:b/>
          <w:bCs/>
          <w:sz w:val="32"/>
          <w:szCs w:val="32"/>
        </w:rPr>
      </w:pPr>
    </w:p>
    <w:p>
      <w:pPr>
        <w:ind w:firstLine="2891" w:firstLineChars="900"/>
        <w:rPr>
          <w:rFonts w:hint="eastAsia" w:ascii="宋体" w:hAnsi="宋体" w:eastAsia="宋体" w:cs="宋体"/>
          <w:b/>
          <w:bCs/>
          <w:sz w:val="32"/>
          <w:szCs w:val="32"/>
        </w:rPr>
      </w:pPr>
    </w:p>
    <w:p>
      <w:pPr>
        <w:ind w:firstLine="2891" w:firstLineChars="900"/>
        <w:rPr>
          <w:rFonts w:hint="eastAsia" w:ascii="宋体" w:hAnsi="宋体" w:eastAsia="宋体" w:cs="宋体"/>
          <w:b/>
          <w:bCs/>
          <w:sz w:val="32"/>
          <w:szCs w:val="32"/>
        </w:rPr>
      </w:pPr>
    </w:p>
    <w:p>
      <w:pPr>
        <w:ind w:firstLine="2891" w:firstLineChars="900"/>
        <w:rPr>
          <w:rFonts w:hint="eastAsia" w:ascii="宋体" w:hAnsi="宋体" w:eastAsia="宋体" w:cs="宋体"/>
          <w:b/>
          <w:bCs/>
          <w:sz w:val="32"/>
          <w:szCs w:val="32"/>
        </w:rPr>
      </w:pPr>
    </w:p>
    <w:p>
      <w:pPr>
        <w:ind w:firstLine="2891" w:firstLineChars="900"/>
        <w:rPr>
          <w:rFonts w:hint="eastAsia" w:ascii="宋体" w:hAnsi="宋体" w:eastAsia="宋体" w:cs="宋体"/>
          <w:b/>
          <w:kern w:val="0"/>
          <w:sz w:val="32"/>
          <w:szCs w:val="32"/>
        </w:rPr>
      </w:pPr>
    </w:p>
    <w:p>
      <w:pPr>
        <w:ind w:firstLine="2891" w:firstLineChars="900"/>
        <w:rPr>
          <w:rFonts w:hint="eastAsia" w:ascii="宋体" w:hAnsi="宋体" w:eastAsia="宋体" w:cs="宋体"/>
          <w:b/>
          <w:kern w:val="0"/>
          <w:sz w:val="32"/>
          <w:szCs w:val="32"/>
        </w:rPr>
      </w:pPr>
    </w:p>
    <w:p>
      <w:pPr>
        <w:ind w:firstLine="2891" w:firstLineChars="900"/>
        <w:rPr>
          <w:rFonts w:hint="eastAsia" w:ascii="宋体" w:hAnsi="宋体" w:eastAsia="宋体" w:cs="宋体"/>
          <w:b/>
          <w:kern w:val="0"/>
          <w:sz w:val="32"/>
          <w:szCs w:val="32"/>
        </w:rPr>
      </w:pPr>
    </w:p>
    <w:p>
      <w:pPr>
        <w:ind w:firstLine="2891" w:firstLineChars="900"/>
        <w:rPr>
          <w:rFonts w:hint="eastAsia" w:ascii="宋体" w:hAnsi="宋体" w:eastAsia="宋体" w:cs="宋体"/>
          <w:b/>
          <w:kern w:val="0"/>
          <w:sz w:val="32"/>
          <w:szCs w:val="32"/>
        </w:rPr>
      </w:pPr>
    </w:p>
    <w:p>
      <w:pPr>
        <w:ind w:firstLine="2891" w:firstLineChars="900"/>
        <w:rPr>
          <w:rFonts w:hint="eastAsia" w:ascii="宋体" w:hAnsi="宋体" w:eastAsia="宋体" w:cs="宋体"/>
          <w:b/>
          <w:kern w:val="0"/>
          <w:sz w:val="32"/>
          <w:szCs w:val="32"/>
        </w:rPr>
      </w:pPr>
    </w:p>
    <w:p>
      <w:pPr>
        <w:ind w:firstLine="2891" w:firstLineChars="900"/>
        <w:rPr>
          <w:rFonts w:hint="eastAsia" w:ascii="宋体" w:hAnsi="宋体" w:eastAsia="宋体" w:cs="宋体"/>
          <w:b/>
          <w:kern w:val="0"/>
          <w:sz w:val="32"/>
          <w:szCs w:val="32"/>
        </w:rPr>
      </w:pPr>
    </w:p>
    <w:p>
      <w:pPr>
        <w:ind w:firstLine="2891" w:firstLineChars="900"/>
        <w:rPr>
          <w:rFonts w:hint="eastAsia" w:ascii="宋体" w:hAnsi="宋体" w:eastAsia="宋体" w:cs="宋体"/>
          <w:b/>
          <w:kern w:val="0"/>
          <w:sz w:val="32"/>
          <w:szCs w:val="32"/>
        </w:rPr>
      </w:pPr>
    </w:p>
    <w:p>
      <w:pPr>
        <w:rPr>
          <w:rFonts w:hint="eastAsia" w:ascii="宋体" w:hAnsi="宋体" w:eastAsia="宋体" w:cs="宋体"/>
          <w:b/>
          <w:kern w:val="0"/>
          <w:sz w:val="32"/>
          <w:szCs w:val="32"/>
        </w:rPr>
      </w:pPr>
    </w:p>
    <w:p>
      <w:pPr>
        <w:pStyle w:val="2"/>
        <w:rPr>
          <w:rFonts w:hint="eastAsia"/>
        </w:rPr>
      </w:pPr>
    </w:p>
    <w:p>
      <w:pPr>
        <w:ind w:firstLine="1911" w:firstLineChars="595"/>
        <w:rPr>
          <w:rFonts w:hint="eastAsia" w:ascii="宋体" w:hAnsi="宋体" w:eastAsia="宋体" w:cs="宋体"/>
          <w:b/>
          <w:kern w:val="0"/>
          <w:sz w:val="32"/>
          <w:szCs w:val="32"/>
        </w:rPr>
      </w:pPr>
      <w:r>
        <w:rPr>
          <w:rFonts w:hint="eastAsia" w:ascii="宋体" w:hAnsi="宋体" w:cs="宋体"/>
          <w:b/>
          <w:kern w:val="0"/>
          <w:sz w:val="32"/>
          <w:szCs w:val="32"/>
          <w:lang w:eastAsia="zh-CN"/>
        </w:rPr>
        <w:t>六</w:t>
      </w:r>
      <w:r>
        <w:rPr>
          <w:rFonts w:hint="eastAsia" w:ascii="宋体" w:hAnsi="宋体" w:eastAsia="宋体" w:cs="宋体"/>
          <w:b/>
          <w:kern w:val="0"/>
          <w:sz w:val="32"/>
          <w:szCs w:val="32"/>
        </w:rPr>
        <w:t>、</w:t>
      </w:r>
      <w:r>
        <w:rPr>
          <w:rFonts w:hint="eastAsia" w:ascii="宋体" w:hAnsi="宋体" w:eastAsia="宋体" w:cs="宋体"/>
          <w:b/>
          <w:kern w:val="0"/>
          <w:sz w:val="32"/>
          <w:szCs w:val="32"/>
          <w:lang w:val="zh-CN"/>
        </w:rPr>
        <w:t>政府采购供应商廉洁自律承诺书</w:t>
      </w:r>
    </w:p>
    <w:p>
      <w:pPr>
        <w:snapToGrid w:val="0"/>
        <w:spacing w:line="360" w:lineRule="auto"/>
        <w:rPr>
          <w:rFonts w:hint="eastAsia" w:ascii="宋体" w:hAnsi="宋体" w:eastAsia="宋体" w:cs="宋体"/>
          <w:sz w:val="24"/>
        </w:rPr>
      </w:pPr>
    </w:p>
    <w:p>
      <w:pPr>
        <w:snapToGrid w:val="0"/>
        <w:spacing w:line="360" w:lineRule="auto"/>
        <w:rPr>
          <w:rFonts w:hint="eastAsia" w:ascii="宋体" w:hAnsi="宋体" w:eastAsia="宋体" w:cs="宋体"/>
          <w:kern w:val="0"/>
          <w:sz w:val="24"/>
        </w:rPr>
      </w:pPr>
      <w:r>
        <w:rPr>
          <w:rFonts w:hint="eastAsia" w:ascii="宋体" w:hAnsi="宋体" w:eastAsia="宋体" w:cs="宋体"/>
          <w:sz w:val="24"/>
        </w:rPr>
        <w:t>（采购人）、（采购代理机构）</w:t>
      </w:r>
      <w:r>
        <w:rPr>
          <w:rFonts w:hint="eastAsia" w:ascii="宋体" w:hAnsi="宋体" w:eastAsia="宋体" w:cs="宋体"/>
          <w:kern w:val="0"/>
          <w:sz w:val="24"/>
          <w:lang w:val="zh-CN"/>
        </w:rPr>
        <w:t>：</w:t>
      </w:r>
    </w:p>
    <w:p>
      <w:pPr>
        <w:autoSpaceDE w:val="0"/>
        <w:autoSpaceDN w:val="0"/>
        <w:spacing w:line="360" w:lineRule="auto"/>
        <w:ind w:left="2" w:leftChars="1"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我单位响应你</w:t>
      </w:r>
      <w:r>
        <w:rPr>
          <w:rFonts w:hint="eastAsia" w:ascii="宋体" w:hAnsi="宋体" w:eastAsia="宋体" w:cs="宋体"/>
          <w:sz w:val="24"/>
        </w:rPr>
        <w:t>单位</w:t>
      </w:r>
      <w:r>
        <w:rPr>
          <w:rFonts w:hint="eastAsia" w:ascii="宋体" w:hAnsi="宋体" w:eastAsia="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四、不为项目有关人员及部门出国（境）、旅游等提供方便；</w:t>
      </w:r>
    </w:p>
    <w:p>
      <w:pPr>
        <w:autoSpaceDE w:val="0"/>
        <w:autoSpaceDN w:val="0"/>
        <w:spacing w:line="360" w:lineRule="auto"/>
        <w:ind w:left="481" w:leftChars="229"/>
        <w:jc w:val="left"/>
        <w:rPr>
          <w:rFonts w:hint="eastAsia" w:ascii="宋体" w:hAnsi="宋体" w:eastAsia="宋体" w:cs="宋体"/>
          <w:kern w:val="0"/>
          <w:sz w:val="24"/>
          <w:lang w:val="zh-CN"/>
        </w:rPr>
      </w:pPr>
      <w:r>
        <w:rPr>
          <w:rFonts w:hint="eastAsia" w:ascii="宋体" w:hAnsi="宋体" w:eastAsia="宋体" w:cs="宋体"/>
          <w:kern w:val="0"/>
          <w:sz w:val="24"/>
          <w:lang w:val="zh-CN"/>
        </w:rPr>
        <w:t>五、不为项目有关人员个人装修住房、婚丧嫁娶、配偶子女工作安排等提供</w:t>
      </w:r>
    </w:p>
    <w:p>
      <w:pPr>
        <w:autoSpaceDE w:val="0"/>
        <w:autoSpaceDN w:val="0"/>
        <w:spacing w:line="360" w:lineRule="auto"/>
        <w:jc w:val="left"/>
        <w:rPr>
          <w:rFonts w:hint="eastAsia" w:ascii="宋体" w:hAnsi="宋体" w:eastAsia="宋体" w:cs="宋体"/>
          <w:kern w:val="0"/>
          <w:sz w:val="24"/>
          <w:lang w:val="zh-CN"/>
        </w:rPr>
      </w:pPr>
      <w:r>
        <w:rPr>
          <w:rFonts w:hint="eastAsia" w:ascii="宋体" w:hAnsi="宋体" w:eastAsia="宋体" w:cs="宋体"/>
          <w:kern w:val="0"/>
          <w:sz w:val="24"/>
          <w:lang w:val="zh-CN"/>
        </w:rPr>
        <w:t>好处；</w:t>
      </w:r>
    </w:p>
    <w:p>
      <w:pPr>
        <w:autoSpaceDE w:val="0"/>
        <w:autoSpaceDN w:val="0"/>
        <w:spacing w:line="360" w:lineRule="auto"/>
        <w:ind w:left="481" w:leftChars="229"/>
        <w:jc w:val="left"/>
        <w:rPr>
          <w:rFonts w:hint="eastAsia" w:ascii="宋体" w:hAnsi="宋体" w:eastAsia="宋体" w:cs="宋体"/>
          <w:kern w:val="0"/>
          <w:sz w:val="24"/>
          <w:lang w:val="zh-CN"/>
        </w:rPr>
      </w:pPr>
      <w:r>
        <w:rPr>
          <w:rFonts w:hint="eastAsia" w:ascii="宋体" w:hAnsi="宋体" w:eastAsia="宋体" w:cs="宋体"/>
          <w:kern w:val="0"/>
          <w:sz w:val="24"/>
          <w:lang w:val="zh-CN"/>
        </w:rPr>
        <w:t>六、严格遵守《</w:t>
      </w:r>
      <w:r>
        <w:rPr>
          <w:rFonts w:hint="eastAsia" w:ascii="宋体" w:hAnsi="宋体" w:eastAsia="宋体" w:cs="宋体"/>
          <w:sz w:val="24"/>
          <w:lang w:val="zh-CN"/>
        </w:rPr>
        <w:t>中华人民共和国</w:t>
      </w:r>
      <w:r>
        <w:rPr>
          <w:rFonts w:hint="eastAsia" w:ascii="宋体" w:hAnsi="宋体" w:eastAsia="宋体" w:cs="宋体"/>
          <w:kern w:val="0"/>
          <w:sz w:val="24"/>
          <w:lang w:val="zh-CN"/>
        </w:rPr>
        <w:t>政府采购法》《</w:t>
      </w:r>
      <w:r>
        <w:rPr>
          <w:rFonts w:hint="eastAsia" w:ascii="宋体" w:hAnsi="宋体" w:eastAsia="宋体" w:cs="宋体"/>
          <w:sz w:val="24"/>
          <w:lang w:val="zh-CN"/>
        </w:rPr>
        <w:t>中华人民共和国</w:t>
      </w:r>
      <w:r>
        <w:rPr>
          <w:rFonts w:hint="eastAsia" w:ascii="宋体" w:hAnsi="宋体" w:eastAsia="宋体" w:cs="宋体"/>
          <w:kern w:val="0"/>
          <w:sz w:val="24"/>
          <w:lang w:val="zh-CN"/>
        </w:rPr>
        <w:t>招标投标</w:t>
      </w:r>
    </w:p>
    <w:p>
      <w:pPr>
        <w:autoSpaceDE w:val="0"/>
        <w:autoSpaceDN w:val="0"/>
        <w:spacing w:line="360" w:lineRule="auto"/>
        <w:jc w:val="left"/>
        <w:rPr>
          <w:rFonts w:hint="eastAsia" w:ascii="宋体" w:hAnsi="宋体" w:eastAsia="宋体" w:cs="宋体"/>
          <w:kern w:val="0"/>
          <w:sz w:val="24"/>
          <w:lang w:val="zh-CN"/>
        </w:rPr>
      </w:pPr>
      <w:r>
        <w:rPr>
          <w:rFonts w:hint="eastAsia" w:ascii="宋体" w:hAnsi="宋体" w:eastAsia="宋体" w:cs="宋体"/>
          <w:kern w:val="0"/>
          <w:sz w:val="24"/>
          <w:lang w:val="zh-CN"/>
        </w:rPr>
        <w:t>法》</w:t>
      </w:r>
      <w:r>
        <w:rPr>
          <w:rFonts w:hint="eastAsia" w:ascii="宋体" w:hAnsi="宋体" w:eastAsia="宋体" w:cs="宋体"/>
          <w:sz w:val="24"/>
          <w:lang w:val="zh-CN"/>
        </w:rPr>
        <w:t>《中华人民共和国民法典》</w:t>
      </w:r>
      <w:r>
        <w:rPr>
          <w:rFonts w:hint="eastAsia" w:ascii="宋体" w:hAnsi="宋体" w:eastAsia="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如违反上述承诺，你</w:t>
      </w:r>
      <w:r>
        <w:rPr>
          <w:rFonts w:hint="eastAsia" w:ascii="宋体" w:hAnsi="宋体" w:eastAsia="宋体" w:cs="宋体"/>
          <w:sz w:val="24"/>
        </w:rPr>
        <w:t>单位</w:t>
      </w:r>
      <w:r>
        <w:rPr>
          <w:rFonts w:hint="eastAsia" w:ascii="宋体" w:hAnsi="宋体" w:eastAsia="宋体" w:cs="宋体"/>
          <w:kern w:val="0"/>
          <w:sz w:val="24"/>
          <w:lang w:val="zh-CN"/>
        </w:rPr>
        <w:t>有权立即取消我单位投标、中标或在建项目的建设资格，有权拒绝我单位在一定时期内进入你</w:t>
      </w:r>
      <w:r>
        <w:rPr>
          <w:rFonts w:hint="eastAsia" w:ascii="宋体" w:hAnsi="宋体" w:eastAsia="宋体" w:cs="宋体"/>
          <w:sz w:val="24"/>
        </w:rPr>
        <w:t>单位</w:t>
      </w:r>
      <w:r>
        <w:rPr>
          <w:rFonts w:hint="eastAsia" w:ascii="宋体" w:hAnsi="宋体" w:eastAsia="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hint="eastAsia" w:ascii="宋体" w:hAnsi="宋体" w:eastAsia="宋体" w:cs="宋体"/>
          <w:kern w:val="0"/>
          <w:sz w:val="24"/>
          <w:lang w:val="zh-CN"/>
        </w:rPr>
      </w:pPr>
    </w:p>
    <w:p>
      <w:pPr>
        <w:autoSpaceDE w:val="0"/>
        <w:autoSpaceDN w:val="0"/>
        <w:spacing w:line="360" w:lineRule="auto"/>
        <w:ind w:left="2"/>
        <w:jc w:val="left"/>
        <w:rPr>
          <w:rFonts w:hint="eastAsia" w:ascii="宋体" w:hAnsi="宋体" w:eastAsia="宋体" w:cs="宋体"/>
          <w:kern w:val="0"/>
          <w:sz w:val="24"/>
          <w:lang w:val="zh-CN"/>
        </w:rPr>
      </w:pPr>
    </w:p>
    <w:p>
      <w:pPr>
        <w:autoSpaceDE w:val="0"/>
        <w:autoSpaceDN w:val="0"/>
        <w:spacing w:line="360" w:lineRule="auto"/>
        <w:ind w:left="2"/>
        <w:jc w:val="left"/>
        <w:rPr>
          <w:rFonts w:hint="eastAsia" w:ascii="宋体" w:hAnsi="宋体" w:eastAsia="宋体" w:cs="宋体"/>
          <w:kern w:val="0"/>
          <w:sz w:val="24"/>
          <w:lang w:val="zh-CN"/>
        </w:rPr>
      </w:pPr>
    </w:p>
    <w:p>
      <w:pPr>
        <w:autoSpaceDE w:val="0"/>
        <w:autoSpaceDN w:val="0"/>
        <w:spacing w:line="360" w:lineRule="auto"/>
        <w:ind w:left="2" w:leftChars="1" w:right="1120" w:firstLine="4560" w:firstLineChars="1900"/>
        <w:jc w:val="left"/>
        <w:rPr>
          <w:rFonts w:hint="eastAsia" w:ascii="宋体" w:hAnsi="宋体" w:eastAsia="宋体" w:cs="宋体"/>
          <w:kern w:val="0"/>
          <w:sz w:val="24"/>
          <w:lang w:val="zh-CN"/>
        </w:rPr>
      </w:pPr>
      <w:r>
        <w:rPr>
          <w:rFonts w:hint="eastAsia" w:ascii="宋体" w:hAnsi="宋体" w:eastAsia="宋体" w:cs="宋体"/>
          <w:kern w:val="0"/>
          <w:sz w:val="24"/>
          <w:lang w:val="zh-CN"/>
        </w:rPr>
        <w:t>投标人名称（</w:t>
      </w:r>
      <w:r>
        <w:rPr>
          <w:rFonts w:hint="eastAsia" w:ascii="宋体" w:hAnsi="宋体" w:eastAsia="宋体" w:cs="宋体"/>
          <w:sz w:val="24"/>
        </w:rPr>
        <w:t>电子签名</w:t>
      </w:r>
      <w:r>
        <w:rPr>
          <w:rFonts w:hint="eastAsia" w:ascii="宋体" w:hAnsi="宋体" w:eastAsia="宋体" w:cs="宋体"/>
          <w:kern w:val="0"/>
          <w:sz w:val="24"/>
          <w:lang w:val="zh-CN"/>
        </w:rPr>
        <w:t xml:space="preserve">）：                                                                                                                                                                                                               </w:t>
      </w:r>
    </w:p>
    <w:p>
      <w:pPr>
        <w:spacing w:line="360" w:lineRule="auto"/>
        <w:ind w:left="4620" w:leftChars="2200"/>
        <w:rPr>
          <w:rFonts w:hint="eastAsia" w:ascii="宋体" w:hAnsi="宋体" w:eastAsia="宋体" w:cs="宋体"/>
          <w:sz w:val="24"/>
        </w:rPr>
      </w:pPr>
      <w:r>
        <w:rPr>
          <w:rFonts w:hint="eastAsia" w:ascii="宋体" w:hAnsi="宋体" w:eastAsia="宋体" w:cs="宋体"/>
          <w:kern w:val="0"/>
          <w:sz w:val="24"/>
          <w:lang w:val="zh-CN"/>
        </w:rPr>
        <w:t>日期</w:t>
      </w:r>
      <w:r>
        <w:rPr>
          <w:rFonts w:hint="eastAsia" w:ascii="宋体" w:hAnsi="宋体" w:eastAsia="宋体" w:cs="宋体"/>
          <w:kern w:val="0"/>
          <w:sz w:val="24"/>
        </w:rPr>
        <w:t>：</w:t>
      </w:r>
      <w:r>
        <w:rPr>
          <w:rFonts w:hint="eastAsia" w:ascii="宋体" w:hAnsi="宋体" w:eastAsia="宋体" w:cs="宋体"/>
          <w:kern w:val="0"/>
          <w:sz w:val="24"/>
          <w:lang w:val="zh-CN"/>
        </w:rPr>
        <w:t xml:space="preserve">   年   月   日</w:t>
      </w:r>
    </w:p>
    <w:p>
      <w:pPr>
        <w:spacing w:line="360" w:lineRule="auto"/>
        <w:jc w:val="center"/>
        <w:rPr>
          <w:rFonts w:hint="eastAsia" w:ascii="宋体" w:hAnsi="宋体" w:eastAsia="宋体" w:cs="宋体"/>
          <w:b/>
          <w:bCs/>
          <w:sz w:val="24"/>
        </w:rPr>
      </w:pPr>
    </w:p>
    <w:p>
      <w:pPr>
        <w:spacing w:line="360" w:lineRule="auto"/>
        <w:jc w:val="center"/>
        <w:rPr>
          <w:rFonts w:hint="eastAsia" w:ascii="宋体" w:hAnsi="宋体" w:eastAsia="宋体" w:cs="宋体"/>
          <w:b/>
          <w:bCs/>
          <w:sz w:val="24"/>
        </w:rPr>
        <w:sectPr>
          <w:headerReference r:id="rId13" w:type="first"/>
          <w:footerReference r:id="rId15" w:type="first"/>
          <w:headerReference r:id="rId12" w:type="default"/>
          <w:footerReference r:id="rId14" w:type="default"/>
          <w:pgSz w:w="11906" w:h="16838"/>
          <w:pgMar w:top="1077" w:right="1020" w:bottom="1077" w:left="1020" w:header="851" w:footer="992" w:gutter="0"/>
          <w:cols w:space="720" w:num="1"/>
          <w:titlePg/>
          <w:docGrid w:linePitch="312" w:charSpace="0"/>
        </w:sectPr>
      </w:pPr>
    </w:p>
    <w:p>
      <w:pPr>
        <w:spacing w:line="360" w:lineRule="auto"/>
        <w:jc w:val="center"/>
        <w:outlineLvl w:val="0"/>
        <w:rPr>
          <w:rFonts w:hint="eastAsia" w:ascii="宋体" w:hAnsi="宋体" w:eastAsia="宋体" w:cs="宋体"/>
          <w:b/>
          <w:kern w:val="0"/>
          <w:sz w:val="36"/>
          <w:szCs w:val="36"/>
        </w:rPr>
      </w:pPr>
      <w:r>
        <w:rPr>
          <w:rFonts w:hint="eastAsia" w:ascii="宋体" w:hAnsi="宋体" w:eastAsia="宋体" w:cs="宋体"/>
          <w:b/>
          <w:kern w:val="0"/>
          <w:sz w:val="36"/>
          <w:szCs w:val="36"/>
        </w:rPr>
        <w:t>报价文件部分</w:t>
      </w:r>
    </w:p>
    <w:p>
      <w:pPr>
        <w:spacing w:line="360" w:lineRule="auto"/>
        <w:jc w:val="center"/>
        <w:outlineLvl w:val="0"/>
        <w:rPr>
          <w:rFonts w:hint="eastAsia" w:ascii="宋体" w:hAnsi="宋体" w:eastAsia="宋体" w:cs="宋体"/>
          <w:b/>
          <w:kern w:val="0"/>
          <w:sz w:val="36"/>
          <w:szCs w:val="36"/>
        </w:rPr>
      </w:pPr>
      <w:r>
        <w:rPr>
          <w:rFonts w:hint="eastAsia" w:ascii="宋体" w:hAnsi="宋体" w:eastAsia="宋体" w:cs="宋体"/>
          <w:b/>
          <w:kern w:val="0"/>
          <w:sz w:val="36"/>
          <w:szCs w:val="36"/>
        </w:rPr>
        <w:t>目录</w:t>
      </w:r>
    </w:p>
    <w:p>
      <w:pPr>
        <w:spacing w:line="360" w:lineRule="auto"/>
        <w:jc w:val="center"/>
        <w:outlineLvl w:val="0"/>
        <w:rPr>
          <w:rFonts w:hint="eastAsia" w:ascii="宋体" w:hAnsi="宋体" w:eastAsia="宋体" w:cs="宋体"/>
          <w:b/>
          <w:kern w:val="0"/>
          <w:sz w:val="36"/>
          <w:szCs w:val="36"/>
        </w:rPr>
      </w:pPr>
    </w:p>
    <w:p>
      <w:pPr>
        <w:snapToGrid w:val="0"/>
        <w:spacing w:line="360" w:lineRule="auto"/>
        <w:rPr>
          <w:rFonts w:hint="eastAsia" w:ascii="宋体" w:hAnsi="宋体" w:eastAsia="宋体" w:cs="宋体"/>
          <w:sz w:val="24"/>
        </w:rPr>
      </w:pPr>
      <w:r>
        <w:rPr>
          <w:rFonts w:hint="eastAsia" w:ascii="宋体" w:hAnsi="宋体" w:eastAsia="宋体" w:cs="宋体"/>
          <w:sz w:val="24"/>
        </w:rPr>
        <w:t>（1）开标一览表（报价表）………………………………………………………（页码）</w:t>
      </w:r>
    </w:p>
    <w:p>
      <w:pPr>
        <w:snapToGrid w:val="0"/>
        <w:spacing w:line="360" w:lineRule="auto"/>
        <w:rPr>
          <w:rFonts w:hint="eastAsia" w:ascii="宋体" w:hAnsi="宋体" w:eastAsia="宋体" w:cs="宋体"/>
          <w:sz w:val="24"/>
        </w:rPr>
      </w:pPr>
      <w:r>
        <w:rPr>
          <w:rFonts w:hint="eastAsia" w:ascii="宋体" w:hAnsi="宋体" w:eastAsia="宋体" w:cs="宋体"/>
          <w:sz w:val="24"/>
        </w:rPr>
        <w:t>（2）报价明细表：工程量清单编制严格按《杭州市建设工程工程量清单计价实施细则（2018年修订）》实施。………………………………………………………………（页码）</w:t>
      </w:r>
    </w:p>
    <w:p>
      <w:pPr>
        <w:pStyle w:val="2"/>
        <w:ind w:left="0" w:leftChars="0" w:firstLine="0" w:firstLineChars="0"/>
        <w:rPr>
          <w:rFonts w:hint="eastAsia" w:eastAsia="宋体"/>
          <w:lang w:eastAsia="zh-CN"/>
        </w:rPr>
      </w:pPr>
      <w:r>
        <w:rPr>
          <w:rFonts w:hint="eastAsia"/>
          <w:lang w:eastAsia="zh-CN"/>
        </w:rPr>
        <w:t>（</w:t>
      </w:r>
      <w:r>
        <w:rPr>
          <w:rFonts w:hint="eastAsia"/>
          <w:lang w:val="en-US" w:eastAsia="zh-CN"/>
        </w:rPr>
        <w:t>3</w:t>
      </w:r>
      <w:r>
        <w:rPr>
          <w:rFonts w:hint="eastAsia"/>
          <w:lang w:eastAsia="zh-CN"/>
        </w:rPr>
        <w:t>）中小企业声明函</w:t>
      </w:r>
      <w:r>
        <w:rPr>
          <w:rFonts w:hint="eastAsia" w:ascii="宋体" w:hAnsi="宋体" w:eastAsia="宋体" w:cs="宋体"/>
          <w:sz w:val="24"/>
        </w:rPr>
        <w:t>………………………………………………………（页码）</w:t>
      </w: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pStyle w:val="690"/>
        <w:keepNext w:val="0"/>
        <w:pageBreakBefore w:val="0"/>
        <w:tabs>
          <w:tab w:val="clear" w:pos="720"/>
        </w:tabs>
        <w:snapToGrid w:val="0"/>
        <w:spacing w:before="120" w:after="120"/>
        <w:ind w:firstLine="643"/>
        <w:outlineLvl w:val="9"/>
        <w:rPr>
          <w:rFonts w:hint="eastAsia" w:ascii="宋体" w:hAnsi="宋体" w:eastAsia="宋体" w:cs="宋体"/>
          <w:kern w:val="2"/>
          <w:sz w:val="32"/>
          <w:szCs w:val="32"/>
        </w:rPr>
        <w:sectPr>
          <w:headerReference r:id="rId17" w:type="first"/>
          <w:footerReference r:id="rId19" w:type="first"/>
          <w:headerReference r:id="rId16" w:type="default"/>
          <w:footerReference r:id="rId18" w:type="default"/>
          <w:pgSz w:w="11906" w:h="16838"/>
          <w:pgMar w:top="1077" w:right="1020" w:bottom="1077" w:left="1020"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hint="eastAsia" w:ascii="宋体" w:hAnsi="宋体" w:eastAsia="宋体" w:cs="宋体"/>
          <w:kern w:val="2"/>
          <w:sz w:val="32"/>
          <w:szCs w:val="32"/>
        </w:rPr>
      </w:pPr>
      <w:r>
        <w:rPr>
          <w:rFonts w:hint="eastAsia" w:ascii="宋体" w:hAnsi="宋体" w:eastAsia="宋体" w:cs="宋体"/>
          <w:kern w:val="2"/>
          <w:sz w:val="32"/>
          <w:szCs w:val="32"/>
        </w:rPr>
        <w:t>一、开标一览表（报价表）</w:t>
      </w:r>
    </w:p>
    <w:p>
      <w:pPr>
        <w:snapToGrid w:val="0"/>
        <w:spacing w:line="360" w:lineRule="auto"/>
        <w:rPr>
          <w:rFonts w:hint="eastAsia" w:ascii="宋体" w:hAnsi="宋体" w:eastAsia="宋体" w:cs="宋体"/>
          <w:kern w:val="0"/>
          <w:sz w:val="24"/>
          <w:u w:val="single"/>
        </w:rPr>
      </w:pPr>
      <w:r>
        <w:rPr>
          <w:rFonts w:hint="eastAsia" w:ascii="宋体" w:hAnsi="宋体" w:eastAsia="宋体" w:cs="宋体"/>
          <w:sz w:val="24"/>
          <w:u w:val="single"/>
        </w:rPr>
        <w:t>（采购人）、（采购代理机构）</w:t>
      </w:r>
      <w:r>
        <w:rPr>
          <w:rFonts w:hint="eastAsia" w:ascii="宋体" w:hAnsi="宋体" w:eastAsia="宋体" w:cs="宋体"/>
          <w:kern w:val="0"/>
          <w:sz w:val="24"/>
          <w:u w:val="single"/>
          <w:lang w:val="zh-CN"/>
        </w:rPr>
        <w:t>：</w:t>
      </w:r>
    </w:p>
    <w:p>
      <w:pPr>
        <w:snapToGrid w:val="0"/>
        <w:spacing w:line="360" w:lineRule="auto"/>
        <w:ind w:firstLine="482"/>
        <w:rPr>
          <w:rFonts w:hint="eastAsia" w:ascii="宋体" w:hAnsi="宋体" w:eastAsia="宋体" w:cs="宋体"/>
          <w:kern w:val="0"/>
          <w:sz w:val="24"/>
          <w:lang w:val="zh-CN"/>
        </w:rPr>
      </w:pPr>
      <w:r>
        <w:rPr>
          <w:rFonts w:hint="eastAsia" w:ascii="宋体" w:hAnsi="宋体" w:eastAsia="宋体" w:cs="宋体"/>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eastAsia="宋体" w:cs="宋体"/>
          <w:sz w:val="24"/>
          <w:u w:val="single"/>
        </w:rPr>
        <w:t>（项目名称）</w:t>
      </w:r>
      <w:r>
        <w:rPr>
          <w:rFonts w:hint="eastAsia" w:ascii="宋体" w:hAnsi="宋体" w:cs="宋体"/>
          <w:sz w:val="24"/>
          <w:u w:val="single"/>
          <w:lang w:val="en-US" w:eastAsia="zh-CN"/>
        </w:rPr>
        <w:t xml:space="preserve">        </w:t>
      </w:r>
      <w:r>
        <w:rPr>
          <w:rFonts w:hint="eastAsia" w:ascii="宋体" w:hAnsi="宋体" w:eastAsia="宋体" w:cs="宋体"/>
          <w:kern w:val="0"/>
          <w:sz w:val="24"/>
          <w:lang w:val="zh-CN"/>
        </w:rPr>
        <w:t>【招标编号：</w:t>
      </w:r>
      <w:r>
        <w:rPr>
          <w:rFonts w:hint="eastAsia" w:ascii="宋体" w:hAnsi="宋体" w:eastAsia="宋体" w:cs="宋体"/>
          <w:sz w:val="24"/>
          <w:u w:val="single"/>
        </w:rPr>
        <w:t>（采购编号）</w:t>
      </w:r>
      <w:r>
        <w:rPr>
          <w:rFonts w:hint="eastAsia" w:ascii="宋体" w:hAnsi="宋体" w:cs="宋体"/>
          <w:sz w:val="24"/>
          <w:u w:val="single"/>
          <w:lang w:val="en-US" w:eastAsia="zh-CN"/>
        </w:rPr>
        <w:t xml:space="preserve">      </w:t>
      </w:r>
      <w:r>
        <w:rPr>
          <w:rFonts w:hint="eastAsia" w:ascii="宋体" w:hAnsi="宋体" w:eastAsia="宋体" w:cs="宋体"/>
          <w:sz w:val="24"/>
        </w:rPr>
        <w:t>】的实施</w:t>
      </w:r>
      <w:r>
        <w:rPr>
          <w:rFonts w:hint="eastAsia" w:ascii="宋体" w:hAnsi="宋体" w:eastAsia="宋体" w:cs="宋体"/>
          <w:kern w:val="0"/>
          <w:sz w:val="24"/>
          <w:lang w:val="zh-CN"/>
        </w:rPr>
        <w:t>。</w:t>
      </w:r>
    </w:p>
    <w:p>
      <w:pPr>
        <w:spacing w:line="360" w:lineRule="auto"/>
        <w:jc w:val="center"/>
        <w:rPr>
          <w:rFonts w:hint="eastAsia" w:ascii="宋体" w:hAnsi="宋体" w:eastAsia="宋体" w:cs="宋体"/>
          <w:b/>
          <w:kern w:val="0"/>
          <w:sz w:val="24"/>
          <w:lang w:val="zh-CN"/>
        </w:rPr>
      </w:pPr>
      <w:r>
        <w:rPr>
          <w:rFonts w:hint="eastAsia" w:ascii="宋体" w:hAnsi="宋体" w:eastAsia="宋体" w:cs="宋体"/>
          <w:b/>
          <w:kern w:val="0"/>
          <w:sz w:val="24"/>
          <w:lang w:val="zh-CN"/>
        </w:rPr>
        <w:t>开标一览表（报价表）(单位均为人民币元)</w:t>
      </w:r>
    </w:p>
    <w:tbl>
      <w:tblPr>
        <w:tblStyle w:val="62"/>
        <w:tblW w:w="139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4"/>
        <w:gridCol w:w="5715"/>
        <w:gridCol w:w="1290"/>
        <w:gridCol w:w="4320"/>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1154" w:type="dxa"/>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序号</w:t>
            </w:r>
          </w:p>
        </w:tc>
        <w:tc>
          <w:tcPr>
            <w:tcW w:w="5715" w:type="dxa"/>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名称</w:t>
            </w:r>
          </w:p>
        </w:tc>
        <w:tc>
          <w:tcPr>
            <w:tcW w:w="1290" w:type="dxa"/>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数量</w:t>
            </w:r>
          </w:p>
        </w:tc>
        <w:tc>
          <w:tcPr>
            <w:tcW w:w="4320" w:type="dxa"/>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投标报价</w:t>
            </w:r>
          </w:p>
        </w:tc>
        <w:tc>
          <w:tcPr>
            <w:tcW w:w="1455" w:type="dxa"/>
            <w:vAlign w:val="center"/>
          </w:tcPr>
          <w:p>
            <w:pPr>
              <w:spacing w:line="360" w:lineRule="auto"/>
              <w:jc w:val="center"/>
              <w:rPr>
                <w:rFonts w:hint="eastAsia" w:ascii="宋体" w:hAnsi="宋体" w:eastAsia="宋体" w:cs="宋体"/>
                <w:b/>
                <w:sz w:val="24"/>
                <w:lang w:eastAsia="zh-CN"/>
              </w:rPr>
            </w:pPr>
            <w:r>
              <w:rPr>
                <w:rFonts w:hint="eastAsia" w:ascii="宋体" w:hAnsi="宋体" w:cs="宋体"/>
                <w:b/>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6" w:hRule="atLeast"/>
        </w:trPr>
        <w:tc>
          <w:tcPr>
            <w:tcW w:w="1154"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1</w:t>
            </w:r>
          </w:p>
        </w:tc>
        <w:tc>
          <w:tcPr>
            <w:tcW w:w="5715" w:type="dxa"/>
            <w:vAlign w:val="center"/>
          </w:tcPr>
          <w:p>
            <w:pPr>
              <w:snapToGrid w:val="0"/>
              <w:spacing w:line="360" w:lineRule="auto"/>
              <w:jc w:val="center"/>
              <w:rPr>
                <w:rFonts w:hint="eastAsia" w:ascii="宋体" w:hAnsi="宋体" w:eastAsia="宋体" w:cs="宋体"/>
                <w:sz w:val="24"/>
              </w:rPr>
            </w:pPr>
          </w:p>
        </w:tc>
        <w:tc>
          <w:tcPr>
            <w:tcW w:w="1290" w:type="dxa"/>
            <w:vAlign w:val="center"/>
          </w:tcPr>
          <w:p>
            <w:pPr>
              <w:snapToGrid w:val="0"/>
              <w:spacing w:line="360" w:lineRule="auto"/>
              <w:jc w:val="center"/>
              <w:rPr>
                <w:rFonts w:hint="eastAsia" w:ascii="宋体" w:hAnsi="宋体" w:eastAsia="宋体" w:cs="宋体"/>
                <w:sz w:val="24"/>
                <w:lang w:val="en-US" w:eastAsia="zh-CN"/>
              </w:rPr>
            </w:pPr>
            <w:r>
              <w:rPr>
                <w:rFonts w:hint="eastAsia" w:ascii="宋体" w:hAnsi="宋体" w:cs="宋体"/>
                <w:sz w:val="24"/>
                <w:lang w:val="en-US" w:eastAsia="zh-CN"/>
              </w:rPr>
              <w:t>1项</w:t>
            </w:r>
          </w:p>
        </w:tc>
        <w:tc>
          <w:tcPr>
            <w:tcW w:w="4320" w:type="dxa"/>
            <w:vAlign w:val="center"/>
          </w:tcPr>
          <w:p>
            <w:pPr>
              <w:spacing w:line="360" w:lineRule="auto"/>
              <w:jc w:val="both"/>
              <w:rPr>
                <w:rFonts w:hint="eastAsia" w:ascii="宋体" w:hAnsi="宋体" w:eastAsia="宋体" w:cs="宋体"/>
                <w:sz w:val="24"/>
              </w:rPr>
            </w:pPr>
            <w:r>
              <w:rPr>
                <w:rFonts w:hint="eastAsia" w:ascii="宋体" w:hAnsi="宋体" w:eastAsia="宋体" w:cs="宋体"/>
                <w:sz w:val="24"/>
              </w:rPr>
              <w:t>投标报价（小写）：</w:t>
            </w:r>
          </w:p>
          <w:p>
            <w:pPr>
              <w:spacing w:line="360" w:lineRule="auto"/>
              <w:jc w:val="both"/>
              <w:rPr>
                <w:rFonts w:hint="eastAsia" w:ascii="宋体" w:hAnsi="宋体" w:eastAsia="宋体" w:cs="宋体"/>
                <w:sz w:val="24"/>
              </w:rPr>
            </w:pPr>
            <w:r>
              <w:rPr>
                <w:rFonts w:hint="eastAsia" w:ascii="宋体" w:hAnsi="宋体" w:eastAsia="宋体" w:cs="宋体"/>
                <w:sz w:val="24"/>
              </w:rPr>
              <w:t>投标报价（大写）：</w:t>
            </w:r>
          </w:p>
        </w:tc>
        <w:tc>
          <w:tcPr>
            <w:tcW w:w="1455" w:type="dxa"/>
            <w:vAlign w:val="center"/>
          </w:tcPr>
          <w:p>
            <w:pPr>
              <w:spacing w:line="360" w:lineRule="auto"/>
              <w:jc w:val="center"/>
              <w:rPr>
                <w:rFonts w:hint="eastAsia" w:ascii="宋体" w:hAnsi="宋体" w:eastAsia="宋体" w:cs="宋体"/>
                <w:sz w:val="24"/>
              </w:rPr>
            </w:pPr>
          </w:p>
        </w:tc>
      </w:tr>
    </w:tbl>
    <w:p>
      <w:pPr>
        <w:spacing w:line="360" w:lineRule="auto"/>
        <w:rPr>
          <w:rFonts w:hint="eastAsia" w:ascii="宋体" w:hAnsi="宋体" w:eastAsia="宋体" w:cs="宋体"/>
          <w:b/>
          <w:kern w:val="0"/>
          <w:sz w:val="24"/>
          <w:lang w:val="zh-CN"/>
        </w:rPr>
      </w:pPr>
      <w:r>
        <w:rPr>
          <w:rFonts w:hint="eastAsia" w:ascii="宋体" w:hAnsi="宋体" w:cs="宋体"/>
          <w:b/>
          <w:kern w:val="0"/>
          <w:sz w:val="24"/>
          <w:lang w:val="zh-CN"/>
        </w:rPr>
        <w:t>注：</w:t>
      </w:r>
    </w:p>
    <w:p>
      <w:pPr>
        <w:spacing w:line="360" w:lineRule="auto"/>
        <w:ind w:firstLine="480" w:firstLineChars="200"/>
        <w:rPr>
          <w:rFonts w:hint="eastAsia" w:ascii="宋体" w:hAnsi="宋体" w:eastAsia="宋体" w:cs="宋体"/>
          <w:b w:val="0"/>
          <w:bCs/>
          <w:kern w:val="0"/>
          <w:sz w:val="24"/>
          <w:lang w:val="zh-CN"/>
        </w:rPr>
      </w:pPr>
      <w:r>
        <w:rPr>
          <w:rFonts w:hint="eastAsia" w:ascii="宋体" w:hAnsi="宋体" w:eastAsia="宋体" w:cs="宋体"/>
          <w:b w:val="0"/>
          <w:bCs/>
          <w:kern w:val="0"/>
          <w:sz w:val="24"/>
          <w:lang w:val="zh-CN"/>
        </w:rPr>
        <w:t>1、此表报价单不得涂改，请按规定要求填报。</w:t>
      </w:r>
    </w:p>
    <w:p>
      <w:pPr>
        <w:spacing w:line="360" w:lineRule="auto"/>
        <w:ind w:firstLine="480" w:firstLineChars="200"/>
        <w:rPr>
          <w:rFonts w:hint="eastAsia" w:ascii="宋体" w:hAnsi="宋体" w:eastAsia="宋体" w:cs="宋体"/>
          <w:b w:val="0"/>
          <w:bCs/>
          <w:kern w:val="0"/>
          <w:sz w:val="24"/>
          <w:lang w:val="zh-CN"/>
        </w:rPr>
      </w:pPr>
      <w:r>
        <w:rPr>
          <w:rFonts w:hint="eastAsia" w:ascii="宋体" w:hAnsi="宋体" w:eastAsia="宋体" w:cs="宋体"/>
          <w:b w:val="0"/>
          <w:bCs/>
          <w:kern w:val="0"/>
          <w:sz w:val="24"/>
          <w:lang w:val="zh-CN"/>
        </w:rPr>
        <w:t>2、以上报价应与“报价明细表”中的“合计”数相一致。</w:t>
      </w:r>
    </w:p>
    <w:p>
      <w:pPr>
        <w:spacing w:line="360" w:lineRule="auto"/>
        <w:ind w:firstLine="480" w:firstLineChars="200"/>
        <w:rPr>
          <w:rFonts w:hint="eastAsia" w:ascii="宋体" w:hAnsi="宋体" w:eastAsia="宋体" w:cs="宋体"/>
          <w:b w:val="0"/>
          <w:bCs/>
          <w:kern w:val="0"/>
          <w:sz w:val="24"/>
        </w:rPr>
      </w:pPr>
      <w:r>
        <w:rPr>
          <w:rFonts w:hint="eastAsia" w:ascii="宋体" w:hAnsi="宋体" w:eastAsia="宋体" w:cs="宋体"/>
          <w:b w:val="0"/>
          <w:bCs/>
          <w:kern w:val="0"/>
          <w:sz w:val="24"/>
          <w:lang w:val="zh-CN"/>
        </w:rPr>
        <w:t>3、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690"/>
        <w:keepNext w:val="0"/>
        <w:pageBreakBefore w:val="0"/>
        <w:tabs>
          <w:tab w:val="clear" w:pos="720"/>
        </w:tabs>
        <w:snapToGrid w:val="0"/>
        <w:spacing w:before="120" w:after="120"/>
        <w:ind w:firstLine="643"/>
        <w:outlineLvl w:val="9"/>
        <w:rPr>
          <w:rFonts w:hint="eastAsia" w:ascii="宋体" w:hAnsi="宋体" w:eastAsia="宋体" w:cs="宋体"/>
          <w:kern w:val="2"/>
          <w:sz w:val="32"/>
          <w:szCs w:val="32"/>
        </w:rPr>
      </w:pPr>
    </w:p>
    <w:p>
      <w:pPr>
        <w:pStyle w:val="690"/>
        <w:keepNext w:val="0"/>
        <w:pageBreakBefore w:val="0"/>
        <w:tabs>
          <w:tab w:val="clear" w:pos="720"/>
        </w:tabs>
        <w:snapToGrid w:val="0"/>
        <w:spacing w:before="120" w:after="120"/>
        <w:ind w:firstLine="643"/>
        <w:outlineLvl w:val="9"/>
        <w:rPr>
          <w:rFonts w:hint="eastAsia" w:ascii="宋体" w:hAnsi="宋体" w:eastAsia="宋体" w:cs="宋体"/>
          <w:kern w:val="2"/>
          <w:sz w:val="32"/>
          <w:szCs w:val="32"/>
        </w:rPr>
        <w:sectPr>
          <w:pgSz w:w="16838" w:h="11906" w:orient="landscape"/>
          <w:pgMar w:top="1418" w:right="1247" w:bottom="1418" w:left="1276" w:header="851" w:footer="992" w:gutter="0"/>
          <w:cols w:space="720" w:num="1"/>
          <w:titlePg/>
          <w:docGrid w:linePitch="312" w:charSpace="0"/>
        </w:sectPr>
      </w:pPr>
    </w:p>
    <w:p>
      <w:pPr>
        <w:pStyle w:val="690"/>
        <w:keepNext w:val="0"/>
        <w:pageBreakBefore w:val="0"/>
        <w:numPr>
          <w:ilvl w:val="0"/>
          <w:numId w:val="5"/>
        </w:numPr>
        <w:tabs>
          <w:tab w:val="clear" w:pos="720"/>
        </w:tabs>
        <w:snapToGrid w:val="0"/>
        <w:spacing w:before="120" w:after="120"/>
        <w:jc w:val="both"/>
        <w:outlineLvl w:val="9"/>
        <w:rPr>
          <w:rFonts w:hint="eastAsia" w:ascii="宋体" w:hAnsi="宋体" w:eastAsia="宋体" w:cs="宋体"/>
          <w:kern w:val="2"/>
          <w:sz w:val="32"/>
          <w:szCs w:val="32"/>
        </w:rPr>
      </w:pPr>
      <w:r>
        <w:rPr>
          <w:rFonts w:hint="eastAsia" w:ascii="宋体" w:hAnsi="宋体" w:eastAsia="宋体" w:cs="宋体"/>
          <w:kern w:val="2"/>
          <w:sz w:val="32"/>
          <w:szCs w:val="32"/>
        </w:rPr>
        <w:t>报价明细表格式如下：</w:t>
      </w:r>
    </w:p>
    <w:p>
      <w:pPr>
        <w:pStyle w:val="690"/>
        <w:keepNext w:val="0"/>
        <w:pageBreakBefore w:val="0"/>
        <w:widowControl w:val="0"/>
        <w:numPr>
          <w:ilvl w:val="0"/>
          <w:numId w:val="0"/>
        </w:numPr>
        <w:tabs>
          <w:tab w:val="clear" w:pos="720"/>
        </w:tabs>
        <w:adjustRightInd w:val="0"/>
        <w:snapToGrid w:val="0"/>
        <w:spacing w:before="120" w:after="120" w:line="360" w:lineRule="auto"/>
        <w:jc w:val="center"/>
        <w:outlineLvl w:val="9"/>
        <w:rPr>
          <w:rFonts w:hint="eastAsia" w:ascii="宋体" w:hAnsi="宋体" w:eastAsia="宋体" w:cs="宋体"/>
          <w:kern w:val="2"/>
          <w:sz w:val="30"/>
          <w:szCs w:val="30"/>
        </w:rPr>
      </w:pPr>
      <w:r>
        <w:rPr>
          <w:rFonts w:hint="eastAsia" w:ascii="宋体" w:hAnsi="宋体" w:eastAsia="宋体" w:cs="宋体"/>
          <w:kern w:val="2"/>
          <w:sz w:val="30"/>
          <w:szCs w:val="30"/>
        </w:rPr>
        <w:t>工程量清单报价要求</w:t>
      </w:r>
    </w:p>
    <w:p>
      <w:pPr>
        <w:widowControl/>
        <w:spacing w:line="460" w:lineRule="exact"/>
        <w:ind w:firstLine="480" w:firstLineChars="200"/>
        <w:rPr>
          <w:rFonts w:hAnsi="宋体" w:cs="仿宋_GB2312"/>
          <w:color w:val="auto"/>
          <w:kern w:val="0"/>
          <w:sz w:val="24"/>
          <w:highlight w:val="none"/>
        </w:rPr>
      </w:pPr>
      <w:r>
        <w:rPr>
          <w:rFonts w:hint="eastAsia" w:hAnsi="宋体" w:cs="仿宋_GB2312"/>
          <w:color w:val="auto"/>
          <w:kern w:val="0"/>
          <w:sz w:val="24"/>
          <w:highlight w:val="none"/>
        </w:rPr>
        <w:t>(一)投标报价应根据下列依据进行编制：相关专业工程的国家标准《工程量计算规范》；省、市建设行政主管部门以及工程造价管理机构颁发的相关计价规定；《杭州市建设工程工程量清单计价实施细则（2018年修订）》；本企业定额或参照省、市建设行政主管部门颁发的计价依据；招标文件、招标工程量清单及其补充通知、答疑纪要；达到规定设计深度的施工图纸；与工程项目有关的规范、标准、技术资料；施工现场实际情况、工程特点和</w:t>
      </w:r>
      <w:r>
        <w:rPr>
          <w:rFonts w:hint="eastAsia" w:hAnsi="宋体" w:cs="仿宋_GB2312"/>
          <w:color w:val="auto"/>
          <w:kern w:val="0"/>
          <w:sz w:val="24"/>
          <w:highlight w:val="none"/>
          <w:lang w:eastAsia="zh-CN"/>
        </w:rPr>
        <w:t>响应人</w:t>
      </w:r>
      <w:r>
        <w:rPr>
          <w:rFonts w:hint="eastAsia" w:hAnsi="宋体" w:cs="仿宋_GB2312"/>
          <w:color w:val="auto"/>
          <w:kern w:val="0"/>
          <w:sz w:val="24"/>
          <w:highlight w:val="none"/>
        </w:rPr>
        <w:t>自行拟定的施工组织设计或施工方案；市场价格或工程造价管理机构发布的价格信息；其他相关资料。</w:t>
      </w:r>
    </w:p>
    <w:p>
      <w:pPr>
        <w:widowControl/>
        <w:spacing w:line="460" w:lineRule="exact"/>
        <w:ind w:firstLine="480" w:firstLineChars="200"/>
        <w:rPr>
          <w:rFonts w:hAnsi="宋体" w:cs="仿宋_GB2312"/>
          <w:color w:val="auto"/>
          <w:kern w:val="0"/>
          <w:sz w:val="24"/>
          <w:highlight w:val="none"/>
        </w:rPr>
      </w:pPr>
      <w:r>
        <w:rPr>
          <w:rFonts w:hint="eastAsia" w:hAnsi="宋体" w:cs="仿宋_GB2312"/>
          <w:color w:val="auto"/>
          <w:kern w:val="0"/>
          <w:sz w:val="24"/>
          <w:highlight w:val="none"/>
        </w:rPr>
        <w:t>(二)</w:t>
      </w:r>
      <w:r>
        <w:rPr>
          <w:rFonts w:hint="eastAsia" w:hAnsi="宋体" w:cs="仿宋_GB2312"/>
          <w:color w:val="auto"/>
          <w:kern w:val="0"/>
          <w:sz w:val="24"/>
          <w:highlight w:val="none"/>
          <w:lang w:eastAsia="zh-CN"/>
        </w:rPr>
        <w:t>响应人</w:t>
      </w:r>
      <w:r>
        <w:rPr>
          <w:rFonts w:hint="eastAsia" w:hAnsi="宋体" w:cs="仿宋_GB2312"/>
          <w:color w:val="auto"/>
          <w:kern w:val="0"/>
          <w:sz w:val="24"/>
          <w:highlight w:val="none"/>
        </w:rPr>
        <w:t>应当根据本企业的具体经营状况、技术装备水平、管理水平，视工程的实际情况、风险程度，自主报价。</w:t>
      </w:r>
      <w:r>
        <w:rPr>
          <w:rFonts w:hint="eastAsia" w:hAnsi="宋体" w:cs="仿宋_GB2312"/>
          <w:color w:val="auto"/>
          <w:kern w:val="0"/>
          <w:sz w:val="24"/>
          <w:highlight w:val="none"/>
          <w:lang w:eastAsia="zh-CN"/>
        </w:rPr>
        <w:t>响应人</w:t>
      </w:r>
      <w:r>
        <w:rPr>
          <w:rFonts w:hint="eastAsia" w:hAnsi="宋体" w:cs="仿宋_GB2312"/>
          <w:color w:val="auto"/>
          <w:kern w:val="0"/>
          <w:sz w:val="24"/>
          <w:highlight w:val="none"/>
        </w:rPr>
        <w:t>不得以低于其企业成本的投标报价竞标。</w:t>
      </w:r>
    </w:p>
    <w:p>
      <w:pPr>
        <w:widowControl/>
        <w:spacing w:line="460" w:lineRule="exact"/>
        <w:ind w:firstLine="480" w:firstLineChars="200"/>
        <w:rPr>
          <w:rFonts w:hAnsi="宋体" w:cs="仿宋_GB2312"/>
          <w:color w:val="auto"/>
          <w:kern w:val="0"/>
          <w:sz w:val="24"/>
          <w:highlight w:val="none"/>
        </w:rPr>
      </w:pPr>
      <w:r>
        <w:rPr>
          <w:rFonts w:hint="eastAsia" w:hAnsi="宋体" w:cs="仿宋_GB2312"/>
          <w:color w:val="auto"/>
          <w:kern w:val="0"/>
          <w:sz w:val="24"/>
          <w:highlight w:val="none"/>
          <w:lang w:eastAsia="zh-CN"/>
        </w:rPr>
        <w:t>响应人</w:t>
      </w:r>
      <w:r>
        <w:rPr>
          <w:rFonts w:hint="eastAsia" w:hAnsi="宋体" w:cs="仿宋_GB2312"/>
          <w:color w:val="auto"/>
          <w:kern w:val="0"/>
          <w:sz w:val="24"/>
          <w:highlight w:val="none"/>
        </w:rPr>
        <w:t>应根据其投标报价情况提供书面报价说明。报价说明的主要内容包括：投标报价的编制依据；对投标工期、质量、材料、施工等方面的承诺；综合单价中考虑的风险因素、风险范围（幅度）；措施项目的依据；其他需要说明的问题。</w:t>
      </w:r>
    </w:p>
    <w:p>
      <w:pPr>
        <w:widowControl/>
        <w:spacing w:line="460" w:lineRule="exact"/>
        <w:ind w:firstLine="480" w:firstLineChars="200"/>
        <w:rPr>
          <w:rFonts w:hAnsi="宋体" w:cs="仿宋_GB2312"/>
          <w:color w:val="auto"/>
          <w:kern w:val="0"/>
          <w:sz w:val="24"/>
          <w:highlight w:val="none"/>
        </w:rPr>
      </w:pPr>
      <w:r>
        <w:rPr>
          <w:rFonts w:hint="eastAsia" w:hAnsi="宋体" w:cs="仿宋_GB2312"/>
          <w:color w:val="auto"/>
          <w:kern w:val="0"/>
          <w:sz w:val="24"/>
          <w:highlight w:val="none"/>
        </w:rPr>
        <w:t xml:space="preserve">   (三）投标报价应按照以下原则计价：</w:t>
      </w:r>
    </w:p>
    <w:p>
      <w:pPr>
        <w:widowControl/>
        <w:spacing w:line="460" w:lineRule="exact"/>
        <w:ind w:firstLine="482" w:firstLineChars="200"/>
        <w:rPr>
          <w:rFonts w:hAnsi="宋体" w:cs="仿宋_GB2312"/>
          <w:color w:val="auto"/>
          <w:kern w:val="0"/>
          <w:sz w:val="24"/>
          <w:highlight w:val="none"/>
        </w:rPr>
      </w:pPr>
      <w:r>
        <w:rPr>
          <w:rFonts w:hint="eastAsia" w:hAnsi="宋体" w:cs="仿宋_GB2312"/>
          <w:b/>
          <w:color w:val="auto"/>
          <w:kern w:val="0"/>
          <w:sz w:val="24"/>
          <w:highlight w:val="none"/>
        </w:rPr>
        <w:t>1.分部分项工程项目清单费用</w:t>
      </w:r>
    </w:p>
    <w:p>
      <w:pPr>
        <w:widowControl/>
        <w:spacing w:line="460" w:lineRule="exact"/>
        <w:ind w:firstLine="480" w:firstLineChars="200"/>
        <w:rPr>
          <w:rFonts w:hAnsi="宋体" w:cs="仿宋_GB2312"/>
          <w:color w:val="auto"/>
          <w:kern w:val="0"/>
          <w:sz w:val="24"/>
          <w:highlight w:val="none"/>
        </w:rPr>
      </w:pPr>
      <w:r>
        <w:rPr>
          <w:rFonts w:hint="eastAsia" w:hAnsi="宋体" w:cs="仿宋_GB2312"/>
          <w:color w:val="auto"/>
          <w:kern w:val="0"/>
          <w:sz w:val="24"/>
          <w:highlight w:val="none"/>
        </w:rPr>
        <w:t>（1）</w:t>
      </w:r>
      <w:r>
        <w:rPr>
          <w:rFonts w:hint="eastAsia" w:hAnsi="宋体" w:cs="仿宋_GB2312"/>
          <w:color w:val="auto"/>
          <w:kern w:val="0"/>
          <w:sz w:val="24"/>
          <w:highlight w:val="none"/>
          <w:lang w:eastAsia="zh-CN"/>
        </w:rPr>
        <w:t>响应人</w:t>
      </w:r>
      <w:r>
        <w:rPr>
          <w:rFonts w:hint="eastAsia" w:hAnsi="宋体" w:cs="仿宋_GB2312"/>
          <w:color w:val="auto"/>
          <w:kern w:val="0"/>
          <w:sz w:val="24"/>
          <w:highlight w:val="none"/>
        </w:rPr>
        <w:t>按招标工程量清单填报价格。投标报价采用综合单价计价，</w:t>
      </w:r>
      <w:r>
        <w:rPr>
          <w:rFonts w:hint="eastAsia" w:hAnsi="宋体" w:cs="仿宋_GB2312"/>
          <w:color w:val="auto"/>
          <w:kern w:val="0"/>
          <w:sz w:val="24"/>
          <w:highlight w:val="none"/>
          <w:lang w:eastAsia="zh-CN"/>
        </w:rPr>
        <w:t>响应人</w:t>
      </w:r>
      <w:r>
        <w:rPr>
          <w:rFonts w:hint="eastAsia" w:hAnsi="宋体" w:cs="仿宋_GB2312"/>
          <w:color w:val="auto"/>
          <w:kern w:val="0"/>
          <w:sz w:val="24"/>
          <w:highlight w:val="none"/>
        </w:rPr>
        <w:t>应根据综合单价的组成、工程量清单项目特征描述和工程内容确定综合单价。综合单价包括完成工程量清单中一个规定计量单位项目所需的人工费、材料费、机械使用费、企业管理费和利润，并考虑一定的风险因素。综合单价中应包括招标文件中确定的由</w:t>
      </w:r>
      <w:r>
        <w:rPr>
          <w:rFonts w:hint="eastAsia" w:hAnsi="宋体" w:cs="仿宋_GB2312"/>
          <w:color w:val="auto"/>
          <w:kern w:val="0"/>
          <w:sz w:val="24"/>
          <w:highlight w:val="none"/>
          <w:lang w:eastAsia="zh-CN"/>
        </w:rPr>
        <w:t>响应人</w:t>
      </w:r>
      <w:r>
        <w:rPr>
          <w:rFonts w:hint="eastAsia" w:hAnsi="宋体" w:cs="仿宋_GB2312"/>
          <w:color w:val="auto"/>
          <w:kern w:val="0"/>
          <w:sz w:val="24"/>
          <w:highlight w:val="none"/>
        </w:rPr>
        <w:t>承担的风险范围及其费用。</w:t>
      </w:r>
    </w:p>
    <w:p>
      <w:pPr>
        <w:widowControl/>
        <w:spacing w:line="460" w:lineRule="exact"/>
        <w:ind w:firstLine="480" w:firstLineChars="200"/>
        <w:rPr>
          <w:rFonts w:hAnsi="宋体" w:cs="仿宋_GB2312"/>
          <w:color w:val="auto"/>
          <w:kern w:val="0"/>
          <w:sz w:val="24"/>
          <w:highlight w:val="none"/>
        </w:rPr>
      </w:pPr>
      <w:r>
        <w:rPr>
          <w:rFonts w:hint="eastAsia" w:hAnsi="宋体" w:cs="仿宋_GB2312"/>
          <w:color w:val="auto"/>
          <w:kern w:val="0"/>
          <w:sz w:val="24"/>
          <w:highlight w:val="none"/>
        </w:rPr>
        <w:t>（2）人工费、材料费、机械使用费、企业管理费和利润的费用所涵盖内容按省级建设行政主管部门颁发的取费定额确定。上级建设行政主管部门颁发的相关计价文件对费用内容组成另有调整的，按其规定执行。</w:t>
      </w:r>
    </w:p>
    <w:p>
      <w:pPr>
        <w:widowControl/>
        <w:spacing w:line="460" w:lineRule="exact"/>
        <w:ind w:firstLine="480" w:firstLineChars="200"/>
        <w:rPr>
          <w:rFonts w:hAnsi="宋体" w:cs="仿宋_GB2312"/>
          <w:color w:val="auto"/>
          <w:kern w:val="0"/>
          <w:sz w:val="24"/>
          <w:highlight w:val="none"/>
        </w:rPr>
      </w:pPr>
      <w:r>
        <w:rPr>
          <w:rFonts w:hint="eastAsia" w:hAnsi="宋体" w:cs="仿宋_GB2312"/>
          <w:color w:val="auto"/>
          <w:kern w:val="0"/>
          <w:sz w:val="24"/>
          <w:highlight w:val="none"/>
        </w:rPr>
        <w:t>（3）综合单价应包括招标人自行采购材料的价款。招标文件提供暂定价的材料，</w:t>
      </w:r>
      <w:r>
        <w:rPr>
          <w:rFonts w:hint="eastAsia" w:hAnsi="宋体" w:cs="仿宋_GB2312"/>
          <w:color w:val="auto"/>
          <w:kern w:val="0"/>
          <w:sz w:val="24"/>
          <w:highlight w:val="none"/>
          <w:lang w:eastAsia="zh-CN"/>
        </w:rPr>
        <w:t>响应人</w:t>
      </w:r>
      <w:r>
        <w:rPr>
          <w:rFonts w:hint="eastAsia" w:hAnsi="宋体" w:cs="仿宋_GB2312"/>
          <w:color w:val="auto"/>
          <w:kern w:val="0"/>
          <w:sz w:val="24"/>
          <w:highlight w:val="none"/>
        </w:rPr>
        <w:t>按暂定的单价计入综合单价。暂定价材料如遇本省计价依据中无相类似的材料时，</w:t>
      </w:r>
      <w:r>
        <w:rPr>
          <w:rFonts w:hint="eastAsia" w:hAnsi="宋体" w:cs="仿宋_GB2312"/>
          <w:color w:val="auto"/>
          <w:kern w:val="0"/>
          <w:sz w:val="24"/>
          <w:highlight w:val="none"/>
          <w:lang w:eastAsia="zh-CN"/>
        </w:rPr>
        <w:t>响应人</w:t>
      </w:r>
      <w:r>
        <w:rPr>
          <w:rFonts w:hint="eastAsia" w:hAnsi="宋体" w:cs="仿宋_GB2312"/>
          <w:color w:val="auto"/>
          <w:kern w:val="0"/>
          <w:sz w:val="24"/>
          <w:highlight w:val="none"/>
        </w:rPr>
        <w:t>应该在投标文件报价说明中明确该暂定价材料的损耗率。</w:t>
      </w:r>
    </w:p>
    <w:p>
      <w:pPr>
        <w:widowControl/>
        <w:spacing w:line="460" w:lineRule="exact"/>
        <w:ind w:firstLine="480" w:firstLineChars="200"/>
        <w:rPr>
          <w:rFonts w:hAnsi="宋体" w:cs="仿宋_GB2312"/>
          <w:color w:val="auto"/>
          <w:kern w:val="0"/>
          <w:sz w:val="24"/>
          <w:highlight w:val="none"/>
        </w:rPr>
      </w:pPr>
      <w:r>
        <w:rPr>
          <w:rFonts w:hint="eastAsia" w:hAnsi="宋体" w:cs="仿宋_GB2312"/>
          <w:color w:val="auto"/>
          <w:kern w:val="0"/>
          <w:sz w:val="24"/>
          <w:highlight w:val="none"/>
        </w:rPr>
        <w:t>（4）企业管理费、利润的费用计算由</w:t>
      </w:r>
      <w:r>
        <w:rPr>
          <w:rFonts w:hint="eastAsia" w:hAnsi="宋体" w:cs="仿宋_GB2312"/>
          <w:color w:val="auto"/>
          <w:kern w:val="0"/>
          <w:sz w:val="24"/>
          <w:highlight w:val="none"/>
          <w:lang w:eastAsia="zh-CN"/>
        </w:rPr>
        <w:t>响应人</w:t>
      </w:r>
      <w:r>
        <w:rPr>
          <w:rFonts w:hint="eastAsia" w:hAnsi="宋体" w:cs="仿宋_GB2312"/>
          <w:color w:val="auto"/>
          <w:kern w:val="0"/>
          <w:sz w:val="24"/>
          <w:highlight w:val="none"/>
        </w:rPr>
        <w:t>自主确定或参照省建设行政主管部门颁发的施工费用定额和计算方法计算。</w:t>
      </w:r>
    </w:p>
    <w:p>
      <w:pPr>
        <w:widowControl/>
        <w:spacing w:line="460" w:lineRule="exact"/>
        <w:ind w:firstLine="480" w:firstLineChars="200"/>
        <w:rPr>
          <w:rFonts w:hAnsi="宋体" w:cs="仿宋_GB2312"/>
          <w:color w:val="auto"/>
          <w:kern w:val="0"/>
          <w:sz w:val="24"/>
          <w:highlight w:val="none"/>
        </w:rPr>
      </w:pPr>
      <w:r>
        <w:rPr>
          <w:rFonts w:hint="eastAsia" w:hAnsi="宋体" w:cs="仿宋_GB2312"/>
          <w:color w:val="auto"/>
          <w:kern w:val="0"/>
          <w:sz w:val="24"/>
          <w:highlight w:val="none"/>
        </w:rPr>
        <w:t>投标报价时，企业管理费中应包括施工企业现场监控和现场临时宿舍取暖降温费用，以及施工企业对建筑以及材料、构件和建筑安装物进行一般鉴定、检查所发生的检验试验费等相关费用。为保障工程质量和安全，企业管理费报价不得低于省建设行政主管部门颁发的施工费用定额和相关取费计价文件规定的对应专业工程企业管理费弹性费率下限乘以20%的计算值。同时，</w:t>
      </w:r>
      <w:r>
        <w:rPr>
          <w:rFonts w:hint="eastAsia" w:hAnsi="宋体" w:cs="仿宋_GB2312"/>
          <w:color w:val="auto"/>
          <w:kern w:val="0"/>
          <w:sz w:val="24"/>
          <w:highlight w:val="none"/>
          <w:lang w:eastAsia="zh-CN"/>
        </w:rPr>
        <w:t>响应人</w:t>
      </w:r>
      <w:r>
        <w:rPr>
          <w:rFonts w:hint="eastAsia" w:hAnsi="宋体" w:cs="仿宋_GB2312"/>
          <w:color w:val="auto"/>
          <w:kern w:val="0"/>
          <w:sz w:val="24"/>
          <w:highlight w:val="none"/>
        </w:rPr>
        <w:t>必须对企业管理费中所包含的施工企业的现场监控、现场临时宿舍取暖降温费用，在相应的清单明细表中（表2-5）进行单独费用报价分析。</w:t>
      </w:r>
    </w:p>
    <w:p>
      <w:pPr>
        <w:widowControl/>
        <w:spacing w:line="460" w:lineRule="exact"/>
        <w:ind w:firstLine="480" w:firstLineChars="200"/>
        <w:rPr>
          <w:rFonts w:hAnsi="宋体" w:cs="仿宋_GB2312"/>
          <w:color w:val="auto"/>
          <w:kern w:val="0"/>
          <w:sz w:val="24"/>
          <w:highlight w:val="none"/>
        </w:rPr>
      </w:pPr>
      <w:r>
        <w:rPr>
          <w:rFonts w:hint="eastAsia" w:hAnsi="宋体" w:cs="仿宋_GB2312"/>
          <w:color w:val="auto"/>
          <w:kern w:val="0"/>
          <w:sz w:val="24"/>
          <w:highlight w:val="none"/>
        </w:rPr>
        <w:t>施工企业的现场监控、现场临时宿舍取暖降温费用，应根据市政府、市建设行政主管部门颁发的有关文件对于现场监控和现场民工宿舍空调的设置要求或标准规定落实相应费用的报价。</w:t>
      </w:r>
    </w:p>
    <w:p>
      <w:pPr>
        <w:widowControl/>
        <w:spacing w:line="460" w:lineRule="exact"/>
        <w:ind w:firstLine="480" w:firstLineChars="200"/>
        <w:rPr>
          <w:rFonts w:hAnsi="宋体" w:cs="仿宋_GB2312"/>
          <w:color w:val="auto"/>
          <w:kern w:val="0"/>
          <w:sz w:val="24"/>
          <w:highlight w:val="none"/>
        </w:rPr>
      </w:pPr>
      <w:r>
        <w:rPr>
          <w:rFonts w:hint="eastAsia" w:hAnsi="宋体" w:cs="仿宋_GB2312"/>
          <w:color w:val="auto"/>
          <w:kern w:val="0"/>
          <w:sz w:val="24"/>
          <w:highlight w:val="none"/>
          <w:lang w:eastAsia="zh-CN"/>
        </w:rPr>
        <w:t>响应人</w:t>
      </w:r>
      <w:r>
        <w:rPr>
          <w:rFonts w:hint="eastAsia" w:hAnsi="宋体" w:cs="仿宋_GB2312"/>
          <w:color w:val="auto"/>
          <w:kern w:val="0"/>
          <w:sz w:val="24"/>
          <w:highlight w:val="none"/>
        </w:rPr>
        <w:t>未按上述规定要求报价的，评标委员会可以评定为废标。</w:t>
      </w:r>
    </w:p>
    <w:p>
      <w:pPr>
        <w:widowControl/>
        <w:spacing w:line="460" w:lineRule="exact"/>
        <w:ind w:firstLine="480" w:firstLineChars="200"/>
        <w:rPr>
          <w:rFonts w:hAnsi="宋体" w:cs="仿宋_GB2312"/>
          <w:color w:val="auto"/>
          <w:kern w:val="0"/>
          <w:sz w:val="24"/>
          <w:highlight w:val="none"/>
        </w:rPr>
      </w:pPr>
      <w:r>
        <w:rPr>
          <w:rFonts w:hint="eastAsia" w:hAnsi="宋体" w:cs="仿宋_GB2312"/>
          <w:color w:val="auto"/>
          <w:kern w:val="0"/>
          <w:sz w:val="24"/>
          <w:highlight w:val="none"/>
        </w:rPr>
        <w:t>（5）综合单价中的风险费计算应根据招标文件中所明确的</w:t>
      </w:r>
      <w:r>
        <w:rPr>
          <w:rFonts w:hint="eastAsia" w:hAnsi="宋体" w:cs="仿宋_GB2312"/>
          <w:color w:val="auto"/>
          <w:kern w:val="0"/>
          <w:sz w:val="24"/>
          <w:highlight w:val="none"/>
          <w:lang w:eastAsia="zh-CN"/>
        </w:rPr>
        <w:t>响应人</w:t>
      </w:r>
      <w:r>
        <w:rPr>
          <w:rFonts w:hint="eastAsia" w:hAnsi="宋体" w:cs="仿宋_GB2312"/>
          <w:color w:val="auto"/>
          <w:kern w:val="0"/>
          <w:sz w:val="24"/>
          <w:highlight w:val="none"/>
        </w:rPr>
        <w:t>应承担的风险范围和幅度由</w:t>
      </w:r>
      <w:r>
        <w:rPr>
          <w:rFonts w:hint="eastAsia" w:hAnsi="宋体" w:cs="仿宋_GB2312"/>
          <w:color w:val="auto"/>
          <w:kern w:val="0"/>
          <w:sz w:val="24"/>
          <w:highlight w:val="none"/>
          <w:lang w:eastAsia="zh-CN"/>
        </w:rPr>
        <w:t>响应人</w:t>
      </w:r>
      <w:r>
        <w:rPr>
          <w:rFonts w:hint="eastAsia" w:hAnsi="宋体" w:cs="仿宋_GB2312"/>
          <w:color w:val="auto"/>
          <w:kern w:val="0"/>
          <w:sz w:val="24"/>
          <w:highlight w:val="none"/>
        </w:rPr>
        <w:t>自主确定。</w:t>
      </w:r>
    </w:p>
    <w:p>
      <w:pPr>
        <w:widowControl/>
        <w:spacing w:line="460" w:lineRule="exact"/>
        <w:ind w:firstLine="482" w:firstLineChars="200"/>
        <w:rPr>
          <w:rFonts w:hAnsi="宋体" w:cs="仿宋_GB2312"/>
          <w:b/>
          <w:color w:val="auto"/>
          <w:kern w:val="0"/>
          <w:sz w:val="24"/>
          <w:highlight w:val="none"/>
        </w:rPr>
      </w:pPr>
      <w:r>
        <w:rPr>
          <w:rFonts w:hint="eastAsia" w:hAnsi="宋体" w:cs="仿宋_GB2312"/>
          <w:b/>
          <w:color w:val="auto"/>
          <w:kern w:val="0"/>
          <w:sz w:val="24"/>
          <w:highlight w:val="none"/>
        </w:rPr>
        <w:t>2.措施项目清单费用</w:t>
      </w:r>
    </w:p>
    <w:p>
      <w:pPr>
        <w:widowControl/>
        <w:spacing w:line="460" w:lineRule="exact"/>
        <w:ind w:firstLine="480" w:firstLineChars="200"/>
        <w:rPr>
          <w:rFonts w:hAnsi="宋体" w:cs="仿宋_GB2312"/>
          <w:color w:val="auto"/>
          <w:kern w:val="0"/>
          <w:sz w:val="24"/>
          <w:highlight w:val="none"/>
        </w:rPr>
      </w:pPr>
      <w:r>
        <w:rPr>
          <w:rFonts w:hint="eastAsia" w:hAnsi="宋体" w:cs="仿宋_GB2312"/>
          <w:color w:val="auto"/>
          <w:kern w:val="0"/>
          <w:sz w:val="24"/>
          <w:highlight w:val="none"/>
        </w:rPr>
        <w:t>（1）</w:t>
      </w:r>
      <w:r>
        <w:rPr>
          <w:rFonts w:hint="eastAsia" w:hAnsi="宋体" w:cs="仿宋_GB2312"/>
          <w:color w:val="auto"/>
          <w:kern w:val="0"/>
          <w:sz w:val="24"/>
          <w:highlight w:val="none"/>
          <w:lang w:eastAsia="zh-CN"/>
        </w:rPr>
        <w:t>响应人</w:t>
      </w:r>
      <w:r>
        <w:rPr>
          <w:rFonts w:hint="eastAsia" w:hAnsi="宋体" w:cs="仿宋_GB2312"/>
          <w:color w:val="auto"/>
          <w:kern w:val="0"/>
          <w:sz w:val="24"/>
          <w:highlight w:val="none"/>
        </w:rPr>
        <w:t>应根据招标人提供的措施项目清单和</w:t>
      </w:r>
      <w:r>
        <w:rPr>
          <w:rFonts w:hint="eastAsia" w:hAnsi="宋体" w:cs="仿宋_GB2312"/>
          <w:color w:val="auto"/>
          <w:kern w:val="0"/>
          <w:sz w:val="24"/>
          <w:highlight w:val="none"/>
          <w:lang w:eastAsia="zh-CN"/>
        </w:rPr>
        <w:t>响应人</w:t>
      </w:r>
      <w:r>
        <w:rPr>
          <w:rFonts w:hint="eastAsia" w:hAnsi="宋体" w:cs="仿宋_GB2312"/>
          <w:color w:val="auto"/>
          <w:kern w:val="0"/>
          <w:sz w:val="24"/>
          <w:highlight w:val="none"/>
        </w:rPr>
        <w:t>自行确定的施工组织设计或施工方案填报数量和价格，不发生的措施项目金额以“</w:t>
      </w:r>
      <w:r>
        <w:rPr>
          <w:rFonts w:hint="eastAsia" w:hAnsi="宋体" w:cs="仿宋_GB2312"/>
          <w:color w:val="auto"/>
          <w:kern w:val="0"/>
          <w:sz w:val="24"/>
          <w:highlight w:val="none"/>
          <w:lang w:val="en-US" w:eastAsia="zh-CN"/>
        </w:rPr>
        <w:t>0</w:t>
      </w:r>
      <w:r>
        <w:rPr>
          <w:rFonts w:hint="eastAsia" w:hAnsi="宋体" w:cs="仿宋_GB2312"/>
          <w:color w:val="auto"/>
          <w:kern w:val="0"/>
          <w:sz w:val="24"/>
          <w:highlight w:val="none"/>
        </w:rPr>
        <w:t>”计价。遇有措施项目清单未列项的，</w:t>
      </w:r>
      <w:r>
        <w:rPr>
          <w:rFonts w:hint="eastAsia" w:hAnsi="宋体" w:cs="仿宋_GB2312"/>
          <w:color w:val="auto"/>
          <w:kern w:val="0"/>
          <w:sz w:val="24"/>
          <w:highlight w:val="none"/>
          <w:lang w:eastAsia="zh-CN"/>
        </w:rPr>
        <w:t>响应人</w:t>
      </w:r>
      <w:r>
        <w:rPr>
          <w:rFonts w:hint="eastAsia" w:hAnsi="宋体" w:cs="仿宋_GB2312"/>
          <w:color w:val="auto"/>
          <w:kern w:val="0"/>
          <w:sz w:val="24"/>
          <w:highlight w:val="none"/>
        </w:rPr>
        <w:t>可补充措施项目并报价。</w:t>
      </w:r>
    </w:p>
    <w:p>
      <w:pPr>
        <w:widowControl/>
        <w:spacing w:line="460" w:lineRule="exact"/>
        <w:ind w:firstLine="480" w:firstLineChars="200"/>
        <w:rPr>
          <w:rFonts w:hAnsi="宋体" w:cs="仿宋_GB2312"/>
          <w:color w:val="auto"/>
          <w:kern w:val="0"/>
          <w:sz w:val="24"/>
          <w:highlight w:val="none"/>
        </w:rPr>
      </w:pPr>
      <w:r>
        <w:rPr>
          <w:rFonts w:hint="eastAsia" w:hAnsi="宋体" w:cs="仿宋_GB2312"/>
          <w:color w:val="auto"/>
          <w:kern w:val="0"/>
          <w:sz w:val="24"/>
          <w:highlight w:val="none"/>
        </w:rPr>
        <w:t>（2）技术措施项目中的单价项目报价可参照综合单价的组成自主确定或参照省建设行政主管部门发布的消耗量定额、施工费用定额和计算方法计算。</w:t>
      </w:r>
    </w:p>
    <w:p>
      <w:pPr>
        <w:widowControl/>
        <w:spacing w:line="460" w:lineRule="exact"/>
        <w:ind w:firstLine="480" w:firstLineChars="200"/>
        <w:rPr>
          <w:rFonts w:hAnsi="宋体" w:cs="仿宋_GB2312"/>
          <w:color w:val="auto"/>
          <w:kern w:val="0"/>
          <w:sz w:val="24"/>
          <w:highlight w:val="none"/>
        </w:rPr>
      </w:pPr>
      <w:r>
        <w:rPr>
          <w:rFonts w:hint="eastAsia" w:hAnsi="宋体" w:cs="仿宋_GB2312"/>
          <w:color w:val="auto"/>
          <w:kern w:val="0"/>
          <w:sz w:val="24"/>
          <w:highlight w:val="none"/>
        </w:rPr>
        <w:t>（3）措施项目中凡属周转使用的设备、材料，均应按单次使用摊销量报价。</w:t>
      </w:r>
    </w:p>
    <w:p>
      <w:pPr>
        <w:widowControl/>
        <w:spacing w:line="460" w:lineRule="exact"/>
        <w:ind w:firstLine="480" w:firstLineChars="200"/>
        <w:rPr>
          <w:rFonts w:hAnsi="宋体" w:cs="仿宋_GB2312"/>
          <w:color w:val="auto"/>
          <w:kern w:val="0"/>
          <w:sz w:val="24"/>
          <w:highlight w:val="none"/>
        </w:rPr>
      </w:pPr>
      <w:r>
        <w:rPr>
          <w:rFonts w:hint="eastAsia" w:hAnsi="宋体" w:cs="仿宋_GB2312"/>
          <w:color w:val="auto"/>
          <w:kern w:val="0"/>
          <w:sz w:val="24"/>
          <w:highlight w:val="none"/>
        </w:rPr>
        <w:t>（4）</w:t>
      </w:r>
      <w:r>
        <w:rPr>
          <w:rFonts w:hint="eastAsia" w:hAnsi="宋体" w:cs="仿宋_GB2312"/>
          <w:color w:val="auto"/>
          <w:kern w:val="0"/>
          <w:sz w:val="24"/>
          <w:highlight w:val="none"/>
          <w:lang w:eastAsia="zh-CN"/>
        </w:rPr>
        <w:t>响应人</w:t>
      </w:r>
      <w:r>
        <w:rPr>
          <w:rFonts w:hint="eastAsia" w:hAnsi="宋体" w:cs="仿宋_GB2312"/>
          <w:color w:val="auto"/>
          <w:kern w:val="0"/>
          <w:sz w:val="24"/>
          <w:highlight w:val="none"/>
        </w:rPr>
        <w:t>应针对拟建工程编制保证安全施工、文明施工、环境保护和临时设施的技术措施方案，并按招标工程量清单中的相应措施清单提供数量和报价。遇有缺项时，</w:t>
      </w:r>
      <w:r>
        <w:rPr>
          <w:rFonts w:hint="eastAsia" w:hAnsi="宋体" w:cs="仿宋_GB2312"/>
          <w:color w:val="auto"/>
          <w:kern w:val="0"/>
          <w:sz w:val="24"/>
          <w:highlight w:val="none"/>
          <w:lang w:eastAsia="zh-CN"/>
        </w:rPr>
        <w:t>响应人</w:t>
      </w:r>
      <w:r>
        <w:rPr>
          <w:rFonts w:hint="eastAsia" w:hAnsi="宋体" w:cs="仿宋_GB2312"/>
          <w:color w:val="auto"/>
          <w:kern w:val="0"/>
          <w:sz w:val="24"/>
          <w:highlight w:val="none"/>
        </w:rPr>
        <w:t>可补充措施项目。</w:t>
      </w:r>
    </w:p>
    <w:p>
      <w:pPr>
        <w:widowControl/>
        <w:spacing w:line="460" w:lineRule="exact"/>
        <w:ind w:firstLine="480" w:firstLineChars="200"/>
        <w:rPr>
          <w:rFonts w:hint="eastAsia" w:hAnsi="宋体" w:cs="仿宋_GB2312"/>
          <w:color w:val="auto"/>
          <w:kern w:val="0"/>
          <w:sz w:val="24"/>
          <w:highlight w:val="none"/>
        </w:rPr>
      </w:pPr>
      <w:r>
        <w:rPr>
          <w:rFonts w:hint="eastAsia" w:hAnsi="宋体" w:cs="仿宋_GB2312"/>
          <w:color w:val="auto"/>
          <w:kern w:val="0"/>
          <w:sz w:val="24"/>
          <w:highlight w:val="none"/>
        </w:rPr>
        <w:t>（5）施工取费费率依照本省现行计价依据的有关规定执行；</w:t>
      </w:r>
    </w:p>
    <w:p>
      <w:pPr>
        <w:widowControl/>
        <w:spacing w:line="460" w:lineRule="exact"/>
        <w:ind w:firstLine="480" w:firstLineChars="200"/>
        <w:rPr>
          <w:rFonts w:hint="eastAsia" w:hAnsi="宋体" w:cs="仿宋_GB2312"/>
          <w:color w:val="auto"/>
          <w:kern w:val="0"/>
          <w:sz w:val="24"/>
          <w:highlight w:val="none"/>
        </w:rPr>
      </w:pPr>
      <w:r>
        <w:rPr>
          <w:rFonts w:hint="eastAsia" w:hAnsi="宋体" w:cs="仿宋_GB2312"/>
          <w:color w:val="auto"/>
          <w:kern w:val="0"/>
          <w:sz w:val="24"/>
          <w:highlight w:val="none"/>
        </w:rPr>
        <w:t>安全文明施工措施项目费用包括安全施工、文明施工、环境保护和临时设施费用，必须充分保证。</w:t>
      </w:r>
      <w:r>
        <w:rPr>
          <w:rFonts w:hint="eastAsia" w:hAnsi="宋体" w:cs="仿宋_GB2312"/>
          <w:color w:val="auto"/>
          <w:kern w:val="0"/>
          <w:sz w:val="24"/>
          <w:highlight w:val="none"/>
          <w:lang w:eastAsia="zh-CN"/>
        </w:rPr>
        <w:t>响应人</w:t>
      </w:r>
      <w:r>
        <w:rPr>
          <w:rFonts w:hint="eastAsia" w:hAnsi="宋体" w:cs="仿宋_GB2312"/>
          <w:color w:val="auto"/>
          <w:kern w:val="0"/>
          <w:sz w:val="24"/>
          <w:highlight w:val="none"/>
        </w:rPr>
        <w:t>应结合招标工程的实际，依据招标人提供的安全文明施工措施项目清单及计价表（表1-3-A-1），按项目整体考虑分别报价。</w:t>
      </w:r>
    </w:p>
    <w:p>
      <w:pPr>
        <w:widowControl/>
        <w:spacing w:line="460" w:lineRule="exact"/>
        <w:ind w:firstLine="480" w:firstLineChars="200"/>
        <w:rPr>
          <w:rFonts w:hint="eastAsia" w:hAnsi="宋体" w:cs="仿宋_GB2312"/>
          <w:color w:val="auto"/>
          <w:kern w:val="0"/>
          <w:sz w:val="24"/>
          <w:highlight w:val="none"/>
        </w:rPr>
      </w:pPr>
      <w:r>
        <w:rPr>
          <w:rFonts w:hint="eastAsia" w:hAnsi="宋体" w:cs="仿宋_GB2312"/>
          <w:color w:val="auto"/>
          <w:kern w:val="0"/>
          <w:sz w:val="24"/>
          <w:highlight w:val="none"/>
        </w:rPr>
        <w:t>安全文明施工措施费用报价不得低于建设行政主管部门颁发的取费计价文件规定的弹性费率下限的计算值。</w:t>
      </w:r>
      <w:r>
        <w:rPr>
          <w:rFonts w:hint="eastAsia" w:hAnsi="宋体" w:cs="仿宋_GB2312"/>
          <w:color w:val="auto"/>
          <w:kern w:val="0"/>
          <w:sz w:val="24"/>
          <w:highlight w:val="none"/>
          <w:lang w:eastAsia="zh-CN"/>
        </w:rPr>
        <w:t>响应人</w:t>
      </w:r>
      <w:r>
        <w:rPr>
          <w:rFonts w:hint="eastAsia" w:hAnsi="宋体" w:cs="仿宋_GB2312"/>
          <w:color w:val="auto"/>
          <w:kern w:val="0"/>
          <w:sz w:val="24"/>
          <w:highlight w:val="none"/>
        </w:rPr>
        <w:t>未按规定要求报价的，评标委员会可以评定为废标；即：安全文明施工措施费用的投标报价≥∑[(专业工程分部分项工程量清单中的取费基数值 + 技术措施项目清单中的取费基数值)×对应专业工程基本费下限费率]；</w:t>
      </w:r>
    </w:p>
    <w:p>
      <w:pPr>
        <w:widowControl/>
        <w:spacing w:line="460" w:lineRule="exact"/>
        <w:ind w:firstLine="480" w:firstLineChars="200"/>
        <w:rPr>
          <w:rFonts w:hint="eastAsia" w:hAnsi="宋体" w:cs="仿宋_GB2312"/>
          <w:color w:val="auto"/>
          <w:kern w:val="0"/>
          <w:sz w:val="24"/>
          <w:highlight w:val="none"/>
        </w:rPr>
      </w:pPr>
      <w:r>
        <w:rPr>
          <w:rFonts w:hint="eastAsia" w:hAnsi="宋体" w:cs="仿宋_GB2312"/>
          <w:color w:val="auto"/>
          <w:kern w:val="0"/>
          <w:sz w:val="24"/>
          <w:highlight w:val="none"/>
        </w:rPr>
        <w:t>上级建设主管部门颁发的有关文件对该措施费用内容和费率下限标准有调整的，按其规定执行。</w:t>
      </w:r>
    </w:p>
    <w:p>
      <w:pPr>
        <w:widowControl/>
        <w:spacing w:line="460" w:lineRule="exact"/>
        <w:ind w:firstLine="480" w:firstLineChars="200"/>
        <w:rPr>
          <w:rFonts w:hint="eastAsia" w:hAnsi="宋体" w:cs="仿宋_GB2312"/>
          <w:color w:val="auto"/>
          <w:kern w:val="0"/>
          <w:sz w:val="24"/>
          <w:highlight w:val="none"/>
        </w:rPr>
      </w:pPr>
      <w:r>
        <w:rPr>
          <w:rFonts w:hint="eastAsia" w:hAnsi="宋体" w:cs="仿宋_GB2312"/>
          <w:color w:val="auto"/>
          <w:kern w:val="0"/>
          <w:sz w:val="24"/>
          <w:highlight w:val="none"/>
        </w:rPr>
        <w:t>报价中的创标化工地增加费应根据招标文件确立的创建等级要求和招标控制价中公布的创标化工地增加费暂定费用金额进行统一填报。招标文件中未明确创标化工地等级要求及创标化工地增加费暂定费用金额的，</w:t>
      </w:r>
      <w:r>
        <w:rPr>
          <w:rFonts w:hint="eastAsia" w:hAnsi="宋体" w:cs="仿宋_GB2312"/>
          <w:color w:val="auto"/>
          <w:kern w:val="0"/>
          <w:sz w:val="24"/>
          <w:highlight w:val="none"/>
          <w:lang w:eastAsia="zh-CN"/>
        </w:rPr>
        <w:t>响应人</w:t>
      </w:r>
      <w:r>
        <w:rPr>
          <w:rFonts w:hint="eastAsia" w:hAnsi="宋体" w:cs="仿宋_GB2312"/>
          <w:color w:val="auto"/>
          <w:kern w:val="0"/>
          <w:sz w:val="24"/>
          <w:highlight w:val="none"/>
        </w:rPr>
        <w:t>暂不填报报价；</w:t>
      </w:r>
    </w:p>
    <w:p>
      <w:pPr>
        <w:widowControl/>
        <w:spacing w:line="460" w:lineRule="exact"/>
        <w:ind w:firstLine="480" w:firstLineChars="200"/>
        <w:rPr>
          <w:rFonts w:hint="eastAsia" w:hAnsi="宋体" w:cs="仿宋_GB2312"/>
          <w:color w:val="auto"/>
          <w:kern w:val="0"/>
          <w:sz w:val="24"/>
          <w:highlight w:val="none"/>
        </w:rPr>
      </w:pPr>
      <w:r>
        <w:rPr>
          <w:rFonts w:hint="eastAsia" w:hAnsi="宋体" w:cs="仿宋_GB2312"/>
          <w:color w:val="auto"/>
          <w:kern w:val="0"/>
          <w:sz w:val="24"/>
          <w:highlight w:val="none"/>
        </w:rPr>
        <w:t>上级建设主管部门颁发的有关文件对该措施费用内容和费率下限标准有调整的，按其规定执行。</w:t>
      </w:r>
    </w:p>
    <w:p>
      <w:pPr>
        <w:widowControl/>
        <w:spacing w:line="460" w:lineRule="exact"/>
        <w:ind w:firstLine="480" w:firstLineChars="200"/>
        <w:rPr>
          <w:rFonts w:hint="eastAsia" w:hAnsi="宋体" w:cs="仿宋_GB2312"/>
          <w:color w:val="auto"/>
          <w:kern w:val="0"/>
          <w:sz w:val="24"/>
          <w:highlight w:val="none"/>
        </w:rPr>
      </w:pPr>
      <w:r>
        <w:rPr>
          <w:rFonts w:hint="eastAsia" w:hAnsi="宋体" w:cs="仿宋_GB2312"/>
          <w:color w:val="auto"/>
          <w:kern w:val="0"/>
          <w:sz w:val="24"/>
          <w:highlight w:val="none"/>
          <w:lang w:eastAsia="zh-CN"/>
        </w:rPr>
        <w:t>响应人</w:t>
      </w:r>
      <w:r>
        <w:rPr>
          <w:rFonts w:hint="eastAsia" w:hAnsi="宋体" w:cs="仿宋_GB2312"/>
          <w:color w:val="auto"/>
          <w:kern w:val="0"/>
          <w:sz w:val="24"/>
          <w:highlight w:val="none"/>
        </w:rPr>
        <w:t>未按上述规定要求报价的，评标委员会可评定为废标。</w:t>
      </w:r>
    </w:p>
    <w:p>
      <w:pPr>
        <w:widowControl/>
        <w:spacing w:line="460" w:lineRule="exact"/>
        <w:ind w:firstLine="480" w:firstLineChars="200"/>
        <w:rPr>
          <w:rFonts w:hint="eastAsia" w:hAnsi="宋体" w:cs="仿宋_GB2312"/>
          <w:color w:val="auto"/>
          <w:kern w:val="0"/>
          <w:sz w:val="24"/>
          <w:highlight w:val="none"/>
        </w:rPr>
      </w:pPr>
      <w:r>
        <w:rPr>
          <w:rFonts w:hint="eastAsia" w:hAnsi="宋体" w:cs="仿宋_GB2312"/>
          <w:color w:val="auto"/>
          <w:kern w:val="0"/>
          <w:sz w:val="24"/>
          <w:highlight w:val="none"/>
        </w:rPr>
        <w:t>安全文明施工措施费不得挪作他用。工程实施过程中应根据投标文件的承诺和合同约定，经监理单位</w:t>
      </w:r>
      <w:r>
        <w:rPr>
          <w:rFonts w:hint="eastAsia" w:hAnsi="宋体" w:cs="仿宋_GB2312"/>
          <w:color w:val="auto"/>
          <w:kern w:val="0"/>
          <w:sz w:val="24"/>
          <w:highlight w:val="none"/>
          <w:lang w:eastAsia="zh-CN"/>
        </w:rPr>
        <w:t>（</w:t>
      </w:r>
      <w:r>
        <w:rPr>
          <w:rFonts w:hint="eastAsia" w:hAnsi="宋体" w:cs="仿宋_GB2312"/>
          <w:color w:val="auto"/>
          <w:kern w:val="0"/>
          <w:sz w:val="24"/>
          <w:highlight w:val="none"/>
          <w:lang w:val="en-US" w:eastAsia="zh-CN"/>
        </w:rPr>
        <w:t>若有</w:t>
      </w:r>
      <w:r>
        <w:rPr>
          <w:rFonts w:hint="eastAsia" w:hAnsi="宋体" w:cs="仿宋_GB2312"/>
          <w:color w:val="auto"/>
          <w:kern w:val="0"/>
          <w:sz w:val="24"/>
          <w:highlight w:val="none"/>
          <w:lang w:eastAsia="zh-CN"/>
        </w:rPr>
        <w:t>）</w:t>
      </w:r>
      <w:r>
        <w:rPr>
          <w:rFonts w:hint="eastAsia" w:hAnsi="宋体" w:cs="仿宋_GB2312"/>
          <w:color w:val="auto"/>
          <w:kern w:val="0"/>
          <w:sz w:val="24"/>
          <w:highlight w:val="none"/>
        </w:rPr>
        <w:t>审查认可后由建设单位足额支付。</w:t>
      </w:r>
    </w:p>
    <w:p>
      <w:pPr>
        <w:widowControl/>
        <w:spacing w:line="460" w:lineRule="exact"/>
        <w:ind w:firstLine="480" w:firstLineChars="200"/>
        <w:rPr>
          <w:rFonts w:hint="eastAsia" w:hAnsi="宋体" w:cs="仿宋_GB2312"/>
          <w:color w:val="auto"/>
          <w:kern w:val="0"/>
          <w:sz w:val="24"/>
          <w:highlight w:val="none"/>
        </w:rPr>
      </w:pPr>
      <w:r>
        <w:rPr>
          <w:rFonts w:hint="eastAsia" w:hAnsi="宋体" w:cs="仿宋_GB2312"/>
          <w:color w:val="auto"/>
          <w:kern w:val="0"/>
          <w:sz w:val="24"/>
          <w:highlight w:val="none"/>
        </w:rPr>
        <w:t>（6）</w:t>
      </w:r>
      <w:r>
        <w:rPr>
          <w:rFonts w:hint="eastAsia" w:hAnsi="宋体" w:cs="仿宋_GB2312"/>
          <w:color w:val="auto"/>
          <w:kern w:val="0"/>
          <w:sz w:val="24"/>
          <w:highlight w:val="none"/>
          <w:lang w:eastAsia="zh-CN"/>
        </w:rPr>
        <w:t>响应人</w:t>
      </w:r>
      <w:r>
        <w:rPr>
          <w:rFonts w:hint="eastAsia" w:hAnsi="宋体" w:cs="仿宋_GB2312"/>
          <w:color w:val="auto"/>
          <w:kern w:val="0"/>
          <w:sz w:val="24"/>
          <w:highlight w:val="none"/>
        </w:rPr>
        <w:t>措施项目各分项之间不得重复报价。</w:t>
      </w:r>
    </w:p>
    <w:p>
      <w:pPr>
        <w:widowControl/>
        <w:spacing w:line="460" w:lineRule="exact"/>
        <w:ind w:firstLine="480" w:firstLineChars="200"/>
        <w:rPr>
          <w:rFonts w:hint="eastAsia" w:hAnsi="宋体" w:cs="仿宋_GB2312"/>
          <w:color w:val="auto"/>
          <w:kern w:val="0"/>
          <w:sz w:val="24"/>
          <w:highlight w:val="none"/>
        </w:rPr>
      </w:pPr>
      <w:r>
        <w:rPr>
          <w:rFonts w:hint="eastAsia" w:hAnsi="宋体" w:cs="仿宋_GB2312"/>
          <w:color w:val="auto"/>
          <w:kern w:val="0"/>
          <w:sz w:val="24"/>
          <w:highlight w:val="none"/>
        </w:rPr>
        <w:t>3、其他项目清单费用</w:t>
      </w:r>
    </w:p>
    <w:p>
      <w:pPr>
        <w:widowControl/>
        <w:spacing w:line="460" w:lineRule="exact"/>
        <w:ind w:firstLine="480" w:firstLineChars="200"/>
        <w:rPr>
          <w:rFonts w:hint="eastAsia" w:hAnsi="宋体" w:cs="仿宋_GB2312"/>
          <w:color w:val="auto"/>
          <w:kern w:val="0"/>
          <w:sz w:val="24"/>
          <w:highlight w:val="none"/>
        </w:rPr>
      </w:pPr>
      <w:r>
        <w:rPr>
          <w:rFonts w:hint="eastAsia" w:hAnsi="宋体" w:cs="仿宋_GB2312"/>
          <w:color w:val="auto"/>
          <w:kern w:val="0"/>
          <w:sz w:val="24"/>
          <w:highlight w:val="none"/>
        </w:rPr>
        <w:t>（1）暂列金额，</w:t>
      </w:r>
      <w:r>
        <w:rPr>
          <w:rFonts w:hint="eastAsia" w:hAnsi="宋体" w:cs="仿宋_GB2312"/>
          <w:color w:val="auto"/>
          <w:kern w:val="0"/>
          <w:sz w:val="24"/>
          <w:highlight w:val="none"/>
          <w:lang w:eastAsia="zh-CN"/>
        </w:rPr>
        <w:t>响应人</w:t>
      </w:r>
      <w:r>
        <w:rPr>
          <w:rFonts w:hint="eastAsia" w:hAnsi="宋体" w:cs="仿宋_GB2312"/>
          <w:color w:val="auto"/>
          <w:kern w:val="0"/>
          <w:sz w:val="24"/>
          <w:highlight w:val="none"/>
        </w:rPr>
        <w:t>按招标工程量清单确定的金额填报；总承包服务费，</w:t>
      </w:r>
      <w:r>
        <w:rPr>
          <w:rFonts w:hint="eastAsia" w:hAnsi="宋体" w:cs="仿宋_GB2312"/>
          <w:color w:val="auto"/>
          <w:kern w:val="0"/>
          <w:sz w:val="24"/>
          <w:highlight w:val="none"/>
          <w:lang w:eastAsia="zh-CN"/>
        </w:rPr>
        <w:t>响应人</w:t>
      </w:r>
      <w:r>
        <w:rPr>
          <w:rFonts w:hint="eastAsia" w:hAnsi="宋体" w:cs="仿宋_GB2312"/>
          <w:color w:val="auto"/>
          <w:kern w:val="0"/>
          <w:sz w:val="24"/>
          <w:highlight w:val="none"/>
        </w:rPr>
        <w:t>按招标工程量清单确定的项目内容和要求自主确定费率并报价；计日工费，</w:t>
      </w:r>
      <w:r>
        <w:rPr>
          <w:rFonts w:hint="eastAsia" w:hAnsi="宋体" w:cs="仿宋_GB2312"/>
          <w:color w:val="auto"/>
          <w:kern w:val="0"/>
          <w:sz w:val="24"/>
          <w:highlight w:val="none"/>
          <w:lang w:eastAsia="zh-CN"/>
        </w:rPr>
        <w:t>响应人</w:t>
      </w:r>
      <w:r>
        <w:rPr>
          <w:rFonts w:hint="eastAsia" w:hAnsi="宋体" w:cs="仿宋_GB2312"/>
          <w:color w:val="auto"/>
          <w:kern w:val="0"/>
          <w:sz w:val="24"/>
          <w:highlight w:val="none"/>
        </w:rPr>
        <w:t>按招标工程量清单列出的项目内容和数量自主确定综合单价并计算报价。招标人对计日工费内容和数量未作要求的，</w:t>
      </w:r>
      <w:r>
        <w:rPr>
          <w:rFonts w:hint="eastAsia" w:hAnsi="宋体" w:cs="仿宋_GB2312"/>
          <w:color w:val="auto"/>
          <w:kern w:val="0"/>
          <w:sz w:val="24"/>
          <w:highlight w:val="none"/>
          <w:lang w:eastAsia="zh-CN"/>
        </w:rPr>
        <w:t>响应人</w:t>
      </w:r>
      <w:r>
        <w:rPr>
          <w:rFonts w:hint="eastAsia" w:hAnsi="宋体" w:cs="仿宋_GB2312"/>
          <w:color w:val="auto"/>
          <w:kern w:val="0"/>
          <w:sz w:val="24"/>
          <w:highlight w:val="none"/>
        </w:rPr>
        <w:t>不需要作出报价。</w:t>
      </w:r>
    </w:p>
    <w:p>
      <w:pPr>
        <w:widowControl/>
        <w:spacing w:line="460" w:lineRule="exact"/>
        <w:ind w:firstLine="480" w:firstLineChars="200"/>
        <w:rPr>
          <w:rFonts w:hint="eastAsia" w:hAnsi="宋体" w:cs="仿宋_GB2312"/>
          <w:color w:val="auto"/>
          <w:kern w:val="0"/>
          <w:sz w:val="24"/>
          <w:highlight w:val="none"/>
        </w:rPr>
      </w:pPr>
      <w:r>
        <w:rPr>
          <w:rFonts w:hint="eastAsia" w:hAnsi="宋体" w:cs="仿宋_GB2312"/>
          <w:color w:val="auto"/>
          <w:kern w:val="0"/>
          <w:sz w:val="24"/>
          <w:highlight w:val="none"/>
        </w:rPr>
        <w:t>（2）其他项目清单中的暂列金额和计日工，均为招标人估算、预测数量，投标时计入</w:t>
      </w:r>
      <w:r>
        <w:rPr>
          <w:rFonts w:hint="eastAsia" w:hAnsi="宋体" w:cs="仿宋_GB2312"/>
          <w:color w:val="auto"/>
          <w:kern w:val="0"/>
          <w:sz w:val="24"/>
          <w:highlight w:val="none"/>
          <w:lang w:eastAsia="zh-CN"/>
        </w:rPr>
        <w:t>响应人</w:t>
      </w:r>
      <w:r>
        <w:rPr>
          <w:rFonts w:hint="eastAsia" w:hAnsi="宋体" w:cs="仿宋_GB2312"/>
          <w:color w:val="auto"/>
          <w:kern w:val="0"/>
          <w:sz w:val="24"/>
          <w:highlight w:val="none"/>
        </w:rPr>
        <w:t>的报价中，竣工结算时应按承包人实际完成的工程内容结算</w:t>
      </w:r>
    </w:p>
    <w:p>
      <w:pPr>
        <w:widowControl/>
        <w:spacing w:line="460" w:lineRule="exact"/>
        <w:ind w:firstLine="482" w:firstLineChars="200"/>
        <w:rPr>
          <w:rFonts w:hAnsi="宋体" w:cs="仿宋_GB2312"/>
          <w:b/>
          <w:color w:val="auto"/>
          <w:kern w:val="0"/>
          <w:sz w:val="24"/>
          <w:highlight w:val="none"/>
        </w:rPr>
      </w:pPr>
      <w:r>
        <w:rPr>
          <w:rFonts w:hint="eastAsia" w:hAnsi="宋体" w:cs="仿宋_GB2312"/>
          <w:b/>
          <w:color w:val="auto"/>
          <w:kern w:val="0"/>
          <w:sz w:val="24"/>
          <w:highlight w:val="none"/>
        </w:rPr>
        <w:t>4.规费、税金</w:t>
      </w:r>
    </w:p>
    <w:p>
      <w:pPr>
        <w:widowControl/>
        <w:spacing w:line="460" w:lineRule="exact"/>
        <w:ind w:firstLine="480" w:firstLineChars="200"/>
        <w:rPr>
          <w:rFonts w:hAnsi="宋体" w:cs="仿宋_GB2312"/>
          <w:color w:val="auto"/>
          <w:kern w:val="0"/>
          <w:sz w:val="24"/>
          <w:highlight w:val="none"/>
        </w:rPr>
      </w:pPr>
      <w:r>
        <w:rPr>
          <w:rFonts w:hint="eastAsia" w:hAnsi="宋体" w:cs="仿宋_GB2312"/>
          <w:color w:val="auto"/>
          <w:kern w:val="0"/>
          <w:sz w:val="24"/>
          <w:highlight w:val="none"/>
        </w:rPr>
        <w:t>规费、税金按省建设行政主管部门颁发的施工费用定额的内容和计费标准计算报价。省、市政府及有关权力部门颁发的政策性文件对规费、税金的内容和计费标准有调整的，按其规定执行。</w:t>
      </w:r>
    </w:p>
    <w:p>
      <w:pPr>
        <w:widowControl/>
        <w:spacing w:line="460" w:lineRule="exact"/>
        <w:ind w:firstLine="480" w:firstLineChars="200"/>
        <w:rPr>
          <w:rFonts w:hint="eastAsia" w:hAnsi="宋体" w:cs="仿宋_GB2312"/>
          <w:color w:val="auto"/>
          <w:kern w:val="0"/>
          <w:sz w:val="24"/>
          <w:highlight w:val="none"/>
        </w:rPr>
      </w:pPr>
      <w:r>
        <w:rPr>
          <w:rFonts w:hint="eastAsia" w:hAnsi="宋体" w:cs="仿宋_GB2312"/>
          <w:color w:val="auto"/>
          <w:kern w:val="0"/>
          <w:sz w:val="24"/>
          <w:highlight w:val="none"/>
        </w:rPr>
        <w:t>规费费率低于现行标准费率30%的作废标处理；</w:t>
      </w:r>
    </w:p>
    <w:p>
      <w:pPr>
        <w:widowControl/>
        <w:spacing w:line="460" w:lineRule="exact"/>
        <w:ind w:firstLine="480" w:firstLineChars="200"/>
        <w:rPr>
          <w:rFonts w:hint="eastAsia" w:hAnsi="宋体" w:eastAsia="宋体" w:cs="仿宋_GB2312"/>
          <w:color w:val="auto"/>
          <w:kern w:val="0"/>
          <w:sz w:val="24"/>
          <w:highlight w:val="none"/>
          <w:lang w:eastAsia="zh-CN"/>
        </w:rPr>
      </w:pPr>
      <w:r>
        <w:rPr>
          <w:rFonts w:hint="eastAsia" w:hAnsi="宋体" w:cs="仿宋_GB2312"/>
          <w:color w:val="auto"/>
          <w:kern w:val="0"/>
          <w:sz w:val="24"/>
          <w:highlight w:val="none"/>
        </w:rPr>
        <w:t>税金作为不可竞争费用，费率低于现行规定的作废标处理</w:t>
      </w:r>
      <w:r>
        <w:rPr>
          <w:rFonts w:hint="eastAsia" w:hAnsi="宋体" w:cs="仿宋_GB2312"/>
          <w:color w:val="auto"/>
          <w:kern w:val="0"/>
          <w:sz w:val="24"/>
          <w:highlight w:val="none"/>
          <w:lang w:eastAsia="zh-CN"/>
        </w:rPr>
        <w:t>；</w:t>
      </w:r>
    </w:p>
    <w:p>
      <w:pPr>
        <w:widowControl/>
        <w:spacing w:line="460" w:lineRule="exact"/>
        <w:ind w:firstLine="480" w:firstLineChars="200"/>
        <w:rPr>
          <w:rFonts w:hAnsi="宋体" w:cs="仿宋_GB2312"/>
          <w:color w:val="auto"/>
          <w:kern w:val="0"/>
          <w:sz w:val="24"/>
          <w:highlight w:val="none"/>
        </w:rPr>
      </w:pPr>
      <w:r>
        <w:rPr>
          <w:rFonts w:hint="eastAsia" w:hAnsi="宋体" w:cs="仿宋_GB2312"/>
          <w:color w:val="auto"/>
          <w:kern w:val="0"/>
          <w:sz w:val="24"/>
          <w:highlight w:val="none"/>
        </w:rPr>
        <w:t>（四）招标工程量清单中标明的工程量是</w:t>
      </w:r>
      <w:r>
        <w:rPr>
          <w:rFonts w:hint="eastAsia" w:hAnsi="宋体" w:cs="仿宋_GB2312"/>
          <w:color w:val="auto"/>
          <w:kern w:val="0"/>
          <w:sz w:val="24"/>
          <w:highlight w:val="none"/>
          <w:lang w:eastAsia="zh-CN"/>
        </w:rPr>
        <w:t>响应人</w:t>
      </w:r>
      <w:r>
        <w:rPr>
          <w:rFonts w:hint="eastAsia" w:hAnsi="宋体" w:cs="仿宋_GB2312"/>
          <w:color w:val="auto"/>
          <w:kern w:val="0"/>
          <w:sz w:val="24"/>
          <w:highlight w:val="none"/>
        </w:rPr>
        <w:t>投标报价的共同基础，</w:t>
      </w:r>
      <w:r>
        <w:rPr>
          <w:rFonts w:hint="eastAsia" w:hAnsi="宋体" w:cs="仿宋_GB2312"/>
          <w:color w:val="auto"/>
          <w:kern w:val="0"/>
          <w:sz w:val="24"/>
          <w:highlight w:val="none"/>
          <w:lang w:eastAsia="zh-CN"/>
        </w:rPr>
        <w:t>响应人</w:t>
      </w:r>
      <w:r>
        <w:rPr>
          <w:rFonts w:hint="eastAsia" w:hAnsi="宋体" w:cs="仿宋_GB2312"/>
          <w:color w:val="auto"/>
          <w:kern w:val="0"/>
          <w:sz w:val="24"/>
          <w:highlight w:val="none"/>
        </w:rPr>
        <w:t>不得擅自修改招标工程量清单的分部分项工程项目清单内容。</w:t>
      </w:r>
    </w:p>
    <w:p>
      <w:pPr>
        <w:widowControl/>
        <w:spacing w:line="460" w:lineRule="exact"/>
        <w:ind w:firstLine="480" w:firstLineChars="200"/>
        <w:rPr>
          <w:rFonts w:hAnsi="宋体" w:cs="仿宋_GB2312"/>
          <w:color w:val="auto"/>
          <w:kern w:val="0"/>
          <w:sz w:val="24"/>
          <w:highlight w:val="none"/>
        </w:rPr>
      </w:pPr>
      <w:r>
        <w:rPr>
          <w:rFonts w:hint="eastAsia" w:hAnsi="宋体" w:cs="仿宋_GB2312"/>
          <w:color w:val="auto"/>
          <w:kern w:val="0"/>
          <w:sz w:val="24"/>
          <w:highlight w:val="none"/>
        </w:rPr>
        <w:t>工程量清单报价应与工、料、机报价及对应的报价分析相符，与拟建工程的施工组织设计或施工方案相符。</w:t>
      </w:r>
    </w:p>
    <w:p>
      <w:pPr>
        <w:widowControl/>
        <w:spacing w:line="460" w:lineRule="exact"/>
        <w:ind w:firstLine="480" w:firstLineChars="200"/>
        <w:rPr>
          <w:rFonts w:hAnsi="宋体" w:cs="仿宋_GB2312"/>
          <w:color w:val="auto"/>
          <w:kern w:val="0"/>
          <w:sz w:val="24"/>
          <w:highlight w:val="none"/>
        </w:rPr>
      </w:pPr>
      <w:r>
        <w:rPr>
          <w:rFonts w:hint="eastAsia" w:hAnsi="宋体" w:cs="仿宋_GB2312"/>
          <w:color w:val="auto"/>
          <w:kern w:val="0"/>
          <w:sz w:val="24"/>
          <w:highlight w:val="none"/>
          <w:lang w:eastAsia="zh-CN"/>
        </w:rPr>
        <w:t>响应人</w:t>
      </w:r>
      <w:r>
        <w:rPr>
          <w:rFonts w:hint="eastAsia" w:hAnsi="宋体" w:cs="仿宋_GB2312"/>
          <w:color w:val="auto"/>
          <w:kern w:val="0"/>
          <w:sz w:val="24"/>
          <w:highlight w:val="none"/>
        </w:rPr>
        <w:t>应根据自己的企业定额或参照省建设行政主管部门颁发的消耗量定额向招标人提供具体的报价计算分析，其各项报价分析表与工程量清单计价表之间的金额（价格）应前后对应一致。</w:t>
      </w:r>
    </w:p>
    <w:p>
      <w:pPr>
        <w:widowControl/>
        <w:spacing w:line="460" w:lineRule="exact"/>
        <w:ind w:firstLine="480" w:firstLineChars="200"/>
        <w:rPr>
          <w:rFonts w:hAnsi="宋体" w:cs="仿宋_GB2312"/>
          <w:color w:val="auto"/>
          <w:kern w:val="0"/>
          <w:sz w:val="24"/>
          <w:highlight w:val="none"/>
        </w:rPr>
      </w:pPr>
      <w:r>
        <w:rPr>
          <w:rFonts w:hint="eastAsia" w:hAnsi="宋体" w:cs="仿宋_GB2312"/>
          <w:color w:val="auto"/>
          <w:kern w:val="0"/>
          <w:sz w:val="24"/>
          <w:highlight w:val="none"/>
        </w:rPr>
        <w:t>（五）除《杭州市建设工程工程量清单计价实施细则（2018年修订）》另有规定外，</w:t>
      </w:r>
      <w:r>
        <w:rPr>
          <w:rFonts w:hint="eastAsia" w:hAnsi="宋体" w:cs="仿宋_GB2312"/>
          <w:color w:val="auto"/>
          <w:kern w:val="0"/>
          <w:sz w:val="24"/>
          <w:highlight w:val="none"/>
          <w:lang w:eastAsia="zh-CN"/>
        </w:rPr>
        <w:t>响应人</w:t>
      </w:r>
      <w:r>
        <w:rPr>
          <w:rFonts w:hint="eastAsia" w:hAnsi="宋体" w:cs="仿宋_GB2312"/>
          <w:color w:val="auto"/>
          <w:kern w:val="0"/>
          <w:sz w:val="24"/>
          <w:highlight w:val="none"/>
        </w:rPr>
        <w:t>对措施项目清单中不发生的项目，其费用报价允许</w:t>
      </w:r>
      <w:r>
        <w:rPr>
          <w:rFonts w:hint="eastAsia" w:hAnsi="宋体" w:cs="仿宋_GB2312"/>
          <w:color w:val="auto"/>
          <w:kern w:val="0"/>
          <w:sz w:val="24"/>
          <w:highlight w:val="none"/>
          <w:lang w:eastAsia="zh-CN"/>
        </w:rPr>
        <w:t>响应人</w:t>
      </w:r>
      <w:r>
        <w:rPr>
          <w:rFonts w:hint="eastAsia" w:hAnsi="宋体" w:cs="仿宋_GB2312"/>
          <w:color w:val="auto"/>
          <w:kern w:val="0"/>
          <w:sz w:val="24"/>
          <w:highlight w:val="none"/>
        </w:rPr>
        <w:t>根据实际情况报“</w:t>
      </w:r>
      <w:r>
        <w:rPr>
          <w:rFonts w:hint="eastAsia" w:hAnsi="宋体" w:cs="仿宋_GB2312"/>
          <w:color w:val="auto"/>
          <w:kern w:val="0"/>
          <w:sz w:val="24"/>
          <w:highlight w:val="none"/>
          <w:lang w:val="en-US" w:eastAsia="zh-CN"/>
        </w:rPr>
        <w:t>0</w:t>
      </w:r>
      <w:r>
        <w:rPr>
          <w:rFonts w:hint="eastAsia" w:hAnsi="宋体" w:cs="仿宋_GB2312"/>
          <w:color w:val="auto"/>
          <w:kern w:val="0"/>
          <w:sz w:val="24"/>
          <w:highlight w:val="none"/>
        </w:rPr>
        <w:t>”，但须与施工组织设计或施工方案对应并提供充分的说明和依据。</w:t>
      </w:r>
    </w:p>
    <w:p>
      <w:pPr>
        <w:widowControl/>
        <w:spacing w:line="460" w:lineRule="exact"/>
        <w:ind w:firstLine="480" w:firstLineChars="200"/>
        <w:rPr>
          <w:rFonts w:hAnsi="宋体" w:cs="仿宋_GB2312"/>
          <w:color w:val="auto"/>
          <w:kern w:val="0"/>
          <w:sz w:val="24"/>
          <w:highlight w:val="none"/>
        </w:rPr>
      </w:pPr>
      <w:r>
        <w:rPr>
          <w:rFonts w:hint="eastAsia" w:hAnsi="宋体" w:cs="仿宋_GB2312"/>
          <w:color w:val="auto"/>
          <w:kern w:val="0"/>
          <w:sz w:val="24"/>
          <w:highlight w:val="none"/>
        </w:rPr>
        <w:t>（六）清单报价中的任何算术性错误，招标人按下列原则予以调整：</w:t>
      </w:r>
    </w:p>
    <w:p>
      <w:pPr>
        <w:widowControl/>
        <w:spacing w:line="460" w:lineRule="exact"/>
        <w:ind w:firstLine="480" w:firstLineChars="200"/>
        <w:rPr>
          <w:rFonts w:hAnsi="宋体" w:cs="仿宋_GB2312"/>
          <w:color w:val="auto"/>
          <w:kern w:val="0"/>
          <w:sz w:val="24"/>
          <w:highlight w:val="none"/>
        </w:rPr>
      </w:pPr>
      <w:r>
        <w:rPr>
          <w:rFonts w:hint="eastAsia" w:hAnsi="宋体" w:cs="仿宋_GB2312"/>
          <w:color w:val="auto"/>
          <w:kern w:val="0"/>
          <w:sz w:val="24"/>
          <w:highlight w:val="none"/>
        </w:rPr>
        <w:t>1.大写金额和小写金额不一致，以大写金额为准；</w:t>
      </w:r>
    </w:p>
    <w:p>
      <w:pPr>
        <w:widowControl/>
        <w:spacing w:line="460" w:lineRule="exact"/>
        <w:ind w:firstLine="480" w:firstLineChars="200"/>
        <w:rPr>
          <w:rFonts w:hAnsi="宋体" w:cs="仿宋_GB2312"/>
          <w:color w:val="auto"/>
          <w:kern w:val="0"/>
          <w:sz w:val="24"/>
          <w:highlight w:val="none"/>
        </w:rPr>
      </w:pPr>
      <w:r>
        <w:rPr>
          <w:rFonts w:hint="eastAsia" w:hAnsi="宋体" w:cs="仿宋_GB2312"/>
          <w:color w:val="auto"/>
          <w:kern w:val="0"/>
          <w:sz w:val="24"/>
          <w:highlight w:val="none"/>
        </w:rPr>
        <w:t>2.合价金额与单价金额和工程量的乘积不一致的，以单价金额为准，但单价金额有明显错误的除外；</w:t>
      </w:r>
    </w:p>
    <w:p>
      <w:pPr>
        <w:widowControl/>
        <w:spacing w:line="460" w:lineRule="exact"/>
        <w:ind w:firstLine="480" w:firstLineChars="200"/>
        <w:rPr>
          <w:rFonts w:hAnsi="宋体" w:cs="仿宋_GB2312"/>
          <w:color w:val="auto"/>
          <w:kern w:val="0"/>
          <w:sz w:val="24"/>
          <w:highlight w:val="none"/>
        </w:rPr>
      </w:pPr>
      <w:r>
        <w:rPr>
          <w:rFonts w:hint="eastAsia" w:hAnsi="宋体" w:cs="仿宋_GB2312"/>
          <w:color w:val="auto"/>
          <w:kern w:val="0"/>
          <w:sz w:val="24"/>
          <w:highlight w:val="none"/>
        </w:rPr>
        <w:t>3.合价累计金额与小计（合计）金额不一致的，以合价累计金额为准，并修改小计（合计）金额及总报价。</w:t>
      </w:r>
    </w:p>
    <w:p>
      <w:pPr>
        <w:widowControl/>
        <w:spacing w:line="460" w:lineRule="exact"/>
        <w:ind w:firstLine="480" w:firstLineChars="200"/>
        <w:rPr>
          <w:rFonts w:hint="eastAsia" w:hAnsi="宋体" w:cs="仿宋_GB2312"/>
          <w:b/>
          <w:bCs/>
          <w:color w:val="auto"/>
          <w:kern w:val="0"/>
          <w:sz w:val="24"/>
          <w:highlight w:val="none"/>
        </w:rPr>
      </w:pPr>
      <w:r>
        <w:rPr>
          <w:rFonts w:hint="eastAsia" w:ascii="宋体" w:hAnsi="宋体" w:cs="宋体"/>
          <w:bCs/>
          <w:color w:val="auto"/>
          <w:sz w:val="24"/>
          <w:highlight w:val="none"/>
        </w:rPr>
        <w:t>▲</w:t>
      </w:r>
      <w:r>
        <w:rPr>
          <w:rFonts w:hint="eastAsia" w:hAnsi="宋体" w:cs="仿宋_GB2312"/>
          <w:b/>
          <w:bCs/>
          <w:color w:val="auto"/>
          <w:kern w:val="0"/>
          <w:sz w:val="24"/>
          <w:highlight w:val="none"/>
        </w:rPr>
        <w:t>（七）根据住房和城乡建设部、省建设主管部门对造价从业人员执业管理的相关法律法规规定以及《建设工程工程量清单计价规范》（GB50500-2013）的规定，投标报价的编制必须遵守以下规定：</w:t>
      </w:r>
    </w:p>
    <w:p>
      <w:pPr>
        <w:widowControl/>
        <w:spacing w:line="460" w:lineRule="exact"/>
        <w:ind w:firstLine="482" w:firstLineChars="200"/>
        <w:rPr>
          <w:rFonts w:hint="eastAsia" w:hAnsi="宋体" w:cs="仿宋_GB2312"/>
          <w:b/>
          <w:bCs/>
          <w:color w:val="auto"/>
          <w:kern w:val="0"/>
          <w:sz w:val="24"/>
          <w:highlight w:val="none"/>
        </w:rPr>
      </w:pPr>
      <w:r>
        <w:rPr>
          <w:rFonts w:hint="eastAsia" w:hAnsi="宋体" w:cs="仿宋_GB2312"/>
          <w:b/>
          <w:bCs/>
          <w:color w:val="auto"/>
          <w:kern w:val="0"/>
          <w:sz w:val="24"/>
          <w:highlight w:val="none"/>
        </w:rPr>
        <w:t>1.投标报价应由投标人或受其委托具有相应能力的工程造价咨询人编制。</w:t>
      </w:r>
    </w:p>
    <w:p>
      <w:pPr>
        <w:widowControl/>
        <w:spacing w:line="460" w:lineRule="exact"/>
        <w:ind w:firstLine="482" w:firstLineChars="200"/>
        <w:rPr>
          <w:rFonts w:hAnsi="宋体" w:cs="仿宋_GB2312"/>
          <w:b/>
          <w:bCs/>
          <w:color w:val="auto"/>
          <w:kern w:val="0"/>
          <w:sz w:val="24"/>
          <w:highlight w:val="none"/>
        </w:rPr>
      </w:pPr>
      <w:r>
        <w:rPr>
          <w:rFonts w:hint="eastAsia" w:hAnsi="宋体" w:cs="仿宋_GB2312"/>
          <w:b/>
          <w:bCs/>
          <w:color w:val="auto"/>
          <w:kern w:val="0"/>
          <w:sz w:val="24"/>
          <w:highlight w:val="none"/>
        </w:rPr>
        <w:t>2.投标文件的编制人不得接受同一工程招标人委托编制招标文件（含招标控制价)，并不得接受其他投标人委托编制投标文件。</w:t>
      </w:r>
    </w:p>
    <w:p>
      <w:pPr>
        <w:pStyle w:val="690"/>
        <w:keepNext w:val="0"/>
        <w:pageBreakBefore w:val="0"/>
        <w:widowControl w:val="0"/>
        <w:numPr>
          <w:ilvl w:val="0"/>
          <w:numId w:val="0"/>
        </w:numPr>
        <w:tabs>
          <w:tab w:val="clear" w:pos="720"/>
        </w:tabs>
        <w:adjustRightInd w:val="0"/>
        <w:snapToGrid w:val="0"/>
        <w:spacing w:before="120" w:after="120" w:line="360" w:lineRule="auto"/>
        <w:ind w:firstLine="480" w:firstLineChars="200"/>
        <w:jc w:val="both"/>
        <w:outlineLvl w:val="9"/>
        <w:rPr>
          <w:rFonts w:hint="eastAsia" w:ascii="宋体" w:hAnsi="宋体" w:eastAsia="宋体" w:cs="宋体"/>
          <w:b w:val="0"/>
          <w:bCs/>
          <w:kern w:val="2"/>
          <w:sz w:val="30"/>
          <w:szCs w:val="30"/>
        </w:rPr>
        <w:sectPr>
          <w:headerReference r:id="rId21" w:type="first"/>
          <w:footerReference r:id="rId24" w:type="first"/>
          <w:headerReference r:id="rId20" w:type="default"/>
          <w:footerReference r:id="rId22" w:type="default"/>
          <w:footerReference r:id="rId23" w:type="even"/>
          <w:pgSz w:w="11906" w:h="16838"/>
          <w:pgMar w:top="1077" w:right="1020" w:bottom="1077" w:left="1020" w:header="851" w:footer="992" w:gutter="0"/>
          <w:cols w:space="720" w:num="1"/>
          <w:titlePg/>
          <w:docGrid w:linePitch="312" w:charSpace="0"/>
        </w:sectPr>
      </w:pPr>
      <w:r>
        <w:rPr>
          <w:rFonts w:hint="eastAsia" w:ascii="宋体" w:hAnsi="宋体" w:eastAsia="宋体" w:cs="宋体"/>
          <w:b w:val="0"/>
          <w:bCs/>
          <w:color w:val="auto"/>
          <w:kern w:val="0"/>
          <w:sz w:val="24"/>
          <w:highlight w:val="none"/>
        </w:rPr>
        <w:t>（八）按照《杭州市人民政府办公厅关于印发杭州市建设工程推广应用预拌砂浆管理办法的通知》（杭政办函[2011]</w:t>
      </w:r>
      <w:r>
        <w:rPr>
          <w:rFonts w:hint="eastAsia" w:ascii="宋体" w:hAnsi="宋体" w:eastAsia="宋体" w:cs="宋体"/>
          <w:b w:val="0"/>
          <w:bCs/>
          <w:color w:val="auto"/>
          <w:kern w:val="0"/>
          <w:sz w:val="24"/>
          <w:highlight w:val="none"/>
          <w:lang w:val="en-US" w:eastAsia="zh-CN"/>
        </w:rPr>
        <w:t xml:space="preserve"> </w:t>
      </w:r>
      <w:r>
        <w:rPr>
          <w:rFonts w:hint="eastAsia" w:ascii="宋体" w:hAnsi="宋体" w:eastAsia="宋体" w:cs="宋体"/>
          <w:b w:val="0"/>
          <w:bCs/>
          <w:color w:val="auto"/>
          <w:kern w:val="0"/>
          <w:sz w:val="24"/>
          <w:highlight w:val="none"/>
        </w:rPr>
        <w:t>32号文件）的要求使用预拌砂浆，</w:t>
      </w:r>
      <w:r>
        <w:rPr>
          <w:rFonts w:hint="eastAsia" w:ascii="宋体" w:hAnsi="宋体" w:eastAsia="宋体" w:cs="宋体"/>
          <w:b w:val="0"/>
          <w:bCs/>
          <w:color w:val="auto"/>
          <w:kern w:val="0"/>
          <w:sz w:val="24"/>
          <w:highlight w:val="none"/>
          <w:lang w:val="en-US" w:eastAsia="zh-CN"/>
        </w:rPr>
        <w:t>响应</w:t>
      </w:r>
      <w:r>
        <w:rPr>
          <w:rFonts w:hint="eastAsia" w:ascii="宋体" w:hAnsi="宋体" w:eastAsia="宋体" w:cs="宋体"/>
          <w:b w:val="0"/>
          <w:bCs/>
          <w:color w:val="auto"/>
          <w:kern w:val="0"/>
          <w:sz w:val="24"/>
          <w:highlight w:val="none"/>
        </w:rPr>
        <w:t>人应将使用预拌砂浆的费用计入投标报价范围。</w:t>
      </w:r>
    </w:p>
    <w:p>
      <w:pPr>
        <w:widowControl/>
        <w:tabs>
          <w:tab w:val="center" w:pos="4755"/>
          <w:tab w:val="right" w:pos="9070"/>
        </w:tabs>
        <w:spacing w:before="100" w:beforeAutospacing="1" w:after="100" w:afterAutospacing="1"/>
        <w:ind w:firstLine="442" w:firstLineChars="100"/>
        <w:jc w:val="center"/>
        <w:rPr>
          <w:rFonts w:hAnsi="宋体" w:cs="宋体"/>
          <w:b/>
          <w:color w:val="auto"/>
          <w:kern w:val="0"/>
          <w:sz w:val="44"/>
          <w:szCs w:val="44"/>
          <w:highlight w:val="none"/>
        </w:rPr>
      </w:pPr>
      <w:r>
        <w:rPr>
          <w:rFonts w:hint="eastAsia" w:hAnsi="宋体" w:cs="宋体"/>
          <w:b/>
          <w:color w:val="auto"/>
          <w:kern w:val="0"/>
          <w:sz w:val="44"/>
          <w:szCs w:val="44"/>
          <w:highlight w:val="none"/>
        </w:rPr>
        <w:t>投 标 总 价</w:t>
      </w:r>
    </w:p>
    <w:p>
      <w:pPr>
        <w:widowControl/>
        <w:tabs>
          <w:tab w:val="center" w:pos="4755"/>
          <w:tab w:val="right" w:pos="9070"/>
        </w:tabs>
        <w:spacing w:before="100" w:beforeAutospacing="1" w:after="100" w:afterAutospacing="1"/>
        <w:ind w:firstLine="320" w:firstLineChars="100"/>
        <w:jc w:val="center"/>
        <w:rPr>
          <w:rFonts w:hAnsi="宋体" w:cs="宋体"/>
          <w:color w:val="auto"/>
          <w:kern w:val="0"/>
          <w:sz w:val="32"/>
          <w:szCs w:val="32"/>
          <w:highlight w:val="none"/>
        </w:rPr>
      </w:pPr>
    </w:p>
    <w:p>
      <w:pPr>
        <w:widowControl/>
        <w:tabs>
          <w:tab w:val="center" w:pos="4755"/>
          <w:tab w:val="right" w:pos="9070"/>
        </w:tabs>
        <w:spacing w:before="100" w:beforeAutospacing="1" w:after="100" w:afterAutospacing="1"/>
        <w:ind w:firstLine="320" w:firstLineChars="100"/>
        <w:rPr>
          <w:rFonts w:hAnsi="宋体" w:cs="宋体"/>
          <w:color w:val="auto"/>
          <w:kern w:val="0"/>
          <w:sz w:val="32"/>
          <w:szCs w:val="32"/>
          <w:highlight w:val="none"/>
        </w:rPr>
      </w:pPr>
      <w:r>
        <w:rPr>
          <w:rFonts w:hint="eastAsia" w:hAnsi="宋体" w:cs="宋体"/>
          <w:color w:val="auto"/>
          <w:kern w:val="0"/>
          <w:sz w:val="32"/>
          <w:szCs w:val="32"/>
          <w:highlight w:val="none"/>
          <w:lang w:val="en-US" w:eastAsia="zh-CN"/>
        </w:rPr>
        <w:t>采购</w:t>
      </w:r>
      <w:r>
        <w:rPr>
          <w:rFonts w:hint="eastAsia" w:hAnsi="宋体" w:cs="宋体"/>
          <w:color w:val="auto"/>
          <w:kern w:val="0"/>
          <w:sz w:val="32"/>
          <w:szCs w:val="32"/>
          <w:highlight w:val="none"/>
        </w:rPr>
        <w:t>单位：</w:t>
      </w:r>
    </w:p>
    <w:p>
      <w:pPr>
        <w:widowControl/>
        <w:tabs>
          <w:tab w:val="center" w:pos="4755"/>
          <w:tab w:val="right" w:pos="9070"/>
        </w:tabs>
        <w:spacing w:before="100" w:beforeAutospacing="1" w:after="100" w:afterAutospacing="1"/>
        <w:ind w:firstLine="320" w:firstLineChars="100"/>
        <w:rPr>
          <w:rFonts w:hAnsi="宋体" w:cs="宋体"/>
          <w:color w:val="auto"/>
          <w:kern w:val="0"/>
          <w:sz w:val="32"/>
          <w:szCs w:val="32"/>
          <w:highlight w:val="none"/>
        </w:rPr>
      </w:pPr>
      <w:r>
        <w:rPr>
          <w:rFonts w:hint="eastAsia" w:hAnsi="宋体" w:cs="宋体"/>
          <w:color w:val="auto"/>
          <w:kern w:val="0"/>
          <w:sz w:val="32"/>
          <w:szCs w:val="32"/>
          <w:highlight w:val="none"/>
        </w:rPr>
        <w:t>工程名称：</w:t>
      </w:r>
    </w:p>
    <w:p>
      <w:pPr>
        <w:widowControl/>
        <w:tabs>
          <w:tab w:val="center" w:pos="4755"/>
          <w:tab w:val="right" w:pos="9070"/>
        </w:tabs>
        <w:spacing w:before="100" w:beforeAutospacing="1" w:after="100" w:afterAutospacing="1"/>
        <w:ind w:firstLine="320" w:firstLineChars="100"/>
        <w:rPr>
          <w:rFonts w:hAnsi="宋体" w:cs="宋体"/>
          <w:color w:val="auto"/>
          <w:kern w:val="0"/>
          <w:sz w:val="32"/>
          <w:szCs w:val="32"/>
          <w:highlight w:val="none"/>
          <w:u w:val="single"/>
        </w:rPr>
      </w:pPr>
      <w:r>
        <w:rPr>
          <w:rFonts w:hint="eastAsia" w:hAnsi="宋体" w:cs="宋体"/>
          <w:color w:val="auto"/>
          <w:kern w:val="0"/>
          <w:sz w:val="32"/>
          <w:szCs w:val="32"/>
          <w:highlight w:val="none"/>
        </w:rPr>
        <w:t>投标总价（小写）：</w:t>
      </w:r>
    </w:p>
    <w:p>
      <w:pPr>
        <w:widowControl/>
        <w:tabs>
          <w:tab w:val="center" w:pos="4755"/>
          <w:tab w:val="right" w:pos="9070"/>
        </w:tabs>
        <w:spacing w:before="100" w:beforeAutospacing="1" w:after="100" w:afterAutospacing="1"/>
        <w:ind w:firstLine="320" w:firstLineChars="100"/>
        <w:rPr>
          <w:rFonts w:hAnsi="宋体" w:cs="宋体"/>
          <w:color w:val="auto"/>
          <w:kern w:val="0"/>
          <w:sz w:val="32"/>
          <w:szCs w:val="32"/>
          <w:highlight w:val="none"/>
          <w:u w:val="single"/>
        </w:rPr>
      </w:pPr>
      <w:r>
        <w:rPr>
          <w:rFonts w:hint="eastAsia" w:hAnsi="宋体" w:cs="宋体"/>
          <w:color w:val="auto"/>
          <w:kern w:val="0"/>
          <w:sz w:val="32"/>
          <w:szCs w:val="32"/>
          <w:highlight w:val="none"/>
        </w:rPr>
        <w:t xml:space="preserve">        （大写）：</w:t>
      </w:r>
    </w:p>
    <w:p>
      <w:pPr>
        <w:widowControl/>
        <w:tabs>
          <w:tab w:val="center" w:pos="4755"/>
          <w:tab w:val="right" w:pos="9070"/>
        </w:tabs>
        <w:spacing w:before="100" w:beforeAutospacing="1" w:after="100" w:afterAutospacing="1"/>
        <w:ind w:right="1280" w:firstLine="320" w:firstLineChars="100"/>
        <w:rPr>
          <w:rFonts w:hAnsi="宋体" w:cs="宋体"/>
          <w:color w:val="auto"/>
          <w:kern w:val="0"/>
          <w:sz w:val="32"/>
          <w:szCs w:val="32"/>
          <w:highlight w:val="none"/>
        </w:rPr>
      </w:pPr>
    </w:p>
    <w:p>
      <w:pPr>
        <w:widowControl/>
        <w:tabs>
          <w:tab w:val="center" w:pos="4755"/>
          <w:tab w:val="right" w:pos="9070"/>
        </w:tabs>
        <w:spacing w:before="100" w:beforeAutospacing="1" w:after="100" w:afterAutospacing="1"/>
        <w:ind w:right="1280" w:firstLine="320" w:firstLineChars="100"/>
        <w:rPr>
          <w:rFonts w:hAnsi="宋体" w:cs="宋体"/>
          <w:color w:val="auto"/>
          <w:kern w:val="0"/>
          <w:sz w:val="32"/>
          <w:szCs w:val="32"/>
          <w:highlight w:val="none"/>
        </w:rPr>
      </w:pPr>
    </w:p>
    <w:p>
      <w:pPr>
        <w:widowControl/>
        <w:tabs>
          <w:tab w:val="center" w:pos="4755"/>
          <w:tab w:val="right" w:pos="9070"/>
        </w:tabs>
        <w:spacing w:before="100" w:beforeAutospacing="1" w:after="100" w:afterAutospacing="1"/>
        <w:ind w:firstLine="320" w:firstLineChars="100"/>
        <w:rPr>
          <w:rFonts w:hAnsi="宋体" w:cs="宋体"/>
          <w:color w:val="auto"/>
          <w:kern w:val="0"/>
          <w:sz w:val="32"/>
          <w:szCs w:val="32"/>
          <w:highlight w:val="none"/>
        </w:rPr>
      </w:pPr>
      <w:r>
        <w:rPr>
          <w:rFonts w:hint="eastAsia" w:hAnsi="宋体" w:cs="宋体"/>
          <w:color w:val="auto"/>
          <w:kern w:val="0"/>
          <w:sz w:val="32"/>
          <w:szCs w:val="32"/>
          <w:highlight w:val="none"/>
          <w:lang w:val="en-US" w:eastAsia="zh-CN"/>
        </w:rPr>
        <w:t>响</w:t>
      </w:r>
      <w:r>
        <w:rPr>
          <w:rFonts w:hint="eastAsia" w:hAnsi="宋体" w:cs="宋体"/>
          <w:color w:val="auto"/>
          <w:kern w:val="0"/>
          <w:sz w:val="32"/>
          <w:szCs w:val="32"/>
          <w:highlight w:val="none"/>
        </w:rPr>
        <w:t xml:space="preserve">   </w:t>
      </w:r>
      <w:r>
        <w:rPr>
          <w:rFonts w:hint="eastAsia" w:hAnsi="宋体" w:cs="宋体"/>
          <w:color w:val="auto"/>
          <w:kern w:val="0"/>
          <w:sz w:val="32"/>
          <w:szCs w:val="32"/>
          <w:highlight w:val="none"/>
          <w:lang w:val="en-US" w:eastAsia="zh-CN"/>
        </w:rPr>
        <w:t>应</w:t>
      </w:r>
      <w:r>
        <w:rPr>
          <w:rFonts w:hint="eastAsia" w:hAnsi="宋体" w:cs="宋体"/>
          <w:color w:val="auto"/>
          <w:kern w:val="0"/>
          <w:sz w:val="32"/>
          <w:szCs w:val="32"/>
          <w:highlight w:val="none"/>
        </w:rPr>
        <w:t xml:space="preserve">   人：                   （单位盖章）           </w:t>
      </w:r>
    </w:p>
    <w:p>
      <w:pPr>
        <w:pStyle w:val="57"/>
        <w:spacing w:line="720" w:lineRule="auto"/>
        <w:ind w:firstLine="320" w:firstLineChars="100"/>
        <w:jc w:val="both"/>
        <w:rPr>
          <w:color w:val="auto"/>
          <w:sz w:val="32"/>
          <w:szCs w:val="32"/>
          <w:highlight w:val="none"/>
        </w:rPr>
      </w:pPr>
      <w:r>
        <w:rPr>
          <w:rFonts w:hint="eastAsia"/>
          <w:color w:val="auto"/>
          <w:sz w:val="32"/>
          <w:szCs w:val="32"/>
          <w:highlight w:val="none"/>
        </w:rPr>
        <w:t xml:space="preserve">法 定 代 表 人：  </w:t>
      </w:r>
      <w:r>
        <w:rPr>
          <w:rFonts w:hint="eastAsia"/>
          <w:color w:val="auto"/>
          <w:sz w:val="32"/>
          <w:szCs w:val="32"/>
          <w:highlight w:val="none"/>
          <w:u w:val="single"/>
        </w:rPr>
        <w:t xml:space="preserve">        </w:t>
      </w:r>
      <w:r>
        <w:rPr>
          <w:rFonts w:hint="eastAsia"/>
          <w:color w:val="auto"/>
          <w:sz w:val="32"/>
          <w:szCs w:val="32"/>
          <w:highlight w:val="none"/>
        </w:rPr>
        <w:t>（签字或盖章）</w:t>
      </w:r>
    </w:p>
    <w:p>
      <w:pPr>
        <w:spacing w:line="500" w:lineRule="exact"/>
        <w:rPr>
          <w:rFonts w:hAnsi="宋体" w:cs="宋体"/>
          <w:color w:val="auto"/>
          <w:sz w:val="24"/>
          <w:highlight w:val="none"/>
        </w:rPr>
      </w:pPr>
    </w:p>
    <w:p>
      <w:pPr>
        <w:pStyle w:val="797"/>
        <w:rPr>
          <w:rFonts w:hint="eastAsia" w:ascii="宋体" w:hAnsi="宋体" w:cs="宋体"/>
          <w:color w:val="auto"/>
          <w:sz w:val="21"/>
          <w:szCs w:val="21"/>
          <w:highlight w:val="none"/>
        </w:rPr>
      </w:pPr>
    </w:p>
    <w:p>
      <w:pPr>
        <w:pStyle w:val="797"/>
        <w:rPr>
          <w:rFonts w:hint="eastAsia" w:ascii="宋体" w:hAnsi="宋体" w:cs="宋体"/>
          <w:color w:val="auto"/>
          <w:sz w:val="21"/>
          <w:szCs w:val="21"/>
          <w:highlight w:val="none"/>
        </w:rPr>
      </w:pPr>
      <w:r>
        <w:rPr>
          <w:rFonts w:hint="eastAsia" w:ascii="宋体" w:hAnsi="宋体" w:cs="宋体"/>
          <w:color w:val="auto"/>
          <w:sz w:val="21"/>
          <w:szCs w:val="21"/>
          <w:highlight w:val="none"/>
        </w:rPr>
        <w:br w:type="page"/>
      </w:r>
    </w:p>
    <w:p>
      <w:pPr>
        <w:pStyle w:val="797"/>
        <w:rPr>
          <w:rFonts w:hint="eastAsia" w:ascii="宋体" w:hAnsi="宋体" w:cs="宋体"/>
          <w:color w:val="auto"/>
          <w:sz w:val="21"/>
          <w:szCs w:val="21"/>
          <w:highlight w:val="none"/>
        </w:rPr>
      </w:pPr>
    </w:p>
    <w:p>
      <w:pPr>
        <w:widowControl/>
        <w:tabs>
          <w:tab w:val="center" w:pos="4755"/>
          <w:tab w:val="right" w:pos="9070"/>
        </w:tabs>
        <w:spacing w:line="600" w:lineRule="exact"/>
        <w:ind w:firstLine="321" w:firstLineChars="100"/>
        <w:jc w:val="center"/>
        <w:rPr>
          <w:rFonts w:hAnsi="宋体"/>
          <w:b/>
          <w:color w:val="auto"/>
          <w:kern w:val="0"/>
          <w:sz w:val="32"/>
          <w:szCs w:val="32"/>
          <w:highlight w:val="none"/>
        </w:rPr>
      </w:pPr>
      <w:r>
        <w:rPr>
          <w:rFonts w:hint="eastAsia" w:hAnsi="宋体"/>
          <w:b/>
          <w:color w:val="auto"/>
          <w:kern w:val="0"/>
          <w:sz w:val="32"/>
          <w:szCs w:val="32"/>
          <w:highlight w:val="none"/>
        </w:rPr>
        <w:t>工程量清单报价说明</w:t>
      </w:r>
    </w:p>
    <w:tbl>
      <w:tblPr>
        <w:tblStyle w:val="62"/>
        <w:tblW w:w="0" w:type="auto"/>
        <w:tblInd w:w="3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9" w:hRule="atLeast"/>
        </w:trPr>
        <w:tc>
          <w:tcPr>
            <w:tcW w:w="9435" w:type="dxa"/>
            <w:noWrap w:val="0"/>
            <w:vAlign w:val="top"/>
          </w:tcPr>
          <w:p>
            <w:pPr>
              <w:widowControl/>
              <w:tabs>
                <w:tab w:val="center" w:pos="4755"/>
                <w:tab w:val="right" w:pos="9070"/>
              </w:tabs>
              <w:spacing w:before="100" w:beforeAutospacing="1" w:after="100" w:afterAutospacing="1"/>
              <w:rPr>
                <w:rFonts w:hAnsi="宋体"/>
                <w:b/>
                <w:color w:val="auto"/>
                <w:kern w:val="0"/>
                <w:sz w:val="44"/>
                <w:szCs w:val="44"/>
                <w:highlight w:val="none"/>
              </w:rPr>
            </w:pPr>
          </w:p>
        </w:tc>
      </w:tr>
    </w:tbl>
    <w:p>
      <w:pPr>
        <w:widowControl/>
        <w:tabs>
          <w:tab w:val="center" w:pos="4755"/>
          <w:tab w:val="right" w:pos="9070"/>
        </w:tabs>
        <w:spacing w:before="100" w:beforeAutospacing="1" w:after="100" w:afterAutospacing="1" w:line="360" w:lineRule="exact"/>
        <w:ind w:firstLine="240" w:firstLineChars="100"/>
        <w:jc w:val="both"/>
        <w:rPr>
          <w:rFonts w:hAnsi="宋体"/>
          <w:color w:val="auto"/>
          <w:szCs w:val="21"/>
          <w:highlight w:val="none"/>
        </w:rPr>
      </w:pPr>
      <w:r>
        <w:rPr>
          <w:rFonts w:hint="eastAsia" w:hAnsi="宋体"/>
          <w:color w:val="auto"/>
          <w:kern w:val="0"/>
          <w:sz w:val="24"/>
          <w:highlight w:val="none"/>
          <w:lang w:val="en-US" w:eastAsia="zh-CN"/>
        </w:rPr>
        <w:t>响应</w:t>
      </w:r>
      <w:r>
        <w:rPr>
          <w:rFonts w:hint="eastAsia" w:hAnsi="宋体"/>
          <w:color w:val="auto"/>
          <w:kern w:val="0"/>
          <w:sz w:val="24"/>
          <w:highlight w:val="none"/>
        </w:rPr>
        <w:t xml:space="preserve">人：（ 盖章）         </w:t>
      </w:r>
    </w:p>
    <w:p>
      <w:pPr>
        <w:widowControl/>
        <w:tabs>
          <w:tab w:val="center" w:pos="4755"/>
          <w:tab w:val="right" w:pos="9070"/>
        </w:tabs>
        <w:spacing w:before="100" w:beforeAutospacing="1" w:after="100" w:afterAutospacing="1"/>
        <w:ind w:firstLine="240" w:firstLineChars="100"/>
        <w:jc w:val="both"/>
        <w:rPr>
          <w:rFonts w:hAnsi="宋体"/>
          <w:color w:val="auto"/>
          <w:kern w:val="0"/>
          <w:sz w:val="24"/>
          <w:highlight w:val="none"/>
        </w:rPr>
      </w:pPr>
      <w:r>
        <w:rPr>
          <w:rFonts w:hAnsi="宋体"/>
          <w:color w:val="auto"/>
          <w:kern w:val="0"/>
          <w:sz w:val="24"/>
          <w:highlight w:val="none"/>
        </w:rPr>
        <w:br w:type="page"/>
      </w:r>
    </w:p>
    <w:p>
      <w:pPr>
        <w:widowControl/>
        <w:tabs>
          <w:tab w:val="center" w:pos="4755"/>
          <w:tab w:val="right" w:pos="9070"/>
        </w:tabs>
        <w:jc w:val="center"/>
        <w:rPr>
          <w:rFonts w:hAnsi="宋体"/>
          <w:b/>
          <w:color w:val="auto"/>
          <w:kern w:val="0"/>
          <w:sz w:val="32"/>
          <w:szCs w:val="32"/>
          <w:highlight w:val="none"/>
        </w:rPr>
      </w:pPr>
    </w:p>
    <w:p>
      <w:pPr>
        <w:widowControl/>
        <w:tabs>
          <w:tab w:val="center" w:pos="4755"/>
          <w:tab w:val="right" w:pos="9070"/>
        </w:tabs>
        <w:jc w:val="center"/>
        <w:rPr>
          <w:rFonts w:hAnsi="宋体"/>
          <w:b/>
          <w:color w:val="auto"/>
          <w:sz w:val="28"/>
          <w:szCs w:val="28"/>
          <w:highlight w:val="none"/>
        </w:rPr>
      </w:pPr>
      <w:r>
        <w:rPr>
          <w:rFonts w:hint="eastAsia" w:hAnsi="宋体"/>
          <w:b/>
          <w:color w:val="auto"/>
          <w:sz w:val="28"/>
          <w:szCs w:val="28"/>
          <w:highlight w:val="none"/>
        </w:rPr>
        <w:t>表1-1-1  工程项目报价汇总表</w:t>
      </w:r>
    </w:p>
    <w:p>
      <w:pPr>
        <w:widowControl/>
        <w:tabs>
          <w:tab w:val="center" w:pos="4755"/>
          <w:tab w:val="right" w:pos="9070"/>
        </w:tabs>
        <w:jc w:val="left"/>
        <w:rPr>
          <w:rFonts w:hAnsi="宋体"/>
          <w:color w:val="auto"/>
          <w:szCs w:val="21"/>
          <w:highlight w:val="none"/>
        </w:rPr>
      </w:pPr>
    </w:p>
    <w:p>
      <w:pPr>
        <w:widowControl/>
        <w:tabs>
          <w:tab w:val="center" w:pos="4755"/>
          <w:tab w:val="right" w:pos="9070"/>
        </w:tabs>
        <w:ind w:firstLine="420" w:firstLineChars="200"/>
        <w:jc w:val="left"/>
      </w:pPr>
      <w:r>
        <w:rPr>
          <w:rFonts w:hint="eastAsia" w:hAnsi="宋体"/>
          <w:color w:val="auto"/>
          <w:szCs w:val="21"/>
          <w:highlight w:val="none"/>
        </w:rPr>
        <w:t>工程名称：</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6300"/>
        <w:gridCol w:w="1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noWrap w:val="0"/>
            <w:vAlign w:val="center"/>
          </w:tcPr>
          <w:p>
            <w:pPr>
              <w:widowControl/>
              <w:tabs>
                <w:tab w:val="center" w:pos="4755"/>
                <w:tab w:val="right" w:pos="9070"/>
              </w:tabs>
              <w:spacing w:before="100" w:beforeAutospacing="1" w:after="100" w:afterAutospacing="1" w:line="360" w:lineRule="auto"/>
              <w:jc w:val="center"/>
              <w:rPr>
                <w:rFonts w:hAnsi="宋体"/>
                <w:color w:val="auto"/>
                <w:szCs w:val="21"/>
                <w:highlight w:val="none"/>
              </w:rPr>
            </w:pPr>
            <w:r>
              <w:rPr>
                <w:rFonts w:hint="eastAsia" w:hAnsi="宋体"/>
                <w:color w:val="auto"/>
                <w:szCs w:val="21"/>
                <w:highlight w:val="none"/>
              </w:rPr>
              <w:t>序号</w:t>
            </w:r>
          </w:p>
        </w:tc>
        <w:tc>
          <w:tcPr>
            <w:tcW w:w="6300" w:type="dxa"/>
            <w:noWrap w:val="0"/>
            <w:vAlign w:val="center"/>
          </w:tcPr>
          <w:p>
            <w:pPr>
              <w:widowControl/>
              <w:tabs>
                <w:tab w:val="center" w:pos="4755"/>
                <w:tab w:val="right" w:pos="9070"/>
              </w:tabs>
              <w:spacing w:before="100" w:beforeAutospacing="1" w:after="100" w:afterAutospacing="1" w:line="360" w:lineRule="auto"/>
              <w:jc w:val="center"/>
              <w:rPr>
                <w:rFonts w:hAnsi="宋体"/>
                <w:color w:val="auto"/>
                <w:szCs w:val="21"/>
                <w:highlight w:val="none"/>
              </w:rPr>
            </w:pPr>
            <w:r>
              <w:rPr>
                <w:rFonts w:hint="eastAsia" w:hAnsi="宋体"/>
                <w:color w:val="auto"/>
                <w:szCs w:val="21"/>
                <w:highlight w:val="none"/>
              </w:rPr>
              <w:t>内   容</w:t>
            </w:r>
          </w:p>
        </w:tc>
        <w:tc>
          <w:tcPr>
            <w:tcW w:w="1978" w:type="dxa"/>
            <w:noWrap w:val="0"/>
            <w:vAlign w:val="center"/>
          </w:tcPr>
          <w:p>
            <w:pPr>
              <w:widowControl/>
              <w:tabs>
                <w:tab w:val="center" w:pos="4755"/>
                <w:tab w:val="right" w:pos="9070"/>
              </w:tabs>
              <w:spacing w:before="100" w:beforeAutospacing="1" w:after="100" w:afterAutospacing="1" w:line="360" w:lineRule="auto"/>
              <w:jc w:val="center"/>
              <w:rPr>
                <w:rFonts w:hAnsi="宋体"/>
                <w:color w:val="auto"/>
                <w:szCs w:val="21"/>
                <w:highlight w:val="none"/>
              </w:rPr>
            </w:pPr>
            <w:r>
              <w:rPr>
                <w:rFonts w:hint="eastAsia" w:hAnsi="宋体"/>
                <w:color w:val="auto"/>
                <w:szCs w:val="21"/>
                <w:highlight w:val="none"/>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noWrap w:val="0"/>
            <w:vAlign w:val="center"/>
          </w:tcPr>
          <w:p>
            <w:pPr>
              <w:widowControl/>
              <w:tabs>
                <w:tab w:val="center" w:pos="4755"/>
                <w:tab w:val="right" w:pos="9070"/>
              </w:tabs>
              <w:spacing w:before="100" w:beforeAutospacing="1" w:after="100" w:afterAutospacing="1" w:line="360" w:lineRule="auto"/>
              <w:jc w:val="center"/>
              <w:rPr>
                <w:rFonts w:hAnsi="宋体"/>
                <w:color w:val="auto"/>
                <w:szCs w:val="21"/>
                <w:highlight w:val="none"/>
              </w:rPr>
            </w:pPr>
            <w:r>
              <w:rPr>
                <w:rFonts w:hint="eastAsia" w:hAnsi="宋体"/>
                <w:color w:val="auto"/>
                <w:szCs w:val="21"/>
                <w:highlight w:val="none"/>
              </w:rPr>
              <w:t>一</w:t>
            </w:r>
          </w:p>
        </w:tc>
        <w:tc>
          <w:tcPr>
            <w:tcW w:w="6300" w:type="dxa"/>
            <w:noWrap w:val="0"/>
            <w:vAlign w:val="top"/>
          </w:tcPr>
          <w:p>
            <w:pPr>
              <w:widowControl/>
              <w:tabs>
                <w:tab w:val="center" w:pos="4755"/>
                <w:tab w:val="right" w:pos="9070"/>
              </w:tabs>
              <w:spacing w:before="100" w:beforeAutospacing="1" w:after="100" w:afterAutospacing="1" w:line="360" w:lineRule="auto"/>
              <w:jc w:val="left"/>
              <w:rPr>
                <w:rFonts w:hAnsi="宋体"/>
                <w:color w:val="auto"/>
                <w:szCs w:val="21"/>
                <w:highlight w:val="none"/>
              </w:rPr>
            </w:pPr>
            <w:r>
              <w:rPr>
                <w:rFonts w:hint="eastAsia" w:hAnsi="宋体"/>
                <w:color w:val="auto"/>
                <w:szCs w:val="21"/>
                <w:highlight w:val="none"/>
              </w:rPr>
              <w:t>单位工程费合计</w:t>
            </w:r>
          </w:p>
        </w:tc>
        <w:tc>
          <w:tcPr>
            <w:tcW w:w="1978" w:type="dxa"/>
            <w:noWrap w:val="0"/>
            <w:vAlign w:val="top"/>
          </w:tcPr>
          <w:p>
            <w:pPr>
              <w:widowControl/>
              <w:tabs>
                <w:tab w:val="center" w:pos="4755"/>
                <w:tab w:val="right" w:pos="9070"/>
              </w:tabs>
              <w:spacing w:before="100" w:beforeAutospacing="1" w:after="100" w:afterAutospacing="1" w:line="360" w:lineRule="auto"/>
              <w:jc w:val="left"/>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noWrap w:val="0"/>
            <w:vAlign w:val="center"/>
          </w:tcPr>
          <w:p>
            <w:pPr>
              <w:widowControl/>
              <w:tabs>
                <w:tab w:val="center" w:pos="4755"/>
                <w:tab w:val="right" w:pos="9070"/>
              </w:tabs>
              <w:spacing w:before="100" w:beforeAutospacing="1" w:after="100" w:afterAutospacing="1" w:line="360" w:lineRule="auto"/>
              <w:jc w:val="center"/>
              <w:rPr>
                <w:rFonts w:hAnsi="宋体"/>
                <w:color w:val="auto"/>
                <w:szCs w:val="21"/>
                <w:highlight w:val="none"/>
              </w:rPr>
            </w:pPr>
            <w:r>
              <w:rPr>
                <w:rFonts w:hint="eastAsia" w:hAnsi="宋体"/>
                <w:color w:val="auto"/>
                <w:szCs w:val="21"/>
                <w:highlight w:val="none"/>
              </w:rPr>
              <w:t>1</w:t>
            </w:r>
          </w:p>
        </w:tc>
        <w:tc>
          <w:tcPr>
            <w:tcW w:w="6300" w:type="dxa"/>
            <w:noWrap w:val="0"/>
            <w:vAlign w:val="top"/>
          </w:tcPr>
          <w:p>
            <w:pPr>
              <w:widowControl/>
              <w:tabs>
                <w:tab w:val="center" w:pos="4755"/>
                <w:tab w:val="right" w:pos="9070"/>
              </w:tabs>
              <w:spacing w:before="100" w:beforeAutospacing="1" w:after="100" w:afterAutospacing="1" w:line="360" w:lineRule="auto"/>
              <w:jc w:val="left"/>
              <w:rPr>
                <w:rFonts w:hAnsi="宋体"/>
                <w:color w:val="auto"/>
                <w:szCs w:val="21"/>
                <w:highlight w:val="none"/>
              </w:rPr>
            </w:pPr>
            <w:r>
              <w:rPr>
                <w:rFonts w:hint="eastAsia" w:hAnsi="宋体"/>
                <w:color w:val="auto"/>
                <w:szCs w:val="21"/>
                <w:highlight w:val="none"/>
              </w:rPr>
              <w:t>（单位工程1，如1号楼）</w:t>
            </w:r>
          </w:p>
        </w:tc>
        <w:tc>
          <w:tcPr>
            <w:tcW w:w="1978" w:type="dxa"/>
            <w:noWrap w:val="0"/>
            <w:vAlign w:val="top"/>
          </w:tcPr>
          <w:p>
            <w:pPr>
              <w:widowControl/>
              <w:tabs>
                <w:tab w:val="center" w:pos="4755"/>
                <w:tab w:val="right" w:pos="9070"/>
              </w:tabs>
              <w:spacing w:before="100" w:beforeAutospacing="1" w:after="100" w:afterAutospacing="1" w:line="360" w:lineRule="auto"/>
              <w:jc w:val="left"/>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08" w:type="dxa"/>
            <w:noWrap w:val="0"/>
            <w:vAlign w:val="center"/>
          </w:tcPr>
          <w:p>
            <w:pPr>
              <w:widowControl/>
              <w:tabs>
                <w:tab w:val="center" w:pos="4755"/>
                <w:tab w:val="right" w:pos="9070"/>
              </w:tabs>
              <w:spacing w:before="100" w:beforeAutospacing="1" w:after="100" w:afterAutospacing="1" w:line="360" w:lineRule="auto"/>
              <w:jc w:val="center"/>
              <w:rPr>
                <w:rFonts w:hAnsi="宋体"/>
                <w:color w:val="auto"/>
                <w:szCs w:val="21"/>
                <w:highlight w:val="none"/>
              </w:rPr>
            </w:pPr>
            <w:r>
              <w:rPr>
                <w:rFonts w:hint="eastAsia" w:hAnsi="宋体"/>
                <w:color w:val="auto"/>
                <w:szCs w:val="21"/>
                <w:highlight w:val="none"/>
              </w:rPr>
              <w:t>2</w:t>
            </w:r>
          </w:p>
        </w:tc>
        <w:tc>
          <w:tcPr>
            <w:tcW w:w="6300" w:type="dxa"/>
            <w:noWrap w:val="0"/>
            <w:vAlign w:val="top"/>
          </w:tcPr>
          <w:p>
            <w:pPr>
              <w:widowControl/>
              <w:tabs>
                <w:tab w:val="center" w:pos="4755"/>
                <w:tab w:val="right" w:pos="9070"/>
              </w:tabs>
              <w:spacing w:before="100" w:beforeAutospacing="1" w:after="100" w:afterAutospacing="1" w:line="360" w:lineRule="auto"/>
              <w:jc w:val="left"/>
              <w:rPr>
                <w:rFonts w:hAnsi="宋体"/>
                <w:color w:val="auto"/>
                <w:szCs w:val="21"/>
                <w:highlight w:val="none"/>
              </w:rPr>
            </w:pPr>
            <w:r>
              <w:rPr>
                <w:rFonts w:hint="eastAsia" w:hAnsi="宋体"/>
                <w:color w:val="auto"/>
                <w:szCs w:val="21"/>
                <w:highlight w:val="none"/>
              </w:rPr>
              <w:t>（单位工程2）</w:t>
            </w:r>
          </w:p>
        </w:tc>
        <w:tc>
          <w:tcPr>
            <w:tcW w:w="1978" w:type="dxa"/>
            <w:noWrap w:val="0"/>
            <w:vAlign w:val="top"/>
          </w:tcPr>
          <w:p>
            <w:pPr>
              <w:widowControl/>
              <w:tabs>
                <w:tab w:val="center" w:pos="4755"/>
                <w:tab w:val="right" w:pos="9070"/>
              </w:tabs>
              <w:spacing w:before="100" w:beforeAutospacing="1" w:after="100" w:afterAutospacing="1" w:line="360" w:lineRule="auto"/>
              <w:jc w:val="left"/>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noWrap w:val="0"/>
            <w:vAlign w:val="center"/>
          </w:tcPr>
          <w:p>
            <w:pPr>
              <w:widowControl/>
              <w:tabs>
                <w:tab w:val="center" w:pos="4755"/>
                <w:tab w:val="right" w:pos="9070"/>
              </w:tabs>
              <w:spacing w:before="100" w:beforeAutospacing="1" w:after="100" w:afterAutospacing="1" w:line="360" w:lineRule="auto"/>
              <w:jc w:val="center"/>
              <w:rPr>
                <w:rFonts w:hAnsi="宋体"/>
                <w:color w:val="auto"/>
                <w:szCs w:val="21"/>
                <w:highlight w:val="none"/>
              </w:rPr>
            </w:pPr>
          </w:p>
        </w:tc>
        <w:tc>
          <w:tcPr>
            <w:tcW w:w="6300" w:type="dxa"/>
            <w:noWrap w:val="0"/>
            <w:vAlign w:val="top"/>
          </w:tcPr>
          <w:p>
            <w:pPr>
              <w:widowControl/>
              <w:tabs>
                <w:tab w:val="center" w:pos="4755"/>
                <w:tab w:val="right" w:pos="9070"/>
              </w:tabs>
              <w:spacing w:before="100" w:beforeAutospacing="1" w:after="100" w:afterAutospacing="1" w:line="360" w:lineRule="auto"/>
              <w:jc w:val="left"/>
              <w:rPr>
                <w:rFonts w:hAnsi="宋体"/>
                <w:color w:val="auto"/>
                <w:szCs w:val="21"/>
                <w:highlight w:val="none"/>
              </w:rPr>
            </w:pPr>
          </w:p>
        </w:tc>
        <w:tc>
          <w:tcPr>
            <w:tcW w:w="1978" w:type="dxa"/>
            <w:noWrap w:val="0"/>
            <w:vAlign w:val="top"/>
          </w:tcPr>
          <w:p>
            <w:pPr>
              <w:widowControl/>
              <w:tabs>
                <w:tab w:val="center" w:pos="4755"/>
                <w:tab w:val="right" w:pos="9070"/>
              </w:tabs>
              <w:spacing w:before="100" w:beforeAutospacing="1" w:after="100" w:afterAutospacing="1" w:line="360" w:lineRule="auto"/>
              <w:jc w:val="left"/>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noWrap w:val="0"/>
            <w:vAlign w:val="center"/>
          </w:tcPr>
          <w:p>
            <w:pPr>
              <w:widowControl/>
              <w:tabs>
                <w:tab w:val="center" w:pos="4755"/>
                <w:tab w:val="right" w:pos="9070"/>
              </w:tabs>
              <w:spacing w:before="100" w:beforeAutospacing="1" w:after="100" w:afterAutospacing="1" w:line="360" w:lineRule="auto"/>
              <w:jc w:val="center"/>
              <w:rPr>
                <w:rFonts w:hAnsi="宋体"/>
                <w:color w:val="auto"/>
                <w:szCs w:val="21"/>
                <w:highlight w:val="none"/>
              </w:rPr>
            </w:pPr>
          </w:p>
        </w:tc>
        <w:tc>
          <w:tcPr>
            <w:tcW w:w="6300" w:type="dxa"/>
            <w:noWrap w:val="0"/>
            <w:vAlign w:val="top"/>
          </w:tcPr>
          <w:p>
            <w:pPr>
              <w:widowControl/>
              <w:tabs>
                <w:tab w:val="center" w:pos="4755"/>
                <w:tab w:val="right" w:pos="9070"/>
              </w:tabs>
              <w:spacing w:before="100" w:beforeAutospacing="1" w:after="100" w:afterAutospacing="1" w:line="360" w:lineRule="auto"/>
              <w:jc w:val="left"/>
              <w:rPr>
                <w:rFonts w:hAnsi="宋体"/>
                <w:color w:val="auto"/>
                <w:szCs w:val="21"/>
                <w:highlight w:val="none"/>
              </w:rPr>
            </w:pPr>
          </w:p>
        </w:tc>
        <w:tc>
          <w:tcPr>
            <w:tcW w:w="1978" w:type="dxa"/>
            <w:noWrap w:val="0"/>
            <w:vAlign w:val="top"/>
          </w:tcPr>
          <w:p>
            <w:pPr>
              <w:widowControl/>
              <w:tabs>
                <w:tab w:val="center" w:pos="4755"/>
                <w:tab w:val="right" w:pos="9070"/>
              </w:tabs>
              <w:spacing w:before="100" w:beforeAutospacing="1" w:after="100" w:afterAutospacing="1" w:line="360" w:lineRule="auto"/>
              <w:jc w:val="left"/>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008" w:type="dxa"/>
            <w:noWrap w:val="0"/>
            <w:vAlign w:val="center"/>
          </w:tcPr>
          <w:p>
            <w:pPr>
              <w:widowControl/>
              <w:tabs>
                <w:tab w:val="center" w:pos="4755"/>
                <w:tab w:val="right" w:pos="9070"/>
              </w:tabs>
              <w:spacing w:before="100" w:beforeAutospacing="1" w:after="100" w:afterAutospacing="1" w:line="360" w:lineRule="auto"/>
              <w:jc w:val="center"/>
              <w:rPr>
                <w:rFonts w:hAnsi="宋体"/>
                <w:color w:val="auto"/>
                <w:szCs w:val="21"/>
                <w:highlight w:val="none"/>
              </w:rPr>
            </w:pPr>
            <w:r>
              <w:rPr>
                <w:rFonts w:hint="eastAsia" w:hAnsi="宋体"/>
                <w:color w:val="auto"/>
                <w:szCs w:val="21"/>
                <w:highlight w:val="none"/>
              </w:rPr>
              <w:t>二</w:t>
            </w:r>
          </w:p>
        </w:tc>
        <w:tc>
          <w:tcPr>
            <w:tcW w:w="6300" w:type="dxa"/>
            <w:noWrap w:val="0"/>
            <w:vAlign w:val="top"/>
          </w:tcPr>
          <w:p>
            <w:pPr>
              <w:widowControl/>
              <w:tabs>
                <w:tab w:val="center" w:pos="4755"/>
                <w:tab w:val="right" w:pos="9070"/>
              </w:tabs>
              <w:spacing w:before="100" w:beforeAutospacing="1" w:after="100" w:afterAutospacing="1" w:line="360" w:lineRule="auto"/>
              <w:jc w:val="left"/>
              <w:rPr>
                <w:rFonts w:hAnsi="宋体"/>
                <w:color w:val="auto"/>
                <w:szCs w:val="21"/>
                <w:highlight w:val="none"/>
              </w:rPr>
            </w:pPr>
            <w:r>
              <w:rPr>
                <w:rFonts w:hint="eastAsia" w:hAnsi="宋体"/>
                <w:color w:val="auto"/>
                <w:szCs w:val="21"/>
                <w:highlight w:val="none"/>
              </w:rPr>
              <w:t>未纳入单位工程费的其他费用[（一）+（二）+（三）+（四）]</w:t>
            </w:r>
          </w:p>
        </w:tc>
        <w:tc>
          <w:tcPr>
            <w:tcW w:w="1978" w:type="dxa"/>
            <w:noWrap w:val="0"/>
            <w:vAlign w:val="top"/>
          </w:tcPr>
          <w:p>
            <w:pPr>
              <w:widowControl/>
              <w:tabs>
                <w:tab w:val="center" w:pos="4755"/>
                <w:tab w:val="right" w:pos="9070"/>
              </w:tabs>
              <w:spacing w:before="100" w:beforeAutospacing="1" w:after="100" w:afterAutospacing="1" w:line="360" w:lineRule="auto"/>
              <w:jc w:val="left"/>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008" w:type="dxa"/>
            <w:noWrap w:val="0"/>
            <w:vAlign w:val="center"/>
          </w:tcPr>
          <w:p>
            <w:pPr>
              <w:widowControl/>
              <w:tabs>
                <w:tab w:val="center" w:pos="4755"/>
                <w:tab w:val="right" w:pos="9070"/>
              </w:tabs>
              <w:spacing w:before="100" w:beforeAutospacing="1" w:after="100" w:afterAutospacing="1" w:line="360" w:lineRule="auto"/>
              <w:jc w:val="center"/>
              <w:rPr>
                <w:rFonts w:hAnsi="宋体"/>
                <w:color w:val="auto"/>
                <w:szCs w:val="21"/>
                <w:highlight w:val="none"/>
              </w:rPr>
            </w:pPr>
            <w:r>
              <w:rPr>
                <w:rFonts w:hint="eastAsia" w:hAnsi="宋体"/>
                <w:color w:val="auto"/>
                <w:szCs w:val="21"/>
                <w:highlight w:val="none"/>
              </w:rPr>
              <w:t>（一）</w:t>
            </w:r>
          </w:p>
        </w:tc>
        <w:tc>
          <w:tcPr>
            <w:tcW w:w="6300" w:type="dxa"/>
            <w:noWrap w:val="0"/>
            <w:vAlign w:val="center"/>
          </w:tcPr>
          <w:p>
            <w:pPr>
              <w:widowControl/>
              <w:tabs>
                <w:tab w:val="center" w:pos="4755"/>
                <w:tab w:val="right" w:pos="9070"/>
              </w:tabs>
              <w:spacing w:before="100" w:beforeAutospacing="1" w:after="100" w:afterAutospacing="1" w:line="360" w:lineRule="auto"/>
              <w:rPr>
                <w:rFonts w:hAnsi="宋体"/>
                <w:color w:val="auto"/>
                <w:szCs w:val="21"/>
                <w:highlight w:val="none"/>
              </w:rPr>
            </w:pPr>
            <w:r>
              <w:rPr>
                <w:rFonts w:hint="eastAsia" w:hAnsi="宋体"/>
                <w:color w:val="auto"/>
                <w:szCs w:val="21"/>
                <w:highlight w:val="none"/>
              </w:rPr>
              <w:t>整体措施项目清单（1+2）</w:t>
            </w:r>
          </w:p>
        </w:tc>
        <w:tc>
          <w:tcPr>
            <w:tcW w:w="1978" w:type="dxa"/>
            <w:noWrap w:val="0"/>
            <w:vAlign w:val="top"/>
          </w:tcPr>
          <w:p>
            <w:pPr>
              <w:widowControl/>
              <w:tabs>
                <w:tab w:val="center" w:pos="4755"/>
                <w:tab w:val="right" w:pos="9070"/>
              </w:tabs>
              <w:spacing w:before="100" w:beforeAutospacing="1" w:after="100" w:afterAutospacing="1" w:line="360" w:lineRule="auto"/>
              <w:jc w:val="left"/>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noWrap w:val="0"/>
            <w:vAlign w:val="center"/>
          </w:tcPr>
          <w:p>
            <w:pPr>
              <w:widowControl/>
              <w:tabs>
                <w:tab w:val="center" w:pos="4755"/>
                <w:tab w:val="right" w:pos="9070"/>
              </w:tabs>
              <w:spacing w:before="100" w:beforeAutospacing="1" w:after="100" w:afterAutospacing="1" w:line="360" w:lineRule="auto"/>
              <w:jc w:val="center"/>
              <w:rPr>
                <w:rFonts w:hAnsi="宋体"/>
                <w:color w:val="auto"/>
                <w:szCs w:val="21"/>
                <w:highlight w:val="none"/>
              </w:rPr>
            </w:pPr>
            <w:r>
              <w:rPr>
                <w:rFonts w:hint="eastAsia" w:hAnsi="宋体"/>
                <w:color w:val="auto"/>
                <w:szCs w:val="21"/>
                <w:highlight w:val="none"/>
              </w:rPr>
              <w:t>1</w:t>
            </w:r>
          </w:p>
        </w:tc>
        <w:tc>
          <w:tcPr>
            <w:tcW w:w="6300" w:type="dxa"/>
            <w:noWrap w:val="0"/>
            <w:vAlign w:val="top"/>
          </w:tcPr>
          <w:p>
            <w:pPr>
              <w:widowControl/>
              <w:tabs>
                <w:tab w:val="center" w:pos="4755"/>
                <w:tab w:val="right" w:pos="9070"/>
              </w:tabs>
              <w:spacing w:before="100" w:beforeAutospacing="1" w:after="100" w:afterAutospacing="1" w:line="360" w:lineRule="auto"/>
              <w:jc w:val="left"/>
              <w:rPr>
                <w:rFonts w:hAnsi="宋体"/>
                <w:color w:val="auto"/>
                <w:szCs w:val="21"/>
                <w:highlight w:val="none"/>
              </w:rPr>
            </w:pPr>
            <w:r>
              <w:rPr>
                <w:rFonts w:hint="eastAsia" w:hAnsi="宋体"/>
                <w:color w:val="auto"/>
                <w:szCs w:val="21"/>
                <w:highlight w:val="none"/>
              </w:rPr>
              <w:t>组织措施项目清单</w:t>
            </w:r>
          </w:p>
        </w:tc>
        <w:tc>
          <w:tcPr>
            <w:tcW w:w="1978" w:type="dxa"/>
            <w:noWrap w:val="0"/>
            <w:vAlign w:val="top"/>
          </w:tcPr>
          <w:p>
            <w:pPr>
              <w:widowControl/>
              <w:tabs>
                <w:tab w:val="center" w:pos="4755"/>
                <w:tab w:val="right" w:pos="9070"/>
              </w:tabs>
              <w:spacing w:before="100" w:beforeAutospacing="1" w:after="100" w:afterAutospacing="1" w:line="360" w:lineRule="auto"/>
              <w:jc w:val="left"/>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noWrap w:val="0"/>
            <w:vAlign w:val="center"/>
          </w:tcPr>
          <w:p>
            <w:pPr>
              <w:widowControl/>
              <w:tabs>
                <w:tab w:val="center" w:pos="4755"/>
                <w:tab w:val="right" w:pos="9070"/>
              </w:tabs>
              <w:spacing w:before="100" w:beforeAutospacing="1" w:after="100" w:afterAutospacing="1" w:line="360" w:lineRule="auto"/>
              <w:jc w:val="center"/>
              <w:rPr>
                <w:rFonts w:hAnsi="宋体"/>
                <w:color w:val="auto"/>
                <w:szCs w:val="21"/>
                <w:highlight w:val="none"/>
              </w:rPr>
            </w:pPr>
            <w:r>
              <w:rPr>
                <w:rFonts w:hint="eastAsia" w:hAnsi="宋体"/>
                <w:color w:val="auto"/>
                <w:szCs w:val="21"/>
                <w:highlight w:val="none"/>
              </w:rPr>
              <w:t>2</w:t>
            </w:r>
          </w:p>
        </w:tc>
        <w:tc>
          <w:tcPr>
            <w:tcW w:w="6300" w:type="dxa"/>
            <w:noWrap w:val="0"/>
            <w:vAlign w:val="top"/>
          </w:tcPr>
          <w:p>
            <w:pPr>
              <w:widowControl/>
              <w:tabs>
                <w:tab w:val="center" w:pos="4755"/>
                <w:tab w:val="right" w:pos="9070"/>
              </w:tabs>
              <w:spacing w:before="100" w:beforeAutospacing="1" w:after="100" w:afterAutospacing="1" w:line="360" w:lineRule="auto"/>
              <w:jc w:val="left"/>
              <w:rPr>
                <w:rFonts w:hAnsi="宋体"/>
                <w:color w:val="auto"/>
                <w:szCs w:val="21"/>
                <w:highlight w:val="none"/>
              </w:rPr>
            </w:pPr>
            <w:r>
              <w:rPr>
                <w:rFonts w:hint="eastAsia" w:hAnsi="宋体"/>
                <w:color w:val="auto"/>
                <w:szCs w:val="21"/>
                <w:highlight w:val="none"/>
              </w:rPr>
              <w:t>技术措施项目清单</w:t>
            </w:r>
          </w:p>
        </w:tc>
        <w:tc>
          <w:tcPr>
            <w:tcW w:w="1978" w:type="dxa"/>
            <w:noWrap w:val="0"/>
            <w:vAlign w:val="top"/>
          </w:tcPr>
          <w:p>
            <w:pPr>
              <w:widowControl/>
              <w:tabs>
                <w:tab w:val="center" w:pos="4755"/>
                <w:tab w:val="right" w:pos="9070"/>
              </w:tabs>
              <w:spacing w:before="100" w:beforeAutospacing="1" w:after="100" w:afterAutospacing="1" w:line="360" w:lineRule="auto"/>
              <w:jc w:val="left"/>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noWrap w:val="0"/>
            <w:vAlign w:val="center"/>
          </w:tcPr>
          <w:p>
            <w:pPr>
              <w:widowControl/>
              <w:tabs>
                <w:tab w:val="center" w:pos="4755"/>
                <w:tab w:val="right" w:pos="9070"/>
              </w:tabs>
              <w:spacing w:before="100" w:beforeAutospacing="1" w:after="100" w:afterAutospacing="1" w:line="360" w:lineRule="auto"/>
              <w:jc w:val="center"/>
              <w:rPr>
                <w:rFonts w:hAnsi="宋体"/>
                <w:color w:val="auto"/>
                <w:szCs w:val="21"/>
                <w:highlight w:val="none"/>
              </w:rPr>
            </w:pPr>
            <w:r>
              <w:rPr>
                <w:rFonts w:hint="eastAsia" w:hAnsi="宋体"/>
                <w:color w:val="auto"/>
                <w:szCs w:val="21"/>
                <w:highlight w:val="none"/>
              </w:rPr>
              <w:t>（二）</w:t>
            </w:r>
          </w:p>
        </w:tc>
        <w:tc>
          <w:tcPr>
            <w:tcW w:w="6300" w:type="dxa"/>
            <w:noWrap w:val="0"/>
            <w:vAlign w:val="top"/>
          </w:tcPr>
          <w:p>
            <w:pPr>
              <w:widowControl/>
              <w:tabs>
                <w:tab w:val="center" w:pos="4755"/>
                <w:tab w:val="right" w:pos="9070"/>
              </w:tabs>
              <w:spacing w:before="100" w:beforeAutospacing="1" w:after="100" w:afterAutospacing="1" w:line="360" w:lineRule="auto"/>
              <w:jc w:val="left"/>
              <w:rPr>
                <w:rFonts w:hAnsi="宋体"/>
                <w:color w:val="auto"/>
                <w:szCs w:val="21"/>
                <w:highlight w:val="none"/>
              </w:rPr>
            </w:pPr>
            <w:r>
              <w:rPr>
                <w:rFonts w:hint="eastAsia" w:hAnsi="宋体"/>
                <w:color w:val="auto"/>
                <w:szCs w:val="21"/>
                <w:highlight w:val="none"/>
              </w:rPr>
              <w:t>整体其他项目清单</w:t>
            </w:r>
          </w:p>
        </w:tc>
        <w:tc>
          <w:tcPr>
            <w:tcW w:w="1978" w:type="dxa"/>
            <w:noWrap w:val="0"/>
            <w:vAlign w:val="top"/>
          </w:tcPr>
          <w:p>
            <w:pPr>
              <w:widowControl/>
              <w:tabs>
                <w:tab w:val="center" w:pos="4755"/>
                <w:tab w:val="right" w:pos="9070"/>
              </w:tabs>
              <w:spacing w:before="100" w:beforeAutospacing="1" w:after="100" w:afterAutospacing="1" w:line="360" w:lineRule="auto"/>
              <w:jc w:val="left"/>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noWrap w:val="0"/>
            <w:vAlign w:val="center"/>
          </w:tcPr>
          <w:p>
            <w:pPr>
              <w:widowControl/>
              <w:tabs>
                <w:tab w:val="center" w:pos="4755"/>
                <w:tab w:val="right" w:pos="9070"/>
              </w:tabs>
              <w:spacing w:before="100" w:beforeAutospacing="1" w:after="100" w:afterAutospacing="1" w:line="360" w:lineRule="auto"/>
              <w:jc w:val="center"/>
              <w:rPr>
                <w:rFonts w:hAnsi="宋体"/>
                <w:color w:val="auto"/>
                <w:szCs w:val="21"/>
                <w:highlight w:val="none"/>
              </w:rPr>
            </w:pPr>
            <w:r>
              <w:rPr>
                <w:rFonts w:hint="eastAsia" w:hAnsi="宋体"/>
                <w:color w:val="auto"/>
                <w:szCs w:val="21"/>
                <w:highlight w:val="none"/>
              </w:rPr>
              <w:t>（三）</w:t>
            </w:r>
          </w:p>
        </w:tc>
        <w:tc>
          <w:tcPr>
            <w:tcW w:w="6300" w:type="dxa"/>
            <w:noWrap w:val="0"/>
            <w:vAlign w:val="top"/>
          </w:tcPr>
          <w:p>
            <w:pPr>
              <w:widowControl/>
              <w:tabs>
                <w:tab w:val="center" w:pos="4755"/>
                <w:tab w:val="right" w:pos="9070"/>
              </w:tabs>
              <w:spacing w:before="100" w:beforeAutospacing="1" w:after="100" w:afterAutospacing="1" w:line="360" w:lineRule="auto"/>
              <w:jc w:val="left"/>
              <w:rPr>
                <w:rFonts w:hAnsi="宋体"/>
                <w:color w:val="auto"/>
                <w:szCs w:val="21"/>
                <w:highlight w:val="none"/>
              </w:rPr>
            </w:pPr>
            <w:r>
              <w:rPr>
                <w:rFonts w:hint="eastAsia" w:hAnsi="宋体"/>
                <w:color w:val="auto"/>
                <w:szCs w:val="21"/>
                <w:highlight w:val="none"/>
              </w:rPr>
              <w:t xml:space="preserve">整体措施项目规费 </w:t>
            </w:r>
          </w:p>
        </w:tc>
        <w:tc>
          <w:tcPr>
            <w:tcW w:w="1978" w:type="dxa"/>
            <w:noWrap w:val="0"/>
            <w:vAlign w:val="top"/>
          </w:tcPr>
          <w:p>
            <w:pPr>
              <w:widowControl/>
              <w:tabs>
                <w:tab w:val="center" w:pos="4755"/>
                <w:tab w:val="right" w:pos="9070"/>
              </w:tabs>
              <w:spacing w:before="100" w:beforeAutospacing="1" w:after="100" w:afterAutospacing="1" w:line="360" w:lineRule="auto"/>
              <w:jc w:val="left"/>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008" w:type="dxa"/>
            <w:noWrap w:val="0"/>
            <w:vAlign w:val="center"/>
          </w:tcPr>
          <w:p>
            <w:pPr>
              <w:widowControl/>
              <w:tabs>
                <w:tab w:val="center" w:pos="4755"/>
                <w:tab w:val="right" w:pos="9070"/>
              </w:tabs>
              <w:spacing w:before="100" w:beforeAutospacing="1" w:after="100" w:afterAutospacing="1" w:line="360" w:lineRule="auto"/>
              <w:jc w:val="center"/>
              <w:rPr>
                <w:rFonts w:hAnsi="宋体"/>
                <w:color w:val="auto"/>
                <w:szCs w:val="21"/>
                <w:highlight w:val="none"/>
              </w:rPr>
            </w:pPr>
            <w:r>
              <w:rPr>
                <w:rFonts w:hint="eastAsia" w:hAnsi="宋体"/>
                <w:color w:val="auto"/>
                <w:szCs w:val="21"/>
                <w:highlight w:val="none"/>
              </w:rPr>
              <w:t>（四）</w:t>
            </w:r>
          </w:p>
        </w:tc>
        <w:tc>
          <w:tcPr>
            <w:tcW w:w="6300" w:type="dxa"/>
            <w:noWrap w:val="0"/>
            <w:vAlign w:val="top"/>
          </w:tcPr>
          <w:p>
            <w:pPr>
              <w:widowControl/>
              <w:tabs>
                <w:tab w:val="center" w:pos="4755"/>
                <w:tab w:val="right" w:pos="9070"/>
              </w:tabs>
              <w:spacing w:before="100" w:beforeAutospacing="1" w:after="100" w:afterAutospacing="1" w:line="360" w:lineRule="auto"/>
              <w:jc w:val="left"/>
              <w:rPr>
                <w:rFonts w:hAnsi="宋体"/>
                <w:color w:val="auto"/>
                <w:szCs w:val="21"/>
                <w:highlight w:val="none"/>
              </w:rPr>
            </w:pPr>
            <w:r>
              <w:rPr>
                <w:rFonts w:hint="eastAsia" w:hAnsi="宋体"/>
                <w:color w:val="auto"/>
                <w:szCs w:val="21"/>
                <w:highlight w:val="none"/>
              </w:rPr>
              <w:t>税金 {[（一）+（二）+（三）]*费率}</w:t>
            </w:r>
          </w:p>
        </w:tc>
        <w:tc>
          <w:tcPr>
            <w:tcW w:w="1978" w:type="dxa"/>
            <w:noWrap w:val="0"/>
            <w:vAlign w:val="top"/>
          </w:tcPr>
          <w:p>
            <w:pPr>
              <w:widowControl/>
              <w:tabs>
                <w:tab w:val="center" w:pos="4755"/>
                <w:tab w:val="right" w:pos="9070"/>
              </w:tabs>
              <w:spacing w:before="100" w:beforeAutospacing="1" w:after="100" w:afterAutospacing="1" w:line="360" w:lineRule="auto"/>
              <w:jc w:val="left"/>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noWrap w:val="0"/>
            <w:vAlign w:val="top"/>
          </w:tcPr>
          <w:p>
            <w:pPr>
              <w:widowControl/>
              <w:tabs>
                <w:tab w:val="center" w:pos="4755"/>
                <w:tab w:val="right" w:pos="9070"/>
              </w:tabs>
              <w:spacing w:before="100" w:beforeAutospacing="1" w:after="100" w:afterAutospacing="1" w:line="360" w:lineRule="auto"/>
              <w:jc w:val="left"/>
              <w:rPr>
                <w:rFonts w:hAnsi="宋体"/>
                <w:color w:val="auto"/>
                <w:szCs w:val="21"/>
                <w:highlight w:val="none"/>
              </w:rPr>
            </w:pPr>
          </w:p>
        </w:tc>
        <w:tc>
          <w:tcPr>
            <w:tcW w:w="6300" w:type="dxa"/>
            <w:noWrap w:val="0"/>
            <w:vAlign w:val="top"/>
          </w:tcPr>
          <w:p>
            <w:pPr>
              <w:widowControl/>
              <w:tabs>
                <w:tab w:val="center" w:pos="4755"/>
                <w:tab w:val="right" w:pos="9070"/>
              </w:tabs>
              <w:spacing w:before="100" w:beforeAutospacing="1" w:after="100" w:afterAutospacing="1" w:line="360" w:lineRule="auto"/>
              <w:jc w:val="left"/>
              <w:rPr>
                <w:rFonts w:hAnsi="宋体"/>
                <w:color w:val="auto"/>
                <w:szCs w:val="21"/>
                <w:highlight w:val="none"/>
              </w:rPr>
            </w:pPr>
            <w:r>
              <w:rPr>
                <w:rFonts w:hint="eastAsia" w:hAnsi="宋体"/>
                <w:color w:val="auto"/>
                <w:szCs w:val="21"/>
                <w:highlight w:val="none"/>
              </w:rPr>
              <w:t>总报价 [一 + 二 ]</w:t>
            </w:r>
          </w:p>
        </w:tc>
        <w:tc>
          <w:tcPr>
            <w:tcW w:w="1978" w:type="dxa"/>
            <w:noWrap w:val="0"/>
            <w:vAlign w:val="top"/>
          </w:tcPr>
          <w:p>
            <w:pPr>
              <w:widowControl/>
              <w:tabs>
                <w:tab w:val="center" w:pos="4755"/>
                <w:tab w:val="right" w:pos="9070"/>
              </w:tabs>
              <w:spacing w:before="100" w:beforeAutospacing="1" w:after="100" w:afterAutospacing="1" w:line="360" w:lineRule="auto"/>
              <w:jc w:val="left"/>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6" w:type="dxa"/>
            <w:gridSpan w:val="3"/>
            <w:noWrap w:val="0"/>
            <w:vAlign w:val="top"/>
          </w:tcPr>
          <w:p>
            <w:pPr>
              <w:widowControl/>
              <w:tabs>
                <w:tab w:val="center" w:pos="4755"/>
                <w:tab w:val="right" w:pos="9070"/>
              </w:tabs>
              <w:spacing w:before="100" w:beforeAutospacing="1" w:after="100" w:afterAutospacing="1" w:line="360" w:lineRule="auto"/>
              <w:jc w:val="left"/>
              <w:rPr>
                <w:rFonts w:hAnsi="宋体"/>
                <w:color w:val="auto"/>
                <w:szCs w:val="21"/>
                <w:highlight w:val="none"/>
              </w:rPr>
            </w:pPr>
            <w:r>
              <w:rPr>
                <w:rFonts w:hint="eastAsia" w:hAnsi="宋体"/>
                <w:color w:val="auto"/>
                <w:szCs w:val="21"/>
                <w:highlight w:val="none"/>
              </w:rPr>
              <w:t xml:space="preserve">总报价（大写）：                           </w:t>
            </w:r>
          </w:p>
        </w:tc>
      </w:tr>
    </w:tbl>
    <w:p>
      <w:pPr>
        <w:widowControl/>
        <w:tabs>
          <w:tab w:val="center" w:pos="4755"/>
          <w:tab w:val="right" w:pos="9070"/>
        </w:tabs>
        <w:jc w:val="left"/>
        <w:rPr>
          <w:rFonts w:hAnsi="宋体"/>
          <w:color w:val="auto"/>
          <w:szCs w:val="21"/>
          <w:highlight w:val="none"/>
        </w:rPr>
      </w:pPr>
      <w:r>
        <w:rPr>
          <w:rFonts w:hint="eastAsia" w:hAnsi="宋体"/>
          <w:color w:val="auto"/>
          <w:szCs w:val="21"/>
          <w:highlight w:val="none"/>
        </w:rPr>
        <w:t>注：1.本表适用于：（1）有2个及以上单位工程的群体项目的总报价汇总；（2）单位工程发包且有2个及以上专业工程分部分项工程量清单的招标项目总报价汇总。本表应在表1-1-2基础上汇总。</w:t>
      </w:r>
    </w:p>
    <w:p>
      <w:pPr>
        <w:widowControl/>
        <w:tabs>
          <w:tab w:val="center" w:pos="4755"/>
          <w:tab w:val="right" w:pos="9070"/>
        </w:tabs>
        <w:ind w:firstLine="420" w:firstLineChars="200"/>
        <w:jc w:val="left"/>
        <w:rPr>
          <w:rFonts w:hAnsi="宋体"/>
          <w:color w:val="auto"/>
          <w:szCs w:val="21"/>
          <w:highlight w:val="none"/>
        </w:rPr>
      </w:pPr>
      <w:r>
        <w:rPr>
          <w:rFonts w:hint="eastAsia" w:hAnsi="宋体"/>
          <w:color w:val="auto"/>
          <w:szCs w:val="21"/>
          <w:highlight w:val="none"/>
        </w:rPr>
        <w:t>2．本表中的整体项目措施清单报价指根据招标人要求和项目特点应从招标项目整体上考虑的措施项目报价。</w:t>
      </w:r>
    </w:p>
    <w:p>
      <w:pPr>
        <w:widowControl/>
        <w:tabs>
          <w:tab w:val="center" w:pos="4755"/>
          <w:tab w:val="right" w:pos="9070"/>
        </w:tabs>
        <w:ind w:firstLine="420" w:firstLineChars="200"/>
        <w:jc w:val="left"/>
        <w:rPr>
          <w:rFonts w:hAnsi="宋体"/>
          <w:color w:val="auto"/>
          <w:szCs w:val="21"/>
          <w:highlight w:val="none"/>
        </w:rPr>
      </w:pPr>
      <w:r>
        <w:rPr>
          <w:rFonts w:hint="eastAsia" w:hAnsi="宋体"/>
          <w:color w:val="auto"/>
          <w:szCs w:val="21"/>
          <w:highlight w:val="none"/>
        </w:rPr>
        <w:t>3．本表中的整体其他项目清单报价指根据招标人要求需按招标项目整体考虑的其他项目清单报价。</w:t>
      </w:r>
    </w:p>
    <w:p>
      <w:pPr>
        <w:widowControl/>
        <w:tabs>
          <w:tab w:val="center" w:pos="4755"/>
          <w:tab w:val="right" w:pos="9070"/>
        </w:tabs>
        <w:ind w:firstLine="420" w:firstLineChars="200"/>
        <w:jc w:val="left"/>
        <w:rPr>
          <w:rFonts w:hAnsi="宋体"/>
          <w:color w:val="auto"/>
          <w:szCs w:val="21"/>
          <w:highlight w:val="none"/>
        </w:rPr>
      </w:pPr>
      <w:r>
        <w:rPr>
          <w:rFonts w:hint="eastAsia" w:hAnsi="宋体"/>
          <w:color w:val="auto"/>
          <w:szCs w:val="21"/>
          <w:highlight w:val="none"/>
        </w:rPr>
        <w:t>4．本表中的规费指整体措施清单项目应计取的规费。</w:t>
      </w:r>
    </w:p>
    <w:p>
      <w:pPr>
        <w:widowControl/>
        <w:tabs>
          <w:tab w:val="center" w:pos="4755"/>
          <w:tab w:val="right" w:pos="9070"/>
        </w:tabs>
        <w:ind w:firstLine="420" w:firstLineChars="200"/>
        <w:jc w:val="left"/>
        <w:rPr>
          <w:rFonts w:hAnsi="宋体"/>
          <w:color w:val="auto"/>
          <w:szCs w:val="21"/>
          <w:highlight w:val="none"/>
        </w:rPr>
      </w:pPr>
      <w:r>
        <w:rPr>
          <w:rFonts w:hint="eastAsia" w:hAnsi="宋体"/>
          <w:color w:val="auto"/>
          <w:szCs w:val="21"/>
          <w:highlight w:val="none"/>
        </w:rPr>
        <w:t>5．本表中的税金指未纳入单位工程费的整体措施项目清单、其他项目清单以及相应规费等费用应计取的税金。</w:t>
      </w:r>
    </w:p>
    <w:p>
      <w:pPr>
        <w:widowControl/>
        <w:tabs>
          <w:tab w:val="center" w:pos="4755"/>
          <w:tab w:val="right" w:pos="9070"/>
        </w:tabs>
        <w:ind w:firstLine="420" w:firstLineChars="200"/>
        <w:jc w:val="left"/>
        <w:rPr>
          <w:rFonts w:hAnsi="宋体"/>
          <w:color w:val="auto"/>
          <w:szCs w:val="21"/>
          <w:highlight w:val="none"/>
        </w:rPr>
      </w:pPr>
    </w:p>
    <w:p>
      <w:pPr>
        <w:widowControl/>
        <w:tabs>
          <w:tab w:val="center" w:pos="4755"/>
          <w:tab w:val="right" w:pos="9070"/>
        </w:tabs>
        <w:ind w:firstLine="420" w:firstLineChars="200"/>
        <w:jc w:val="left"/>
        <w:rPr>
          <w:rFonts w:hAnsi="宋体"/>
          <w:color w:val="auto"/>
          <w:szCs w:val="21"/>
          <w:highlight w:val="none"/>
        </w:rPr>
      </w:pPr>
    </w:p>
    <w:p>
      <w:pPr>
        <w:widowControl/>
        <w:tabs>
          <w:tab w:val="center" w:pos="4755"/>
          <w:tab w:val="right" w:pos="9070"/>
        </w:tabs>
        <w:spacing w:before="100" w:beforeAutospacing="1" w:after="100" w:afterAutospacing="1" w:line="360" w:lineRule="exact"/>
        <w:ind w:firstLine="240" w:firstLineChars="100"/>
        <w:jc w:val="center"/>
        <w:rPr>
          <w:rFonts w:hAnsi="宋体"/>
          <w:color w:val="auto"/>
          <w:szCs w:val="21"/>
          <w:highlight w:val="none"/>
        </w:rPr>
      </w:pPr>
      <w:r>
        <w:rPr>
          <w:rFonts w:hint="eastAsia" w:hAnsi="宋体"/>
          <w:color w:val="auto"/>
          <w:kern w:val="0"/>
          <w:sz w:val="24"/>
          <w:highlight w:val="none"/>
          <w:lang w:val="en-US" w:eastAsia="zh-CN"/>
        </w:rPr>
        <w:t>响应</w:t>
      </w:r>
      <w:r>
        <w:rPr>
          <w:rFonts w:hint="eastAsia" w:hAnsi="宋体"/>
          <w:color w:val="auto"/>
          <w:kern w:val="0"/>
          <w:sz w:val="24"/>
          <w:highlight w:val="none"/>
        </w:rPr>
        <w:t>人：（ 盖章）</w:t>
      </w:r>
      <w:r>
        <w:rPr>
          <w:rFonts w:hint="eastAsia" w:hAnsi="宋体"/>
          <w:color w:val="auto"/>
          <w:szCs w:val="21"/>
          <w:highlight w:val="none"/>
        </w:rPr>
        <w:t xml:space="preserve">              </w:t>
      </w:r>
    </w:p>
    <w:p>
      <w:pPr>
        <w:widowControl/>
        <w:tabs>
          <w:tab w:val="center" w:pos="4755"/>
          <w:tab w:val="right" w:pos="9070"/>
        </w:tabs>
        <w:spacing w:before="100" w:beforeAutospacing="1" w:after="100" w:afterAutospacing="1" w:line="360" w:lineRule="exact"/>
        <w:ind w:firstLine="210" w:firstLineChars="100"/>
        <w:jc w:val="center"/>
        <w:rPr>
          <w:rFonts w:hint="eastAsia" w:hAnsi="宋体"/>
          <w:color w:val="auto"/>
          <w:szCs w:val="21"/>
          <w:highlight w:val="none"/>
        </w:rPr>
      </w:pPr>
    </w:p>
    <w:p>
      <w:pPr>
        <w:widowControl/>
        <w:tabs>
          <w:tab w:val="center" w:pos="4755"/>
          <w:tab w:val="right" w:pos="9070"/>
        </w:tabs>
        <w:spacing w:before="100" w:beforeAutospacing="1" w:after="100" w:afterAutospacing="1" w:line="360" w:lineRule="exact"/>
        <w:ind w:firstLine="210" w:firstLineChars="100"/>
        <w:jc w:val="center"/>
        <w:rPr>
          <w:rFonts w:hAnsi="宋体"/>
          <w:color w:val="auto"/>
          <w:szCs w:val="21"/>
          <w:highlight w:val="none"/>
        </w:rPr>
      </w:pPr>
      <w:r>
        <w:rPr>
          <w:rFonts w:hAnsi="宋体"/>
          <w:color w:val="auto"/>
          <w:szCs w:val="21"/>
          <w:highlight w:val="none"/>
        </w:rPr>
        <w:br w:type="page"/>
      </w:r>
    </w:p>
    <w:p>
      <w:pPr>
        <w:widowControl/>
        <w:tabs>
          <w:tab w:val="center" w:pos="4755"/>
          <w:tab w:val="right" w:pos="9070"/>
        </w:tabs>
        <w:spacing w:before="100" w:beforeAutospacing="1" w:after="100" w:afterAutospacing="1"/>
        <w:ind w:firstLine="281" w:firstLineChars="100"/>
        <w:jc w:val="center"/>
        <w:rPr>
          <w:rFonts w:hAnsi="宋体"/>
          <w:b/>
          <w:color w:val="auto"/>
          <w:sz w:val="28"/>
          <w:szCs w:val="28"/>
          <w:highlight w:val="none"/>
        </w:rPr>
      </w:pPr>
      <w:r>
        <w:rPr>
          <w:rFonts w:hint="eastAsia" w:hAnsi="宋体"/>
          <w:b/>
          <w:color w:val="auto"/>
          <w:sz w:val="28"/>
          <w:szCs w:val="28"/>
          <w:highlight w:val="none"/>
        </w:rPr>
        <w:t>表1-1-2 单位工程报价汇总表</w:t>
      </w:r>
    </w:p>
    <w:p>
      <w:pPr>
        <w:widowControl/>
        <w:tabs>
          <w:tab w:val="center" w:pos="4755"/>
          <w:tab w:val="right" w:pos="9070"/>
        </w:tabs>
        <w:spacing w:line="360" w:lineRule="auto"/>
        <w:jc w:val="left"/>
        <w:rPr>
          <w:rFonts w:hAnsi="宋体"/>
          <w:color w:val="auto"/>
          <w:szCs w:val="21"/>
          <w:highlight w:val="none"/>
        </w:rPr>
      </w:pPr>
      <w:r>
        <w:rPr>
          <w:rFonts w:hint="eastAsia" w:hAnsi="宋体"/>
          <w:color w:val="auto"/>
          <w:szCs w:val="21"/>
          <w:highlight w:val="none"/>
        </w:rPr>
        <w:t xml:space="preserve">工程名称：                    </w:t>
      </w:r>
    </w:p>
    <w:p>
      <w:pPr>
        <w:widowControl/>
        <w:tabs>
          <w:tab w:val="center" w:pos="4755"/>
          <w:tab w:val="right" w:pos="9070"/>
        </w:tabs>
        <w:spacing w:line="360" w:lineRule="auto"/>
        <w:jc w:val="left"/>
        <w:rPr>
          <w:rFonts w:hAnsi="宋体"/>
          <w:color w:val="auto"/>
          <w:szCs w:val="21"/>
          <w:highlight w:val="none"/>
        </w:rPr>
      </w:pPr>
      <w:r>
        <w:rPr>
          <w:rFonts w:hint="eastAsia" w:hAnsi="宋体"/>
          <w:color w:val="auto"/>
          <w:szCs w:val="21"/>
          <w:highlight w:val="none"/>
        </w:rPr>
        <w:t>单位工程名称：</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3600"/>
        <w:gridCol w:w="1236"/>
        <w:gridCol w:w="1902"/>
        <w:gridCol w:w="46"/>
        <w:gridCol w:w="1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trPr>
        <w:tc>
          <w:tcPr>
            <w:tcW w:w="1008" w:type="dxa"/>
            <w:vMerge w:val="restart"/>
            <w:noWrap w:val="0"/>
            <w:vAlign w:val="center"/>
          </w:tcPr>
          <w:p>
            <w:pPr>
              <w:widowControl/>
              <w:tabs>
                <w:tab w:val="center" w:pos="4755"/>
                <w:tab w:val="right" w:pos="9070"/>
              </w:tabs>
              <w:spacing w:before="100" w:beforeAutospacing="1" w:after="100" w:afterAutospacing="1" w:line="360" w:lineRule="auto"/>
              <w:jc w:val="center"/>
              <w:rPr>
                <w:rFonts w:hAnsi="宋体"/>
                <w:color w:val="auto"/>
                <w:szCs w:val="21"/>
                <w:highlight w:val="none"/>
              </w:rPr>
            </w:pPr>
            <w:r>
              <w:rPr>
                <w:rFonts w:hint="eastAsia" w:hAnsi="宋体"/>
                <w:color w:val="auto"/>
                <w:szCs w:val="21"/>
                <w:highlight w:val="none"/>
              </w:rPr>
              <w:t>序号</w:t>
            </w:r>
          </w:p>
        </w:tc>
        <w:tc>
          <w:tcPr>
            <w:tcW w:w="3600" w:type="dxa"/>
            <w:vMerge w:val="restart"/>
            <w:noWrap w:val="0"/>
            <w:vAlign w:val="center"/>
          </w:tcPr>
          <w:p>
            <w:pPr>
              <w:widowControl/>
              <w:tabs>
                <w:tab w:val="center" w:pos="4755"/>
                <w:tab w:val="right" w:pos="9070"/>
              </w:tabs>
              <w:spacing w:before="100" w:beforeAutospacing="1" w:after="100" w:afterAutospacing="1" w:line="360" w:lineRule="auto"/>
              <w:jc w:val="center"/>
              <w:rPr>
                <w:rFonts w:hAnsi="宋体"/>
                <w:color w:val="auto"/>
                <w:szCs w:val="21"/>
                <w:highlight w:val="none"/>
              </w:rPr>
            </w:pPr>
            <w:r>
              <w:rPr>
                <w:rFonts w:hint="eastAsia" w:hAnsi="宋体"/>
                <w:color w:val="auto"/>
                <w:szCs w:val="21"/>
                <w:highlight w:val="none"/>
              </w:rPr>
              <w:t>内     容</w:t>
            </w:r>
          </w:p>
        </w:tc>
        <w:tc>
          <w:tcPr>
            <w:tcW w:w="1236" w:type="dxa"/>
            <w:vMerge w:val="restart"/>
            <w:noWrap w:val="0"/>
            <w:vAlign w:val="center"/>
          </w:tcPr>
          <w:p>
            <w:pPr>
              <w:widowControl/>
              <w:tabs>
                <w:tab w:val="center" w:pos="4755"/>
                <w:tab w:val="right" w:pos="9070"/>
              </w:tabs>
              <w:jc w:val="center"/>
              <w:rPr>
                <w:rFonts w:hAnsi="宋体"/>
                <w:color w:val="auto"/>
                <w:szCs w:val="21"/>
                <w:highlight w:val="none"/>
              </w:rPr>
            </w:pPr>
            <w:r>
              <w:rPr>
                <w:rFonts w:hint="eastAsia" w:hAnsi="宋体"/>
                <w:color w:val="auto"/>
                <w:szCs w:val="21"/>
                <w:highlight w:val="none"/>
              </w:rPr>
              <w:t>报价合计</w:t>
            </w:r>
          </w:p>
          <w:p>
            <w:pPr>
              <w:widowControl/>
              <w:tabs>
                <w:tab w:val="center" w:pos="4755"/>
                <w:tab w:val="right" w:pos="9070"/>
              </w:tabs>
              <w:jc w:val="center"/>
              <w:rPr>
                <w:rFonts w:hAnsi="宋体"/>
                <w:color w:val="auto"/>
                <w:szCs w:val="21"/>
                <w:highlight w:val="none"/>
              </w:rPr>
            </w:pPr>
            <w:r>
              <w:rPr>
                <w:rFonts w:hint="eastAsia" w:hAnsi="宋体"/>
                <w:color w:val="auto"/>
                <w:szCs w:val="21"/>
                <w:highlight w:val="none"/>
              </w:rPr>
              <w:t>（元）</w:t>
            </w:r>
          </w:p>
        </w:tc>
        <w:tc>
          <w:tcPr>
            <w:tcW w:w="1948" w:type="dxa"/>
            <w:gridSpan w:val="2"/>
            <w:noWrap w:val="0"/>
            <w:vAlign w:val="center"/>
          </w:tcPr>
          <w:p>
            <w:pPr>
              <w:tabs>
                <w:tab w:val="center" w:pos="4755"/>
                <w:tab w:val="right" w:pos="9070"/>
              </w:tabs>
              <w:spacing w:line="360" w:lineRule="auto"/>
              <w:jc w:val="center"/>
              <w:rPr>
                <w:rFonts w:hAnsi="宋体"/>
                <w:color w:val="auto"/>
                <w:szCs w:val="21"/>
                <w:highlight w:val="none"/>
              </w:rPr>
            </w:pPr>
            <w:r>
              <w:rPr>
                <w:rFonts w:hint="eastAsia" w:hAnsi="宋体"/>
                <w:color w:val="auto"/>
                <w:szCs w:val="21"/>
                <w:highlight w:val="none"/>
              </w:rPr>
              <w:t>（清单号）</w:t>
            </w:r>
          </w:p>
        </w:tc>
        <w:tc>
          <w:tcPr>
            <w:tcW w:w="1856" w:type="dxa"/>
            <w:noWrap w:val="0"/>
            <w:vAlign w:val="center"/>
          </w:tcPr>
          <w:p>
            <w:pPr>
              <w:widowControl/>
              <w:tabs>
                <w:tab w:val="center" w:pos="4755"/>
                <w:tab w:val="right" w:pos="9070"/>
              </w:tabs>
              <w:spacing w:line="360" w:lineRule="auto"/>
              <w:jc w:val="center"/>
              <w:rPr>
                <w:rFonts w:hAnsi="宋体"/>
                <w:color w:val="auto"/>
                <w:szCs w:val="21"/>
                <w:highlight w:val="none"/>
              </w:rPr>
            </w:pPr>
            <w:r>
              <w:rPr>
                <w:rFonts w:hint="eastAsia" w:hAnsi="宋体"/>
                <w:color w:val="auto"/>
                <w:szCs w:val="21"/>
                <w:highlight w:val="none"/>
              </w:rPr>
              <w:t>（清单号）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trPr>
        <w:tc>
          <w:tcPr>
            <w:tcW w:w="1008" w:type="dxa"/>
            <w:vMerge w:val="continue"/>
            <w:noWrap w:val="0"/>
            <w:vAlign w:val="center"/>
          </w:tcPr>
          <w:p>
            <w:pPr>
              <w:widowControl/>
              <w:tabs>
                <w:tab w:val="center" w:pos="4755"/>
                <w:tab w:val="right" w:pos="9070"/>
              </w:tabs>
              <w:spacing w:before="100" w:beforeAutospacing="1" w:after="100" w:afterAutospacing="1" w:line="360" w:lineRule="auto"/>
              <w:jc w:val="center"/>
              <w:rPr>
                <w:rFonts w:hAnsi="宋体"/>
                <w:color w:val="auto"/>
                <w:szCs w:val="21"/>
                <w:highlight w:val="none"/>
              </w:rPr>
            </w:pPr>
          </w:p>
        </w:tc>
        <w:tc>
          <w:tcPr>
            <w:tcW w:w="3600" w:type="dxa"/>
            <w:vMerge w:val="continue"/>
            <w:noWrap w:val="0"/>
            <w:vAlign w:val="center"/>
          </w:tcPr>
          <w:p>
            <w:pPr>
              <w:widowControl/>
              <w:tabs>
                <w:tab w:val="center" w:pos="4755"/>
                <w:tab w:val="right" w:pos="9070"/>
              </w:tabs>
              <w:spacing w:before="100" w:beforeAutospacing="1" w:after="100" w:afterAutospacing="1" w:line="360" w:lineRule="auto"/>
              <w:jc w:val="center"/>
              <w:rPr>
                <w:rFonts w:hAnsi="宋体"/>
                <w:color w:val="auto"/>
                <w:szCs w:val="21"/>
                <w:highlight w:val="none"/>
              </w:rPr>
            </w:pPr>
          </w:p>
        </w:tc>
        <w:tc>
          <w:tcPr>
            <w:tcW w:w="1236" w:type="dxa"/>
            <w:vMerge w:val="continue"/>
            <w:noWrap w:val="0"/>
            <w:vAlign w:val="center"/>
          </w:tcPr>
          <w:p>
            <w:pPr>
              <w:widowControl/>
              <w:tabs>
                <w:tab w:val="center" w:pos="4755"/>
                <w:tab w:val="right" w:pos="9070"/>
              </w:tabs>
              <w:spacing w:line="360" w:lineRule="auto"/>
              <w:jc w:val="center"/>
              <w:rPr>
                <w:rFonts w:hAnsi="宋体"/>
                <w:color w:val="auto"/>
                <w:szCs w:val="21"/>
                <w:highlight w:val="none"/>
              </w:rPr>
            </w:pPr>
          </w:p>
        </w:tc>
        <w:tc>
          <w:tcPr>
            <w:tcW w:w="1948" w:type="dxa"/>
            <w:gridSpan w:val="2"/>
            <w:noWrap w:val="0"/>
            <w:vAlign w:val="center"/>
          </w:tcPr>
          <w:p>
            <w:pPr>
              <w:widowControl/>
              <w:tabs>
                <w:tab w:val="center" w:pos="4755"/>
                <w:tab w:val="right" w:pos="9070"/>
              </w:tabs>
              <w:spacing w:line="360" w:lineRule="auto"/>
              <w:jc w:val="center"/>
              <w:rPr>
                <w:rFonts w:hAnsi="宋体"/>
                <w:color w:val="auto"/>
                <w:szCs w:val="21"/>
                <w:highlight w:val="none"/>
              </w:rPr>
            </w:pPr>
            <w:r>
              <w:rPr>
                <w:rFonts w:hint="eastAsia" w:hAnsi="宋体"/>
                <w:color w:val="auto"/>
                <w:szCs w:val="21"/>
                <w:highlight w:val="none"/>
              </w:rPr>
              <w:t>(专业工程1)</w:t>
            </w:r>
          </w:p>
        </w:tc>
        <w:tc>
          <w:tcPr>
            <w:tcW w:w="1856" w:type="dxa"/>
            <w:noWrap w:val="0"/>
            <w:vAlign w:val="center"/>
          </w:tcPr>
          <w:p>
            <w:pPr>
              <w:widowControl/>
              <w:tabs>
                <w:tab w:val="center" w:pos="4755"/>
                <w:tab w:val="right" w:pos="9070"/>
              </w:tabs>
              <w:spacing w:line="360" w:lineRule="auto"/>
              <w:jc w:val="center"/>
              <w:rPr>
                <w:rFonts w:hAnsi="宋体"/>
                <w:color w:val="auto"/>
                <w:szCs w:val="21"/>
                <w:highlight w:val="none"/>
              </w:rPr>
            </w:pPr>
            <w:r>
              <w:rPr>
                <w:rFonts w:hint="eastAsia" w:hAnsi="宋体"/>
                <w:color w:val="auto"/>
                <w:szCs w:val="21"/>
                <w:highlight w:val="none"/>
              </w:rPr>
              <w:t>(专业工程2)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008" w:type="dxa"/>
            <w:noWrap w:val="0"/>
            <w:vAlign w:val="center"/>
          </w:tcPr>
          <w:p>
            <w:pPr>
              <w:widowControl/>
              <w:tabs>
                <w:tab w:val="center" w:pos="4755"/>
                <w:tab w:val="right" w:pos="9070"/>
              </w:tabs>
              <w:spacing w:before="100" w:beforeAutospacing="1" w:after="100" w:afterAutospacing="1" w:line="360" w:lineRule="auto"/>
              <w:jc w:val="center"/>
              <w:rPr>
                <w:rFonts w:hAnsi="宋体"/>
                <w:color w:val="auto"/>
                <w:szCs w:val="21"/>
                <w:highlight w:val="none"/>
              </w:rPr>
            </w:pPr>
            <w:r>
              <w:rPr>
                <w:rFonts w:hint="eastAsia" w:hAnsi="宋体"/>
                <w:color w:val="auto"/>
                <w:szCs w:val="21"/>
                <w:highlight w:val="none"/>
              </w:rPr>
              <w:t>一</w:t>
            </w:r>
          </w:p>
        </w:tc>
        <w:tc>
          <w:tcPr>
            <w:tcW w:w="3600" w:type="dxa"/>
            <w:noWrap w:val="0"/>
            <w:vAlign w:val="center"/>
          </w:tcPr>
          <w:p>
            <w:pPr>
              <w:widowControl/>
              <w:tabs>
                <w:tab w:val="center" w:pos="4755"/>
                <w:tab w:val="right" w:pos="9070"/>
              </w:tabs>
              <w:spacing w:before="100" w:beforeAutospacing="1" w:after="100" w:afterAutospacing="1" w:line="360" w:lineRule="auto"/>
              <w:rPr>
                <w:rFonts w:hAnsi="宋体"/>
                <w:color w:val="auto"/>
                <w:szCs w:val="21"/>
                <w:highlight w:val="none"/>
              </w:rPr>
            </w:pPr>
            <w:r>
              <w:rPr>
                <w:rFonts w:hint="eastAsia" w:hAnsi="宋体"/>
                <w:color w:val="auto"/>
                <w:szCs w:val="21"/>
                <w:highlight w:val="none"/>
              </w:rPr>
              <w:t>分部分项工程量清单</w:t>
            </w:r>
          </w:p>
        </w:tc>
        <w:tc>
          <w:tcPr>
            <w:tcW w:w="1236" w:type="dxa"/>
            <w:noWrap w:val="0"/>
            <w:vAlign w:val="center"/>
          </w:tcPr>
          <w:p>
            <w:pPr>
              <w:widowControl/>
              <w:tabs>
                <w:tab w:val="center" w:pos="4755"/>
                <w:tab w:val="right" w:pos="9070"/>
              </w:tabs>
              <w:spacing w:line="360" w:lineRule="auto"/>
              <w:jc w:val="center"/>
              <w:rPr>
                <w:rFonts w:hAnsi="宋体"/>
                <w:color w:val="auto"/>
                <w:szCs w:val="21"/>
                <w:highlight w:val="none"/>
              </w:rPr>
            </w:pPr>
          </w:p>
        </w:tc>
        <w:tc>
          <w:tcPr>
            <w:tcW w:w="1948" w:type="dxa"/>
            <w:gridSpan w:val="2"/>
            <w:noWrap w:val="0"/>
            <w:vAlign w:val="center"/>
          </w:tcPr>
          <w:p>
            <w:pPr>
              <w:widowControl/>
              <w:tabs>
                <w:tab w:val="center" w:pos="4755"/>
                <w:tab w:val="right" w:pos="9070"/>
              </w:tabs>
              <w:spacing w:line="360" w:lineRule="auto"/>
              <w:jc w:val="center"/>
              <w:rPr>
                <w:rFonts w:hAnsi="宋体"/>
                <w:color w:val="auto"/>
                <w:szCs w:val="21"/>
                <w:highlight w:val="none"/>
              </w:rPr>
            </w:pPr>
          </w:p>
        </w:tc>
        <w:tc>
          <w:tcPr>
            <w:tcW w:w="1856" w:type="dxa"/>
            <w:noWrap w:val="0"/>
            <w:vAlign w:val="center"/>
          </w:tcPr>
          <w:p>
            <w:pPr>
              <w:widowControl/>
              <w:tabs>
                <w:tab w:val="center" w:pos="4755"/>
                <w:tab w:val="right" w:pos="9070"/>
              </w:tabs>
              <w:spacing w:line="360" w:lineRule="auto"/>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widowControl/>
              <w:tabs>
                <w:tab w:val="center" w:pos="4755"/>
                <w:tab w:val="right" w:pos="9070"/>
              </w:tabs>
              <w:spacing w:line="360" w:lineRule="auto"/>
              <w:jc w:val="center"/>
              <w:rPr>
                <w:rFonts w:hAnsi="宋体"/>
                <w:color w:val="auto"/>
                <w:szCs w:val="21"/>
                <w:highlight w:val="none"/>
              </w:rPr>
            </w:pPr>
            <w:r>
              <w:rPr>
                <w:rFonts w:hint="eastAsia" w:hAnsi="宋体"/>
                <w:color w:val="auto"/>
                <w:szCs w:val="21"/>
                <w:highlight w:val="none"/>
              </w:rPr>
              <w:t>二</w:t>
            </w:r>
          </w:p>
        </w:tc>
        <w:tc>
          <w:tcPr>
            <w:tcW w:w="3600" w:type="dxa"/>
            <w:noWrap w:val="0"/>
            <w:vAlign w:val="center"/>
          </w:tcPr>
          <w:p>
            <w:pPr>
              <w:widowControl/>
              <w:tabs>
                <w:tab w:val="center" w:pos="4755"/>
                <w:tab w:val="right" w:pos="9070"/>
              </w:tabs>
              <w:spacing w:line="360" w:lineRule="auto"/>
              <w:rPr>
                <w:rFonts w:hAnsi="宋体"/>
                <w:color w:val="auto"/>
                <w:szCs w:val="21"/>
                <w:highlight w:val="none"/>
              </w:rPr>
            </w:pPr>
            <w:r>
              <w:rPr>
                <w:rFonts w:hint="eastAsia" w:hAnsi="宋体"/>
                <w:color w:val="auto"/>
                <w:szCs w:val="21"/>
                <w:highlight w:val="none"/>
              </w:rPr>
              <w:t>措施项目清单（1+2</w:t>
            </w:r>
            <w:r>
              <w:rPr>
                <w:rFonts w:hAnsi="宋体"/>
                <w:color w:val="auto"/>
                <w:szCs w:val="21"/>
                <w:highlight w:val="none"/>
              </w:rPr>
              <w:t>）</w:t>
            </w:r>
          </w:p>
        </w:tc>
        <w:tc>
          <w:tcPr>
            <w:tcW w:w="1236" w:type="dxa"/>
            <w:noWrap w:val="0"/>
            <w:vAlign w:val="center"/>
          </w:tcPr>
          <w:p>
            <w:pPr>
              <w:widowControl/>
              <w:tabs>
                <w:tab w:val="center" w:pos="4755"/>
                <w:tab w:val="right" w:pos="9070"/>
              </w:tabs>
              <w:spacing w:line="360" w:lineRule="auto"/>
              <w:jc w:val="center"/>
              <w:rPr>
                <w:rFonts w:hAnsi="宋体"/>
                <w:color w:val="auto"/>
                <w:szCs w:val="21"/>
                <w:highlight w:val="none"/>
              </w:rPr>
            </w:pPr>
          </w:p>
        </w:tc>
        <w:tc>
          <w:tcPr>
            <w:tcW w:w="1948" w:type="dxa"/>
            <w:gridSpan w:val="2"/>
            <w:noWrap w:val="0"/>
            <w:vAlign w:val="center"/>
          </w:tcPr>
          <w:p>
            <w:pPr>
              <w:widowControl/>
              <w:tabs>
                <w:tab w:val="center" w:pos="4755"/>
                <w:tab w:val="right" w:pos="9070"/>
              </w:tabs>
              <w:spacing w:line="360" w:lineRule="auto"/>
              <w:jc w:val="center"/>
              <w:rPr>
                <w:rFonts w:hAnsi="宋体"/>
                <w:color w:val="auto"/>
                <w:szCs w:val="21"/>
                <w:highlight w:val="none"/>
              </w:rPr>
            </w:pPr>
          </w:p>
        </w:tc>
        <w:tc>
          <w:tcPr>
            <w:tcW w:w="1856" w:type="dxa"/>
            <w:noWrap w:val="0"/>
            <w:vAlign w:val="center"/>
          </w:tcPr>
          <w:p>
            <w:pPr>
              <w:widowControl/>
              <w:tabs>
                <w:tab w:val="center" w:pos="4755"/>
                <w:tab w:val="right" w:pos="9070"/>
              </w:tabs>
              <w:spacing w:line="360" w:lineRule="auto"/>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widowControl/>
              <w:tabs>
                <w:tab w:val="center" w:pos="4755"/>
                <w:tab w:val="right" w:pos="9070"/>
              </w:tabs>
              <w:spacing w:line="360" w:lineRule="auto"/>
              <w:jc w:val="center"/>
              <w:rPr>
                <w:rFonts w:hAnsi="宋体"/>
                <w:color w:val="auto"/>
                <w:szCs w:val="21"/>
                <w:highlight w:val="none"/>
              </w:rPr>
            </w:pPr>
            <w:r>
              <w:rPr>
                <w:rFonts w:hint="eastAsia" w:hAnsi="宋体"/>
                <w:color w:val="auto"/>
                <w:szCs w:val="21"/>
                <w:highlight w:val="none"/>
              </w:rPr>
              <w:t>1</w:t>
            </w:r>
          </w:p>
        </w:tc>
        <w:tc>
          <w:tcPr>
            <w:tcW w:w="3600" w:type="dxa"/>
            <w:noWrap w:val="0"/>
            <w:vAlign w:val="center"/>
          </w:tcPr>
          <w:p>
            <w:pPr>
              <w:widowControl/>
              <w:tabs>
                <w:tab w:val="center" w:pos="4755"/>
                <w:tab w:val="right" w:pos="9070"/>
              </w:tabs>
              <w:spacing w:line="360" w:lineRule="auto"/>
              <w:rPr>
                <w:rFonts w:hAnsi="宋体"/>
                <w:color w:val="auto"/>
                <w:szCs w:val="21"/>
                <w:highlight w:val="none"/>
              </w:rPr>
            </w:pPr>
            <w:r>
              <w:rPr>
                <w:rFonts w:hint="eastAsia" w:hAnsi="宋体"/>
                <w:color w:val="auto"/>
                <w:szCs w:val="21"/>
                <w:highlight w:val="none"/>
              </w:rPr>
              <w:t>组织措施项目清单</w:t>
            </w:r>
          </w:p>
        </w:tc>
        <w:tc>
          <w:tcPr>
            <w:tcW w:w="1236" w:type="dxa"/>
            <w:noWrap w:val="0"/>
            <w:vAlign w:val="center"/>
          </w:tcPr>
          <w:p>
            <w:pPr>
              <w:widowControl/>
              <w:tabs>
                <w:tab w:val="center" w:pos="4755"/>
                <w:tab w:val="right" w:pos="9070"/>
              </w:tabs>
              <w:spacing w:line="360" w:lineRule="auto"/>
              <w:jc w:val="center"/>
              <w:rPr>
                <w:rFonts w:hAnsi="宋体"/>
                <w:color w:val="auto"/>
                <w:szCs w:val="21"/>
                <w:highlight w:val="none"/>
              </w:rPr>
            </w:pPr>
          </w:p>
        </w:tc>
        <w:tc>
          <w:tcPr>
            <w:tcW w:w="1948" w:type="dxa"/>
            <w:gridSpan w:val="2"/>
            <w:noWrap w:val="0"/>
            <w:vAlign w:val="center"/>
          </w:tcPr>
          <w:p>
            <w:pPr>
              <w:widowControl/>
              <w:tabs>
                <w:tab w:val="center" w:pos="4755"/>
                <w:tab w:val="right" w:pos="9070"/>
              </w:tabs>
              <w:spacing w:line="360" w:lineRule="auto"/>
              <w:jc w:val="center"/>
              <w:rPr>
                <w:rFonts w:hAnsi="宋体"/>
                <w:color w:val="auto"/>
                <w:szCs w:val="21"/>
                <w:highlight w:val="none"/>
              </w:rPr>
            </w:pPr>
          </w:p>
        </w:tc>
        <w:tc>
          <w:tcPr>
            <w:tcW w:w="1856" w:type="dxa"/>
            <w:noWrap w:val="0"/>
            <w:vAlign w:val="center"/>
          </w:tcPr>
          <w:p>
            <w:pPr>
              <w:widowControl/>
              <w:tabs>
                <w:tab w:val="center" w:pos="4755"/>
                <w:tab w:val="right" w:pos="9070"/>
              </w:tabs>
              <w:spacing w:line="360" w:lineRule="auto"/>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008" w:type="dxa"/>
            <w:noWrap w:val="0"/>
            <w:vAlign w:val="top"/>
          </w:tcPr>
          <w:p>
            <w:pPr>
              <w:widowControl/>
              <w:tabs>
                <w:tab w:val="center" w:pos="4755"/>
                <w:tab w:val="right" w:pos="9070"/>
              </w:tabs>
              <w:spacing w:line="360" w:lineRule="auto"/>
              <w:jc w:val="center"/>
              <w:rPr>
                <w:rFonts w:hAnsi="宋体"/>
                <w:color w:val="auto"/>
                <w:szCs w:val="21"/>
                <w:highlight w:val="none"/>
              </w:rPr>
            </w:pPr>
            <w:r>
              <w:rPr>
                <w:rFonts w:hint="eastAsia" w:hAnsi="宋体"/>
                <w:color w:val="auto"/>
                <w:szCs w:val="21"/>
                <w:highlight w:val="none"/>
              </w:rPr>
              <w:t>2</w:t>
            </w:r>
          </w:p>
        </w:tc>
        <w:tc>
          <w:tcPr>
            <w:tcW w:w="3600" w:type="dxa"/>
            <w:noWrap w:val="0"/>
            <w:vAlign w:val="center"/>
          </w:tcPr>
          <w:p>
            <w:pPr>
              <w:widowControl/>
              <w:tabs>
                <w:tab w:val="center" w:pos="4755"/>
                <w:tab w:val="right" w:pos="9070"/>
              </w:tabs>
              <w:spacing w:line="360" w:lineRule="auto"/>
              <w:rPr>
                <w:rFonts w:hAnsi="宋体"/>
                <w:color w:val="auto"/>
                <w:szCs w:val="21"/>
                <w:highlight w:val="none"/>
              </w:rPr>
            </w:pPr>
            <w:r>
              <w:rPr>
                <w:rFonts w:hint="eastAsia" w:hAnsi="宋体"/>
                <w:color w:val="auto"/>
                <w:szCs w:val="21"/>
                <w:highlight w:val="none"/>
              </w:rPr>
              <w:t>技术措施项目清单</w:t>
            </w:r>
          </w:p>
        </w:tc>
        <w:tc>
          <w:tcPr>
            <w:tcW w:w="1236" w:type="dxa"/>
            <w:noWrap w:val="0"/>
            <w:vAlign w:val="center"/>
          </w:tcPr>
          <w:p>
            <w:pPr>
              <w:widowControl/>
              <w:tabs>
                <w:tab w:val="center" w:pos="4755"/>
                <w:tab w:val="right" w:pos="9070"/>
              </w:tabs>
              <w:spacing w:line="360" w:lineRule="auto"/>
              <w:jc w:val="center"/>
              <w:rPr>
                <w:rFonts w:hAnsi="宋体"/>
                <w:color w:val="auto"/>
                <w:szCs w:val="21"/>
                <w:highlight w:val="none"/>
              </w:rPr>
            </w:pPr>
          </w:p>
        </w:tc>
        <w:tc>
          <w:tcPr>
            <w:tcW w:w="1948" w:type="dxa"/>
            <w:gridSpan w:val="2"/>
            <w:noWrap w:val="0"/>
            <w:vAlign w:val="center"/>
          </w:tcPr>
          <w:p>
            <w:pPr>
              <w:widowControl/>
              <w:tabs>
                <w:tab w:val="center" w:pos="4755"/>
                <w:tab w:val="right" w:pos="9070"/>
              </w:tabs>
              <w:spacing w:line="360" w:lineRule="auto"/>
              <w:jc w:val="center"/>
              <w:rPr>
                <w:rFonts w:hAnsi="宋体"/>
                <w:color w:val="auto"/>
                <w:szCs w:val="21"/>
                <w:highlight w:val="none"/>
              </w:rPr>
            </w:pPr>
          </w:p>
        </w:tc>
        <w:tc>
          <w:tcPr>
            <w:tcW w:w="1856" w:type="dxa"/>
            <w:noWrap w:val="0"/>
            <w:vAlign w:val="center"/>
          </w:tcPr>
          <w:p>
            <w:pPr>
              <w:widowControl/>
              <w:tabs>
                <w:tab w:val="center" w:pos="4755"/>
                <w:tab w:val="right" w:pos="9070"/>
              </w:tabs>
              <w:spacing w:line="360" w:lineRule="auto"/>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008" w:type="dxa"/>
            <w:noWrap w:val="0"/>
            <w:vAlign w:val="center"/>
          </w:tcPr>
          <w:p>
            <w:pPr>
              <w:widowControl/>
              <w:tabs>
                <w:tab w:val="center" w:pos="4755"/>
                <w:tab w:val="right" w:pos="9070"/>
              </w:tabs>
              <w:spacing w:before="100" w:beforeAutospacing="1" w:after="100" w:afterAutospacing="1" w:line="360" w:lineRule="auto"/>
              <w:jc w:val="center"/>
              <w:rPr>
                <w:rFonts w:hAnsi="宋体"/>
                <w:color w:val="auto"/>
                <w:szCs w:val="21"/>
                <w:highlight w:val="none"/>
              </w:rPr>
            </w:pPr>
            <w:r>
              <w:rPr>
                <w:rFonts w:hint="eastAsia" w:hAnsi="宋体"/>
                <w:color w:val="auto"/>
                <w:szCs w:val="21"/>
                <w:highlight w:val="none"/>
              </w:rPr>
              <w:t>三</w:t>
            </w:r>
          </w:p>
        </w:tc>
        <w:tc>
          <w:tcPr>
            <w:tcW w:w="3600" w:type="dxa"/>
            <w:noWrap w:val="0"/>
            <w:vAlign w:val="center"/>
          </w:tcPr>
          <w:p>
            <w:pPr>
              <w:widowControl/>
              <w:tabs>
                <w:tab w:val="center" w:pos="4755"/>
                <w:tab w:val="right" w:pos="9070"/>
              </w:tabs>
              <w:spacing w:before="100" w:beforeAutospacing="1" w:after="100" w:afterAutospacing="1" w:line="360" w:lineRule="auto"/>
              <w:rPr>
                <w:rFonts w:hAnsi="宋体"/>
                <w:color w:val="auto"/>
                <w:szCs w:val="21"/>
                <w:highlight w:val="none"/>
              </w:rPr>
            </w:pPr>
            <w:r>
              <w:rPr>
                <w:rFonts w:hint="eastAsia" w:hAnsi="宋体"/>
                <w:color w:val="auto"/>
                <w:szCs w:val="21"/>
                <w:highlight w:val="none"/>
              </w:rPr>
              <w:t>其他项目清单</w:t>
            </w:r>
          </w:p>
        </w:tc>
        <w:tc>
          <w:tcPr>
            <w:tcW w:w="1236" w:type="dxa"/>
            <w:noWrap w:val="0"/>
            <w:vAlign w:val="center"/>
          </w:tcPr>
          <w:p>
            <w:pPr>
              <w:widowControl/>
              <w:tabs>
                <w:tab w:val="center" w:pos="4755"/>
                <w:tab w:val="right" w:pos="9070"/>
              </w:tabs>
              <w:spacing w:line="360" w:lineRule="auto"/>
              <w:jc w:val="center"/>
              <w:rPr>
                <w:rFonts w:hAnsi="宋体"/>
                <w:color w:val="auto"/>
                <w:szCs w:val="21"/>
                <w:highlight w:val="none"/>
              </w:rPr>
            </w:pPr>
          </w:p>
        </w:tc>
        <w:tc>
          <w:tcPr>
            <w:tcW w:w="3804" w:type="dxa"/>
            <w:gridSpan w:val="3"/>
            <w:noWrap w:val="0"/>
            <w:vAlign w:val="center"/>
          </w:tcPr>
          <w:p>
            <w:pPr>
              <w:widowControl/>
              <w:tabs>
                <w:tab w:val="center" w:pos="4755"/>
                <w:tab w:val="right" w:pos="9070"/>
              </w:tabs>
              <w:spacing w:line="360" w:lineRule="auto"/>
              <w:jc w:val="center"/>
              <w:rPr>
                <w:rFonts w:hAnsi="宋体"/>
                <w:color w:val="auto"/>
                <w:szCs w:val="21"/>
                <w:highlight w:val="none"/>
              </w:rPr>
            </w:pPr>
            <w:r>
              <w:rPr>
                <w:rFonts w:hAnsi="宋体"/>
                <w:color w:val="auto"/>
                <w:szCs w:val="21"/>
                <w:highlight w:val="none"/>
              </w:rPr>
              <mc:AlternateContent>
                <mc:Choice Requires="wps">
                  <w:drawing>
                    <wp:anchor distT="0" distB="0" distL="114300" distR="114300" simplePos="0" relativeHeight="251661312" behindDoc="0" locked="0" layoutInCell="1" allowOverlap="1">
                      <wp:simplePos x="0" y="0"/>
                      <wp:positionH relativeFrom="column">
                        <wp:posOffset>-53340</wp:posOffset>
                      </wp:positionH>
                      <wp:positionV relativeFrom="paragraph">
                        <wp:posOffset>26670</wp:posOffset>
                      </wp:positionV>
                      <wp:extent cx="2354580" cy="294640"/>
                      <wp:effectExtent l="635" t="4445" r="6985" b="5715"/>
                      <wp:wrapNone/>
                      <wp:docPr id="27" name="直接连接符 27"/>
                      <wp:cNvGraphicFramePr/>
                      <a:graphic xmlns:a="http://schemas.openxmlformats.org/drawingml/2006/main">
                        <a:graphicData uri="http://schemas.microsoft.com/office/word/2010/wordprocessingShape">
                          <wps:wsp>
                            <wps:cNvCnPr/>
                            <wps:spPr>
                              <a:xfrm flipH="1">
                                <a:off x="0" y="0"/>
                                <a:ext cx="2354580" cy="294640"/>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flip:x;margin-left:-4.2pt;margin-top:2.1pt;height:23.2pt;width:185.4pt;z-index:251661312;mso-width-relative:page;mso-height-relative:page;" filled="f" stroked="t" coordsize="21600,21600" o:gfxdata="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7/xSJ1wAAAAcBAAAPAAAAAAAAAAEAIAAAACIAAABkcnMvZG93&#10;bnJldi54bWxQSwECFAAUAAAACACHTuJAyjLi0QECAAD3AwAADgAAAAAAAAABACAAAAAmAQAAZHJz&#10;L2Uyb0RvYy54bWxQSwUGAAAAAAYABgBZAQAAmQUAAAAA&#10;">
                      <v:fill on="f" focussize="0,0"/>
                      <v:stroke weight="0.5pt" color="#000000" joinstyle="round"/>
                      <v:imagedata o:title=""/>
                      <o:lock v:ext="edit" aspectratio="f"/>
                    </v:lin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 w:hRule="atLeast"/>
        </w:trPr>
        <w:tc>
          <w:tcPr>
            <w:tcW w:w="1008" w:type="dxa"/>
            <w:noWrap w:val="0"/>
            <w:vAlign w:val="center"/>
          </w:tcPr>
          <w:p>
            <w:pPr>
              <w:widowControl/>
              <w:tabs>
                <w:tab w:val="center" w:pos="4755"/>
                <w:tab w:val="right" w:pos="9070"/>
              </w:tabs>
              <w:spacing w:before="100" w:beforeAutospacing="1" w:after="100" w:afterAutospacing="1" w:line="360" w:lineRule="auto"/>
              <w:jc w:val="center"/>
              <w:rPr>
                <w:rFonts w:hAnsi="宋体"/>
                <w:color w:val="auto"/>
                <w:szCs w:val="21"/>
                <w:highlight w:val="none"/>
              </w:rPr>
            </w:pPr>
            <w:r>
              <w:rPr>
                <w:rFonts w:hint="eastAsia" w:hAnsi="宋体"/>
                <w:color w:val="auto"/>
                <w:szCs w:val="21"/>
                <w:highlight w:val="none"/>
              </w:rPr>
              <w:t>四</w:t>
            </w:r>
          </w:p>
        </w:tc>
        <w:tc>
          <w:tcPr>
            <w:tcW w:w="3600" w:type="dxa"/>
            <w:noWrap w:val="0"/>
            <w:vAlign w:val="center"/>
          </w:tcPr>
          <w:p>
            <w:pPr>
              <w:tabs>
                <w:tab w:val="left" w:pos="3780"/>
              </w:tabs>
              <w:rPr>
                <w:rFonts w:hAnsi="宋体"/>
                <w:color w:val="auto"/>
                <w:szCs w:val="21"/>
                <w:highlight w:val="none"/>
              </w:rPr>
            </w:pPr>
            <w:r>
              <w:rPr>
                <w:rFonts w:hint="eastAsia" w:hAnsi="宋体"/>
                <w:color w:val="auto"/>
                <w:szCs w:val="21"/>
                <w:highlight w:val="none"/>
              </w:rPr>
              <w:t xml:space="preserve">规费  </w:t>
            </w:r>
          </w:p>
        </w:tc>
        <w:tc>
          <w:tcPr>
            <w:tcW w:w="1236" w:type="dxa"/>
            <w:noWrap w:val="0"/>
            <w:vAlign w:val="center"/>
          </w:tcPr>
          <w:p>
            <w:pPr>
              <w:widowControl/>
              <w:tabs>
                <w:tab w:val="center" w:pos="4755"/>
                <w:tab w:val="right" w:pos="9070"/>
              </w:tabs>
              <w:spacing w:line="360" w:lineRule="auto"/>
              <w:jc w:val="center"/>
              <w:rPr>
                <w:rFonts w:hAnsi="宋体"/>
                <w:color w:val="auto"/>
                <w:szCs w:val="21"/>
                <w:highlight w:val="none"/>
              </w:rPr>
            </w:pPr>
          </w:p>
        </w:tc>
        <w:tc>
          <w:tcPr>
            <w:tcW w:w="1902" w:type="dxa"/>
            <w:noWrap w:val="0"/>
            <w:vAlign w:val="center"/>
          </w:tcPr>
          <w:p>
            <w:pPr>
              <w:widowControl/>
              <w:tabs>
                <w:tab w:val="center" w:pos="4755"/>
                <w:tab w:val="right" w:pos="9070"/>
              </w:tabs>
              <w:spacing w:line="360" w:lineRule="auto"/>
              <w:jc w:val="center"/>
              <w:rPr>
                <w:rFonts w:hAnsi="宋体"/>
                <w:color w:val="auto"/>
                <w:szCs w:val="21"/>
                <w:highlight w:val="none"/>
              </w:rPr>
            </w:pPr>
          </w:p>
        </w:tc>
        <w:tc>
          <w:tcPr>
            <w:tcW w:w="1902" w:type="dxa"/>
            <w:gridSpan w:val="2"/>
            <w:noWrap w:val="0"/>
            <w:vAlign w:val="center"/>
          </w:tcPr>
          <w:p>
            <w:pPr>
              <w:widowControl/>
              <w:tabs>
                <w:tab w:val="center" w:pos="4755"/>
                <w:tab w:val="right" w:pos="9070"/>
              </w:tabs>
              <w:spacing w:line="360" w:lineRule="auto"/>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 w:hRule="atLeast"/>
        </w:trPr>
        <w:tc>
          <w:tcPr>
            <w:tcW w:w="1008" w:type="dxa"/>
            <w:noWrap w:val="0"/>
            <w:vAlign w:val="center"/>
          </w:tcPr>
          <w:p>
            <w:pPr>
              <w:widowControl/>
              <w:tabs>
                <w:tab w:val="center" w:pos="4755"/>
                <w:tab w:val="right" w:pos="9070"/>
              </w:tabs>
              <w:spacing w:before="100" w:beforeAutospacing="1" w:after="100" w:afterAutospacing="1" w:line="360" w:lineRule="auto"/>
              <w:jc w:val="center"/>
              <w:rPr>
                <w:rFonts w:hAnsi="宋体"/>
                <w:color w:val="auto"/>
                <w:szCs w:val="21"/>
                <w:highlight w:val="none"/>
              </w:rPr>
            </w:pPr>
            <w:r>
              <w:rPr>
                <w:rFonts w:hint="eastAsia" w:hAnsi="宋体"/>
                <w:color w:val="auto"/>
                <w:szCs w:val="21"/>
                <w:highlight w:val="none"/>
              </w:rPr>
              <w:t>五</w:t>
            </w:r>
          </w:p>
        </w:tc>
        <w:tc>
          <w:tcPr>
            <w:tcW w:w="3600" w:type="dxa"/>
            <w:noWrap w:val="0"/>
            <w:vAlign w:val="center"/>
          </w:tcPr>
          <w:p>
            <w:pPr>
              <w:widowControl/>
              <w:tabs>
                <w:tab w:val="center" w:pos="4755"/>
                <w:tab w:val="right" w:pos="9070"/>
              </w:tabs>
              <w:spacing w:before="100" w:beforeAutospacing="1" w:after="100" w:afterAutospacing="1" w:line="360" w:lineRule="auto"/>
              <w:rPr>
                <w:rFonts w:hAnsi="宋体"/>
                <w:color w:val="auto"/>
                <w:szCs w:val="21"/>
                <w:highlight w:val="none"/>
              </w:rPr>
            </w:pPr>
            <w:r>
              <w:rPr>
                <w:rFonts w:hint="eastAsia" w:hAnsi="宋体"/>
                <w:color w:val="auto"/>
                <w:szCs w:val="21"/>
                <w:highlight w:val="none"/>
              </w:rPr>
              <w:t>税金[（一 + 二 + 三 + 四）*费率]</w:t>
            </w:r>
          </w:p>
        </w:tc>
        <w:tc>
          <w:tcPr>
            <w:tcW w:w="1236" w:type="dxa"/>
            <w:noWrap w:val="0"/>
            <w:vAlign w:val="center"/>
          </w:tcPr>
          <w:p>
            <w:pPr>
              <w:widowControl/>
              <w:tabs>
                <w:tab w:val="center" w:pos="4755"/>
                <w:tab w:val="right" w:pos="9070"/>
              </w:tabs>
              <w:spacing w:line="360" w:lineRule="auto"/>
              <w:jc w:val="center"/>
              <w:rPr>
                <w:rFonts w:hAnsi="宋体"/>
                <w:color w:val="auto"/>
                <w:szCs w:val="21"/>
                <w:highlight w:val="none"/>
              </w:rPr>
            </w:pPr>
          </w:p>
        </w:tc>
        <w:tc>
          <w:tcPr>
            <w:tcW w:w="3804" w:type="dxa"/>
            <w:gridSpan w:val="3"/>
            <w:vMerge w:val="restart"/>
            <w:noWrap w:val="0"/>
            <w:vAlign w:val="center"/>
          </w:tcPr>
          <w:p>
            <w:pPr>
              <w:widowControl/>
              <w:tabs>
                <w:tab w:val="center" w:pos="4755"/>
                <w:tab w:val="right" w:pos="9070"/>
              </w:tabs>
              <w:spacing w:line="360" w:lineRule="auto"/>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noWrap w:val="0"/>
            <w:vAlign w:val="top"/>
          </w:tcPr>
          <w:p>
            <w:pPr>
              <w:widowControl/>
              <w:tabs>
                <w:tab w:val="center" w:pos="4755"/>
                <w:tab w:val="right" w:pos="9070"/>
              </w:tabs>
              <w:spacing w:before="100" w:beforeAutospacing="1" w:after="100" w:afterAutospacing="1" w:line="360" w:lineRule="auto"/>
              <w:jc w:val="center"/>
              <w:rPr>
                <w:rFonts w:hAnsi="宋体"/>
                <w:color w:val="auto"/>
                <w:szCs w:val="21"/>
                <w:highlight w:val="none"/>
              </w:rPr>
            </w:pPr>
            <w:r>
              <w:rPr>
                <w:rFonts w:hint="eastAsia" w:hAnsi="宋体"/>
                <w:color w:val="auto"/>
                <w:szCs w:val="21"/>
                <w:highlight w:val="none"/>
              </w:rPr>
              <w:t>六</w:t>
            </w:r>
          </w:p>
        </w:tc>
        <w:tc>
          <w:tcPr>
            <w:tcW w:w="3600" w:type="dxa"/>
            <w:noWrap w:val="0"/>
            <w:vAlign w:val="center"/>
          </w:tcPr>
          <w:p>
            <w:pPr>
              <w:widowControl/>
              <w:tabs>
                <w:tab w:val="center" w:pos="4755"/>
                <w:tab w:val="right" w:pos="9070"/>
              </w:tabs>
              <w:spacing w:before="100" w:beforeAutospacing="1" w:after="100" w:afterAutospacing="1" w:line="360" w:lineRule="auto"/>
              <w:rPr>
                <w:rFonts w:hAnsi="宋体"/>
                <w:color w:val="auto"/>
                <w:szCs w:val="21"/>
                <w:highlight w:val="none"/>
              </w:rPr>
            </w:pPr>
            <w:r>
              <w:rPr>
                <w:rFonts w:hint="eastAsia" w:hAnsi="宋体"/>
                <w:color w:val="auto"/>
                <w:szCs w:val="21"/>
                <w:highlight w:val="none"/>
              </w:rPr>
              <w:t>总报价（一+二+三+四+五）</w:t>
            </w:r>
          </w:p>
        </w:tc>
        <w:tc>
          <w:tcPr>
            <w:tcW w:w="1236" w:type="dxa"/>
            <w:noWrap w:val="0"/>
            <w:vAlign w:val="center"/>
          </w:tcPr>
          <w:p>
            <w:pPr>
              <w:widowControl/>
              <w:tabs>
                <w:tab w:val="center" w:pos="4755"/>
                <w:tab w:val="right" w:pos="9070"/>
              </w:tabs>
              <w:spacing w:line="360" w:lineRule="auto"/>
              <w:jc w:val="center"/>
              <w:rPr>
                <w:rFonts w:hAnsi="宋体"/>
                <w:color w:val="auto"/>
                <w:szCs w:val="21"/>
                <w:highlight w:val="none"/>
              </w:rPr>
            </w:pPr>
          </w:p>
        </w:tc>
        <w:tc>
          <w:tcPr>
            <w:tcW w:w="3804" w:type="dxa"/>
            <w:gridSpan w:val="3"/>
            <w:vMerge w:val="continue"/>
            <w:noWrap w:val="0"/>
            <w:vAlign w:val="center"/>
          </w:tcPr>
          <w:p>
            <w:pPr>
              <w:widowControl/>
              <w:tabs>
                <w:tab w:val="center" w:pos="4755"/>
                <w:tab w:val="right" w:pos="9070"/>
              </w:tabs>
              <w:spacing w:line="360" w:lineRule="auto"/>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9648" w:type="dxa"/>
            <w:gridSpan w:val="6"/>
            <w:noWrap w:val="0"/>
            <w:vAlign w:val="center"/>
          </w:tcPr>
          <w:p>
            <w:pPr>
              <w:widowControl/>
              <w:tabs>
                <w:tab w:val="center" w:pos="4755"/>
                <w:tab w:val="right" w:pos="9070"/>
              </w:tabs>
              <w:spacing w:line="360" w:lineRule="auto"/>
              <w:rPr>
                <w:rFonts w:hAnsi="宋体"/>
                <w:color w:val="auto"/>
                <w:szCs w:val="21"/>
                <w:highlight w:val="none"/>
              </w:rPr>
            </w:pPr>
            <w:r>
              <w:rPr>
                <w:rFonts w:hint="eastAsia" w:hAnsi="宋体"/>
                <w:color w:val="auto"/>
                <w:szCs w:val="21"/>
                <w:highlight w:val="none"/>
              </w:rPr>
              <w:t>总报价(大写):</w:t>
            </w:r>
          </w:p>
        </w:tc>
      </w:tr>
    </w:tbl>
    <w:p>
      <w:pPr>
        <w:widowControl/>
        <w:tabs>
          <w:tab w:val="center" w:pos="4755"/>
          <w:tab w:val="right" w:pos="9070"/>
        </w:tabs>
        <w:spacing w:line="360" w:lineRule="auto"/>
        <w:ind w:left="315" w:hanging="315" w:hangingChars="150"/>
        <w:jc w:val="left"/>
        <w:rPr>
          <w:rFonts w:hAnsi="宋体"/>
          <w:color w:val="auto"/>
          <w:szCs w:val="21"/>
          <w:highlight w:val="none"/>
        </w:rPr>
      </w:pPr>
      <w:r>
        <w:rPr>
          <w:rFonts w:hint="eastAsia" w:hAnsi="宋体"/>
          <w:color w:val="auto"/>
          <w:szCs w:val="21"/>
          <w:highlight w:val="none"/>
        </w:rPr>
        <w:t>注:本表适用于：</w:t>
      </w:r>
    </w:p>
    <w:p>
      <w:pPr>
        <w:widowControl/>
        <w:tabs>
          <w:tab w:val="center" w:pos="4755"/>
          <w:tab w:val="right" w:pos="9070"/>
        </w:tabs>
        <w:ind w:left="315" w:leftChars="100" w:hanging="105" w:hangingChars="50"/>
        <w:jc w:val="left"/>
        <w:rPr>
          <w:rFonts w:hAnsi="宋体"/>
          <w:color w:val="auto"/>
          <w:szCs w:val="21"/>
          <w:highlight w:val="none"/>
        </w:rPr>
      </w:pPr>
      <w:r>
        <w:rPr>
          <w:rFonts w:hint="eastAsia" w:hAnsi="宋体"/>
          <w:color w:val="auto"/>
          <w:szCs w:val="21"/>
          <w:highlight w:val="none"/>
        </w:rPr>
        <w:t>（1）只有1个专业工程分部分项工程量清单的单位工程发包项目的报价汇总；</w:t>
      </w:r>
    </w:p>
    <w:p>
      <w:pPr>
        <w:widowControl/>
        <w:tabs>
          <w:tab w:val="center" w:pos="4755"/>
          <w:tab w:val="right" w:pos="9070"/>
        </w:tabs>
        <w:ind w:left="315" w:leftChars="100" w:hanging="105" w:hangingChars="50"/>
        <w:jc w:val="left"/>
        <w:rPr>
          <w:rFonts w:hAnsi="宋体"/>
          <w:color w:val="auto"/>
          <w:szCs w:val="21"/>
          <w:highlight w:val="none"/>
        </w:rPr>
      </w:pPr>
      <w:r>
        <w:rPr>
          <w:rFonts w:hint="eastAsia" w:hAnsi="宋体"/>
          <w:color w:val="auto"/>
          <w:szCs w:val="21"/>
          <w:highlight w:val="none"/>
        </w:rPr>
        <w:t>（2）其余招标项目的单位工程报价汇总。</w:t>
      </w:r>
    </w:p>
    <w:p>
      <w:pPr>
        <w:widowControl/>
        <w:tabs>
          <w:tab w:val="center" w:pos="4755"/>
          <w:tab w:val="right" w:pos="9070"/>
        </w:tabs>
        <w:spacing w:line="360" w:lineRule="auto"/>
        <w:jc w:val="left"/>
        <w:rPr>
          <w:rFonts w:hAnsi="宋体"/>
          <w:color w:val="auto"/>
          <w:szCs w:val="21"/>
          <w:highlight w:val="none"/>
        </w:rPr>
      </w:pPr>
    </w:p>
    <w:p>
      <w:pPr>
        <w:widowControl/>
        <w:tabs>
          <w:tab w:val="center" w:pos="4755"/>
          <w:tab w:val="right" w:pos="9070"/>
        </w:tabs>
        <w:jc w:val="left"/>
        <w:rPr>
          <w:rFonts w:hAnsi="宋体"/>
          <w:color w:val="auto"/>
          <w:szCs w:val="21"/>
          <w:highlight w:val="none"/>
        </w:rPr>
      </w:pPr>
    </w:p>
    <w:p>
      <w:pPr>
        <w:widowControl/>
        <w:tabs>
          <w:tab w:val="center" w:pos="4755"/>
          <w:tab w:val="right" w:pos="9070"/>
        </w:tabs>
        <w:jc w:val="left"/>
        <w:rPr>
          <w:rFonts w:hAnsi="宋体"/>
          <w:color w:val="auto"/>
          <w:szCs w:val="21"/>
          <w:highlight w:val="none"/>
        </w:rPr>
      </w:pPr>
    </w:p>
    <w:p>
      <w:pPr>
        <w:widowControl/>
        <w:tabs>
          <w:tab w:val="center" w:pos="4755"/>
          <w:tab w:val="right" w:pos="9070"/>
        </w:tabs>
        <w:jc w:val="left"/>
        <w:rPr>
          <w:rFonts w:hAnsi="宋体"/>
          <w:color w:val="auto"/>
          <w:szCs w:val="21"/>
          <w:highlight w:val="none"/>
        </w:rPr>
      </w:pPr>
    </w:p>
    <w:p>
      <w:pPr>
        <w:widowControl/>
        <w:tabs>
          <w:tab w:val="center" w:pos="4755"/>
          <w:tab w:val="right" w:pos="9070"/>
        </w:tabs>
        <w:jc w:val="left"/>
        <w:rPr>
          <w:rFonts w:hAnsi="宋体"/>
          <w:color w:val="auto"/>
          <w:szCs w:val="21"/>
          <w:highlight w:val="none"/>
        </w:rPr>
      </w:pPr>
      <w:r>
        <w:rPr>
          <w:rFonts w:hint="eastAsia" w:hAnsi="宋体"/>
          <w:color w:val="auto"/>
          <w:kern w:val="0"/>
          <w:sz w:val="24"/>
          <w:highlight w:val="none"/>
          <w:lang w:val="en-US" w:eastAsia="zh-CN"/>
        </w:rPr>
        <w:t>响应</w:t>
      </w:r>
      <w:r>
        <w:rPr>
          <w:rFonts w:hint="eastAsia" w:hAnsi="宋体"/>
          <w:color w:val="auto"/>
          <w:kern w:val="0"/>
          <w:sz w:val="24"/>
          <w:highlight w:val="none"/>
        </w:rPr>
        <w:t>人：（ 盖章）</w:t>
      </w:r>
      <w:r>
        <w:rPr>
          <w:rFonts w:hint="eastAsia" w:hAnsi="宋体"/>
          <w:color w:val="auto"/>
          <w:szCs w:val="21"/>
          <w:highlight w:val="none"/>
        </w:rPr>
        <w:t xml:space="preserve">                   </w:t>
      </w:r>
    </w:p>
    <w:p>
      <w:pPr>
        <w:spacing w:line="300" w:lineRule="exact"/>
        <w:rPr>
          <w:rFonts w:hAnsi="宋体" w:cs="宋体"/>
          <w:b/>
          <w:bCs/>
          <w:color w:val="auto"/>
          <w:kern w:val="0"/>
          <w:sz w:val="32"/>
          <w:szCs w:val="28"/>
          <w:highlight w:val="none"/>
        </w:rPr>
      </w:pPr>
      <w:r>
        <w:rPr>
          <w:rFonts w:hAnsi="宋体"/>
          <w:color w:val="auto"/>
          <w:kern w:val="0"/>
          <w:sz w:val="24"/>
          <w:highlight w:val="none"/>
        </w:rPr>
        <w:br w:type="page"/>
      </w:r>
    </w:p>
    <w:p>
      <w:pPr>
        <w:spacing w:line="600" w:lineRule="exact"/>
        <w:jc w:val="center"/>
        <w:rPr>
          <w:rFonts w:hAnsi="宋体" w:cs="宋体"/>
          <w:b/>
          <w:bCs/>
          <w:color w:val="auto"/>
          <w:kern w:val="0"/>
          <w:sz w:val="28"/>
          <w:szCs w:val="28"/>
          <w:highlight w:val="none"/>
        </w:rPr>
      </w:pPr>
      <w:r>
        <w:rPr>
          <w:rFonts w:hint="eastAsia" w:hAnsi="宋体" w:cs="宋体"/>
          <w:b/>
          <w:bCs/>
          <w:color w:val="auto"/>
          <w:kern w:val="0"/>
          <w:sz w:val="28"/>
          <w:szCs w:val="28"/>
          <w:highlight w:val="none"/>
        </w:rPr>
        <w:t>表1-2　分部分项工程量清单与计价表（　　号清单）</w:t>
      </w:r>
    </w:p>
    <w:p>
      <w:pPr>
        <w:spacing w:line="600" w:lineRule="exact"/>
        <w:rPr>
          <w:rFonts w:hAnsi="宋体"/>
          <w:color w:val="auto"/>
          <w:szCs w:val="21"/>
          <w:highlight w:val="none"/>
        </w:rPr>
      </w:pPr>
      <w:r>
        <w:rPr>
          <w:rFonts w:hint="eastAsia" w:hAnsi="宋体" w:cs="宋体"/>
          <w:color w:val="auto"/>
          <w:kern w:val="0"/>
          <w:sz w:val="24"/>
          <w:highlight w:val="none"/>
        </w:rPr>
        <w:t>单位工程及专业工程名称:                                     第   页  共 页</w:t>
      </w:r>
    </w:p>
    <w:tbl>
      <w:tblPr>
        <w:tblStyle w:val="62"/>
        <w:tblW w:w="10245" w:type="dxa"/>
        <w:tblInd w:w="-136" w:type="dxa"/>
        <w:tblLayout w:type="fixed"/>
        <w:tblCellMar>
          <w:top w:w="0" w:type="dxa"/>
          <w:left w:w="108" w:type="dxa"/>
          <w:bottom w:w="0" w:type="dxa"/>
          <w:right w:w="108" w:type="dxa"/>
        </w:tblCellMar>
      </w:tblPr>
      <w:tblGrid>
        <w:gridCol w:w="810"/>
        <w:gridCol w:w="870"/>
        <w:gridCol w:w="855"/>
        <w:gridCol w:w="885"/>
        <w:gridCol w:w="795"/>
        <w:gridCol w:w="855"/>
        <w:gridCol w:w="646"/>
        <w:gridCol w:w="284"/>
        <w:gridCol w:w="825"/>
        <w:gridCol w:w="870"/>
        <w:gridCol w:w="915"/>
        <w:gridCol w:w="855"/>
        <w:gridCol w:w="780"/>
      </w:tblGrid>
      <w:tr>
        <w:tblPrEx>
          <w:tblCellMar>
            <w:top w:w="0" w:type="dxa"/>
            <w:left w:w="108" w:type="dxa"/>
            <w:bottom w:w="0" w:type="dxa"/>
            <w:right w:w="108" w:type="dxa"/>
          </w:tblCellMar>
        </w:tblPrEx>
        <w:trPr>
          <w:trHeight w:val="367" w:hRule="atLeast"/>
        </w:trPr>
        <w:tc>
          <w:tcPr>
            <w:tcW w:w="81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102" w:firstLineChars="49"/>
              <w:rPr>
                <w:rFonts w:hAnsi="宋体" w:cs="宋体"/>
                <w:bCs/>
                <w:color w:val="auto"/>
                <w:kern w:val="0"/>
                <w:szCs w:val="21"/>
                <w:highlight w:val="none"/>
              </w:rPr>
            </w:pPr>
            <w:r>
              <w:rPr>
                <w:rFonts w:hint="eastAsia" w:hAnsi="宋体" w:cs="宋体"/>
                <w:bCs/>
                <w:color w:val="auto"/>
                <w:kern w:val="0"/>
                <w:szCs w:val="21"/>
                <w:highlight w:val="none"/>
              </w:rPr>
              <w:t>序</w:t>
            </w:r>
          </w:p>
          <w:p>
            <w:pPr>
              <w:ind w:firstLine="102" w:firstLineChars="49"/>
              <w:rPr>
                <w:rFonts w:hAnsi="宋体" w:cs="宋体"/>
                <w:bCs/>
                <w:color w:val="auto"/>
                <w:kern w:val="0"/>
                <w:szCs w:val="21"/>
                <w:highlight w:val="none"/>
              </w:rPr>
            </w:pPr>
            <w:r>
              <w:rPr>
                <w:rFonts w:hint="eastAsia" w:hAnsi="宋体" w:cs="宋体"/>
                <w:bCs/>
                <w:color w:val="auto"/>
                <w:kern w:val="0"/>
                <w:szCs w:val="21"/>
                <w:highlight w:val="none"/>
              </w:rPr>
              <w:t>号</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Ansi="宋体" w:cs="宋体"/>
                <w:bCs/>
                <w:color w:val="auto"/>
                <w:kern w:val="0"/>
                <w:szCs w:val="21"/>
                <w:highlight w:val="none"/>
              </w:rPr>
            </w:pPr>
            <w:r>
              <w:rPr>
                <w:rFonts w:hint="eastAsia" w:hAnsi="宋体" w:cs="宋体"/>
                <w:bCs/>
                <w:color w:val="auto"/>
                <w:kern w:val="0"/>
                <w:szCs w:val="21"/>
                <w:highlight w:val="none"/>
              </w:rPr>
              <w:t>项目</w:t>
            </w:r>
          </w:p>
          <w:p>
            <w:pPr>
              <w:widowControl/>
              <w:jc w:val="center"/>
              <w:rPr>
                <w:rFonts w:hAnsi="宋体" w:cs="宋体"/>
                <w:bCs/>
                <w:color w:val="auto"/>
                <w:kern w:val="0"/>
                <w:szCs w:val="21"/>
                <w:highlight w:val="none"/>
              </w:rPr>
            </w:pPr>
            <w:r>
              <w:rPr>
                <w:rFonts w:hint="eastAsia" w:hAnsi="宋体" w:cs="宋体"/>
                <w:bCs/>
                <w:color w:val="auto"/>
                <w:kern w:val="0"/>
                <w:szCs w:val="21"/>
                <w:highlight w:val="none"/>
              </w:rPr>
              <w:t>编码</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Ansi="宋体" w:cs="宋体"/>
                <w:bCs/>
                <w:color w:val="auto"/>
                <w:kern w:val="0"/>
                <w:szCs w:val="21"/>
                <w:highlight w:val="none"/>
              </w:rPr>
            </w:pPr>
            <w:r>
              <w:rPr>
                <w:rFonts w:hint="eastAsia" w:hAnsi="宋体" w:cs="宋体"/>
                <w:bCs/>
                <w:color w:val="auto"/>
                <w:kern w:val="0"/>
                <w:szCs w:val="21"/>
                <w:highlight w:val="none"/>
              </w:rPr>
              <w:t>项目</w:t>
            </w:r>
          </w:p>
          <w:p>
            <w:pPr>
              <w:widowControl/>
              <w:jc w:val="center"/>
              <w:rPr>
                <w:rFonts w:hAnsi="宋体" w:cs="宋体"/>
                <w:bCs/>
                <w:color w:val="auto"/>
                <w:kern w:val="0"/>
                <w:szCs w:val="21"/>
                <w:highlight w:val="none"/>
              </w:rPr>
            </w:pPr>
            <w:r>
              <w:rPr>
                <w:rFonts w:hint="eastAsia" w:hAnsi="宋体" w:cs="宋体"/>
                <w:bCs/>
                <w:color w:val="auto"/>
                <w:kern w:val="0"/>
                <w:szCs w:val="21"/>
                <w:highlight w:val="none"/>
              </w:rPr>
              <w:t>名称</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right="71" w:rightChars="34"/>
              <w:rPr>
                <w:rFonts w:hAnsi="宋体" w:cs="宋体"/>
                <w:bCs/>
                <w:color w:val="auto"/>
                <w:kern w:val="0"/>
                <w:szCs w:val="21"/>
                <w:highlight w:val="none"/>
              </w:rPr>
            </w:pPr>
            <w:r>
              <w:rPr>
                <w:rFonts w:hint="eastAsia" w:hAnsi="宋体" w:cs="宋体"/>
                <w:bCs/>
                <w:color w:val="auto"/>
                <w:kern w:val="0"/>
                <w:szCs w:val="21"/>
                <w:highlight w:val="none"/>
              </w:rPr>
              <w:t>项 目</w:t>
            </w:r>
          </w:p>
          <w:p>
            <w:pPr>
              <w:widowControl/>
              <w:rPr>
                <w:rFonts w:hAnsi="宋体" w:cs="宋体"/>
                <w:bCs/>
                <w:color w:val="auto"/>
                <w:kern w:val="0"/>
                <w:szCs w:val="21"/>
                <w:highlight w:val="none"/>
              </w:rPr>
            </w:pPr>
            <w:r>
              <w:rPr>
                <w:rFonts w:hint="eastAsia" w:hAnsi="宋体" w:cs="宋体"/>
                <w:bCs/>
                <w:color w:val="auto"/>
                <w:kern w:val="0"/>
                <w:szCs w:val="21"/>
                <w:highlight w:val="none"/>
              </w:rPr>
              <w:t>特 征</w:t>
            </w:r>
          </w:p>
          <w:p>
            <w:pPr>
              <w:widowControl/>
              <w:rPr>
                <w:rFonts w:hAnsi="宋体" w:cs="宋体"/>
                <w:bCs/>
                <w:color w:val="auto"/>
                <w:kern w:val="0"/>
                <w:szCs w:val="21"/>
                <w:highlight w:val="none"/>
              </w:rPr>
            </w:pPr>
            <w:r>
              <w:rPr>
                <w:rFonts w:hint="eastAsia" w:hAnsi="宋体" w:cs="宋体"/>
                <w:bCs/>
                <w:color w:val="auto"/>
                <w:kern w:val="0"/>
                <w:szCs w:val="21"/>
                <w:highlight w:val="none"/>
              </w:rPr>
              <w:t>描 述</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Ansi="宋体" w:cs="宋体"/>
                <w:bCs/>
                <w:color w:val="auto"/>
                <w:kern w:val="0"/>
                <w:szCs w:val="21"/>
                <w:highlight w:val="none"/>
              </w:rPr>
            </w:pPr>
            <w:r>
              <w:rPr>
                <w:rFonts w:hint="eastAsia" w:hAnsi="宋体" w:cs="宋体"/>
                <w:bCs/>
                <w:color w:val="auto"/>
                <w:kern w:val="0"/>
                <w:szCs w:val="21"/>
                <w:highlight w:val="none"/>
              </w:rPr>
              <w:t>计量</w:t>
            </w:r>
          </w:p>
          <w:p>
            <w:pPr>
              <w:jc w:val="center"/>
              <w:rPr>
                <w:rFonts w:hAnsi="宋体" w:cs="宋体"/>
                <w:bCs/>
                <w:color w:val="auto"/>
                <w:kern w:val="0"/>
                <w:szCs w:val="21"/>
                <w:highlight w:val="none"/>
              </w:rPr>
            </w:pPr>
            <w:r>
              <w:rPr>
                <w:rFonts w:hint="eastAsia" w:hAnsi="宋体" w:cs="宋体"/>
                <w:bCs/>
                <w:color w:val="auto"/>
                <w:kern w:val="0"/>
                <w:szCs w:val="21"/>
                <w:highlight w:val="none"/>
              </w:rPr>
              <w:t>单位</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Ansi="宋体" w:cs="宋体"/>
                <w:bCs/>
                <w:color w:val="auto"/>
                <w:kern w:val="0"/>
                <w:szCs w:val="21"/>
                <w:highlight w:val="none"/>
              </w:rPr>
            </w:pPr>
            <w:r>
              <w:rPr>
                <w:rFonts w:hint="eastAsia" w:hAnsi="宋体" w:cs="宋体"/>
                <w:bCs/>
                <w:color w:val="auto"/>
                <w:kern w:val="0"/>
                <w:szCs w:val="21"/>
                <w:highlight w:val="none"/>
              </w:rPr>
              <w:t>工程量</w:t>
            </w:r>
          </w:p>
        </w:tc>
        <w:tc>
          <w:tcPr>
            <w:tcW w:w="93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Ansi="宋体" w:cs="宋体"/>
                <w:bCs/>
                <w:color w:val="auto"/>
                <w:kern w:val="0"/>
                <w:szCs w:val="21"/>
                <w:highlight w:val="none"/>
              </w:rPr>
            </w:pPr>
            <w:r>
              <w:rPr>
                <w:rFonts w:hint="eastAsia" w:hAnsi="宋体" w:cs="宋体"/>
                <w:bCs/>
                <w:color w:val="auto"/>
                <w:kern w:val="0"/>
                <w:szCs w:val="21"/>
                <w:highlight w:val="none"/>
              </w:rPr>
              <w:t>综合</w:t>
            </w:r>
          </w:p>
          <w:p>
            <w:pPr>
              <w:widowControl/>
              <w:jc w:val="center"/>
              <w:rPr>
                <w:rFonts w:hAnsi="宋体" w:cs="宋体"/>
                <w:bCs/>
                <w:color w:val="auto"/>
                <w:kern w:val="0"/>
                <w:szCs w:val="21"/>
                <w:highlight w:val="none"/>
              </w:rPr>
            </w:pPr>
            <w:r>
              <w:rPr>
                <w:rFonts w:hint="eastAsia" w:hAnsi="宋体" w:cs="宋体"/>
                <w:bCs/>
                <w:color w:val="auto"/>
                <w:kern w:val="0"/>
                <w:szCs w:val="21"/>
                <w:highlight w:val="none"/>
              </w:rPr>
              <w:t>单价</w:t>
            </w:r>
          </w:p>
          <w:p>
            <w:pPr>
              <w:jc w:val="center"/>
              <w:rPr>
                <w:rFonts w:hAnsi="宋体" w:cs="宋体"/>
                <w:bCs/>
                <w:color w:val="auto"/>
                <w:kern w:val="0"/>
                <w:szCs w:val="21"/>
                <w:highlight w:val="none"/>
              </w:rPr>
            </w:pPr>
            <w:r>
              <w:rPr>
                <w:rFonts w:hint="eastAsia" w:hAnsi="宋体" w:cs="宋体"/>
                <w:bCs/>
                <w:color w:val="auto"/>
                <w:kern w:val="0"/>
                <w:szCs w:val="21"/>
                <w:highlight w:val="none"/>
              </w:rPr>
              <w:t>（元）</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Ansi="宋体" w:cs="宋体"/>
                <w:bCs/>
                <w:color w:val="auto"/>
                <w:kern w:val="0"/>
                <w:szCs w:val="21"/>
                <w:highlight w:val="none"/>
              </w:rPr>
            </w:pPr>
            <w:r>
              <w:rPr>
                <w:rFonts w:hint="eastAsia" w:hAnsi="宋体" w:cs="宋体"/>
                <w:bCs/>
                <w:color w:val="auto"/>
                <w:kern w:val="0"/>
                <w:szCs w:val="21"/>
                <w:highlight w:val="none"/>
              </w:rPr>
              <w:t>合 价</w:t>
            </w:r>
          </w:p>
          <w:p>
            <w:pPr>
              <w:jc w:val="center"/>
              <w:rPr>
                <w:rFonts w:hAnsi="宋体" w:cs="宋体"/>
                <w:bCs/>
                <w:color w:val="auto"/>
                <w:kern w:val="0"/>
                <w:szCs w:val="21"/>
                <w:highlight w:val="none"/>
              </w:rPr>
            </w:pPr>
            <w:r>
              <w:rPr>
                <w:rFonts w:hint="eastAsia" w:hAnsi="宋体" w:cs="宋体"/>
                <w:bCs/>
                <w:color w:val="auto"/>
                <w:kern w:val="0"/>
                <w:szCs w:val="21"/>
                <w:highlight w:val="none"/>
              </w:rPr>
              <w:t>（元）</w:t>
            </w:r>
          </w:p>
        </w:tc>
        <w:tc>
          <w:tcPr>
            <w:tcW w:w="264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Ansi="宋体" w:cs="宋体"/>
                <w:bCs/>
                <w:color w:val="auto"/>
                <w:kern w:val="0"/>
                <w:szCs w:val="21"/>
                <w:highlight w:val="none"/>
              </w:rPr>
            </w:pPr>
            <w:r>
              <w:rPr>
                <w:rFonts w:hint="eastAsia" w:hAnsi="宋体" w:cs="宋体"/>
                <w:bCs/>
                <w:color w:val="auto"/>
                <w:kern w:val="0"/>
                <w:szCs w:val="21"/>
                <w:highlight w:val="none"/>
              </w:rPr>
              <w:t>其中（元）</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Ansi="宋体" w:cs="宋体"/>
                <w:bCs/>
                <w:color w:val="auto"/>
                <w:kern w:val="0"/>
                <w:szCs w:val="21"/>
                <w:highlight w:val="none"/>
              </w:rPr>
            </w:pPr>
            <w:r>
              <w:rPr>
                <w:rFonts w:hint="eastAsia" w:hAnsi="宋体" w:cs="宋体"/>
                <w:bCs/>
                <w:color w:val="auto"/>
                <w:kern w:val="0"/>
                <w:szCs w:val="21"/>
                <w:highlight w:val="none"/>
              </w:rPr>
              <w:t>备注</w:t>
            </w:r>
          </w:p>
        </w:tc>
      </w:tr>
      <w:tr>
        <w:tblPrEx>
          <w:tblCellMar>
            <w:top w:w="0" w:type="dxa"/>
            <w:left w:w="108" w:type="dxa"/>
            <w:bottom w:w="0" w:type="dxa"/>
            <w:right w:w="108" w:type="dxa"/>
          </w:tblCellMar>
        </w:tblPrEx>
        <w:trPr>
          <w:trHeight w:val="612"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102" w:firstLineChars="49"/>
              <w:rPr>
                <w:rFonts w:hAnsi="宋体" w:cs="宋体"/>
                <w:bCs/>
                <w:color w:val="auto"/>
                <w:kern w:val="0"/>
                <w:szCs w:val="21"/>
                <w:highlight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hAnsi="宋体" w:cs="宋体"/>
                <w:bCs/>
                <w:color w:val="auto"/>
                <w:kern w:val="0"/>
                <w:szCs w:val="21"/>
                <w:highlight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hAnsi="宋体" w:cs="宋体"/>
                <w:bCs/>
                <w:color w:val="auto"/>
                <w:kern w:val="0"/>
                <w:szCs w:val="21"/>
                <w:highlight w:val="none"/>
              </w:rPr>
            </w:pPr>
          </w:p>
        </w:tc>
        <w:tc>
          <w:tcPr>
            <w:tcW w:w="885"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widowControl/>
              <w:rPr>
                <w:rFonts w:hAnsi="宋体" w:cs="宋体"/>
                <w:bCs/>
                <w:color w:val="auto"/>
                <w:kern w:val="0"/>
                <w:szCs w:val="21"/>
                <w:highlight w:val="none"/>
              </w:rPr>
            </w:pPr>
          </w:p>
        </w:tc>
        <w:tc>
          <w:tcPr>
            <w:tcW w:w="795"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Ansi="宋体" w:cs="宋体"/>
                <w:bCs/>
                <w:color w:val="auto"/>
                <w:kern w:val="0"/>
                <w:szCs w:val="21"/>
                <w:highlight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hAnsi="宋体" w:cs="宋体"/>
                <w:bCs/>
                <w:color w:val="auto"/>
                <w:kern w:val="0"/>
                <w:szCs w:val="21"/>
                <w:highlight w:val="none"/>
              </w:rPr>
            </w:pPr>
          </w:p>
        </w:tc>
        <w:tc>
          <w:tcPr>
            <w:tcW w:w="930" w:type="dxa"/>
            <w:gridSpan w:val="2"/>
            <w:vMerge w:val="continue"/>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Ansi="宋体" w:cs="宋体"/>
                <w:bCs/>
                <w:color w:val="auto"/>
                <w:kern w:val="0"/>
                <w:szCs w:val="21"/>
                <w:highlight w:val="none"/>
              </w:rPr>
            </w:pPr>
          </w:p>
        </w:tc>
        <w:tc>
          <w:tcPr>
            <w:tcW w:w="825"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Ansi="宋体" w:cs="宋体"/>
                <w:bCs/>
                <w:color w:val="auto"/>
                <w:kern w:val="0"/>
                <w:szCs w:val="21"/>
                <w:highlight w:val="none"/>
              </w:rPr>
            </w:pPr>
          </w:p>
        </w:tc>
        <w:tc>
          <w:tcPr>
            <w:tcW w:w="87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Ansi="宋体" w:cs="宋体"/>
                <w:bCs/>
                <w:color w:val="auto"/>
                <w:kern w:val="0"/>
                <w:szCs w:val="21"/>
                <w:highlight w:val="none"/>
              </w:rPr>
            </w:pPr>
            <w:r>
              <w:rPr>
                <w:rFonts w:hint="eastAsia" w:hAnsi="宋体" w:cs="宋体"/>
                <w:bCs/>
                <w:color w:val="auto"/>
                <w:kern w:val="0"/>
                <w:szCs w:val="21"/>
                <w:highlight w:val="none"/>
              </w:rPr>
              <w:t>人工费</w:t>
            </w:r>
          </w:p>
        </w:tc>
        <w:tc>
          <w:tcPr>
            <w:tcW w:w="915" w:type="dxa"/>
            <w:tcBorders>
              <w:top w:val="single" w:color="000000" w:sz="4" w:space="0"/>
              <w:left w:val="nil"/>
              <w:bottom w:val="single" w:color="000000" w:sz="4" w:space="0"/>
              <w:right w:val="single" w:color="auto" w:sz="4" w:space="0"/>
            </w:tcBorders>
            <w:shd w:val="clear" w:color="auto" w:fill="FFFFFF"/>
            <w:noWrap w:val="0"/>
            <w:vAlign w:val="center"/>
          </w:tcPr>
          <w:p>
            <w:pPr>
              <w:widowControl/>
              <w:jc w:val="center"/>
              <w:rPr>
                <w:rFonts w:hAnsi="宋体" w:cs="宋体"/>
                <w:bCs/>
                <w:color w:val="auto"/>
                <w:kern w:val="0"/>
                <w:szCs w:val="21"/>
                <w:highlight w:val="none"/>
              </w:rPr>
            </w:pPr>
            <w:r>
              <w:rPr>
                <w:rFonts w:hint="eastAsia" w:hAnsi="宋体" w:cs="宋体"/>
                <w:bCs/>
                <w:color w:val="auto"/>
                <w:kern w:val="0"/>
                <w:szCs w:val="21"/>
                <w:highlight w:val="none"/>
              </w:rPr>
              <w:t>机械费</w:t>
            </w:r>
          </w:p>
        </w:tc>
        <w:tc>
          <w:tcPr>
            <w:tcW w:w="855" w:type="dxa"/>
            <w:tcBorders>
              <w:top w:val="single" w:color="000000" w:sz="4" w:space="0"/>
              <w:left w:val="nil"/>
              <w:bottom w:val="single" w:color="000000" w:sz="4" w:space="0"/>
              <w:right w:val="single" w:color="auto" w:sz="4" w:space="0"/>
            </w:tcBorders>
            <w:shd w:val="clear" w:color="auto" w:fill="FFFFFF"/>
            <w:noWrap w:val="0"/>
            <w:vAlign w:val="center"/>
          </w:tcPr>
          <w:p>
            <w:pPr>
              <w:widowControl/>
              <w:jc w:val="center"/>
              <w:rPr>
                <w:rFonts w:hAnsi="宋体" w:cs="宋体"/>
                <w:bCs/>
                <w:color w:val="auto"/>
                <w:kern w:val="0"/>
                <w:szCs w:val="21"/>
                <w:highlight w:val="none"/>
              </w:rPr>
            </w:pPr>
            <w:r>
              <w:rPr>
                <w:rFonts w:hint="eastAsia" w:hAnsi="宋体" w:cs="宋体"/>
                <w:bCs/>
                <w:color w:val="auto"/>
                <w:kern w:val="0"/>
                <w:szCs w:val="21"/>
                <w:highlight w:val="none"/>
              </w:rPr>
              <w:t>管理费</w:t>
            </w:r>
          </w:p>
        </w:tc>
        <w:tc>
          <w:tcPr>
            <w:tcW w:w="780" w:type="dxa"/>
            <w:vMerge w:val="continue"/>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jc w:val="center"/>
              <w:rPr>
                <w:rFonts w:hAnsi="宋体" w:cs="宋体"/>
                <w:bCs/>
                <w:color w:val="auto"/>
                <w:kern w:val="0"/>
                <w:szCs w:val="21"/>
                <w:highlight w:val="none"/>
              </w:rPr>
            </w:pPr>
          </w:p>
        </w:tc>
      </w:tr>
      <w:tr>
        <w:tblPrEx>
          <w:tblCellMar>
            <w:top w:w="0" w:type="dxa"/>
            <w:left w:w="108" w:type="dxa"/>
            <w:bottom w:w="0" w:type="dxa"/>
            <w:right w:w="108" w:type="dxa"/>
          </w:tblCellMar>
        </w:tblPrEx>
        <w:trPr>
          <w:trHeight w:val="450" w:hRule="atLeast"/>
        </w:trPr>
        <w:tc>
          <w:tcPr>
            <w:tcW w:w="810" w:type="dxa"/>
            <w:tcBorders>
              <w:top w:val="nil"/>
              <w:left w:val="single" w:color="000000" w:sz="4" w:space="0"/>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r>
              <w:rPr>
                <w:rFonts w:hint="eastAsia" w:hAnsi="宋体" w:cs="宋体"/>
                <w:color w:val="auto"/>
                <w:kern w:val="0"/>
                <w:szCs w:val="21"/>
                <w:highlight w:val="none"/>
              </w:rPr>
              <w:t>（1）</w:t>
            </w:r>
          </w:p>
        </w:tc>
        <w:tc>
          <w:tcPr>
            <w:tcW w:w="870"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r>
              <w:rPr>
                <w:rFonts w:hint="eastAsia" w:hAnsi="宋体" w:cs="宋体"/>
                <w:color w:val="auto"/>
                <w:kern w:val="0"/>
                <w:szCs w:val="21"/>
                <w:highlight w:val="none"/>
              </w:rPr>
              <w:t>（2）</w:t>
            </w:r>
          </w:p>
        </w:tc>
        <w:tc>
          <w:tcPr>
            <w:tcW w:w="855"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r>
              <w:rPr>
                <w:rFonts w:hint="eastAsia" w:hAnsi="宋体" w:cs="宋体"/>
                <w:color w:val="auto"/>
                <w:kern w:val="0"/>
                <w:szCs w:val="21"/>
                <w:highlight w:val="none"/>
              </w:rPr>
              <w:t>（3）</w:t>
            </w:r>
          </w:p>
        </w:tc>
        <w:tc>
          <w:tcPr>
            <w:tcW w:w="885"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r>
              <w:rPr>
                <w:rFonts w:hint="eastAsia" w:hAnsi="宋体" w:cs="宋体"/>
                <w:color w:val="auto"/>
                <w:kern w:val="0"/>
                <w:szCs w:val="21"/>
                <w:highlight w:val="none"/>
              </w:rPr>
              <w:t>（4）</w:t>
            </w:r>
          </w:p>
        </w:tc>
        <w:tc>
          <w:tcPr>
            <w:tcW w:w="795"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r>
              <w:rPr>
                <w:rFonts w:hint="eastAsia" w:hAnsi="宋体" w:cs="宋体"/>
                <w:color w:val="auto"/>
                <w:kern w:val="0"/>
                <w:szCs w:val="21"/>
                <w:highlight w:val="none"/>
              </w:rPr>
              <w:t>（5）</w:t>
            </w:r>
          </w:p>
        </w:tc>
        <w:tc>
          <w:tcPr>
            <w:tcW w:w="855"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r>
              <w:rPr>
                <w:rFonts w:hint="eastAsia" w:hAnsi="宋体" w:cs="宋体"/>
                <w:color w:val="auto"/>
                <w:kern w:val="0"/>
                <w:szCs w:val="21"/>
                <w:highlight w:val="none"/>
              </w:rPr>
              <w:t>（6）</w:t>
            </w:r>
          </w:p>
        </w:tc>
        <w:tc>
          <w:tcPr>
            <w:tcW w:w="930" w:type="dxa"/>
            <w:gridSpan w:val="2"/>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r>
              <w:rPr>
                <w:rFonts w:hint="eastAsia" w:hAnsi="宋体" w:cs="宋体"/>
                <w:color w:val="auto"/>
                <w:kern w:val="0"/>
                <w:szCs w:val="21"/>
                <w:highlight w:val="none"/>
              </w:rPr>
              <w:t>（7）</w:t>
            </w:r>
          </w:p>
        </w:tc>
        <w:tc>
          <w:tcPr>
            <w:tcW w:w="825"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r>
              <w:rPr>
                <w:rFonts w:hint="eastAsia" w:hAnsi="宋体" w:cs="宋体"/>
                <w:color w:val="auto"/>
                <w:kern w:val="0"/>
                <w:szCs w:val="21"/>
                <w:highlight w:val="none"/>
              </w:rPr>
              <w:t>（8）</w:t>
            </w:r>
          </w:p>
        </w:tc>
        <w:tc>
          <w:tcPr>
            <w:tcW w:w="870"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r>
              <w:rPr>
                <w:rFonts w:hint="eastAsia" w:hAnsi="宋体" w:cs="宋体"/>
                <w:color w:val="auto"/>
                <w:kern w:val="0"/>
                <w:szCs w:val="21"/>
                <w:highlight w:val="none"/>
              </w:rPr>
              <w:t>（9）</w:t>
            </w:r>
          </w:p>
        </w:tc>
        <w:tc>
          <w:tcPr>
            <w:tcW w:w="915" w:type="dxa"/>
            <w:tcBorders>
              <w:top w:val="nil"/>
              <w:left w:val="nil"/>
              <w:bottom w:val="single" w:color="000000" w:sz="4" w:space="0"/>
              <w:right w:val="single" w:color="auto"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r>
              <w:rPr>
                <w:rFonts w:hint="eastAsia" w:hAnsi="宋体" w:cs="宋体"/>
                <w:color w:val="auto"/>
                <w:kern w:val="0"/>
                <w:szCs w:val="21"/>
                <w:highlight w:val="none"/>
              </w:rPr>
              <w:t>（10）</w:t>
            </w:r>
          </w:p>
        </w:tc>
        <w:tc>
          <w:tcPr>
            <w:tcW w:w="855" w:type="dxa"/>
            <w:tcBorders>
              <w:top w:val="nil"/>
              <w:left w:val="nil"/>
              <w:bottom w:val="single" w:color="000000" w:sz="4" w:space="0"/>
              <w:right w:val="single" w:color="auto"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r>
              <w:rPr>
                <w:rFonts w:hint="eastAsia" w:hAnsi="宋体" w:cs="宋体"/>
                <w:color w:val="auto"/>
                <w:kern w:val="0"/>
                <w:szCs w:val="21"/>
                <w:highlight w:val="none"/>
              </w:rPr>
              <w:t>（11）</w:t>
            </w:r>
          </w:p>
        </w:tc>
        <w:tc>
          <w:tcPr>
            <w:tcW w:w="780" w:type="dxa"/>
            <w:tcBorders>
              <w:top w:val="nil"/>
              <w:left w:val="single" w:color="auto" w:sz="4" w:space="0"/>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r>
              <w:rPr>
                <w:rFonts w:hint="eastAsia" w:hAnsi="宋体" w:cs="宋体"/>
                <w:color w:val="auto"/>
                <w:kern w:val="0"/>
                <w:szCs w:val="21"/>
                <w:highlight w:val="none"/>
              </w:rPr>
              <w:t>（12）</w:t>
            </w:r>
          </w:p>
        </w:tc>
      </w:tr>
      <w:tr>
        <w:tblPrEx>
          <w:tblCellMar>
            <w:top w:w="0" w:type="dxa"/>
            <w:left w:w="108" w:type="dxa"/>
            <w:bottom w:w="0" w:type="dxa"/>
            <w:right w:w="108" w:type="dxa"/>
          </w:tblCellMar>
        </w:tblPrEx>
        <w:trPr>
          <w:trHeight w:val="285" w:hRule="atLeast"/>
        </w:trPr>
        <w:tc>
          <w:tcPr>
            <w:tcW w:w="810" w:type="dxa"/>
            <w:tcBorders>
              <w:top w:val="nil"/>
              <w:left w:val="single" w:color="000000" w:sz="4" w:space="0"/>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70"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55"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85"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795"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55"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930" w:type="dxa"/>
            <w:gridSpan w:val="2"/>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25"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70"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915" w:type="dxa"/>
            <w:tcBorders>
              <w:top w:val="nil"/>
              <w:left w:val="nil"/>
              <w:bottom w:val="single" w:color="000000" w:sz="4" w:space="0"/>
              <w:right w:val="single" w:color="auto"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55" w:type="dxa"/>
            <w:tcBorders>
              <w:top w:val="nil"/>
              <w:left w:val="nil"/>
              <w:bottom w:val="single" w:color="000000" w:sz="4" w:space="0"/>
              <w:right w:val="single" w:color="auto"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780" w:type="dxa"/>
            <w:tcBorders>
              <w:top w:val="nil"/>
              <w:left w:val="single" w:color="auto" w:sz="4" w:space="0"/>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r>
      <w:tr>
        <w:tblPrEx>
          <w:tblCellMar>
            <w:top w:w="0" w:type="dxa"/>
            <w:left w:w="108" w:type="dxa"/>
            <w:bottom w:w="0" w:type="dxa"/>
            <w:right w:w="108" w:type="dxa"/>
          </w:tblCellMar>
        </w:tblPrEx>
        <w:trPr>
          <w:trHeight w:val="285" w:hRule="atLeast"/>
        </w:trPr>
        <w:tc>
          <w:tcPr>
            <w:tcW w:w="810" w:type="dxa"/>
            <w:tcBorders>
              <w:top w:val="nil"/>
              <w:left w:val="single" w:color="000000" w:sz="4" w:space="0"/>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70"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55"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85"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795"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55"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930" w:type="dxa"/>
            <w:gridSpan w:val="2"/>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25"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70"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915" w:type="dxa"/>
            <w:tcBorders>
              <w:top w:val="nil"/>
              <w:left w:val="nil"/>
              <w:bottom w:val="single" w:color="000000" w:sz="4" w:space="0"/>
              <w:right w:val="single" w:color="auto"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55" w:type="dxa"/>
            <w:tcBorders>
              <w:top w:val="nil"/>
              <w:left w:val="nil"/>
              <w:bottom w:val="single" w:color="000000" w:sz="4" w:space="0"/>
              <w:right w:val="single" w:color="auto"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780" w:type="dxa"/>
            <w:tcBorders>
              <w:top w:val="nil"/>
              <w:left w:val="single" w:color="auto" w:sz="4" w:space="0"/>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r>
      <w:tr>
        <w:tblPrEx>
          <w:tblCellMar>
            <w:top w:w="0" w:type="dxa"/>
            <w:left w:w="108" w:type="dxa"/>
            <w:bottom w:w="0" w:type="dxa"/>
            <w:right w:w="108" w:type="dxa"/>
          </w:tblCellMar>
        </w:tblPrEx>
        <w:trPr>
          <w:trHeight w:val="285" w:hRule="atLeast"/>
        </w:trPr>
        <w:tc>
          <w:tcPr>
            <w:tcW w:w="810" w:type="dxa"/>
            <w:tcBorders>
              <w:top w:val="nil"/>
              <w:left w:val="single" w:color="000000" w:sz="4" w:space="0"/>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70"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55"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85"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795"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55"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930" w:type="dxa"/>
            <w:gridSpan w:val="2"/>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25"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70"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915" w:type="dxa"/>
            <w:tcBorders>
              <w:top w:val="nil"/>
              <w:left w:val="nil"/>
              <w:bottom w:val="single" w:color="000000" w:sz="4" w:space="0"/>
              <w:right w:val="single" w:color="auto"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55" w:type="dxa"/>
            <w:tcBorders>
              <w:top w:val="nil"/>
              <w:left w:val="nil"/>
              <w:bottom w:val="single" w:color="000000" w:sz="4" w:space="0"/>
              <w:right w:val="single" w:color="auto"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780" w:type="dxa"/>
            <w:tcBorders>
              <w:top w:val="nil"/>
              <w:left w:val="single" w:color="auto" w:sz="4" w:space="0"/>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r>
      <w:tr>
        <w:tblPrEx>
          <w:tblCellMar>
            <w:top w:w="0" w:type="dxa"/>
            <w:left w:w="108" w:type="dxa"/>
            <w:bottom w:w="0" w:type="dxa"/>
            <w:right w:w="108" w:type="dxa"/>
          </w:tblCellMar>
        </w:tblPrEx>
        <w:trPr>
          <w:trHeight w:val="450" w:hRule="atLeast"/>
        </w:trPr>
        <w:tc>
          <w:tcPr>
            <w:tcW w:w="810" w:type="dxa"/>
            <w:tcBorders>
              <w:top w:val="nil"/>
              <w:left w:val="single" w:color="000000" w:sz="4" w:space="0"/>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70"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55"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85"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795"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55"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930" w:type="dxa"/>
            <w:gridSpan w:val="2"/>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25"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70"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915" w:type="dxa"/>
            <w:tcBorders>
              <w:top w:val="nil"/>
              <w:left w:val="nil"/>
              <w:bottom w:val="single" w:color="000000" w:sz="4" w:space="0"/>
              <w:right w:val="single" w:color="auto"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55" w:type="dxa"/>
            <w:tcBorders>
              <w:top w:val="nil"/>
              <w:left w:val="nil"/>
              <w:bottom w:val="single" w:color="000000" w:sz="4" w:space="0"/>
              <w:right w:val="single" w:color="auto"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780" w:type="dxa"/>
            <w:tcBorders>
              <w:top w:val="nil"/>
              <w:left w:val="single" w:color="auto" w:sz="4" w:space="0"/>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r>
      <w:tr>
        <w:tblPrEx>
          <w:tblCellMar>
            <w:top w:w="0" w:type="dxa"/>
            <w:left w:w="108" w:type="dxa"/>
            <w:bottom w:w="0" w:type="dxa"/>
            <w:right w:w="108" w:type="dxa"/>
          </w:tblCellMar>
        </w:tblPrEx>
        <w:trPr>
          <w:trHeight w:val="285" w:hRule="atLeast"/>
        </w:trPr>
        <w:tc>
          <w:tcPr>
            <w:tcW w:w="810" w:type="dxa"/>
            <w:tcBorders>
              <w:top w:val="nil"/>
              <w:left w:val="single" w:color="000000" w:sz="4" w:space="0"/>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70"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55"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85"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795"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55"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930" w:type="dxa"/>
            <w:gridSpan w:val="2"/>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25"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70"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915" w:type="dxa"/>
            <w:tcBorders>
              <w:top w:val="nil"/>
              <w:left w:val="nil"/>
              <w:bottom w:val="single" w:color="000000" w:sz="4" w:space="0"/>
              <w:right w:val="single" w:color="auto"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55" w:type="dxa"/>
            <w:tcBorders>
              <w:top w:val="nil"/>
              <w:left w:val="nil"/>
              <w:bottom w:val="single" w:color="000000" w:sz="4" w:space="0"/>
              <w:right w:val="single" w:color="auto"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780" w:type="dxa"/>
            <w:tcBorders>
              <w:top w:val="nil"/>
              <w:left w:val="single" w:color="auto" w:sz="4" w:space="0"/>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r>
      <w:tr>
        <w:tblPrEx>
          <w:tblCellMar>
            <w:top w:w="0" w:type="dxa"/>
            <w:left w:w="108" w:type="dxa"/>
            <w:bottom w:w="0" w:type="dxa"/>
            <w:right w:w="108" w:type="dxa"/>
          </w:tblCellMar>
        </w:tblPrEx>
        <w:trPr>
          <w:trHeight w:val="285" w:hRule="atLeast"/>
        </w:trPr>
        <w:tc>
          <w:tcPr>
            <w:tcW w:w="810" w:type="dxa"/>
            <w:tcBorders>
              <w:top w:val="nil"/>
              <w:left w:val="single" w:color="000000" w:sz="4" w:space="0"/>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70"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55"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85"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795"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55"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930" w:type="dxa"/>
            <w:gridSpan w:val="2"/>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25"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70"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915" w:type="dxa"/>
            <w:tcBorders>
              <w:top w:val="nil"/>
              <w:left w:val="nil"/>
              <w:bottom w:val="single" w:color="000000" w:sz="4" w:space="0"/>
              <w:right w:val="single" w:color="auto"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55" w:type="dxa"/>
            <w:tcBorders>
              <w:top w:val="nil"/>
              <w:left w:val="nil"/>
              <w:bottom w:val="single" w:color="000000" w:sz="4" w:space="0"/>
              <w:right w:val="single" w:color="auto"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780" w:type="dxa"/>
            <w:tcBorders>
              <w:top w:val="nil"/>
              <w:left w:val="single" w:color="auto" w:sz="4" w:space="0"/>
              <w:bottom w:val="single" w:color="000000" w:sz="4" w:space="0"/>
              <w:right w:val="single" w:color="000000" w:sz="4" w:space="0"/>
            </w:tcBorders>
            <w:shd w:val="clear" w:color="auto" w:fill="FFFFFF"/>
            <w:noWrap w:val="0"/>
            <w:vAlign w:val="center"/>
          </w:tcPr>
          <w:p>
            <w:pPr>
              <w:spacing w:line="500" w:lineRule="exact"/>
              <w:jc w:val="center"/>
              <w:rPr>
                <w:rFonts w:hAnsi="宋体" w:cs="宋体"/>
                <w:color w:val="auto"/>
                <w:kern w:val="0"/>
                <w:szCs w:val="21"/>
                <w:highlight w:val="none"/>
              </w:rPr>
            </w:pPr>
          </w:p>
        </w:tc>
      </w:tr>
      <w:tr>
        <w:tblPrEx>
          <w:tblCellMar>
            <w:top w:w="0" w:type="dxa"/>
            <w:left w:w="108" w:type="dxa"/>
            <w:bottom w:w="0" w:type="dxa"/>
            <w:right w:w="108" w:type="dxa"/>
          </w:tblCellMar>
        </w:tblPrEx>
        <w:trPr>
          <w:trHeight w:val="285" w:hRule="atLeast"/>
        </w:trPr>
        <w:tc>
          <w:tcPr>
            <w:tcW w:w="810" w:type="dxa"/>
            <w:tcBorders>
              <w:top w:val="nil"/>
              <w:left w:val="single" w:color="000000" w:sz="4" w:space="0"/>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70"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55"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85"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795"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55"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930" w:type="dxa"/>
            <w:gridSpan w:val="2"/>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25"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70"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915" w:type="dxa"/>
            <w:tcBorders>
              <w:top w:val="nil"/>
              <w:left w:val="nil"/>
              <w:bottom w:val="single" w:color="000000" w:sz="4" w:space="0"/>
              <w:right w:val="single" w:color="auto"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55" w:type="dxa"/>
            <w:tcBorders>
              <w:top w:val="nil"/>
              <w:left w:val="nil"/>
              <w:bottom w:val="single" w:color="000000" w:sz="4" w:space="0"/>
              <w:right w:val="single" w:color="auto"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780" w:type="dxa"/>
            <w:tcBorders>
              <w:top w:val="nil"/>
              <w:left w:val="single" w:color="auto" w:sz="4" w:space="0"/>
              <w:bottom w:val="single" w:color="000000" w:sz="4" w:space="0"/>
              <w:right w:val="single" w:color="000000" w:sz="4" w:space="0"/>
            </w:tcBorders>
            <w:shd w:val="clear" w:color="auto" w:fill="FFFFFF"/>
            <w:noWrap w:val="0"/>
            <w:vAlign w:val="center"/>
          </w:tcPr>
          <w:p>
            <w:pPr>
              <w:spacing w:line="500" w:lineRule="exact"/>
              <w:jc w:val="center"/>
              <w:rPr>
                <w:rFonts w:hAnsi="宋体" w:cs="宋体"/>
                <w:color w:val="auto"/>
                <w:kern w:val="0"/>
                <w:szCs w:val="21"/>
                <w:highlight w:val="none"/>
              </w:rPr>
            </w:pPr>
          </w:p>
        </w:tc>
      </w:tr>
      <w:tr>
        <w:tblPrEx>
          <w:tblCellMar>
            <w:top w:w="0" w:type="dxa"/>
            <w:left w:w="108" w:type="dxa"/>
            <w:bottom w:w="0" w:type="dxa"/>
            <w:right w:w="108" w:type="dxa"/>
          </w:tblCellMar>
        </w:tblPrEx>
        <w:trPr>
          <w:trHeight w:val="285" w:hRule="atLeast"/>
        </w:trPr>
        <w:tc>
          <w:tcPr>
            <w:tcW w:w="810" w:type="dxa"/>
            <w:tcBorders>
              <w:top w:val="nil"/>
              <w:left w:val="single" w:color="000000" w:sz="4" w:space="0"/>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70"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55"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85"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795"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55"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930" w:type="dxa"/>
            <w:gridSpan w:val="2"/>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25"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70"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915" w:type="dxa"/>
            <w:tcBorders>
              <w:top w:val="nil"/>
              <w:left w:val="nil"/>
              <w:bottom w:val="single" w:color="000000" w:sz="4" w:space="0"/>
              <w:right w:val="single" w:color="auto"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55" w:type="dxa"/>
            <w:tcBorders>
              <w:top w:val="nil"/>
              <w:left w:val="nil"/>
              <w:bottom w:val="single" w:color="000000" w:sz="4" w:space="0"/>
              <w:right w:val="single" w:color="auto"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780" w:type="dxa"/>
            <w:tcBorders>
              <w:top w:val="nil"/>
              <w:left w:val="single" w:color="auto" w:sz="4" w:space="0"/>
              <w:bottom w:val="single" w:color="000000" w:sz="4" w:space="0"/>
              <w:right w:val="single" w:color="000000" w:sz="4" w:space="0"/>
            </w:tcBorders>
            <w:shd w:val="clear" w:color="auto" w:fill="FFFFFF"/>
            <w:noWrap w:val="0"/>
            <w:vAlign w:val="center"/>
          </w:tcPr>
          <w:p>
            <w:pPr>
              <w:spacing w:line="500" w:lineRule="exact"/>
              <w:jc w:val="center"/>
              <w:rPr>
                <w:rFonts w:hAnsi="宋体" w:cs="宋体"/>
                <w:color w:val="auto"/>
                <w:kern w:val="0"/>
                <w:szCs w:val="21"/>
                <w:highlight w:val="none"/>
              </w:rPr>
            </w:pPr>
          </w:p>
        </w:tc>
      </w:tr>
      <w:tr>
        <w:tblPrEx>
          <w:tblCellMar>
            <w:top w:w="0" w:type="dxa"/>
            <w:left w:w="108" w:type="dxa"/>
            <w:bottom w:w="0" w:type="dxa"/>
            <w:right w:w="108" w:type="dxa"/>
          </w:tblCellMar>
        </w:tblPrEx>
        <w:trPr>
          <w:trHeight w:val="285" w:hRule="atLeast"/>
        </w:trPr>
        <w:tc>
          <w:tcPr>
            <w:tcW w:w="810" w:type="dxa"/>
            <w:tcBorders>
              <w:top w:val="nil"/>
              <w:left w:val="single" w:color="000000" w:sz="4" w:space="0"/>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70"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55"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85"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795"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55"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930" w:type="dxa"/>
            <w:gridSpan w:val="2"/>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25"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70"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915" w:type="dxa"/>
            <w:tcBorders>
              <w:top w:val="nil"/>
              <w:left w:val="nil"/>
              <w:bottom w:val="single" w:color="000000" w:sz="4" w:space="0"/>
              <w:right w:val="single" w:color="auto"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55" w:type="dxa"/>
            <w:tcBorders>
              <w:top w:val="nil"/>
              <w:left w:val="nil"/>
              <w:bottom w:val="single" w:color="000000" w:sz="4" w:space="0"/>
              <w:right w:val="single" w:color="auto"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780" w:type="dxa"/>
            <w:tcBorders>
              <w:top w:val="nil"/>
              <w:left w:val="single" w:color="auto" w:sz="4" w:space="0"/>
              <w:bottom w:val="single" w:color="000000" w:sz="4" w:space="0"/>
              <w:right w:val="single" w:color="000000" w:sz="4" w:space="0"/>
            </w:tcBorders>
            <w:shd w:val="clear" w:color="auto" w:fill="FFFFFF"/>
            <w:noWrap w:val="0"/>
            <w:vAlign w:val="center"/>
          </w:tcPr>
          <w:p>
            <w:pPr>
              <w:spacing w:line="500" w:lineRule="exact"/>
              <w:jc w:val="center"/>
              <w:rPr>
                <w:rFonts w:hAnsi="宋体" w:cs="宋体"/>
                <w:color w:val="auto"/>
                <w:kern w:val="0"/>
                <w:szCs w:val="21"/>
                <w:highlight w:val="none"/>
              </w:rPr>
            </w:pPr>
          </w:p>
        </w:tc>
      </w:tr>
      <w:tr>
        <w:tblPrEx>
          <w:tblCellMar>
            <w:top w:w="0" w:type="dxa"/>
            <w:left w:w="108" w:type="dxa"/>
            <w:bottom w:w="0" w:type="dxa"/>
            <w:right w:w="108" w:type="dxa"/>
          </w:tblCellMar>
        </w:tblPrEx>
        <w:trPr>
          <w:trHeight w:val="285" w:hRule="atLeast"/>
        </w:trPr>
        <w:tc>
          <w:tcPr>
            <w:tcW w:w="810" w:type="dxa"/>
            <w:tcBorders>
              <w:top w:val="nil"/>
              <w:left w:val="single" w:color="000000" w:sz="4" w:space="0"/>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70"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55"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85"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795"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55"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930" w:type="dxa"/>
            <w:gridSpan w:val="2"/>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25"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70"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915" w:type="dxa"/>
            <w:tcBorders>
              <w:top w:val="nil"/>
              <w:left w:val="nil"/>
              <w:bottom w:val="single" w:color="000000" w:sz="4" w:space="0"/>
              <w:right w:val="single" w:color="auto"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55" w:type="dxa"/>
            <w:tcBorders>
              <w:top w:val="nil"/>
              <w:left w:val="nil"/>
              <w:bottom w:val="single" w:color="000000" w:sz="4" w:space="0"/>
              <w:right w:val="single" w:color="auto"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780" w:type="dxa"/>
            <w:tcBorders>
              <w:top w:val="nil"/>
              <w:left w:val="single" w:color="auto" w:sz="4" w:space="0"/>
              <w:bottom w:val="single" w:color="000000" w:sz="4" w:space="0"/>
              <w:right w:val="single" w:color="000000" w:sz="4" w:space="0"/>
            </w:tcBorders>
            <w:shd w:val="clear" w:color="auto" w:fill="FFFFFF"/>
            <w:noWrap w:val="0"/>
            <w:vAlign w:val="center"/>
          </w:tcPr>
          <w:p>
            <w:pPr>
              <w:spacing w:line="500" w:lineRule="exact"/>
              <w:jc w:val="center"/>
              <w:rPr>
                <w:rFonts w:hAnsi="宋体" w:cs="宋体"/>
                <w:color w:val="auto"/>
                <w:kern w:val="0"/>
                <w:szCs w:val="21"/>
                <w:highlight w:val="none"/>
              </w:rPr>
            </w:pPr>
          </w:p>
        </w:tc>
      </w:tr>
      <w:tr>
        <w:tblPrEx>
          <w:tblCellMar>
            <w:top w:w="0" w:type="dxa"/>
            <w:left w:w="108" w:type="dxa"/>
            <w:bottom w:w="0" w:type="dxa"/>
            <w:right w:w="108" w:type="dxa"/>
          </w:tblCellMar>
        </w:tblPrEx>
        <w:trPr>
          <w:trHeight w:val="285" w:hRule="atLeast"/>
        </w:trPr>
        <w:tc>
          <w:tcPr>
            <w:tcW w:w="810" w:type="dxa"/>
            <w:tcBorders>
              <w:top w:val="nil"/>
              <w:left w:val="single" w:color="000000" w:sz="4" w:space="0"/>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70"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55"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85"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795"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55"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930" w:type="dxa"/>
            <w:gridSpan w:val="2"/>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25"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70"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915" w:type="dxa"/>
            <w:tcBorders>
              <w:top w:val="nil"/>
              <w:left w:val="nil"/>
              <w:bottom w:val="single" w:color="000000" w:sz="4" w:space="0"/>
              <w:right w:val="single" w:color="auto"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55" w:type="dxa"/>
            <w:tcBorders>
              <w:top w:val="nil"/>
              <w:left w:val="nil"/>
              <w:bottom w:val="single" w:color="000000" w:sz="4" w:space="0"/>
              <w:right w:val="single" w:color="auto"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780" w:type="dxa"/>
            <w:tcBorders>
              <w:top w:val="nil"/>
              <w:left w:val="single" w:color="auto" w:sz="4" w:space="0"/>
              <w:bottom w:val="single" w:color="000000" w:sz="4" w:space="0"/>
              <w:right w:val="single" w:color="000000" w:sz="4" w:space="0"/>
            </w:tcBorders>
            <w:shd w:val="clear" w:color="auto" w:fill="FFFFFF"/>
            <w:noWrap w:val="0"/>
            <w:vAlign w:val="center"/>
          </w:tcPr>
          <w:p>
            <w:pPr>
              <w:spacing w:line="500" w:lineRule="exact"/>
              <w:jc w:val="center"/>
              <w:rPr>
                <w:rFonts w:hAnsi="宋体" w:cs="宋体"/>
                <w:color w:val="auto"/>
                <w:kern w:val="0"/>
                <w:szCs w:val="21"/>
                <w:highlight w:val="none"/>
              </w:rPr>
            </w:pPr>
          </w:p>
        </w:tc>
      </w:tr>
      <w:tr>
        <w:tblPrEx>
          <w:tblCellMar>
            <w:top w:w="0" w:type="dxa"/>
            <w:left w:w="108" w:type="dxa"/>
            <w:bottom w:w="0" w:type="dxa"/>
            <w:right w:w="108" w:type="dxa"/>
          </w:tblCellMar>
        </w:tblPrEx>
        <w:trPr>
          <w:trHeight w:val="285" w:hRule="atLeast"/>
        </w:trPr>
        <w:tc>
          <w:tcPr>
            <w:tcW w:w="810" w:type="dxa"/>
            <w:tcBorders>
              <w:top w:val="nil"/>
              <w:left w:val="single" w:color="000000" w:sz="4" w:space="0"/>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70"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55"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85"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795"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55"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930" w:type="dxa"/>
            <w:gridSpan w:val="2"/>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25"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70"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915" w:type="dxa"/>
            <w:tcBorders>
              <w:top w:val="nil"/>
              <w:left w:val="nil"/>
              <w:bottom w:val="single" w:color="000000" w:sz="4" w:space="0"/>
              <w:right w:val="single" w:color="auto"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55" w:type="dxa"/>
            <w:tcBorders>
              <w:top w:val="nil"/>
              <w:left w:val="nil"/>
              <w:bottom w:val="single" w:color="000000" w:sz="4" w:space="0"/>
              <w:right w:val="single" w:color="auto"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780" w:type="dxa"/>
            <w:tcBorders>
              <w:top w:val="nil"/>
              <w:left w:val="single" w:color="auto" w:sz="4" w:space="0"/>
              <w:bottom w:val="single" w:color="000000" w:sz="4" w:space="0"/>
              <w:right w:val="single" w:color="000000" w:sz="4" w:space="0"/>
            </w:tcBorders>
            <w:shd w:val="clear" w:color="auto" w:fill="FFFFFF"/>
            <w:noWrap w:val="0"/>
            <w:vAlign w:val="center"/>
          </w:tcPr>
          <w:p>
            <w:pPr>
              <w:spacing w:line="500" w:lineRule="exact"/>
              <w:jc w:val="center"/>
              <w:rPr>
                <w:rFonts w:hAnsi="宋体" w:cs="宋体"/>
                <w:color w:val="auto"/>
                <w:kern w:val="0"/>
                <w:szCs w:val="21"/>
                <w:highlight w:val="none"/>
              </w:rPr>
            </w:pPr>
          </w:p>
        </w:tc>
      </w:tr>
      <w:tr>
        <w:tblPrEx>
          <w:tblCellMar>
            <w:top w:w="0" w:type="dxa"/>
            <w:left w:w="108" w:type="dxa"/>
            <w:bottom w:w="0" w:type="dxa"/>
            <w:right w:w="108" w:type="dxa"/>
          </w:tblCellMar>
        </w:tblPrEx>
        <w:trPr>
          <w:trHeight w:val="285" w:hRule="atLeast"/>
        </w:trPr>
        <w:tc>
          <w:tcPr>
            <w:tcW w:w="810" w:type="dxa"/>
            <w:tcBorders>
              <w:top w:val="nil"/>
              <w:left w:val="single" w:color="000000" w:sz="4" w:space="0"/>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70"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55"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85"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795"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55"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930" w:type="dxa"/>
            <w:gridSpan w:val="2"/>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25"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70"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915" w:type="dxa"/>
            <w:tcBorders>
              <w:top w:val="nil"/>
              <w:left w:val="nil"/>
              <w:bottom w:val="single" w:color="000000" w:sz="4" w:space="0"/>
              <w:right w:val="single" w:color="auto"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55" w:type="dxa"/>
            <w:tcBorders>
              <w:top w:val="nil"/>
              <w:left w:val="nil"/>
              <w:bottom w:val="single" w:color="000000" w:sz="4" w:space="0"/>
              <w:right w:val="single" w:color="auto"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780" w:type="dxa"/>
            <w:tcBorders>
              <w:top w:val="nil"/>
              <w:left w:val="single" w:color="auto" w:sz="4" w:space="0"/>
              <w:bottom w:val="single" w:color="000000" w:sz="4" w:space="0"/>
              <w:right w:val="single" w:color="000000" w:sz="4" w:space="0"/>
            </w:tcBorders>
            <w:shd w:val="clear" w:color="auto" w:fill="FFFFFF"/>
            <w:noWrap w:val="0"/>
            <w:vAlign w:val="center"/>
          </w:tcPr>
          <w:p>
            <w:pPr>
              <w:spacing w:line="500" w:lineRule="exact"/>
              <w:jc w:val="center"/>
              <w:rPr>
                <w:rFonts w:hAnsi="宋体" w:cs="宋体"/>
                <w:color w:val="auto"/>
                <w:kern w:val="0"/>
                <w:szCs w:val="21"/>
                <w:highlight w:val="none"/>
              </w:rPr>
            </w:pPr>
          </w:p>
        </w:tc>
      </w:tr>
      <w:tr>
        <w:tblPrEx>
          <w:tblCellMar>
            <w:top w:w="0" w:type="dxa"/>
            <w:left w:w="108" w:type="dxa"/>
            <w:bottom w:w="0" w:type="dxa"/>
            <w:right w:w="108" w:type="dxa"/>
          </w:tblCellMar>
        </w:tblPrEx>
        <w:trPr>
          <w:trHeight w:val="285" w:hRule="atLeast"/>
        </w:trPr>
        <w:tc>
          <w:tcPr>
            <w:tcW w:w="810" w:type="dxa"/>
            <w:tcBorders>
              <w:top w:val="nil"/>
              <w:left w:val="single" w:color="000000" w:sz="4" w:space="0"/>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70"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55"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85"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795"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55"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930" w:type="dxa"/>
            <w:gridSpan w:val="2"/>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25"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70"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915" w:type="dxa"/>
            <w:tcBorders>
              <w:top w:val="nil"/>
              <w:left w:val="nil"/>
              <w:bottom w:val="single" w:color="000000" w:sz="4" w:space="0"/>
              <w:right w:val="single" w:color="auto"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55" w:type="dxa"/>
            <w:tcBorders>
              <w:top w:val="nil"/>
              <w:left w:val="nil"/>
              <w:bottom w:val="single" w:color="000000" w:sz="4" w:space="0"/>
              <w:right w:val="single" w:color="auto"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780" w:type="dxa"/>
            <w:tcBorders>
              <w:top w:val="nil"/>
              <w:left w:val="single" w:color="auto" w:sz="4" w:space="0"/>
              <w:bottom w:val="single" w:color="000000" w:sz="4" w:space="0"/>
              <w:right w:val="single" w:color="000000" w:sz="4" w:space="0"/>
            </w:tcBorders>
            <w:shd w:val="clear" w:color="auto" w:fill="FFFFFF"/>
            <w:noWrap w:val="0"/>
            <w:vAlign w:val="center"/>
          </w:tcPr>
          <w:p>
            <w:pPr>
              <w:spacing w:line="500" w:lineRule="exact"/>
              <w:jc w:val="center"/>
              <w:rPr>
                <w:rFonts w:hAnsi="宋体" w:cs="宋体"/>
                <w:color w:val="auto"/>
                <w:kern w:val="0"/>
                <w:szCs w:val="21"/>
                <w:highlight w:val="none"/>
              </w:rPr>
            </w:pPr>
          </w:p>
        </w:tc>
      </w:tr>
      <w:tr>
        <w:tblPrEx>
          <w:tblCellMar>
            <w:top w:w="0" w:type="dxa"/>
            <w:left w:w="108" w:type="dxa"/>
            <w:bottom w:w="0" w:type="dxa"/>
            <w:right w:w="108" w:type="dxa"/>
          </w:tblCellMar>
        </w:tblPrEx>
        <w:trPr>
          <w:trHeight w:val="285" w:hRule="atLeast"/>
        </w:trPr>
        <w:tc>
          <w:tcPr>
            <w:tcW w:w="810" w:type="dxa"/>
            <w:tcBorders>
              <w:top w:val="nil"/>
              <w:left w:val="single" w:color="000000" w:sz="4" w:space="0"/>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70"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55"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85"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795"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55"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930" w:type="dxa"/>
            <w:gridSpan w:val="2"/>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25"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70"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915" w:type="dxa"/>
            <w:tcBorders>
              <w:top w:val="nil"/>
              <w:left w:val="nil"/>
              <w:bottom w:val="single" w:color="000000" w:sz="4" w:space="0"/>
              <w:right w:val="single" w:color="auto"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55" w:type="dxa"/>
            <w:tcBorders>
              <w:top w:val="nil"/>
              <w:left w:val="nil"/>
              <w:bottom w:val="single" w:color="000000" w:sz="4" w:space="0"/>
              <w:right w:val="single" w:color="auto"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780" w:type="dxa"/>
            <w:tcBorders>
              <w:top w:val="nil"/>
              <w:left w:val="single" w:color="auto" w:sz="4" w:space="0"/>
              <w:bottom w:val="single" w:color="000000" w:sz="4" w:space="0"/>
              <w:right w:val="single" w:color="000000" w:sz="4" w:space="0"/>
            </w:tcBorders>
            <w:shd w:val="clear" w:color="auto" w:fill="FFFFFF"/>
            <w:noWrap w:val="0"/>
            <w:vAlign w:val="center"/>
          </w:tcPr>
          <w:p>
            <w:pPr>
              <w:spacing w:line="500" w:lineRule="exact"/>
              <w:jc w:val="center"/>
              <w:rPr>
                <w:rFonts w:hAnsi="宋体" w:cs="宋体"/>
                <w:color w:val="auto"/>
                <w:kern w:val="0"/>
                <w:szCs w:val="21"/>
                <w:highlight w:val="none"/>
              </w:rPr>
            </w:pPr>
          </w:p>
        </w:tc>
      </w:tr>
      <w:tr>
        <w:tblPrEx>
          <w:tblCellMar>
            <w:top w:w="0" w:type="dxa"/>
            <w:left w:w="108" w:type="dxa"/>
            <w:bottom w:w="0" w:type="dxa"/>
            <w:right w:w="108" w:type="dxa"/>
          </w:tblCellMar>
        </w:tblPrEx>
        <w:trPr>
          <w:trHeight w:val="285" w:hRule="atLeast"/>
        </w:trPr>
        <w:tc>
          <w:tcPr>
            <w:tcW w:w="810" w:type="dxa"/>
            <w:tcBorders>
              <w:top w:val="nil"/>
              <w:left w:val="single" w:color="000000" w:sz="4" w:space="0"/>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70"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55"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85"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795"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55"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930" w:type="dxa"/>
            <w:gridSpan w:val="2"/>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25"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70"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915" w:type="dxa"/>
            <w:tcBorders>
              <w:top w:val="nil"/>
              <w:left w:val="nil"/>
              <w:bottom w:val="single" w:color="000000" w:sz="4" w:space="0"/>
              <w:right w:val="single" w:color="auto"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55" w:type="dxa"/>
            <w:tcBorders>
              <w:top w:val="nil"/>
              <w:left w:val="nil"/>
              <w:bottom w:val="single" w:color="000000" w:sz="4" w:space="0"/>
              <w:right w:val="single" w:color="auto"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780" w:type="dxa"/>
            <w:tcBorders>
              <w:top w:val="nil"/>
              <w:left w:val="single" w:color="auto" w:sz="4" w:space="0"/>
              <w:bottom w:val="single" w:color="000000" w:sz="4" w:space="0"/>
              <w:right w:val="single" w:color="000000" w:sz="4" w:space="0"/>
            </w:tcBorders>
            <w:shd w:val="clear" w:color="auto" w:fill="FFFFFF"/>
            <w:noWrap w:val="0"/>
            <w:vAlign w:val="center"/>
          </w:tcPr>
          <w:p>
            <w:pPr>
              <w:spacing w:line="500" w:lineRule="exact"/>
              <w:jc w:val="center"/>
              <w:rPr>
                <w:rFonts w:hAnsi="宋体" w:cs="宋体"/>
                <w:color w:val="auto"/>
                <w:kern w:val="0"/>
                <w:szCs w:val="21"/>
                <w:highlight w:val="none"/>
              </w:rPr>
            </w:pPr>
          </w:p>
        </w:tc>
      </w:tr>
      <w:tr>
        <w:tblPrEx>
          <w:tblCellMar>
            <w:top w:w="0" w:type="dxa"/>
            <w:left w:w="108" w:type="dxa"/>
            <w:bottom w:w="0" w:type="dxa"/>
            <w:right w:w="108" w:type="dxa"/>
          </w:tblCellMar>
        </w:tblPrEx>
        <w:trPr>
          <w:trHeight w:val="285" w:hRule="atLeast"/>
        </w:trPr>
        <w:tc>
          <w:tcPr>
            <w:tcW w:w="5716" w:type="dxa"/>
            <w:gridSpan w:val="7"/>
            <w:tcBorders>
              <w:top w:val="nil"/>
              <w:left w:val="single" w:color="000000" w:sz="4" w:space="0"/>
              <w:bottom w:val="single" w:color="000000" w:sz="4" w:space="0"/>
              <w:right w:val="single" w:color="000000" w:sz="4" w:space="0"/>
            </w:tcBorders>
            <w:shd w:val="clear" w:color="auto" w:fill="FFFFFF"/>
            <w:noWrap w:val="0"/>
            <w:vAlign w:val="center"/>
          </w:tcPr>
          <w:p>
            <w:pPr>
              <w:widowControl/>
              <w:spacing w:line="500" w:lineRule="exact"/>
              <w:ind w:firstLine="2415" w:firstLineChars="1150"/>
              <w:jc w:val="center"/>
              <w:rPr>
                <w:rFonts w:hAnsi="宋体"/>
                <w:color w:val="auto"/>
                <w:szCs w:val="21"/>
                <w:highlight w:val="none"/>
              </w:rPr>
            </w:pPr>
            <w:r>
              <w:rPr>
                <w:rFonts w:hint="eastAsia" w:hAnsi="宋体"/>
                <w:color w:val="auto"/>
                <w:szCs w:val="21"/>
                <w:highlight w:val="none"/>
              </w:rPr>
              <w:t>合   计</w:t>
            </w:r>
          </w:p>
        </w:tc>
        <w:tc>
          <w:tcPr>
            <w:tcW w:w="1109" w:type="dxa"/>
            <w:gridSpan w:val="2"/>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70" w:type="dxa"/>
            <w:tcBorders>
              <w:top w:val="nil"/>
              <w:left w:val="nil"/>
              <w:bottom w:val="single" w:color="000000" w:sz="4" w:space="0"/>
              <w:right w:val="single" w:color="000000"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915" w:type="dxa"/>
            <w:tcBorders>
              <w:top w:val="nil"/>
              <w:left w:val="nil"/>
              <w:bottom w:val="single" w:color="000000" w:sz="4" w:space="0"/>
              <w:right w:val="single" w:color="auto"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855" w:type="dxa"/>
            <w:tcBorders>
              <w:top w:val="nil"/>
              <w:left w:val="nil"/>
              <w:bottom w:val="single" w:color="000000" w:sz="4" w:space="0"/>
              <w:right w:val="single" w:color="auto" w:sz="4" w:space="0"/>
            </w:tcBorders>
            <w:shd w:val="clear" w:color="auto" w:fill="FFFFFF"/>
            <w:noWrap w:val="0"/>
            <w:vAlign w:val="center"/>
          </w:tcPr>
          <w:p>
            <w:pPr>
              <w:widowControl/>
              <w:spacing w:line="500" w:lineRule="exact"/>
              <w:jc w:val="center"/>
              <w:rPr>
                <w:rFonts w:hAnsi="宋体" w:cs="宋体"/>
                <w:color w:val="auto"/>
                <w:kern w:val="0"/>
                <w:szCs w:val="21"/>
                <w:highlight w:val="none"/>
              </w:rPr>
            </w:pPr>
          </w:p>
        </w:tc>
        <w:tc>
          <w:tcPr>
            <w:tcW w:w="780" w:type="dxa"/>
            <w:tcBorders>
              <w:top w:val="nil"/>
              <w:left w:val="single" w:color="auto" w:sz="4" w:space="0"/>
              <w:bottom w:val="single" w:color="000000" w:sz="4" w:space="0"/>
              <w:right w:val="single" w:color="000000" w:sz="4" w:space="0"/>
            </w:tcBorders>
            <w:shd w:val="clear" w:color="auto" w:fill="FFFFFF"/>
            <w:noWrap w:val="0"/>
            <w:vAlign w:val="center"/>
          </w:tcPr>
          <w:p>
            <w:pPr>
              <w:spacing w:line="500" w:lineRule="exact"/>
              <w:jc w:val="center"/>
              <w:rPr>
                <w:rFonts w:hAnsi="宋体" w:cs="宋体"/>
                <w:color w:val="auto"/>
                <w:kern w:val="0"/>
                <w:szCs w:val="21"/>
                <w:highlight w:val="none"/>
              </w:rPr>
            </w:pPr>
          </w:p>
        </w:tc>
      </w:tr>
    </w:tbl>
    <w:p>
      <w:pPr>
        <w:spacing w:line="300" w:lineRule="exact"/>
        <w:rPr>
          <w:rFonts w:hAnsi="宋体"/>
          <w:color w:val="auto"/>
          <w:szCs w:val="21"/>
          <w:highlight w:val="none"/>
        </w:rPr>
      </w:pPr>
      <w:r>
        <w:rPr>
          <w:rFonts w:hint="eastAsia" w:hAnsi="宋体"/>
          <w:color w:val="auto"/>
          <w:szCs w:val="21"/>
          <w:highlight w:val="none"/>
        </w:rPr>
        <w:t>注：表中（1）（2）（3）（4）（5）（6）栏由招标人提供内容。（12）栏由招标人按需提出要求，如招标人需要</w:t>
      </w:r>
      <w:r>
        <w:rPr>
          <w:rFonts w:hint="eastAsia" w:hAnsi="宋体"/>
          <w:color w:val="auto"/>
          <w:szCs w:val="21"/>
          <w:highlight w:val="none"/>
          <w:lang w:val="en-US" w:eastAsia="zh-CN"/>
        </w:rPr>
        <w:t>响应</w:t>
      </w:r>
      <w:r>
        <w:rPr>
          <w:rFonts w:hint="eastAsia" w:hAnsi="宋体"/>
          <w:color w:val="auto"/>
          <w:szCs w:val="21"/>
          <w:highlight w:val="none"/>
        </w:rPr>
        <w:t>人提供清单项目综合单价的计算分析和工料机分析，请在（12）备注中明确。</w:t>
      </w:r>
    </w:p>
    <w:p>
      <w:pPr>
        <w:spacing w:line="500" w:lineRule="exact"/>
        <w:rPr>
          <w:rFonts w:hint="eastAsia" w:hAnsi="宋体"/>
          <w:color w:val="auto"/>
          <w:sz w:val="24"/>
          <w:highlight w:val="none"/>
        </w:rPr>
      </w:pPr>
      <w:r>
        <w:rPr>
          <w:rFonts w:hint="eastAsia" w:hAnsi="宋体"/>
          <w:color w:val="auto"/>
          <w:kern w:val="0"/>
          <w:sz w:val="24"/>
          <w:highlight w:val="none"/>
          <w:lang w:val="en-US" w:eastAsia="zh-CN"/>
        </w:rPr>
        <w:t>响应</w:t>
      </w:r>
      <w:r>
        <w:rPr>
          <w:rFonts w:hint="eastAsia" w:hAnsi="宋体"/>
          <w:color w:val="auto"/>
          <w:kern w:val="0"/>
          <w:sz w:val="24"/>
          <w:highlight w:val="none"/>
        </w:rPr>
        <w:t>人：（ 盖章）</w:t>
      </w:r>
      <w:r>
        <w:rPr>
          <w:rFonts w:hint="eastAsia" w:hAnsi="宋体"/>
          <w:color w:val="auto"/>
          <w:sz w:val="24"/>
          <w:highlight w:val="none"/>
        </w:rPr>
        <w:t xml:space="preserve">  </w:t>
      </w:r>
    </w:p>
    <w:p>
      <w:pPr>
        <w:spacing w:line="500" w:lineRule="exact"/>
        <w:rPr>
          <w:rFonts w:hint="eastAsia" w:hAnsi="宋体"/>
          <w:b/>
          <w:color w:val="auto"/>
          <w:szCs w:val="32"/>
          <w:highlight w:val="none"/>
        </w:rPr>
      </w:pPr>
      <w:r>
        <w:rPr>
          <w:rFonts w:hint="eastAsia" w:hAnsi="宋体"/>
          <w:color w:val="auto"/>
          <w:sz w:val="24"/>
          <w:highlight w:val="none"/>
        </w:rPr>
        <w:br w:type="page"/>
      </w:r>
    </w:p>
    <w:p>
      <w:pPr>
        <w:widowControl/>
        <w:tabs>
          <w:tab w:val="center" w:pos="4755"/>
          <w:tab w:val="right" w:pos="9070"/>
        </w:tabs>
        <w:spacing w:before="100" w:beforeAutospacing="1" w:after="100" w:afterAutospacing="1"/>
        <w:jc w:val="center"/>
        <w:rPr>
          <w:b/>
          <w:color w:val="auto"/>
          <w:sz w:val="28"/>
          <w:szCs w:val="28"/>
          <w:highlight w:val="none"/>
        </w:rPr>
      </w:pPr>
      <w:r>
        <w:rPr>
          <w:rFonts w:hint="eastAsia" w:hAnsi="宋体"/>
          <w:b/>
          <w:color w:val="auto"/>
          <w:sz w:val="28"/>
          <w:szCs w:val="28"/>
          <w:highlight w:val="none"/>
        </w:rPr>
        <w:t>表</w:t>
      </w:r>
      <w:r>
        <w:rPr>
          <w:rFonts w:hAnsi="宋体"/>
          <w:b/>
          <w:color w:val="auto"/>
          <w:sz w:val="28"/>
          <w:szCs w:val="28"/>
          <w:highlight w:val="none"/>
        </w:rPr>
        <w:t xml:space="preserve">1-3-A  </w:t>
      </w:r>
      <w:r>
        <w:rPr>
          <w:rFonts w:hint="eastAsia" w:hAnsi="宋体"/>
          <w:b/>
          <w:color w:val="auto"/>
          <w:sz w:val="28"/>
          <w:szCs w:val="28"/>
          <w:highlight w:val="none"/>
        </w:rPr>
        <w:t>组织措施项目（整体）清单及计价表</w:t>
      </w:r>
    </w:p>
    <w:p>
      <w:pPr>
        <w:widowControl/>
        <w:tabs>
          <w:tab w:val="center" w:pos="4755"/>
          <w:tab w:val="right" w:pos="9070"/>
        </w:tabs>
        <w:spacing w:before="100" w:beforeAutospacing="1" w:after="100" w:afterAutospacing="1"/>
        <w:jc w:val="left"/>
        <w:rPr>
          <w:color w:val="auto"/>
          <w:szCs w:val="21"/>
          <w:highlight w:val="none"/>
        </w:rPr>
      </w:pPr>
      <w:r>
        <w:rPr>
          <w:rFonts w:hint="eastAsia" w:hAnsi="宋体"/>
          <w:color w:val="auto"/>
          <w:szCs w:val="21"/>
          <w:highlight w:val="none"/>
        </w:rPr>
        <w:t>工程名称</w:t>
      </w:r>
      <w:r>
        <w:rPr>
          <w:rFonts w:hAnsi="宋体"/>
          <w:color w:val="auto"/>
          <w:szCs w:val="21"/>
          <w:highlight w:val="none"/>
        </w:rPr>
        <w:t xml:space="preserve">:                                                            </w:t>
      </w:r>
      <w:r>
        <w:rPr>
          <w:rFonts w:hint="eastAsia" w:hAnsi="宋体"/>
          <w:color w:val="auto"/>
          <w:szCs w:val="21"/>
          <w:highlight w:val="none"/>
        </w:rPr>
        <w:t>第页共页</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2590"/>
        <w:gridCol w:w="1080"/>
        <w:gridCol w:w="1080"/>
        <w:gridCol w:w="144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38" w:type="dxa"/>
            <w:noWrap w:val="0"/>
            <w:vAlign w:val="center"/>
          </w:tcPr>
          <w:p>
            <w:pPr>
              <w:widowControl/>
              <w:tabs>
                <w:tab w:val="center" w:pos="4755"/>
                <w:tab w:val="right" w:pos="9070"/>
              </w:tabs>
              <w:spacing w:before="100" w:beforeAutospacing="1" w:after="100" w:afterAutospacing="1"/>
              <w:jc w:val="center"/>
              <w:rPr>
                <w:color w:val="auto"/>
                <w:szCs w:val="21"/>
                <w:highlight w:val="none"/>
              </w:rPr>
            </w:pPr>
            <w:r>
              <w:rPr>
                <w:rFonts w:hint="eastAsia" w:hAnsi="宋体"/>
                <w:color w:val="auto"/>
                <w:szCs w:val="21"/>
                <w:highlight w:val="none"/>
              </w:rPr>
              <w:t>序号</w:t>
            </w:r>
          </w:p>
        </w:tc>
        <w:tc>
          <w:tcPr>
            <w:tcW w:w="2590" w:type="dxa"/>
            <w:noWrap w:val="0"/>
            <w:vAlign w:val="center"/>
          </w:tcPr>
          <w:p>
            <w:pPr>
              <w:widowControl/>
              <w:tabs>
                <w:tab w:val="center" w:pos="4755"/>
                <w:tab w:val="right" w:pos="9070"/>
              </w:tabs>
              <w:spacing w:before="100" w:beforeAutospacing="1" w:after="100" w:afterAutospacing="1"/>
              <w:jc w:val="center"/>
              <w:rPr>
                <w:color w:val="auto"/>
                <w:szCs w:val="21"/>
                <w:highlight w:val="none"/>
              </w:rPr>
            </w:pPr>
            <w:r>
              <w:rPr>
                <w:rFonts w:hint="eastAsia" w:hAnsi="宋体"/>
                <w:color w:val="auto"/>
                <w:szCs w:val="21"/>
                <w:highlight w:val="none"/>
              </w:rPr>
              <w:t>项目名称</w:t>
            </w:r>
          </w:p>
        </w:tc>
        <w:tc>
          <w:tcPr>
            <w:tcW w:w="1080" w:type="dxa"/>
            <w:noWrap w:val="0"/>
            <w:vAlign w:val="center"/>
          </w:tcPr>
          <w:p>
            <w:pPr>
              <w:widowControl/>
              <w:tabs>
                <w:tab w:val="center" w:pos="4755"/>
                <w:tab w:val="right" w:pos="9070"/>
              </w:tabs>
              <w:spacing w:before="100" w:beforeAutospacing="1" w:after="100" w:afterAutospacing="1"/>
              <w:jc w:val="center"/>
              <w:rPr>
                <w:color w:val="auto"/>
                <w:szCs w:val="21"/>
                <w:highlight w:val="none"/>
              </w:rPr>
            </w:pPr>
            <w:r>
              <w:rPr>
                <w:rFonts w:hint="eastAsia" w:hAnsi="宋体"/>
                <w:color w:val="auto"/>
                <w:szCs w:val="21"/>
                <w:highlight w:val="none"/>
              </w:rPr>
              <w:t>单位</w:t>
            </w:r>
          </w:p>
        </w:tc>
        <w:tc>
          <w:tcPr>
            <w:tcW w:w="1080" w:type="dxa"/>
            <w:noWrap w:val="0"/>
            <w:vAlign w:val="center"/>
          </w:tcPr>
          <w:p>
            <w:pPr>
              <w:widowControl/>
              <w:tabs>
                <w:tab w:val="center" w:pos="4755"/>
                <w:tab w:val="right" w:pos="9070"/>
              </w:tabs>
              <w:spacing w:before="100" w:beforeAutospacing="1" w:after="100" w:afterAutospacing="1"/>
              <w:jc w:val="center"/>
              <w:rPr>
                <w:color w:val="auto"/>
                <w:szCs w:val="21"/>
                <w:highlight w:val="none"/>
              </w:rPr>
            </w:pPr>
            <w:r>
              <w:rPr>
                <w:rFonts w:hint="eastAsia" w:hAnsi="宋体"/>
                <w:color w:val="auto"/>
                <w:szCs w:val="21"/>
                <w:highlight w:val="none"/>
              </w:rPr>
              <w:t>数量</w:t>
            </w:r>
          </w:p>
        </w:tc>
        <w:tc>
          <w:tcPr>
            <w:tcW w:w="1440" w:type="dxa"/>
            <w:noWrap w:val="0"/>
            <w:vAlign w:val="center"/>
          </w:tcPr>
          <w:p>
            <w:pPr>
              <w:widowControl/>
              <w:tabs>
                <w:tab w:val="center" w:pos="4755"/>
                <w:tab w:val="right" w:pos="9070"/>
              </w:tabs>
              <w:spacing w:before="100" w:beforeAutospacing="1" w:after="100" w:afterAutospacing="1"/>
              <w:jc w:val="center"/>
              <w:rPr>
                <w:rFonts w:hAnsi="宋体"/>
                <w:color w:val="auto"/>
                <w:szCs w:val="21"/>
                <w:highlight w:val="none"/>
              </w:rPr>
            </w:pPr>
            <w:r>
              <w:rPr>
                <w:rFonts w:hint="eastAsia" w:hAnsi="宋体"/>
                <w:color w:val="auto"/>
                <w:szCs w:val="21"/>
                <w:highlight w:val="none"/>
              </w:rPr>
              <w:t>金额</w:t>
            </w:r>
            <w:r>
              <w:rPr>
                <w:rFonts w:hAnsi="宋体"/>
                <w:color w:val="auto"/>
                <w:szCs w:val="21"/>
                <w:highlight w:val="none"/>
              </w:rPr>
              <w:t>(</w:t>
            </w:r>
            <w:r>
              <w:rPr>
                <w:rFonts w:hint="eastAsia" w:hAnsi="宋体"/>
                <w:color w:val="auto"/>
                <w:szCs w:val="21"/>
                <w:highlight w:val="none"/>
              </w:rPr>
              <w:t>元</w:t>
            </w:r>
            <w:r>
              <w:rPr>
                <w:rFonts w:hAnsi="宋体"/>
                <w:color w:val="auto"/>
                <w:szCs w:val="21"/>
                <w:highlight w:val="none"/>
              </w:rPr>
              <w:t>)</w:t>
            </w:r>
          </w:p>
        </w:tc>
        <w:tc>
          <w:tcPr>
            <w:tcW w:w="2700" w:type="dxa"/>
            <w:noWrap w:val="0"/>
            <w:vAlign w:val="center"/>
          </w:tcPr>
          <w:p>
            <w:pPr>
              <w:widowControl/>
              <w:tabs>
                <w:tab w:val="center" w:pos="4755"/>
                <w:tab w:val="right" w:pos="9070"/>
              </w:tabs>
              <w:spacing w:before="100" w:beforeAutospacing="1" w:after="100" w:afterAutospacing="1"/>
              <w:jc w:val="center"/>
              <w:rPr>
                <w:color w:val="auto"/>
                <w:szCs w:val="21"/>
                <w:highlight w:val="none"/>
              </w:rPr>
            </w:pPr>
            <w:r>
              <w:rPr>
                <w:rFonts w:hint="eastAsia" w:hAnsi="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3" w:hRule="atLeast"/>
        </w:trPr>
        <w:tc>
          <w:tcPr>
            <w:tcW w:w="938" w:type="dxa"/>
            <w:noWrap w:val="0"/>
            <w:vAlign w:val="top"/>
          </w:tcPr>
          <w:p>
            <w:pPr>
              <w:widowControl/>
              <w:tabs>
                <w:tab w:val="center" w:pos="4755"/>
                <w:tab w:val="right" w:pos="9070"/>
              </w:tabs>
              <w:spacing w:before="100" w:beforeAutospacing="1" w:after="100" w:afterAutospacing="1"/>
              <w:jc w:val="center"/>
              <w:rPr>
                <w:color w:val="auto"/>
                <w:szCs w:val="21"/>
                <w:highlight w:val="none"/>
              </w:rPr>
            </w:pPr>
            <w:r>
              <w:rPr>
                <w:rFonts w:hint="eastAsia" w:hAnsi="宋体"/>
                <w:color w:val="auto"/>
                <w:szCs w:val="21"/>
                <w:highlight w:val="none"/>
              </w:rPr>
              <w:t>（</w:t>
            </w:r>
            <w:r>
              <w:rPr>
                <w:rFonts w:hAnsi="宋体"/>
                <w:color w:val="auto"/>
                <w:szCs w:val="21"/>
                <w:highlight w:val="none"/>
              </w:rPr>
              <w:t>1</w:t>
            </w:r>
            <w:r>
              <w:rPr>
                <w:rFonts w:hint="eastAsia" w:hAnsi="宋体"/>
                <w:color w:val="auto"/>
                <w:szCs w:val="21"/>
                <w:highlight w:val="none"/>
              </w:rPr>
              <w:t>）</w:t>
            </w:r>
          </w:p>
          <w:p>
            <w:pPr>
              <w:widowControl/>
              <w:tabs>
                <w:tab w:val="center" w:pos="4755"/>
                <w:tab w:val="right" w:pos="9070"/>
              </w:tabs>
              <w:spacing w:before="100" w:beforeAutospacing="1" w:after="100" w:afterAutospacing="1"/>
              <w:jc w:val="center"/>
              <w:rPr>
                <w:color w:val="auto"/>
                <w:szCs w:val="21"/>
                <w:highlight w:val="none"/>
              </w:rPr>
            </w:pPr>
            <w:r>
              <w:rPr>
                <w:rFonts w:hint="eastAsia" w:hAnsi="宋体"/>
                <w:color w:val="auto"/>
                <w:szCs w:val="21"/>
                <w:highlight w:val="none"/>
              </w:rPr>
              <w:t>一</w:t>
            </w:r>
          </w:p>
          <w:p>
            <w:pPr>
              <w:widowControl/>
              <w:tabs>
                <w:tab w:val="center" w:pos="4755"/>
                <w:tab w:val="right" w:pos="9070"/>
              </w:tabs>
              <w:spacing w:before="100" w:beforeAutospacing="1" w:after="100" w:afterAutospacing="1"/>
              <w:jc w:val="center"/>
              <w:rPr>
                <w:color w:val="auto"/>
                <w:position w:val="-6"/>
                <w:szCs w:val="21"/>
                <w:highlight w:val="none"/>
              </w:rPr>
            </w:pPr>
            <w:r>
              <w:rPr>
                <w:rFonts w:hint="eastAsia" w:hAnsi="宋体"/>
                <w:color w:val="auto"/>
                <w:position w:val="-6"/>
                <w:szCs w:val="21"/>
                <w:highlight w:val="none"/>
              </w:rPr>
              <w:t>二</w:t>
            </w:r>
          </w:p>
          <w:p>
            <w:pPr>
              <w:widowControl/>
              <w:tabs>
                <w:tab w:val="center" w:pos="4755"/>
                <w:tab w:val="right" w:pos="9070"/>
              </w:tabs>
              <w:spacing w:before="100" w:beforeAutospacing="1" w:after="100" w:afterAutospacing="1"/>
              <w:jc w:val="center"/>
              <w:rPr>
                <w:rFonts w:hAnsi="宋体"/>
                <w:color w:val="auto"/>
                <w:position w:val="-6"/>
                <w:szCs w:val="21"/>
                <w:highlight w:val="none"/>
              </w:rPr>
            </w:pPr>
            <w:r>
              <w:rPr>
                <w:rFonts w:hAnsi="宋体"/>
                <w:color w:val="auto"/>
                <w:position w:val="-6"/>
                <w:szCs w:val="21"/>
                <w:highlight w:val="none"/>
              </w:rPr>
              <w:t>1</w:t>
            </w:r>
          </w:p>
          <w:p>
            <w:pPr>
              <w:widowControl/>
              <w:tabs>
                <w:tab w:val="center" w:pos="4755"/>
                <w:tab w:val="right" w:pos="9070"/>
              </w:tabs>
              <w:spacing w:before="100" w:beforeAutospacing="1" w:after="100" w:afterAutospacing="1"/>
              <w:jc w:val="center"/>
              <w:rPr>
                <w:rFonts w:hAnsi="宋体"/>
                <w:color w:val="auto"/>
                <w:position w:val="-6"/>
                <w:szCs w:val="21"/>
                <w:highlight w:val="none"/>
              </w:rPr>
            </w:pPr>
            <w:r>
              <w:rPr>
                <w:rFonts w:hAnsi="宋体"/>
                <w:color w:val="auto"/>
                <w:position w:val="-6"/>
                <w:szCs w:val="21"/>
                <w:highlight w:val="none"/>
              </w:rPr>
              <w:t>2</w:t>
            </w:r>
          </w:p>
          <w:p>
            <w:pPr>
              <w:widowControl/>
              <w:tabs>
                <w:tab w:val="center" w:pos="4755"/>
                <w:tab w:val="right" w:pos="9070"/>
              </w:tabs>
              <w:spacing w:before="100" w:beforeAutospacing="1" w:after="100" w:afterAutospacing="1"/>
              <w:jc w:val="center"/>
              <w:rPr>
                <w:rFonts w:hAnsi="宋体"/>
                <w:color w:val="auto"/>
                <w:position w:val="-6"/>
                <w:szCs w:val="21"/>
                <w:highlight w:val="none"/>
              </w:rPr>
            </w:pPr>
            <w:r>
              <w:rPr>
                <w:rFonts w:hAnsi="宋体"/>
                <w:color w:val="auto"/>
                <w:position w:val="-6"/>
                <w:szCs w:val="21"/>
                <w:highlight w:val="none"/>
              </w:rPr>
              <w:t>3</w:t>
            </w:r>
          </w:p>
          <w:p>
            <w:pPr>
              <w:widowControl/>
              <w:tabs>
                <w:tab w:val="center" w:pos="4755"/>
                <w:tab w:val="right" w:pos="9070"/>
              </w:tabs>
              <w:spacing w:before="100" w:beforeAutospacing="1" w:after="100" w:afterAutospacing="1"/>
              <w:jc w:val="center"/>
              <w:rPr>
                <w:rFonts w:hAnsi="宋体"/>
                <w:color w:val="auto"/>
                <w:position w:val="-6"/>
                <w:szCs w:val="21"/>
                <w:highlight w:val="none"/>
              </w:rPr>
            </w:pPr>
            <w:r>
              <w:rPr>
                <w:rFonts w:hAnsi="宋体"/>
                <w:color w:val="auto"/>
                <w:position w:val="-6"/>
                <w:szCs w:val="21"/>
                <w:highlight w:val="none"/>
              </w:rPr>
              <w:t>4</w:t>
            </w:r>
          </w:p>
          <w:p>
            <w:pPr>
              <w:widowControl/>
              <w:tabs>
                <w:tab w:val="center" w:pos="4755"/>
                <w:tab w:val="right" w:pos="9070"/>
              </w:tabs>
              <w:spacing w:before="100" w:beforeAutospacing="1" w:after="100" w:afterAutospacing="1"/>
              <w:jc w:val="center"/>
              <w:rPr>
                <w:color w:val="auto"/>
                <w:position w:val="-6"/>
                <w:szCs w:val="21"/>
                <w:highlight w:val="none"/>
              </w:rPr>
            </w:pPr>
          </w:p>
          <w:p>
            <w:pPr>
              <w:widowControl/>
              <w:tabs>
                <w:tab w:val="center" w:pos="4755"/>
                <w:tab w:val="right" w:pos="9070"/>
              </w:tabs>
              <w:spacing w:before="100" w:beforeAutospacing="1" w:after="100" w:afterAutospacing="1"/>
              <w:jc w:val="center"/>
              <w:rPr>
                <w:color w:val="auto"/>
                <w:position w:val="-6"/>
                <w:szCs w:val="21"/>
                <w:highlight w:val="none"/>
              </w:rPr>
            </w:pPr>
          </w:p>
          <w:p>
            <w:pPr>
              <w:widowControl/>
              <w:tabs>
                <w:tab w:val="center" w:pos="4755"/>
                <w:tab w:val="right" w:pos="9070"/>
              </w:tabs>
              <w:spacing w:before="100" w:beforeAutospacing="1" w:after="100" w:afterAutospacing="1"/>
              <w:jc w:val="center"/>
              <w:rPr>
                <w:color w:val="auto"/>
                <w:position w:val="-6"/>
                <w:szCs w:val="21"/>
                <w:highlight w:val="none"/>
              </w:rPr>
            </w:pPr>
          </w:p>
          <w:p>
            <w:pPr>
              <w:widowControl/>
              <w:tabs>
                <w:tab w:val="center" w:pos="4755"/>
                <w:tab w:val="right" w:pos="9070"/>
              </w:tabs>
              <w:spacing w:before="100" w:beforeAutospacing="1" w:after="100" w:afterAutospacing="1"/>
              <w:jc w:val="center"/>
              <w:rPr>
                <w:color w:val="auto"/>
                <w:position w:val="-6"/>
                <w:szCs w:val="21"/>
                <w:highlight w:val="none"/>
              </w:rPr>
            </w:pPr>
          </w:p>
        </w:tc>
        <w:tc>
          <w:tcPr>
            <w:tcW w:w="2590" w:type="dxa"/>
            <w:noWrap w:val="0"/>
            <w:vAlign w:val="top"/>
          </w:tcPr>
          <w:p>
            <w:pPr>
              <w:widowControl/>
              <w:tabs>
                <w:tab w:val="center" w:pos="4755"/>
                <w:tab w:val="right" w:pos="9070"/>
              </w:tabs>
              <w:adjustRightInd w:val="0"/>
              <w:spacing w:before="100" w:beforeAutospacing="1" w:after="100" w:afterAutospacing="1"/>
              <w:jc w:val="center"/>
              <w:rPr>
                <w:color w:val="auto"/>
                <w:spacing w:val="-16"/>
                <w:szCs w:val="21"/>
                <w:highlight w:val="none"/>
              </w:rPr>
            </w:pPr>
            <w:r>
              <w:rPr>
                <w:rFonts w:hint="eastAsia" w:hAnsi="宋体"/>
                <w:color w:val="auto"/>
                <w:spacing w:val="-16"/>
                <w:szCs w:val="21"/>
                <w:highlight w:val="none"/>
              </w:rPr>
              <w:t>（</w:t>
            </w:r>
            <w:r>
              <w:rPr>
                <w:rFonts w:hAnsi="宋体"/>
                <w:color w:val="auto"/>
                <w:spacing w:val="-16"/>
                <w:szCs w:val="21"/>
                <w:highlight w:val="none"/>
              </w:rPr>
              <w:t>2</w:t>
            </w:r>
            <w:r>
              <w:rPr>
                <w:rFonts w:hint="eastAsia" w:hAnsi="宋体"/>
                <w:color w:val="auto"/>
                <w:spacing w:val="-16"/>
                <w:szCs w:val="21"/>
                <w:highlight w:val="none"/>
              </w:rPr>
              <w:t>）</w:t>
            </w:r>
          </w:p>
          <w:p>
            <w:pPr>
              <w:widowControl/>
              <w:tabs>
                <w:tab w:val="center" w:pos="4755"/>
                <w:tab w:val="right" w:pos="9070"/>
              </w:tabs>
              <w:adjustRightInd w:val="0"/>
              <w:spacing w:before="100" w:beforeAutospacing="1" w:after="100" w:afterAutospacing="1"/>
              <w:rPr>
                <w:color w:val="auto"/>
                <w:szCs w:val="21"/>
                <w:highlight w:val="none"/>
              </w:rPr>
            </w:pPr>
            <w:r>
              <w:rPr>
                <w:rFonts w:hint="eastAsia" w:hAnsi="宋体"/>
                <w:color w:val="auto"/>
                <w:szCs w:val="21"/>
                <w:highlight w:val="none"/>
              </w:rPr>
              <w:t>安全文明施工措施项目</w:t>
            </w:r>
          </w:p>
          <w:p>
            <w:pPr>
              <w:widowControl/>
              <w:tabs>
                <w:tab w:val="center" w:pos="4755"/>
                <w:tab w:val="right" w:pos="9070"/>
              </w:tabs>
              <w:adjustRightInd w:val="0"/>
              <w:spacing w:before="100" w:beforeAutospacing="1" w:after="100" w:afterAutospacing="1"/>
              <w:rPr>
                <w:color w:val="auto"/>
                <w:szCs w:val="21"/>
                <w:highlight w:val="none"/>
              </w:rPr>
            </w:pPr>
            <w:r>
              <w:rPr>
                <w:rFonts w:hint="eastAsia" w:hAnsi="宋体"/>
                <w:color w:val="auto"/>
                <w:szCs w:val="21"/>
                <w:highlight w:val="none"/>
              </w:rPr>
              <w:t>其他组织措施项目</w:t>
            </w:r>
          </w:p>
          <w:p>
            <w:pPr>
              <w:widowControl/>
              <w:tabs>
                <w:tab w:val="center" w:pos="4755"/>
                <w:tab w:val="right" w:pos="9070"/>
              </w:tabs>
              <w:adjustRightInd w:val="0"/>
              <w:spacing w:before="100" w:beforeAutospacing="1" w:after="100" w:afterAutospacing="1"/>
              <w:rPr>
                <w:color w:val="auto"/>
                <w:szCs w:val="21"/>
                <w:highlight w:val="none"/>
              </w:rPr>
            </w:pPr>
            <w:r>
              <w:rPr>
                <w:rFonts w:hint="eastAsia" w:hAnsi="宋体"/>
                <w:color w:val="auto"/>
                <w:szCs w:val="21"/>
                <w:highlight w:val="none"/>
              </w:rPr>
              <w:t>提前竣工增加费</w:t>
            </w:r>
          </w:p>
          <w:p>
            <w:pPr>
              <w:widowControl/>
              <w:tabs>
                <w:tab w:val="center" w:pos="4755"/>
                <w:tab w:val="right" w:pos="9070"/>
              </w:tabs>
              <w:adjustRightInd w:val="0"/>
              <w:spacing w:before="100" w:beforeAutospacing="1" w:after="100" w:afterAutospacing="1"/>
              <w:rPr>
                <w:color w:val="auto"/>
                <w:spacing w:val="-16"/>
                <w:szCs w:val="21"/>
                <w:highlight w:val="none"/>
              </w:rPr>
            </w:pPr>
            <w:r>
              <w:rPr>
                <w:rFonts w:hint="eastAsia" w:hAnsi="宋体"/>
                <w:color w:val="auto"/>
                <w:spacing w:val="-16"/>
                <w:szCs w:val="21"/>
                <w:highlight w:val="none"/>
              </w:rPr>
              <w:t>二次搬运费</w:t>
            </w:r>
          </w:p>
          <w:p>
            <w:pPr>
              <w:widowControl/>
              <w:tabs>
                <w:tab w:val="center" w:pos="4755"/>
                <w:tab w:val="right" w:pos="9070"/>
              </w:tabs>
              <w:adjustRightInd w:val="0"/>
              <w:spacing w:before="100" w:beforeAutospacing="1" w:after="100" w:afterAutospacing="1"/>
              <w:rPr>
                <w:color w:val="auto"/>
                <w:spacing w:val="-16"/>
                <w:szCs w:val="21"/>
                <w:highlight w:val="none"/>
              </w:rPr>
            </w:pPr>
            <w:r>
              <w:rPr>
                <w:rFonts w:hint="eastAsia" w:hAnsi="宋体"/>
                <w:color w:val="auto"/>
                <w:spacing w:val="-16"/>
                <w:szCs w:val="21"/>
                <w:highlight w:val="none"/>
              </w:rPr>
              <w:t>冬雨季施工增加费</w:t>
            </w:r>
          </w:p>
          <w:p>
            <w:pPr>
              <w:widowControl/>
              <w:tabs>
                <w:tab w:val="center" w:pos="4755"/>
                <w:tab w:val="right" w:pos="9070"/>
              </w:tabs>
              <w:adjustRightInd w:val="0"/>
              <w:spacing w:before="100" w:beforeAutospacing="1" w:after="100" w:afterAutospacing="1"/>
              <w:rPr>
                <w:color w:val="auto"/>
                <w:spacing w:val="-16"/>
                <w:szCs w:val="21"/>
                <w:highlight w:val="none"/>
              </w:rPr>
            </w:pPr>
            <w:r>
              <w:rPr>
                <w:rFonts w:hint="eastAsia" w:hAnsi="宋体"/>
                <w:color w:val="auto"/>
                <w:spacing w:val="-16"/>
                <w:szCs w:val="21"/>
                <w:highlight w:val="none"/>
              </w:rPr>
              <w:t>行车、行人干扰增加费</w:t>
            </w:r>
          </w:p>
          <w:p>
            <w:pPr>
              <w:widowControl/>
              <w:tabs>
                <w:tab w:val="center" w:pos="4755"/>
                <w:tab w:val="right" w:pos="9070"/>
              </w:tabs>
              <w:adjustRightInd w:val="0"/>
              <w:spacing w:before="100" w:beforeAutospacing="1" w:after="100" w:afterAutospacing="1"/>
              <w:rPr>
                <w:color w:val="auto"/>
                <w:spacing w:val="-16"/>
                <w:szCs w:val="21"/>
                <w:highlight w:val="none"/>
              </w:rPr>
            </w:pPr>
          </w:p>
          <w:p>
            <w:pPr>
              <w:widowControl/>
              <w:tabs>
                <w:tab w:val="center" w:pos="4755"/>
                <w:tab w:val="right" w:pos="9070"/>
              </w:tabs>
              <w:adjustRightInd w:val="0"/>
              <w:spacing w:before="100" w:beforeAutospacing="1" w:after="100" w:afterAutospacing="1"/>
              <w:rPr>
                <w:color w:val="auto"/>
                <w:spacing w:val="-16"/>
                <w:szCs w:val="21"/>
                <w:highlight w:val="none"/>
              </w:rPr>
            </w:pPr>
          </w:p>
        </w:tc>
        <w:tc>
          <w:tcPr>
            <w:tcW w:w="1080" w:type="dxa"/>
            <w:noWrap w:val="0"/>
            <w:vAlign w:val="top"/>
          </w:tcPr>
          <w:p>
            <w:pPr>
              <w:widowControl/>
              <w:tabs>
                <w:tab w:val="center" w:pos="4755"/>
                <w:tab w:val="right" w:pos="9070"/>
              </w:tabs>
              <w:spacing w:before="100" w:beforeAutospacing="1" w:after="100" w:afterAutospacing="1"/>
              <w:jc w:val="center"/>
              <w:rPr>
                <w:color w:val="auto"/>
                <w:szCs w:val="21"/>
                <w:highlight w:val="none"/>
              </w:rPr>
            </w:pPr>
          </w:p>
        </w:tc>
        <w:tc>
          <w:tcPr>
            <w:tcW w:w="1080" w:type="dxa"/>
            <w:noWrap w:val="0"/>
            <w:vAlign w:val="top"/>
          </w:tcPr>
          <w:p>
            <w:pPr>
              <w:widowControl/>
              <w:tabs>
                <w:tab w:val="center" w:pos="4755"/>
                <w:tab w:val="right" w:pos="9070"/>
              </w:tabs>
              <w:spacing w:before="100" w:beforeAutospacing="1" w:after="100" w:afterAutospacing="1"/>
              <w:jc w:val="center"/>
              <w:rPr>
                <w:color w:val="auto"/>
                <w:szCs w:val="21"/>
                <w:highlight w:val="none"/>
              </w:rPr>
            </w:pPr>
          </w:p>
        </w:tc>
        <w:tc>
          <w:tcPr>
            <w:tcW w:w="1440" w:type="dxa"/>
            <w:noWrap w:val="0"/>
            <w:vAlign w:val="center"/>
          </w:tcPr>
          <w:p>
            <w:pPr>
              <w:widowControl/>
              <w:tabs>
                <w:tab w:val="center" w:pos="4755"/>
                <w:tab w:val="right" w:pos="9070"/>
              </w:tabs>
              <w:spacing w:before="100" w:beforeAutospacing="1" w:after="100" w:afterAutospacing="1"/>
              <w:jc w:val="center"/>
              <w:rPr>
                <w:color w:val="auto"/>
                <w:szCs w:val="21"/>
                <w:highlight w:val="none"/>
              </w:rPr>
            </w:pPr>
          </w:p>
        </w:tc>
        <w:tc>
          <w:tcPr>
            <w:tcW w:w="2700" w:type="dxa"/>
            <w:noWrap w:val="0"/>
            <w:vAlign w:val="top"/>
          </w:tcPr>
          <w:p>
            <w:pPr>
              <w:widowControl/>
              <w:tabs>
                <w:tab w:val="center" w:pos="4755"/>
                <w:tab w:val="right" w:pos="9070"/>
              </w:tabs>
              <w:spacing w:before="100" w:beforeAutospacing="1" w:after="100" w:afterAutospacing="1"/>
              <w:jc w:val="center"/>
              <w:rPr>
                <w:color w:val="auto"/>
                <w:szCs w:val="21"/>
                <w:highlight w:val="none"/>
              </w:rPr>
            </w:pPr>
          </w:p>
          <w:p>
            <w:pPr>
              <w:widowControl/>
              <w:tabs>
                <w:tab w:val="center" w:pos="4755"/>
                <w:tab w:val="right" w:pos="9070"/>
              </w:tabs>
              <w:spacing w:before="100" w:beforeAutospacing="1" w:after="100" w:afterAutospacing="1"/>
              <w:jc w:val="center"/>
              <w:rPr>
                <w:color w:val="auto"/>
                <w:szCs w:val="21"/>
                <w:highlight w:val="none"/>
              </w:rPr>
            </w:pPr>
            <w:r>
              <w:rPr>
                <w:rFonts w:hint="eastAsia" w:hAnsi="宋体"/>
                <w:color w:val="auto"/>
                <w:szCs w:val="21"/>
                <w:highlight w:val="none"/>
              </w:rPr>
              <w:t>提供分析清单（表</w:t>
            </w:r>
            <w:r>
              <w:rPr>
                <w:rFonts w:hAnsi="宋体"/>
                <w:color w:val="auto"/>
                <w:szCs w:val="21"/>
                <w:highlight w:val="none"/>
              </w:rPr>
              <w:t>1-3-A-1</w:t>
            </w:r>
            <w:r>
              <w:rPr>
                <w:rFonts w:hint="eastAsia" w:hAnsi="宋体"/>
                <w:color w:val="auto"/>
                <w:szCs w:val="21"/>
                <w:highlight w:val="none"/>
              </w:rPr>
              <w:t>）</w:t>
            </w:r>
          </w:p>
          <w:p>
            <w:pPr>
              <w:widowControl/>
              <w:tabs>
                <w:tab w:val="center" w:pos="4755"/>
                <w:tab w:val="right" w:pos="9070"/>
              </w:tabs>
              <w:spacing w:before="100" w:beforeAutospacing="1" w:after="100" w:afterAutospacing="1"/>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5688" w:type="dxa"/>
            <w:gridSpan w:val="4"/>
            <w:noWrap w:val="0"/>
            <w:vAlign w:val="center"/>
          </w:tcPr>
          <w:p>
            <w:pPr>
              <w:widowControl/>
              <w:tabs>
                <w:tab w:val="center" w:pos="4755"/>
                <w:tab w:val="right" w:pos="9070"/>
              </w:tabs>
              <w:spacing w:before="100" w:beforeAutospacing="1" w:after="100" w:afterAutospacing="1"/>
              <w:jc w:val="center"/>
              <w:rPr>
                <w:color w:val="auto"/>
                <w:szCs w:val="21"/>
                <w:highlight w:val="none"/>
              </w:rPr>
            </w:pPr>
            <w:r>
              <w:rPr>
                <w:rFonts w:hint="eastAsia" w:hAnsi="宋体"/>
                <w:color w:val="auto"/>
                <w:szCs w:val="21"/>
                <w:highlight w:val="none"/>
              </w:rPr>
              <w:t>合计</w:t>
            </w:r>
          </w:p>
        </w:tc>
        <w:tc>
          <w:tcPr>
            <w:tcW w:w="1440" w:type="dxa"/>
            <w:noWrap w:val="0"/>
            <w:vAlign w:val="top"/>
          </w:tcPr>
          <w:p>
            <w:pPr>
              <w:widowControl/>
              <w:tabs>
                <w:tab w:val="center" w:pos="4755"/>
                <w:tab w:val="right" w:pos="9070"/>
              </w:tabs>
              <w:spacing w:before="100" w:beforeAutospacing="1" w:after="100" w:afterAutospacing="1"/>
              <w:rPr>
                <w:color w:val="auto"/>
                <w:szCs w:val="21"/>
                <w:highlight w:val="none"/>
              </w:rPr>
            </w:pPr>
          </w:p>
        </w:tc>
        <w:tc>
          <w:tcPr>
            <w:tcW w:w="2700" w:type="dxa"/>
            <w:noWrap w:val="0"/>
            <w:vAlign w:val="top"/>
          </w:tcPr>
          <w:p>
            <w:pPr>
              <w:widowControl/>
              <w:tabs>
                <w:tab w:val="center" w:pos="4755"/>
                <w:tab w:val="right" w:pos="9070"/>
              </w:tabs>
              <w:spacing w:before="100" w:beforeAutospacing="1" w:after="100" w:afterAutospacing="1"/>
              <w:rPr>
                <w:color w:val="auto"/>
                <w:szCs w:val="21"/>
                <w:highlight w:val="none"/>
              </w:rPr>
            </w:pPr>
          </w:p>
        </w:tc>
      </w:tr>
    </w:tbl>
    <w:p>
      <w:pPr>
        <w:widowControl/>
        <w:tabs>
          <w:tab w:val="center" w:pos="4755"/>
          <w:tab w:val="right" w:pos="9070"/>
        </w:tabs>
        <w:jc w:val="left"/>
        <w:rPr>
          <w:color w:val="auto"/>
          <w:szCs w:val="21"/>
          <w:highlight w:val="none"/>
        </w:rPr>
      </w:pPr>
      <w:r>
        <w:rPr>
          <w:rFonts w:hint="eastAsia" w:hAnsi="宋体"/>
          <w:color w:val="auto"/>
          <w:szCs w:val="21"/>
          <w:highlight w:val="none"/>
        </w:rPr>
        <w:t>注：</w:t>
      </w:r>
      <w:r>
        <w:rPr>
          <w:rFonts w:hAnsi="宋体"/>
          <w:color w:val="auto"/>
          <w:szCs w:val="21"/>
          <w:highlight w:val="none"/>
        </w:rPr>
        <w:t>1.</w:t>
      </w:r>
      <w:r>
        <w:rPr>
          <w:rFonts w:hint="eastAsia" w:hAnsi="宋体"/>
          <w:color w:val="auto"/>
          <w:szCs w:val="21"/>
          <w:highlight w:val="none"/>
        </w:rPr>
        <w:t>表中列项供参考，（</w:t>
      </w:r>
      <w:r>
        <w:rPr>
          <w:rFonts w:hAnsi="宋体"/>
          <w:color w:val="auto"/>
          <w:szCs w:val="21"/>
          <w:highlight w:val="none"/>
        </w:rPr>
        <w:t>1</w:t>
      </w:r>
      <w:r>
        <w:rPr>
          <w:rFonts w:hint="eastAsia" w:hAnsi="宋体"/>
          <w:color w:val="auto"/>
          <w:szCs w:val="21"/>
          <w:highlight w:val="none"/>
        </w:rPr>
        <w:t>）、（</w:t>
      </w:r>
      <w:r>
        <w:rPr>
          <w:rFonts w:hAnsi="宋体"/>
          <w:color w:val="auto"/>
          <w:szCs w:val="21"/>
          <w:highlight w:val="none"/>
        </w:rPr>
        <w:t>2</w:t>
      </w:r>
      <w:r>
        <w:rPr>
          <w:rFonts w:hint="eastAsia" w:hAnsi="宋体"/>
          <w:color w:val="auto"/>
          <w:szCs w:val="21"/>
          <w:highlight w:val="none"/>
        </w:rPr>
        <w:t>）栏由招标人提供，</w:t>
      </w:r>
      <w:r>
        <w:rPr>
          <w:rFonts w:hint="eastAsia" w:hAnsi="宋体"/>
          <w:color w:val="auto"/>
          <w:szCs w:val="21"/>
          <w:highlight w:val="none"/>
          <w:lang w:val="en-US" w:eastAsia="zh-CN"/>
        </w:rPr>
        <w:t>响应</w:t>
      </w:r>
      <w:r>
        <w:rPr>
          <w:rFonts w:hint="eastAsia" w:hAnsi="宋体"/>
          <w:color w:val="auto"/>
          <w:szCs w:val="21"/>
          <w:highlight w:val="none"/>
        </w:rPr>
        <w:t>人可按工程实际作补充。</w:t>
      </w:r>
    </w:p>
    <w:p>
      <w:pPr>
        <w:widowControl/>
        <w:tabs>
          <w:tab w:val="center" w:pos="4755"/>
          <w:tab w:val="right" w:pos="9070"/>
        </w:tabs>
        <w:ind w:firstLine="420" w:firstLineChars="200"/>
        <w:jc w:val="left"/>
        <w:rPr>
          <w:color w:val="auto"/>
          <w:szCs w:val="21"/>
          <w:highlight w:val="none"/>
        </w:rPr>
      </w:pPr>
      <w:r>
        <w:rPr>
          <w:rFonts w:hAnsi="宋体"/>
          <w:color w:val="auto"/>
          <w:szCs w:val="21"/>
          <w:highlight w:val="none"/>
        </w:rPr>
        <w:t>2.</w:t>
      </w:r>
      <w:r>
        <w:rPr>
          <w:rFonts w:hint="eastAsia" w:hAnsi="宋体"/>
          <w:color w:val="auto"/>
          <w:szCs w:val="21"/>
          <w:highlight w:val="none"/>
        </w:rPr>
        <w:t>措施项目应分整体措施项目和专业工程措施项目，安全文明施工措施项目（包括环境保护、文明施工、安全施工、临时设施）以及工程定位复测费应按招标项目整体报价，其他组织措施项目由</w:t>
      </w:r>
      <w:r>
        <w:rPr>
          <w:rFonts w:hint="eastAsia" w:hAnsi="宋体"/>
          <w:color w:val="auto"/>
          <w:szCs w:val="21"/>
          <w:highlight w:val="none"/>
          <w:lang w:val="en-US" w:eastAsia="zh-CN"/>
        </w:rPr>
        <w:t>响应</w:t>
      </w:r>
      <w:r>
        <w:rPr>
          <w:rFonts w:hint="eastAsia" w:hAnsi="宋体"/>
          <w:color w:val="auto"/>
          <w:szCs w:val="21"/>
          <w:highlight w:val="none"/>
        </w:rPr>
        <w:t>人根据工程实际自行决定按整体项目还是按专业工程清单报价（专业工程组织措施项目清单见表</w:t>
      </w:r>
      <w:r>
        <w:rPr>
          <w:rFonts w:hAnsi="宋体"/>
          <w:color w:val="auto"/>
          <w:szCs w:val="21"/>
          <w:highlight w:val="none"/>
        </w:rPr>
        <w:t>1-3-B</w:t>
      </w:r>
      <w:r>
        <w:rPr>
          <w:rFonts w:hint="eastAsia" w:hAnsi="宋体"/>
          <w:color w:val="auto"/>
          <w:szCs w:val="21"/>
          <w:highlight w:val="none"/>
        </w:rPr>
        <w:t>）。</w:t>
      </w:r>
    </w:p>
    <w:p>
      <w:pPr>
        <w:widowControl/>
        <w:tabs>
          <w:tab w:val="center" w:pos="4755"/>
          <w:tab w:val="right" w:pos="9070"/>
        </w:tabs>
        <w:ind w:firstLine="420" w:firstLineChars="200"/>
        <w:jc w:val="left"/>
        <w:rPr>
          <w:rFonts w:hAnsi="宋体"/>
          <w:color w:val="auto"/>
          <w:szCs w:val="21"/>
          <w:highlight w:val="none"/>
        </w:rPr>
      </w:pPr>
      <w:r>
        <w:rPr>
          <w:rFonts w:hAnsi="宋体"/>
          <w:color w:val="auto"/>
          <w:szCs w:val="21"/>
          <w:highlight w:val="none"/>
        </w:rPr>
        <w:t>3.</w:t>
      </w:r>
      <w:r>
        <w:rPr>
          <w:rFonts w:hint="eastAsia" w:hAnsi="宋体"/>
          <w:color w:val="auto"/>
          <w:szCs w:val="21"/>
          <w:highlight w:val="none"/>
        </w:rPr>
        <w:t>专业工程组织措施项目清单表</w:t>
      </w:r>
      <w:r>
        <w:rPr>
          <w:rFonts w:hAnsi="宋体"/>
          <w:color w:val="auto"/>
          <w:szCs w:val="21"/>
          <w:highlight w:val="none"/>
        </w:rPr>
        <w:t>1-3-B</w:t>
      </w:r>
      <w:r>
        <w:rPr>
          <w:rFonts w:hint="eastAsia" w:hAnsi="宋体"/>
          <w:color w:val="auto"/>
          <w:szCs w:val="21"/>
          <w:highlight w:val="none"/>
        </w:rPr>
        <w:t>中已报价的组织措施费不得与整体组织措施项目清单表</w:t>
      </w:r>
      <w:r>
        <w:rPr>
          <w:rFonts w:hAnsi="宋体"/>
          <w:color w:val="auto"/>
          <w:szCs w:val="21"/>
          <w:highlight w:val="none"/>
        </w:rPr>
        <w:t>1-3-A</w:t>
      </w:r>
      <w:r>
        <w:rPr>
          <w:rFonts w:hint="eastAsia" w:hAnsi="宋体"/>
          <w:color w:val="auto"/>
          <w:szCs w:val="21"/>
          <w:highlight w:val="none"/>
        </w:rPr>
        <w:t>中的其他组织措施项目重复报价。</w:t>
      </w:r>
    </w:p>
    <w:p>
      <w:pPr>
        <w:widowControl/>
        <w:tabs>
          <w:tab w:val="center" w:pos="4755"/>
          <w:tab w:val="right" w:pos="9070"/>
        </w:tabs>
        <w:spacing w:before="100" w:beforeAutospacing="1" w:after="100" w:afterAutospacing="1"/>
        <w:jc w:val="both"/>
        <w:rPr>
          <w:rFonts w:hint="eastAsia" w:hAnsi="宋体"/>
          <w:color w:val="auto"/>
          <w:sz w:val="24"/>
          <w:highlight w:val="none"/>
        </w:rPr>
      </w:pPr>
      <w:r>
        <w:rPr>
          <w:rFonts w:hint="eastAsia" w:hAnsi="宋体"/>
          <w:color w:val="auto"/>
          <w:kern w:val="0"/>
          <w:sz w:val="24"/>
          <w:highlight w:val="none"/>
          <w:lang w:val="en-US" w:eastAsia="zh-CN"/>
        </w:rPr>
        <w:t>响应</w:t>
      </w:r>
      <w:r>
        <w:rPr>
          <w:rFonts w:hint="eastAsia" w:hAnsi="宋体"/>
          <w:color w:val="auto"/>
          <w:kern w:val="0"/>
          <w:sz w:val="24"/>
          <w:highlight w:val="none"/>
        </w:rPr>
        <w:t>人：（ 盖章）</w:t>
      </w:r>
      <w:r>
        <w:rPr>
          <w:rFonts w:hint="eastAsia" w:hAnsi="宋体"/>
          <w:color w:val="auto"/>
          <w:sz w:val="24"/>
          <w:highlight w:val="none"/>
        </w:rPr>
        <w:t xml:space="preserve">    </w:t>
      </w:r>
    </w:p>
    <w:p>
      <w:pPr>
        <w:pStyle w:val="797"/>
        <w:rPr>
          <w:rFonts w:hint="eastAsia" w:hAnsi="宋体"/>
          <w:b/>
          <w:color w:val="auto"/>
          <w:sz w:val="28"/>
          <w:szCs w:val="28"/>
          <w:highlight w:val="none"/>
        </w:rPr>
      </w:pPr>
      <w:r>
        <w:rPr>
          <w:rFonts w:hint="eastAsia"/>
          <w:color w:val="auto"/>
          <w:highlight w:val="none"/>
        </w:rPr>
        <w:br w:type="page"/>
      </w:r>
    </w:p>
    <w:p>
      <w:pPr>
        <w:widowControl/>
        <w:tabs>
          <w:tab w:val="center" w:pos="4755"/>
          <w:tab w:val="right" w:pos="9070"/>
        </w:tabs>
        <w:spacing w:before="100" w:beforeAutospacing="1" w:after="100" w:afterAutospacing="1"/>
        <w:jc w:val="center"/>
        <w:rPr>
          <w:b/>
          <w:color w:val="auto"/>
          <w:sz w:val="28"/>
          <w:szCs w:val="28"/>
          <w:highlight w:val="none"/>
        </w:rPr>
      </w:pPr>
      <w:r>
        <w:rPr>
          <w:rFonts w:hint="eastAsia" w:hAnsi="宋体"/>
          <w:b/>
          <w:color w:val="auto"/>
          <w:sz w:val="28"/>
          <w:szCs w:val="28"/>
          <w:highlight w:val="none"/>
        </w:rPr>
        <w:t>表</w:t>
      </w:r>
      <w:r>
        <w:rPr>
          <w:rFonts w:hAnsi="宋体"/>
          <w:b/>
          <w:color w:val="auto"/>
          <w:sz w:val="28"/>
          <w:szCs w:val="28"/>
          <w:highlight w:val="none"/>
        </w:rPr>
        <w:t xml:space="preserve">1-3-B  </w:t>
      </w:r>
      <w:r>
        <w:rPr>
          <w:rFonts w:hint="eastAsia" w:hAnsi="宋体"/>
          <w:b/>
          <w:color w:val="auto"/>
          <w:sz w:val="28"/>
          <w:szCs w:val="28"/>
          <w:highlight w:val="none"/>
        </w:rPr>
        <w:t>组织措施项目（专业工程）清单及计价表</w:t>
      </w:r>
    </w:p>
    <w:p>
      <w:pPr>
        <w:keepNext w:val="0"/>
        <w:keepLines w:val="0"/>
        <w:pageBreakBefore w:val="0"/>
        <w:widowControl/>
        <w:tabs>
          <w:tab w:val="center" w:pos="4755"/>
          <w:tab w:val="right" w:pos="9070"/>
        </w:tabs>
        <w:kinsoku/>
        <w:wordWrap/>
        <w:overflowPunct/>
        <w:topLinePunct w:val="0"/>
        <w:autoSpaceDE/>
        <w:autoSpaceDN/>
        <w:bidi w:val="0"/>
        <w:adjustRightInd w:val="0"/>
        <w:snapToGrid/>
        <w:spacing w:line="400" w:lineRule="exact"/>
        <w:ind w:left="0" w:hanging="6480" w:hangingChars="2700"/>
        <w:jc w:val="left"/>
        <w:textAlignment w:val="auto"/>
        <w:rPr>
          <w:color w:val="auto"/>
          <w:sz w:val="24"/>
          <w:szCs w:val="24"/>
          <w:highlight w:val="none"/>
        </w:rPr>
      </w:pPr>
      <w:r>
        <w:rPr>
          <w:rFonts w:hint="eastAsia" w:hAnsi="宋体"/>
          <w:color w:val="auto"/>
          <w:sz w:val="24"/>
          <w:szCs w:val="24"/>
          <w:highlight w:val="none"/>
        </w:rPr>
        <w:t>工程名称</w:t>
      </w:r>
      <w:r>
        <w:rPr>
          <w:rFonts w:hAnsi="宋体"/>
          <w:color w:val="auto"/>
          <w:sz w:val="24"/>
          <w:szCs w:val="24"/>
          <w:highlight w:val="none"/>
        </w:rPr>
        <w:t xml:space="preserve">:                                            </w:t>
      </w:r>
    </w:p>
    <w:p>
      <w:pPr>
        <w:keepNext w:val="0"/>
        <w:keepLines w:val="0"/>
        <w:pageBreakBefore w:val="0"/>
        <w:widowControl/>
        <w:tabs>
          <w:tab w:val="center" w:pos="4755"/>
          <w:tab w:val="right" w:pos="9070"/>
        </w:tabs>
        <w:kinsoku/>
        <w:wordWrap/>
        <w:overflowPunct/>
        <w:topLinePunct w:val="0"/>
        <w:autoSpaceDE/>
        <w:autoSpaceDN/>
        <w:bidi w:val="0"/>
        <w:adjustRightInd w:val="0"/>
        <w:snapToGrid/>
        <w:spacing w:line="400" w:lineRule="exact"/>
        <w:ind w:left="0" w:hanging="6480" w:hangingChars="2700"/>
        <w:jc w:val="left"/>
        <w:textAlignment w:val="auto"/>
        <w:rPr>
          <w:color w:val="auto"/>
          <w:sz w:val="24"/>
          <w:szCs w:val="24"/>
          <w:highlight w:val="none"/>
        </w:rPr>
      </w:pPr>
      <w:r>
        <w:rPr>
          <w:rFonts w:hint="eastAsia" w:hAnsi="宋体"/>
          <w:color w:val="auto"/>
          <w:sz w:val="24"/>
          <w:szCs w:val="24"/>
          <w:highlight w:val="none"/>
        </w:rPr>
        <w:t>单位工程及专业工程名称：</w:t>
      </w:r>
      <w:r>
        <w:rPr>
          <w:rFonts w:hint="eastAsia" w:hAnsi="宋体"/>
          <w:color w:val="auto"/>
          <w:sz w:val="24"/>
          <w:szCs w:val="24"/>
          <w:highlight w:val="none"/>
          <w:lang w:val="en-US" w:eastAsia="zh-CN"/>
        </w:rPr>
        <w:t xml:space="preserve">                                          </w:t>
      </w:r>
      <w:r>
        <w:rPr>
          <w:rFonts w:hint="eastAsia" w:hAnsi="宋体"/>
          <w:color w:val="auto"/>
          <w:sz w:val="24"/>
          <w:szCs w:val="24"/>
          <w:highlight w:val="none"/>
        </w:rPr>
        <w:t>第</w:t>
      </w:r>
      <w:r>
        <w:rPr>
          <w:rFonts w:hint="eastAsia" w:hAnsi="宋体"/>
          <w:color w:val="auto"/>
          <w:sz w:val="24"/>
          <w:szCs w:val="24"/>
          <w:highlight w:val="none"/>
          <w:lang w:val="en-US" w:eastAsia="zh-CN"/>
        </w:rPr>
        <w:t xml:space="preserve">  </w:t>
      </w:r>
      <w:r>
        <w:rPr>
          <w:rFonts w:hint="eastAsia" w:hAnsi="宋体"/>
          <w:color w:val="auto"/>
          <w:sz w:val="24"/>
          <w:szCs w:val="24"/>
          <w:highlight w:val="none"/>
        </w:rPr>
        <w:t>页</w:t>
      </w:r>
      <w:r>
        <w:rPr>
          <w:rFonts w:hint="eastAsia" w:hAnsi="宋体"/>
          <w:color w:val="auto"/>
          <w:sz w:val="24"/>
          <w:szCs w:val="24"/>
          <w:highlight w:val="none"/>
          <w:lang w:val="en-US" w:eastAsia="zh-CN"/>
        </w:rPr>
        <w:t xml:space="preserve"> </w:t>
      </w:r>
      <w:r>
        <w:rPr>
          <w:rFonts w:hint="eastAsia" w:hAnsi="宋体"/>
          <w:color w:val="auto"/>
          <w:sz w:val="24"/>
          <w:szCs w:val="24"/>
          <w:highlight w:val="none"/>
        </w:rPr>
        <w:t>共</w:t>
      </w:r>
      <w:r>
        <w:rPr>
          <w:rFonts w:hint="eastAsia" w:hAnsi="宋体"/>
          <w:color w:val="auto"/>
          <w:sz w:val="24"/>
          <w:szCs w:val="24"/>
          <w:highlight w:val="none"/>
          <w:lang w:val="en-US" w:eastAsia="zh-CN"/>
        </w:rPr>
        <w:t xml:space="preserve">  </w:t>
      </w:r>
      <w:r>
        <w:rPr>
          <w:rFonts w:hint="eastAsia" w:hAnsi="宋体"/>
          <w:color w:val="auto"/>
          <w:sz w:val="24"/>
          <w:szCs w:val="24"/>
          <w:highlight w:val="none"/>
        </w:rPr>
        <w:t>页</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
        <w:gridCol w:w="2340"/>
        <w:gridCol w:w="1057"/>
        <w:gridCol w:w="921"/>
        <w:gridCol w:w="1789"/>
        <w:gridCol w:w="2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2" w:type="dxa"/>
            <w:noWrap w:val="0"/>
            <w:vAlign w:val="center"/>
          </w:tcPr>
          <w:p>
            <w:pPr>
              <w:widowControl/>
              <w:tabs>
                <w:tab w:val="center" w:pos="4755"/>
                <w:tab w:val="right" w:pos="9070"/>
              </w:tabs>
              <w:spacing w:before="100" w:beforeAutospacing="1" w:after="100" w:afterAutospacing="1"/>
              <w:jc w:val="center"/>
              <w:rPr>
                <w:color w:val="auto"/>
                <w:szCs w:val="21"/>
                <w:highlight w:val="none"/>
              </w:rPr>
            </w:pPr>
            <w:r>
              <w:rPr>
                <w:rFonts w:hint="eastAsia" w:hAnsi="宋体"/>
                <w:color w:val="auto"/>
                <w:szCs w:val="21"/>
                <w:highlight w:val="none"/>
              </w:rPr>
              <w:t>序号</w:t>
            </w:r>
          </w:p>
        </w:tc>
        <w:tc>
          <w:tcPr>
            <w:tcW w:w="2340" w:type="dxa"/>
            <w:noWrap w:val="0"/>
            <w:vAlign w:val="center"/>
          </w:tcPr>
          <w:p>
            <w:pPr>
              <w:widowControl/>
              <w:tabs>
                <w:tab w:val="center" w:pos="4755"/>
                <w:tab w:val="right" w:pos="9070"/>
              </w:tabs>
              <w:spacing w:before="100" w:beforeAutospacing="1" w:after="100" w:afterAutospacing="1"/>
              <w:jc w:val="center"/>
              <w:rPr>
                <w:color w:val="auto"/>
                <w:szCs w:val="21"/>
                <w:highlight w:val="none"/>
              </w:rPr>
            </w:pPr>
            <w:r>
              <w:rPr>
                <w:rFonts w:hint="eastAsia" w:hAnsi="宋体"/>
                <w:color w:val="auto"/>
                <w:szCs w:val="21"/>
                <w:highlight w:val="none"/>
              </w:rPr>
              <w:t>项目名称</w:t>
            </w:r>
          </w:p>
        </w:tc>
        <w:tc>
          <w:tcPr>
            <w:tcW w:w="1057" w:type="dxa"/>
            <w:noWrap w:val="0"/>
            <w:vAlign w:val="center"/>
          </w:tcPr>
          <w:p>
            <w:pPr>
              <w:widowControl/>
              <w:tabs>
                <w:tab w:val="center" w:pos="4755"/>
                <w:tab w:val="right" w:pos="9070"/>
              </w:tabs>
              <w:spacing w:before="100" w:beforeAutospacing="1" w:after="100" w:afterAutospacing="1"/>
              <w:jc w:val="center"/>
              <w:rPr>
                <w:color w:val="auto"/>
                <w:szCs w:val="21"/>
                <w:highlight w:val="none"/>
              </w:rPr>
            </w:pPr>
            <w:r>
              <w:rPr>
                <w:rFonts w:hint="eastAsia" w:hAnsi="宋体"/>
                <w:color w:val="auto"/>
                <w:szCs w:val="21"/>
                <w:highlight w:val="none"/>
              </w:rPr>
              <w:t>单位</w:t>
            </w:r>
          </w:p>
        </w:tc>
        <w:tc>
          <w:tcPr>
            <w:tcW w:w="921" w:type="dxa"/>
            <w:noWrap w:val="0"/>
            <w:vAlign w:val="center"/>
          </w:tcPr>
          <w:p>
            <w:pPr>
              <w:widowControl/>
              <w:tabs>
                <w:tab w:val="center" w:pos="4755"/>
                <w:tab w:val="right" w:pos="9070"/>
              </w:tabs>
              <w:spacing w:before="100" w:beforeAutospacing="1" w:after="100" w:afterAutospacing="1"/>
              <w:jc w:val="center"/>
              <w:rPr>
                <w:color w:val="auto"/>
                <w:szCs w:val="21"/>
                <w:highlight w:val="none"/>
              </w:rPr>
            </w:pPr>
            <w:r>
              <w:rPr>
                <w:rFonts w:hint="eastAsia" w:hAnsi="宋体"/>
                <w:color w:val="auto"/>
                <w:szCs w:val="21"/>
                <w:highlight w:val="none"/>
              </w:rPr>
              <w:t>数量</w:t>
            </w:r>
          </w:p>
        </w:tc>
        <w:tc>
          <w:tcPr>
            <w:tcW w:w="1789" w:type="dxa"/>
            <w:noWrap w:val="0"/>
            <w:vAlign w:val="center"/>
          </w:tcPr>
          <w:p>
            <w:pPr>
              <w:widowControl/>
              <w:tabs>
                <w:tab w:val="center" w:pos="4755"/>
                <w:tab w:val="right" w:pos="9070"/>
              </w:tabs>
              <w:spacing w:before="100" w:beforeAutospacing="1" w:after="100" w:afterAutospacing="1"/>
              <w:jc w:val="center"/>
              <w:rPr>
                <w:rFonts w:hAnsi="宋体"/>
                <w:color w:val="auto"/>
                <w:szCs w:val="21"/>
                <w:highlight w:val="none"/>
              </w:rPr>
            </w:pPr>
            <w:r>
              <w:rPr>
                <w:rFonts w:hint="eastAsia" w:hAnsi="宋体"/>
                <w:color w:val="auto"/>
                <w:szCs w:val="21"/>
                <w:highlight w:val="none"/>
              </w:rPr>
              <w:t>金额</w:t>
            </w:r>
            <w:r>
              <w:rPr>
                <w:rFonts w:hAnsi="宋体"/>
                <w:color w:val="auto"/>
                <w:szCs w:val="21"/>
                <w:highlight w:val="none"/>
              </w:rPr>
              <w:t>(</w:t>
            </w:r>
            <w:r>
              <w:rPr>
                <w:rFonts w:hint="eastAsia" w:hAnsi="宋体"/>
                <w:color w:val="auto"/>
                <w:szCs w:val="21"/>
                <w:highlight w:val="none"/>
              </w:rPr>
              <w:t>元</w:t>
            </w:r>
            <w:r>
              <w:rPr>
                <w:rFonts w:hAnsi="宋体"/>
                <w:color w:val="auto"/>
                <w:szCs w:val="21"/>
                <w:highlight w:val="none"/>
              </w:rPr>
              <w:t>)</w:t>
            </w:r>
          </w:p>
        </w:tc>
        <w:tc>
          <w:tcPr>
            <w:tcW w:w="2691" w:type="dxa"/>
            <w:noWrap w:val="0"/>
            <w:vAlign w:val="center"/>
          </w:tcPr>
          <w:p>
            <w:pPr>
              <w:widowControl/>
              <w:tabs>
                <w:tab w:val="center" w:pos="4755"/>
                <w:tab w:val="right" w:pos="9070"/>
              </w:tabs>
              <w:spacing w:before="100" w:beforeAutospacing="1" w:after="100" w:afterAutospacing="1"/>
              <w:jc w:val="center"/>
              <w:rPr>
                <w:color w:val="auto"/>
                <w:szCs w:val="21"/>
                <w:highlight w:val="none"/>
              </w:rPr>
            </w:pPr>
            <w:r>
              <w:rPr>
                <w:rFonts w:hint="eastAsia" w:hAnsi="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8" w:hRule="atLeast"/>
        </w:trPr>
        <w:tc>
          <w:tcPr>
            <w:tcW w:w="942" w:type="dxa"/>
            <w:noWrap w:val="0"/>
            <w:vAlign w:val="top"/>
          </w:tcPr>
          <w:p>
            <w:pPr>
              <w:widowControl/>
              <w:tabs>
                <w:tab w:val="center" w:pos="4755"/>
                <w:tab w:val="right" w:pos="9070"/>
              </w:tabs>
              <w:spacing w:before="100" w:beforeAutospacing="1" w:after="100" w:afterAutospacing="1"/>
              <w:rPr>
                <w:color w:val="auto"/>
                <w:szCs w:val="21"/>
                <w:highlight w:val="none"/>
              </w:rPr>
            </w:pPr>
            <w:r>
              <w:rPr>
                <w:rFonts w:hint="eastAsia" w:hAnsi="宋体"/>
                <w:color w:val="auto"/>
                <w:szCs w:val="21"/>
                <w:highlight w:val="none"/>
              </w:rPr>
              <w:t>（</w:t>
            </w:r>
            <w:r>
              <w:rPr>
                <w:rFonts w:hAnsi="宋体"/>
                <w:color w:val="auto"/>
                <w:szCs w:val="21"/>
                <w:highlight w:val="none"/>
              </w:rPr>
              <w:t>1</w:t>
            </w:r>
            <w:r>
              <w:rPr>
                <w:rFonts w:hint="eastAsia" w:hAnsi="宋体"/>
                <w:color w:val="auto"/>
                <w:szCs w:val="21"/>
                <w:highlight w:val="none"/>
              </w:rPr>
              <w:t>）</w:t>
            </w:r>
          </w:p>
          <w:p>
            <w:pPr>
              <w:widowControl/>
              <w:tabs>
                <w:tab w:val="center" w:pos="4755"/>
                <w:tab w:val="right" w:pos="9070"/>
              </w:tabs>
              <w:spacing w:before="100" w:beforeAutospacing="1" w:after="100" w:afterAutospacing="1"/>
              <w:jc w:val="center"/>
              <w:rPr>
                <w:rFonts w:hAnsi="宋体"/>
                <w:color w:val="auto"/>
                <w:position w:val="-6"/>
                <w:szCs w:val="21"/>
                <w:highlight w:val="none"/>
              </w:rPr>
            </w:pPr>
            <w:r>
              <w:rPr>
                <w:rFonts w:hAnsi="宋体"/>
                <w:color w:val="auto"/>
                <w:position w:val="-6"/>
                <w:szCs w:val="21"/>
                <w:highlight w:val="none"/>
              </w:rPr>
              <w:t>1</w:t>
            </w:r>
          </w:p>
          <w:p>
            <w:pPr>
              <w:widowControl/>
              <w:tabs>
                <w:tab w:val="center" w:pos="4755"/>
                <w:tab w:val="right" w:pos="9070"/>
              </w:tabs>
              <w:spacing w:before="100" w:beforeAutospacing="1" w:after="100" w:afterAutospacing="1"/>
              <w:jc w:val="center"/>
              <w:rPr>
                <w:rFonts w:hAnsi="宋体"/>
                <w:color w:val="auto"/>
                <w:position w:val="-6"/>
                <w:szCs w:val="21"/>
                <w:highlight w:val="none"/>
              </w:rPr>
            </w:pPr>
            <w:r>
              <w:rPr>
                <w:rFonts w:hAnsi="宋体"/>
                <w:color w:val="auto"/>
                <w:position w:val="-6"/>
                <w:szCs w:val="21"/>
                <w:highlight w:val="none"/>
              </w:rPr>
              <w:t>2</w:t>
            </w:r>
          </w:p>
          <w:p>
            <w:pPr>
              <w:widowControl/>
              <w:tabs>
                <w:tab w:val="center" w:pos="4755"/>
                <w:tab w:val="right" w:pos="9070"/>
              </w:tabs>
              <w:spacing w:before="100" w:beforeAutospacing="1" w:after="100" w:afterAutospacing="1"/>
              <w:jc w:val="center"/>
              <w:rPr>
                <w:rFonts w:hAnsi="宋体"/>
                <w:color w:val="auto"/>
                <w:position w:val="-6"/>
                <w:szCs w:val="21"/>
                <w:highlight w:val="none"/>
              </w:rPr>
            </w:pPr>
            <w:r>
              <w:rPr>
                <w:rFonts w:hAnsi="宋体"/>
                <w:color w:val="auto"/>
                <w:position w:val="-6"/>
                <w:szCs w:val="21"/>
                <w:highlight w:val="none"/>
              </w:rPr>
              <w:t>3</w:t>
            </w:r>
          </w:p>
          <w:p>
            <w:pPr>
              <w:widowControl/>
              <w:tabs>
                <w:tab w:val="center" w:pos="4755"/>
                <w:tab w:val="right" w:pos="9070"/>
              </w:tabs>
              <w:spacing w:before="100" w:beforeAutospacing="1" w:after="100" w:afterAutospacing="1"/>
              <w:jc w:val="center"/>
              <w:rPr>
                <w:rFonts w:hAnsi="宋体"/>
                <w:color w:val="auto"/>
                <w:position w:val="-6"/>
                <w:szCs w:val="21"/>
                <w:highlight w:val="none"/>
              </w:rPr>
            </w:pPr>
            <w:r>
              <w:rPr>
                <w:rFonts w:hAnsi="宋体"/>
                <w:color w:val="auto"/>
                <w:position w:val="-6"/>
                <w:szCs w:val="21"/>
                <w:highlight w:val="none"/>
              </w:rPr>
              <w:t>4</w:t>
            </w:r>
          </w:p>
          <w:p>
            <w:pPr>
              <w:widowControl/>
              <w:tabs>
                <w:tab w:val="center" w:pos="4755"/>
                <w:tab w:val="right" w:pos="9070"/>
              </w:tabs>
              <w:spacing w:before="100" w:beforeAutospacing="1" w:after="100" w:afterAutospacing="1"/>
              <w:jc w:val="center"/>
              <w:rPr>
                <w:color w:val="auto"/>
                <w:position w:val="-6"/>
                <w:szCs w:val="21"/>
                <w:highlight w:val="none"/>
              </w:rPr>
            </w:pPr>
          </w:p>
          <w:p>
            <w:pPr>
              <w:widowControl/>
              <w:tabs>
                <w:tab w:val="center" w:pos="4755"/>
                <w:tab w:val="right" w:pos="9070"/>
              </w:tabs>
              <w:spacing w:before="100" w:beforeAutospacing="1" w:after="100" w:afterAutospacing="1"/>
              <w:jc w:val="center"/>
              <w:rPr>
                <w:color w:val="auto"/>
                <w:position w:val="-6"/>
                <w:szCs w:val="21"/>
                <w:highlight w:val="none"/>
              </w:rPr>
            </w:pPr>
          </w:p>
          <w:p>
            <w:pPr>
              <w:widowControl/>
              <w:tabs>
                <w:tab w:val="center" w:pos="4755"/>
                <w:tab w:val="right" w:pos="9070"/>
              </w:tabs>
              <w:spacing w:before="100" w:beforeAutospacing="1" w:after="100" w:afterAutospacing="1"/>
              <w:jc w:val="center"/>
              <w:rPr>
                <w:color w:val="auto"/>
                <w:position w:val="-6"/>
                <w:szCs w:val="21"/>
                <w:highlight w:val="none"/>
              </w:rPr>
            </w:pPr>
          </w:p>
          <w:p>
            <w:pPr>
              <w:widowControl/>
              <w:tabs>
                <w:tab w:val="center" w:pos="4755"/>
                <w:tab w:val="right" w:pos="9070"/>
              </w:tabs>
              <w:spacing w:before="100" w:beforeAutospacing="1" w:after="100" w:afterAutospacing="1"/>
              <w:rPr>
                <w:color w:val="auto"/>
                <w:position w:val="-6"/>
                <w:szCs w:val="21"/>
                <w:highlight w:val="none"/>
              </w:rPr>
            </w:pPr>
          </w:p>
          <w:p>
            <w:pPr>
              <w:widowControl/>
              <w:tabs>
                <w:tab w:val="center" w:pos="4755"/>
                <w:tab w:val="right" w:pos="9070"/>
              </w:tabs>
              <w:spacing w:before="100" w:beforeAutospacing="1" w:after="100" w:afterAutospacing="1"/>
              <w:rPr>
                <w:color w:val="auto"/>
                <w:position w:val="-6"/>
                <w:szCs w:val="21"/>
                <w:highlight w:val="none"/>
              </w:rPr>
            </w:pPr>
          </w:p>
          <w:p>
            <w:pPr>
              <w:widowControl/>
              <w:tabs>
                <w:tab w:val="center" w:pos="4755"/>
                <w:tab w:val="right" w:pos="9070"/>
              </w:tabs>
              <w:spacing w:before="100" w:beforeAutospacing="1" w:after="100" w:afterAutospacing="1"/>
              <w:rPr>
                <w:color w:val="auto"/>
                <w:position w:val="-6"/>
                <w:szCs w:val="21"/>
                <w:highlight w:val="none"/>
              </w:rPr>
            </w:pPr>
          </w:p>
          <w:p>
            <w:pPr>
              <w:widowControl/>
              <w:tabs>
                <w:tab w:val="center" w:pos="4755"/>
                <w:tab w:val="right" w:pos="9070"/>
              </w:tabs>
              <w:spacing w:before="100" w:beforeAutospacing="1" w:after="100" w:afterAutospacing="1"/>
              <w:rPr>
                <w:color w:val="auto"/>
                <w:position w:val="-6"/>
                <w:szCs w:val="21"/>
                <w:highlight w:val="none"/>
              </w:rPr>
            </w:pPr>
          </w:p>
          <w:p>
            <w:pPr>
              <w:widowControl/>
              <w:tabs>
                <w:tab w:val="center" w:pos="4755"/>
                <w:tab w:val="right" w:pos="9070"/>
              </w:tabs>
              <w:spacing w:before="100" w:beforeAutospacing="1" w:after="100" w:afterAutospacing="1"/>
              <w:rPr>
                <w:color w:val="auto"/>
                <w:position w:val="-6"/>
                <w:szCs w:val="21"/>
                <w:highlight w:val="none"/>
              </w:rPr>
            </w:pPr>
          </w:p>
          <w:p>
            <w:pPr>
              <w:widowControl/>
              <w:tabs>
                <w:tab w:val="center" w:pos="4755"/>
                <w:tab w:val="right" w:pos="9070"/>
              </w:tabs>
              <w:spacing w:before="100" w:beforeAutospacing="1" w:after="100" w:afterAutospacing="1"/>
              <w:rPr>
                <w:color w:val="auto"/>
                <w:position w:val="-6"/>
                <w:szCs w:val="21"/>
                <w:highlight w:val="none"/>
              </w:rPr>
            </w:pPr>
          </w:p>
        </w:tc>
        <w:tc>
          <w:tcPr>
            <w:tcW w:w="2340" w:type="dxa"/>
            <w:noWrap w:val="0"/>
            <w:vAlign w:val="top"/>
          </w:tcPr>
          <w:p>
            <w:pPr>
              <w:widowControl/>
              <w:tabs>
                <w:tab w:val="center" w:pos="4755"/>
                <w:tab w:val="right" w:pos="9070"/>
              </w:tabs>
              <w:adjustRightInd w:val="0"/>
              <w:spacing w:before="100" w:beforeAutospacing="1" w:after="100" w:afterAutospacing="1"/>
              <w:jc w:val="center"/>
              <w:rPr>
                <w:color w:val="auto"/>
                <w:spacing w:val="-16"/>
                <w:szCs w:val="21"/>
                <w:highlight w:val="none"/>
              </w:rPr>
            </w:pPr>
            <w:r>
              <w:rPr>
                <w:rFonts w:hint="eastAsia" w:hAnsi="宋体"/>
                <w:color w:val="auto"/>
                <w:spacing w:val="-16"/>
                <w:szCs w:val="21"/>
                <w:highlight w:val="none"/>
              </w:rPr>
              <w:t>（</w:t>
            </w:r>
            <w:r>
              <w:rPr>
                <w:rFonts w:hAnsi="宋体"/>
                <w:color w:val="auto"/>
                <w:spacing w:val="-16"/>
                <w:szCs w:val="21"/>
                <w:highlight w:val="none"/>
              </w:rPr>
              <w:t>2</w:t>
            </w:r>
            <w:r>
              <w:rPr>
                <w:rFonts w:hint="eastAsia" w:hAnsi="宋体"/>
                <w:color w:val="auto"/>
                <w:spacing w:val="-16"/>
                <w:szCs w:val="21"/>
                <w:highlight w:val="none"/>
              </w:rPr>
              <w:t>）</w:t>
            </w:r>
          </w:p>
          <w:p>
            <w:pPr>
              <w:widowControl/>
              <w:tabs>
                <w:tab w:val="center" w:pos="4755"/>
                <w:tab w:val="right" w:pos="9070"/>
              </w:tabs>
              <w:adjustRightInd w:val="0"/>
              <w:spacing w:before="100" w:beforeAutospacing="1" w:after="100" w:afterAutospacing="1"/>
              <w:rPr>
                <w:color w:val="auto"/>
                <w:szCs w:val="21"/>
                <w:highlight w:val="none"/>
              </w:rPr>
            </w:pPr>
            <w:r>
              <w:rPr>
                <w:rFonts w:hint="eastAsia" w:hAnsi="宋体"/>
                <w:color w:val="auto"/>
                <w:szCs w:val="21"/>
                <w:highlight w:val="none"/>
              </w:rPr>
              <w:t>提前竣工增加费</w:t>
            </w:r>
          </w:p>
          <w:p>
            <w:pPr>
              <w:widowControl/>
              <w:tabs>
                <w:tab w:val="center" w:pos="4755"/>
                <w:tab w:val="right" w:pos="9070"/>
              </w:tabs>
              <w:adjustRightInd w:val="0"/>
              <w:spacing w:before="100" w:beforeAutospacing="1" w:after="100" w:afterAutospacing="1"/>
              <w:rPr>
                <w:color w:val="auto"/>
                <w:spacing w:val="-16"/>
                <w:szCs w:val="21"/>
                <w:highlight w:val="none"/>
              </w:rPr>
            </w:pPr>
            <w:r>
              <w:rPr>
                <w:rFonts w:hint="eastAsia" w:hAnsi="宋体"/>
                <w:color w:val="auto"/>
                <w:spacing w:val="-16"/>
                <w:szCs w:val="21"/>
                <w:highlight w:val="none"/>
              </w:rPr>
              <w:t>二次搬运费</w:t>
            </w:r>
          </w:p>
          <w:p>
            <w:pPr>
              <w:widowControl/>
              <w:tabs>
                <w:tab w:val="center" w:pos="4755"/>
                <w:tab w:val="right" w:pos="9070"/>
              </w:tabs>
              <w:adjustRightInd w:val="0"/>
              <w:spacing w:before="100" w:beforeAutospacing="1" w:after="100" w:afterAutospacing="1"/>
              <w:rPr>
                <w:color w:val="auto"/>
                <w:spacing w:val="-16"/>
                <w:szCs w:val="21"/>
                <w:highlight w:val="none"/>
              </w:rPr>
            </w:pPr>
            <w:r>
              <w:rPr>
                <w:rFonts w:hint="eastAsia" w:hAnsi="宋体"/>
                <w:color w:val="auto"/>
                <w:spacing w:val="-16"/>
                <w:szCs w:val="21"/>
                <w:highlight w:val="none"/>
              </w:rPr>
              <w:t>冬雨季施工增加费</w:t>
            </w:r>
          </w:p>
          <w:p>
            <w:pPr>
              <w:widowControl/>
              <w:tabs>
                <w:tab w:val="center" w:pos="4755"/>
                <w:tab w:val="right" w:pos="9070"/>
              </w:tabs>
              <w:adjustRightInd w:val="0"/>
              <w:spacing w:before="100" w:beforeAutospacing="1" w:after="100" w:afterAutospacing="1"/>
              <w:rPr>
                <w:color w:val="auto"/>
                <w:spacing w:val="-16"/>
                <w:szCs w:val="21"/>
                <w:highlight w:val="none"/>
              </w:rPr>
            </w:pPr>
            <w:r>
              <w:rPr>
                <w:rFonts w:hint="eastAsia" w:hAnsi="宋体"/>
                <w:color w:val="auto"/>
                <w:spacing w:val="-16"/>
                <w:szCs w:val="21"/>
                <w:highlight w:val="none"/>
              </w:rPr>
              <w:t>行车、行人干扰增加费</w:t>
            </w:r>
          </w:p>
          <w:p>
            <w:pPr>
              <w:widowControl/>
              <w:tabs>
                <w:tab w:val="center" w:pos="4755"/>
                <w:tab w:val="right" w:pos="9070"/>
              </w:tabs>
              <w:adjustRightInd w:val="0"/>
              <w:spacing w:before="100" w:beforeAutospacing="1" w:after="100" w:afterAutospacing="1"/>
              <w:rPr>
                <w:color w:val="auto"/>
                <w:spacing w:val="-16"/>
                <w:szCs w:val="21"/>
                <w:highlight w:val="none"/>
              </w:rPr>
            </w:pPr>
          </w:p>
          <w:p>
            <w:pPr>
              <w:widowControl/>
              <w:tabs>
                <w:tab w:val="center" w:pos="4755"/>
                <w:tab w:val="right" w:pos="9070"/>
              </w:tabs>
              <w:adjustRightInd w:val="0"/>
              <w:spacing w:before="100" w:beforeAutospacing="1" w:after="100" w:afterAutospacing="1"/>
              <w:rPr>
                <w:color w:val="auto"/>
                <w:spacing w:val="-16"/>
                <w:szCs w:val="21"/>
                <w:highlight w:val="none"/>
              </w:rPr>
            </w:pPr>
          </w:p>
          <w:p>
            <w:pPr>
              <w:widowControl/>
              <w:tabs>
                <w:tab w:val="center" w:pos="4755"/>
                <w:tab w:val="right" w:pos="9070"/>
              </w:tabs>
              <w:adjustRightInd w:val="0"/>
              <w:spacing w:before="100" w:beforeAutospacing="1" w:after="100" w:afterAutospacing="1"/>
              <w:rPr>
                <w:color w:val="auto"/>
                <w:spacing w:val="-16"/>
                <w:szCs w:val="21"/>
                <w:highlight w:val="none"/>
              </w:rPr>
            </w:pPr>
          </w:p>
          <w:p>
            <w:pPr>
              <w:widowControl/>
              <w:tabs>
                <w:tab w:val="center" w:pos="4755"/>
                <w:tab w:val="right" w:pos="9070"/>
              </w:tabs>
              <w:adjustRightInd w:val="0"/>
              <w:spacing w:before="100" w:beforeAutospacing="1" w:after="100" w:afterAutospacing="1"/>
              <w:rPr>
                <w:color w:val="auto"/>
                <w:spacing w:val="-16"/>
                <w:szCs w:val="21"/>
                <w:highlight w:val="none"/>
              </w:rPr>
            </w:pPr>
          </w:p>
          <w:p>
            <w:pPr>
              <w:widowControl/>
              <w:tabs>
                <w:tab w:val="center" w:pos="4755"/>
                <w:tab w:val="right" w:pos="9070"/>
              </w:tabs>
              <w:adjustRightInd w:val="0"/>
              <w:spacing w:before="100" w:beforeAutospacing="1" w:after="100" w:afterAutospacing="1"/>
              <w:rPr>
                <w:color w:val="auto"/>
                <w:spacing w:val="-16"/>
                <w:szCs w:val="21"/>
                <w:highlight w:val="none"/>
              </w:rPr>
            </w:pPr>
          </w:p>
        </w:tc>
        <w:tc>
          <w:tcPr>
            <w:tcW w:w="1057" w:type="dxa"/>
            <w:noWrap w:val="0"/>
            <w:vAlign w:val="top"/>
          </w:tcPr>
          <w:p>
            <w:pPr>
              <w:widowControl/>
              <w:tabs>
                <w:tab w:val="center" w:pos="4755"/>
                <w:tab w:val="right" w:pos="9070"/>
              </w:tabs>
              <w:spacing w:before="100" w:beforeAutospacing="1" w:after="100" w:afterAutospacing="1"/>
              <w:jc w:val="center"/>
              <w:rPr>
                <w:color w:val="auto"/>
                <w:szCs w:val="21"/>
                <w:highlight w:val="none"/>
              </w:rPr>
            </w:pPr>
          </w:p>
        </w:tc>
        <w:tc>
          <w:tcPr>
            <w:tcW w:w="921" w:type="dxa"/>
            <w:noWrap w:val="0"/>
            <w:vAlign w:val="top"/>
          </w:tcPr>
          <w:p>
            <w:pPr>
              <w:widowControl/>
              <w:tabs>
                <w:tab w:val="center" w:pos="4755"/>
                <w:tab w:val="right" w:pos="9070"/>
              </w:tabs>
              <w:spacing w:before="100" w:beforeAutospacing="1" w:after="100" w:afterAutospacing="1"/>
              <w:jc w:val="center"/>
              <w:rPr>
                <w:color w:val="auto"/>
                <w:szCs w:val="21"/>
                <w:highlight w:val="none"/>
              </w:rPr>
            </w:pPr>
          </w:p>
        </w:tc>
        <w:tc>
          <w:tcPr>
            <w:tcW w:w="1789" w:type="dxa"/>
            <w:noWrap w:val="0"/>
            <w:vAlign w:val="center"/>
          </w:tcPr>
          <w:p>
            <w:pPr>
              <w:widowControl/>
              <w:tabs>
                <w:tab w:val="center" w:pos="4755"/>
                <w:tab w:val="right" w:pos="9070"/>
              </w:tabs>
              <w:spacing w:before="100" w:beforeAutospacing="1" w:after="100" w:afterAutospacing="1"/>
              <w:jc w:val="center"/>
              <w:rPr>
                <w:color w:val="auto"/>
                <w:szCs w:val="21"/>
                <w:highlight w:val="none"/>
              </w:rPr>
            </w:pPr>
          </w:p>
        </w:tc>
        <w:tc>
          <w:tcPr>
            <w:tcW w:w="2691" w:type="dxa"/>
            <w:noWrap w:val="0"/>
            <w:vAlign w:val="top"/>
          </w:tcPr>
          <w:p>
            <w:pPr>
              <w:widowControl/>
              <w:tabs>
                <w:tab w:val="center" w:pos="4755"/>
                <w:tab w:val="right" w:pos="9070"/>
              </w:tabs>
              <w:spacing w:before="100" w:beforeAutospacing="1" w:after="100" w:afterAutospacing="1"/>
              <w:rPr>
                <w:color w:val="auto"/>
                <w:szCs w:val="21"/>
                <w:highlight w:val="none"/>
              </w:rPr>
            </w:pPr>
          </w:p>
          <w:p>
            <w:pPr>
              <w:widowControl/>
              <w:tabs>
                <w:tab w:val="center" w:pos="4755"/>
                <w:tab w:val="right" w:pos="9070"/>
              </w:tabs>
              <w:spacing w:before="100" w:beforeAutospacing="1" w:after="100" w:afterAutospacing="1"/>
              <w:jc w:val="center"/>
              <w:rPr>
                <w:color w:val="auto"/>
                <w:szCs w:val="21"/>
                <w:highlight w:val="none"/>
              </w:rPr>
            </w:pPr>
          </w:p>
          <w:p>
            <w:pPr>
              <w:widowControl/>
              <w:tabs>
                <w:tab w:val="center" w:pos="4755"/>
                <w:tab w:val="right" w:pos="9070"/>
              </w:tabs>
              <w:spacing w:before="100" w:beforeAutospacing="1" w:after="100" w:afterAutospacing="1"/>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5260" w:type="dxa"/>
            <w:gridSpan w:val="4"/>
            <w:noWrap w:val="0"/>
            <w:vAlign w:val="top"/>
          </w:tcPr>
          <w:p>
            <w:pPr>
              <w:widowControl/>
              <w:tabs>
                <w:tab w:val="center" w:pos="4755"/>
                <w:tab w:val="right" w:pos="9070"/>
              </w:tabs>
              <w:spacing w:before="100" w:beforeAutospacing="1" w:after="100" w:afterAutospacing="1"/>
              <w:jc w:val="center"/>
              <w:rPr>
                <w:color w:val="auto"/>
                <w:szCs w:val="21"/>
                <w:highlight w:val="none"/>
              </w:rPr>
            </w:pPr>
            <w:r>
              <w:rPr>
                <w:rFonts w:hint="eastAsia" w:hAnsi="宋体"/>
                <w:color w:val="auto"/>
                <w:szCs w:val="21"/>
                <w:highlight w:val="none"/>
              </w:rPr>
              <w:t>合计</w:t>
            </w:r>
          </w:p>
        </w:tc>
        <w:tc>
          <w:tcPr>
            <w:tcW w:w="1789" w:type="dxa"/>
            <w:noWrap w:val="0"/>
            <w:vAlign w:val="top"/>
          </w:tcPr>
          <w:p>
            <w:pPr>
              <w:widowControl/>
              <w:tabs>
                <w:tab w:val="center" w:pos="4755"/>
                <w:tab w:val="right" w:pos="9070"/>
              </w:tabs>
              <w:spacing w:before="100" w:beforeAutospacing="1" w:after="100" w:afterAutospacing="1"/>
              <w:rPr>
                <w:color w:val="auto"/>
                <w:szCs w:val="21"/>
                <w:highlight w:val="none"/>
              </w:rPr>
            </w:pPr>
          </w:p>
        </w:tc>
        <w:tc>
          <w:tcPr>
            <w:tcW w:w="2691" w:type="dxa"/>
            <w:noWrap w:val="0"/>
            <w:vAlign w:val="top"/>
          </w:tcPr>
          <w:p>
            <w:pPr>
              <w:widowControl/>
              <w:tabs>
                <w:tab w:val="center" w:pos="4755"/>
                <w:tab w:val="right" w:pos="9070"/>
              </w:tabs>
              <w:spacing w:before="100" w:beforeAutospacing="1" w:after="100" w:afterAutospacing="1"/>
              <w:rPr>
                <w:color w:val="auto"/>
                <w:szCs w:val="21"/>
                <w:highlight w:val="none"/>
              </w:rPr>
            </w:pPr>
          </w:p>
        </w:tc>
      </w:tr>
    </w:tbl>
    <w:p>
      <w:pPr>
        <w:widowControl/>
        <w:tabs>
          <w:tab w:val="center" w:pos="4755"/>
          <w:tab w:val="right" w:pos="9070"/>
        </w:tabs>
        <w:jc w:val="left"/>
        <w:rPr>
          <w:color w:val="auto"/>
          <w:szCs w:val="21"/>
          <w:highlight w:val="none"/>
        </w:rPr>
      </w:pPr>
      <w:r>
        <w:rPr>
          <w:rFonts w:hint="eastAsia" w:hAnsi="宋体"/>
          <w:color w:val="auto"/>
          <w:szCs w:val="21"/>
          <w:highlight w:val="none"/>
        </w:rPr>
        <w:t>注：</w:t>
      </w:r>
      <w:r>
        <w:rPr>
          <w:rFonts w:hAnsi="宋体"/>
          <w:color w:val="auto"/>
          <w:szCs w:val="21"/>
          <w:highlight w:val="none"/>
        </w:rPr>
        <w:t xml:space="preserve"> 1.</w:t>
      </w:r>
      <w:r>
        <w:rPr>
          <w:rFonts w:hint="eastAsia" w:hAnsi="宋体"/>
          <w:color w:val="auto"/>
          <w:szCs w:val="21"/>
          <w:highlight w:val="none"/>
        </w:rPr>
        <w:t>表中列项供参考，（</w:t>
      </w:r>
      <w:r>
        <w:rPr>
          <w:rFonts w:hAnsi="宋体"/>
          <w:color w:val="auto"/>
          <w:szCs w:val="21"/>
          <w:highlight w:val="none"/>
        </w:rPr>
        <w:t>1</w:t>
      </w:r>
      <w:r>
        <w:rPr>
          <w:rFonts w:hint="eastAsia" w:hAnsi="宋体"/>
          <w:color w:val="auto"/>
          <w:szCs w:val="21"/>
          <w:highlight w:val="none"/>
        </w:rPr>
        <w:t>）、（</w:t>
      </w:r>
      <w:r>
        <w:rPr>
          <w:rFonts w:hAnsi="宋体"/>
          <w:color w:val="auto"/>
          <w:szCs w:val="21"/>
          <w:highlight w:val="none"/>
        </w:rPr>
        <w:t>2</w:t>
      </w:r>
      <w:r>
        <w:rPr>
          <w:rFonts w:hint="eastAsia" w:hAnsi="宋体"/>
          <w:color w:val="auto"/>
          <w:szCs w:val="21"/>
          <w:highlight w:val="none"/>
        </w:rPr>
        <w:t>）栏由招标人提供，</w:t>
      </w:r>
      <w:r>
        <w:rPr>
          <w:rFonts w:hint="eastAsia" w:hAnsi="宋体"/>
          <w:color w:val="auto"/>
          <w:szCs w:val="21"/>
          <w:highlight w:val="none"/>
          <w:lang w:val="en-US" w:eastAsia="zh-CN"/>
        </w:rPr>
        <w:t>响应</w:t>
      </w:r>
      <w:r>
        <w:rPr>
          <w:rFonts w:hint="eastAsia" w:hAnsi="宋体"/>
          <w:color w:val="auto"/>
          <w:szCs w:val="21"/>
          <w:highlight w:val="none"/>
        </w:rPr>
        <w:t>人可按工程实际作补充。</w:t>
      </w:r>
    </w:p>
    <w:p>
      <w:pPr>
        <w:widowControl/>
        <w:tabs>
          <w:tab w:val="center" w:pos="4755"/>
          <w:tab w:val="right" w:pos="9070"/>
        </w:tabs>
        <w:ind w:left="479" w:leftChars="228"/>
        <w:rPr>
          <w:color w:val="auto"/>
          <w:szCs w:val="21"/>
          <w:highlight w:val="none"/>
        </w:rPr>
      </w:pPr>
      <w:r>
        <w:rPr>
          <w:rFonts w:hAnsi="宋体"/>
          <w:color w:val="auto"/>
          <w:szCs w:val="21"/>
          <w:highlight w:val="none"/>
        </w:rPr>
        <w:t>2</w:t>
      </w:r>
      <w:r>
        <w:rPr>
          <w:rFonts w:hint="eastAsia" w:hAnsi="宋体"/>
          <w:color w:val="auto"/>
          <w:szCs w:val="21"/>
          <w:highlight w:val="none"/>
        </w:rPr>
        <w:t>．当招标项目为单位工程发包且只有</w:t>
      </w:r>
      <w:r>
        <w:rPr>
          <w:rFonts w:hAnsi="宋体"/>
          <w:color w:val="auto"/>
          <w:szCs w:val="21"/>
          <w:highlight w:val="none"/>
        </w:rPr>
        <w:t>1</w:t>
      </w:r>
      <w:r>
        <w:rPr>
          <w:rFonts w:hint="eastAsia" w:hAnsi="宋体"/>
          <w:color w:val="auto"/>
          <w:szCs w:val="21"/>
          <w:highlight w:val="none"/>
        </w:rPr>
        <w:t>个分部分项工程量清单时，组织措施项目清单应按表</w:t>
      </w:r>
      <w:r>
        <w:rPr>
          <w:rFonts w:hAnsi="宋体"/>
          <w:color w:val="auto"/>
          <w:szCs w:val="21"/>
          <w:highlight w:val="none"/>
        </w:rPr>
        <w:t>1-3-A</w:t>
      </w:r>
      <w:r>
        <w:rPr>
          <w:rFonts w:hint="eastAsia" w:hAnsi="宋体"/>
          <w:color w:val="auto"/>
          <w:szCs w:val="21"/>
          <w:highlight w:val="none"/>
        </w:rPr>
        <w:t>报价。</w:t>
      </w:r>
    </w:p>
    <w:p>
      <w:pPr>
        <w:widowControl/>
        <w:tabs>
          <w:tab w:val="center" w:pos="4755"/>
          <w:tab w:val="right" w:pos="9070"/>
        </w:tabs>
        <w:ind w:left="479" w:leftChars="228"/>
        <w:rPr>
          <w:rFonts w:hint="eastAsia" w:hAnsi="宋体"/>
          <w:color w:val="auto"/>
          <w:kern w:val="0"/>
          <w:sz w:val="24"/>
          <w:highlight w:val="none"/>
          <w:lang w:val="en-US" w:eastAsia="zh-CN"/>
        </w:rPr>
      </w:pPr>
    </w:p>
    <w:p>
      <w:pPr>
        <w:widowControl/>
        <w:tabs>
          <w:tab w:val="center" w:pos="4755"/>
          <w:tab w:val="right" w:pos="9070"/>
        </w:tabs>
        <w:rPr>
          <w:rFonts w:hint="eastAsia" w:hAnsi="宋体"/>
          <w:color w:val="auto"/>
          <w:kern w:val="0"/>
          <w:sz w:val="24"/>
          <w:highlight w:val="none"/>
          <w:lang w:val="en-US" w:eastAsia="zh-CN"/>
        </w:rPr>
      </w:pPr>
    </w:p>
    <w:p>
      <w:pPr>
        <w:widowControl/>
        <w:tabs>
          <w:tab w:val="center" w:pos="4755"/>
          <w:tab w:val="right" w:pos="9070"/>
        </w:tabs>
        <w:rPr>
          <w:rFonts w:hAnsi="宋体"/>
          <w:color w:val="auto"/>
          <w:sz w:val="24"/>
          <w:highlight w:val="none"/>
        </w:rPr>
      </w:pPr>
      <w:r>
        <w:rPr>
          <w:rFonts w:hint="eastAsia" w:hAnsi="宋体"/>
          <w:color w:val="auto"/>
          <w:kern w:val="0"/>
          <w:sz w:val="24"/>
          <w:highlight w:val="none"/>
          <w:lang w:val="en-US" w:eastAsia="zh-CN"/>
        </w:rPr>
        <w:t>响应</w:t>
      </w:r>
      <w:r>
        <w:rPr>
          <w:rFonts w:hint="eastAsia" w:hAnsi="宋体"/>
          <w:color w:val="auto"/>
          <w:kern w:val="0"/>
          <w:sz w:val="24"/>
          <w:highlight w:val="none"/>
        </w:rPr>
        <w:t>人：（ 盖章）</w:t>
      </w:r>
      <w:r>
        <w:rPr>
          <w:rFonts w:hint="eastAsia" w:hAnsi="宋体"/>
          <w:color w:val="auto"/>
          <w:sz w:val="24"/>
          <w:highlight w:val="none"/>
        </w:rPr>
        <w:t xml:space="preserve">    </w:t>
      </w:r>
    </w:p>
    <w:p>
      <w:pPr>
        <w:spacing w:line="500" w:lineRule="exact"/>
        <w:rPr>
          <w:rFonts w:hAnsi="宋体"/>
          <w:b/>
          <w:bCs/>
          <w:color w:val="auto"/>
          <w:sz w:val="32"/>
          <w:highlight w:val="none"/>
        </w:rPr>
      </w:pPr>
      <w:r>
        <w:rPr>
          <w:rFonts w:hAnsi="宋体"/>
          <w:color w:val="auto"/>
          <w:sz w:val="24"/>
          <w:highlight w:val="none"/>
        </w:rPr>
        <w:br w:type="page"/>
      </w:r>
    </w:p>
    <w:p>
      <w:pPr>
        <w:spacing w:line="500" w:lineRule="exact"/>
        <w:jc w:val="center"/>
        <w:rPr>
          <w:rFonts w:hAnsi="宋体"/>
          <w:b/>
          <w:bCs/>
          <w:color w:val="auto"/>
          <w:sz w:val="28"/>
          <w:szCs w:val="28"/>
          <w:highlight w:val="none"/>
        </w:rPr>
      </w:pPr>
      <w:r>
        <w:rPr>
          <w:rFonts w:hint="eastAsia" w:hAnsi="宋体"/>
          <w:b/>
          <w:bCs/>
          <w:color w:val="auto"/>
          <w:sz w:val="28"/>
          <w:szCs w:val="28"/>
          <w:highlight w:val="none"/>
        </w:rPr>
        <w:t>表1-3-C　技术措施项目清单及计价表</w:t>
      </w:r>
    </w:p>
    <w:p>
      <w:pPr>
        <w:spacing w:line="500" w:lineRule="exact"/>
        <w:rPr>
          <w:rFonts w:hAnsi="宋体"/>
          <w:bCs/>
          <w:color w:val="auto"/>
          <w:sz w:val="24"/>
          <w:highlight w:val="none"/>
        </w:rPr>
      </w:pPr>
      <w:r>
        <w:rPr>
          <w:rFonts w:hint="eastAsia" w:hAnsi="宋体"/>
          <w:bCs/>
          <w:color w:val="auto"/>
          <w:sz w:val="24"/>
          <w:highlight w:val="none"/>
        </w:rPr>
        <w:t>工程名称：</w:t>
      </w:r>
    </w:p>
    <w:p>
      <w:pPr>
        <w:spacing w:line="500" w:lineRule="exact"/>
        <w:rPr>
          <w:rFonts w:hAnsi="宋体"/>
          <w:bCs/>
          <w:color w:val="auto"/>
          <w:sz w:val="24"/>
          <w:highlight w:val="none"/>
        </w:rPr>
      </w:pPr>
      <w:r>
        <w:rPr>
          <w:rFonts w:hint="eastAsia" w:hAnsi="宋体"/>
          <w:bCs/>
          <w:color w:val="auto"/>
          <w:sz w:val="24"/>
          <w:highlight w:val="none"/>
        </w:rPr>
        <w:t>单位及专业工程名称：                                        第  页  共  页</w:t>
      </w:r>
    </w:p>
    <w:tbl>
      <w:tblPr>
        <w:tblStyle w:val="62"/>
        <w:tblW w:w="0" w:type="auto"/>
        <w:tblInd w:w="-432" w:type="dxa"/>
        <w:tblLayout w:type="fixed"/>
        <w:tblCellMar>
          <w:top w:w="0" w:type="dxa"/>
          <w:left w:w="108" w:type="dxa"/>
          <w:bottom w:w="0" w:type="dxa"/>
          <w:right w:w="108" w:type="dxa"/>
        </w:tblCellMar>
      </w:tblPr>
      <w:tblGrid>
        <w:gridCol w:w="720"/>
        <w:gridCol w:w="813"/>
        <w:gridCol w:w="1260"/>
        <w:gridCol w:w="1008"/>
        <w:gridCol w:w="850"/>
        <w:gridCol w:w="720"/>
        <w:gridCol w:w="900"/>
        <w:gridCol w:w="900"/>
        <w:gridCol w:w="720"/>
        <w:gridCol w:w="750"/>
        <w:gridCol w:w="789"/>
        <w:gridCol w:w="749"/>
      </w:tblGrid>
      <w:tr>
        <w:tblPrEx>
          <w:tblCellMar>
            <w:top w:w="0" w:type="dxa"/>
            <w:left w:w="108" w:type="dxa"/>
            <w:bottom w:w="0" w:type="dxa"/>
            <w:right w:w="108" w:type="dxa"/>
          </w:tblCellMar>
        </w:tblPrEx>
        <w:trPr>
          <w:trHeight w:val="503" w:hRule="atLeast"/>
        </w:trPr>
        <w:tc>
          <w:tcPr>
            <w:tcW w:w="720" w:type="dxa"/>
            <w:vMerge w:val="restart"/>
            <w:tcBorders>
              <w:top w:val="single" w:color="auto" w:sz="4" w:space="0"/>
              <w:left w:val="single" w:color="auto" w:sz="4" w:space="0"/>
              <w:bottom w:val="nil"/>
              <w:right w:val="single" w:color="auto" w:sz="4" w:space="0"/>
            </w:tcBorders>
            <w:noWrap w:val="0"/>
            <w:vAlign w:val="center"/>
          </w:tcPr>
          <w:p>
            <w:pPr>
              <w:widowControl/>
              <w:jc w:val="center"/>
              <w:rPr>
                <w:rFonts w:hAnsi="宋体" w:cs="宋体"/>
                <w:color w:val="auto"/>
                <w:kern w:val="0"/>
                <w:sz w:val="24"/>
                <w:highlight w:val="none"/>
              </w:rPr>
            </w:pPr>
          </w:p>
          <w:p>
            <w:pPr>
              <w:widowControl/>
              <w:jc w:val="center"/>
              <w:rPr>
                <w:rFonts w:hAnsi="宋体" w:cs="宋体"/>
                <w:color w:val="auto"/>
                <w:kern w:val="0"/>
                <w:sz w:val="24"/>
                <w:highlight w:val="none"/>
              </w:rPr>
            </w:pPr>
            <w:r>
              <w:rPr>
                <w:rFonts w:hint="eastAsia" w:hAnsi="宋体" w:cs="宋体"/>
                <w:color w:val="auto"/>
                <w:kern w:val="0"/>
                <w:sz w:val="24"/>
                <w:highlight w:val="none"/>
              </w:rPr>
              <w:t>序</w:t>
            </w:r>
          </w:p>
          <w:p>
            <w:pPr>
              <w:widowControl/>
              <w:jc w:val="center"/>
              <w:rPr>
                <w:rFonts w:hAnsi="宋体" w:cs="宋体"/>
                <w:color w:val="auto"/>
                <w:kern w:val="0"/>
                <w:sz w:val="24"/>
                <w:highlight w:val="none"/>
              </w:rPr>
            </w:pPr>
            <w:r>
              <w:rPr>
                <w:rFonts w:hint="eastAsia" w:hAnsi="宋体" w:cs="宋体"/>
                <w:color w:val="auto"/>
                <w:kern w:val="0"/>
                <w:sz w:val="24"/>
                <w:highlight w:val="none"/>
              </w:rPr>
              <w:t>号</w:t>
            </w:r>
          </w:p>
          <w:p>
            <w:pPr>
              <w:jc w:val="center"/>
              <w:rPr>
                <w:rFonts w:hAnsi="宋体" w:cs="宋体"/>
                <w:color w:val="auto"/>
                <w:kern w:val="0"/>
                <w:sz w:val="24"/>
                <w:highlight w:val="none"/>
              </w:rPr>
            </w:pPr>
          </w:p>
        </w:tc>
        <w:tc>
          <w:tcPr>
            <w:tcW w:w="81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Ansi="宋体" w:cs="宋体"/>
                <w:color w:val="auto"/>
                <w:kern w:val="0"/>
                <w:sz w:val="24"/>
                <w:highlight w:val="none"/>
              </w:rPr>
            </w:pPr>
            <w:r>
              <w:rPr>
                <w:rFonts w:hint="eastAsia" w:hAnsi="宋体" w:cs="宋体"/>
                <w:color w:val="auto"/>
                <w:kern w:val="0"/>
                <w:sz w:val="24"/>
                <w:highlight w:val="none"/>
              </w:rPr>
              <w:t>项目编码</w:t>
            </w:r>
          </w:p>
        </w:tc>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Ansi="宋体" w:cs="宋体"/>
                <w:color w:val="auto"/>
                <w:kern w:val="0"/>
                <w:sz w:val="24"/>
                <w:highlight w:val="none"/>
              </w:rPr>
            </w:pPr>
            <w:r>
              <w:rPr>
                <w:rFonts w:hint="eastAsia" w:hAnsi="宋体" w:cs="宋体"/>
                <w:color w:val="auto"/>
                <w:kern w:val="0"/>
                <w:sz w:val="24"/>
                <w:highlight w:val="none"/>
              </w:rPr>
              <w:t>项目名称</w:t>
            </w:r>
          </w:p>
        </w:tc>
        <w:tc>
          <w:tcPr>
            <w:tcW w:w="1008" w:type="dxa"/>
            <w:vMerge w:val="restart"/>
            <w:tcBorders>
              <w:top w:val="single" w:color="auto" w:sz="4" w:space="0"/>
              <w:left w:val="nil"/>
              <w:bottom w:val="nil"/>
              <w:right w:val="single" w:color="auto" w:sz="4" w:space="0"/>
            </w:tcBorders>
            <w:noWrap w:val="0"/>
            <w:vAlign w:val="center"/>
          </w:tcPr>
          <w:p>
            <w:pPr>
              <w:widowControl/>
              <w:jc w:val="center"/>
              <w:rPr>
                <w:rFonts w:hAnsi="宋体" w:cs="宋体"/>
                <w:color w:val="auto"/>
                <w:kern w:val="0"/>
                <w:sz w:val="24"/>
                <w:highlight w:val="none"/>
              </w:rPr>
            </w:pPr>
            <w:r>
              <w:rPr>
                <w:rFonts w:hint="eastAsia" w:hAnsi="宋体" w:cs="宋体"/>
                <w:color w:val="auto"/>
                <w:kern w:val="0"/>
                <w:sz w:val="24"/>
                <w:highlight w:val="none"/>
              </w:rPr>
              <w:t>项目特征描述</w:t>
            </w:r>
          </w:p>
        </w:tc>
        <w:tc>
          <w:tcPr>
            <w:tcW w:w="850" w:type="dxa"/>
            <w:vMerge w:val="restart"/>
            <w:tcBorders>
              <w:top w:val="single" w:color="auto" w:sz="4" w:space="0"/>
              <w:left w:val="nil"/>
              <w:bottom w:val="nil"/>
              <w:right w:val="single" w:color="auto" w:sz="4" w:space="0"/>
            </w:tcBorders>
            <w:noWrap w:val="0"/>
            <w:vAlign w:val="center"/>
          </w:tcPr>
          <w:p>
            <w:pPr>
              <w:widowControl/>
              <w:jc w:val="center"/>
              <w:rPr>
                <w:rFonts w:hAnsi="宋体" w:cs="宋体"/>
                <w:color w:val="auto"/>
                <w:kern w:val="0"/>
                <w:sz w:val="24"/>
                <w:highlight w:val="none"/>
              </w:rPr>
            </w:pPr>
          </w:p>
          <w:p>
            <w:pPr>
              <w:widowControl/>
              <w:jc w:val="center"/>
              <w:rPr>
                <w:rFonts w:hAnsi="宋体" w:cs="宋体"/>
                <w:color w:val="auto"/>
                <w:kern w:val="0"/>
                <w:sz w:val="24"/>
                <w:highlight w:val="none"/>
              </w:rPr>
            </w:pPr>
            <w:r>
              <w:rPr>
                <w:rFonts w:hint="eastAsia" w:hAnsi="宋体" w:cs="宋体"/>
                <w:color w:val="auto"/>
                <w:kern w:val="0"/>
                <w:sz w:val="24"/>
                <w:highlight w:val="none"/>
              </w:rPr>
              <w:t>计量单位</w:t>
            </w:r>
          </w:p>
          <w:p>
            <w:pPr>
              <w:jc w:val="center"/>
              <w:rPr>
                <w:rFonts w:hAnsi="宋体" w:cs="宋体"/>
                <w:color w:val="auto"/>
                <w:kern w:val="0"/>
                <w:sz w:val="24"/>
                <w:highlight w:val="none"/>
              </w:rPr>
            </w:pPr>
          </w:p>
        </w:tc>
        <w:tc>
          <w:tcPr>
            <w:tcW w:w="720" w:type="dxa"/>
            <w:vMerge w:val="restart"/>
            <w:tcBorders>
              <w:top w:val="single" w:color="auto" w:sz="4" w:space="0"/>
              <w:left w:val="single" w:color="auto" w:sz="4" w:space="0"/>
              <w:right w:val="single" w:color="auto" w:sz="4" w:space="0"/>
            </w:tcBorders>
            <w:noWrap w:val="0"/>
            <w:vAlign w:val="center"/>
          </w:tcPr>
          <w:p>
            <w:pPr>
              <w:widowControl/>
              <w:jc w:val="center"/>
              <w:rPr>
                <w:rFonts w:hAnsi="宋体" w:cs="宋体"/>
                <w:color w:val="auto"/>
                <w:kern w:val="0"/>
                <w:sz w:val="24"/>
                <w:highlight w:val="none"/>
              </w:rPr>
            </w:pPr>
            <w:r>
              <w:rPr>
                <w:rFonts w:hint="eastAsia" w:hAnsi="宋体" w:cs="宋体"/>
                <w:color w:val="auto"/>
                <w:kern w:val="0"/>
                <w:sz w:val="24"/>
                <w:highlight w:val="none"/>
              </w:rPr>
              <w:t>工</w:t>
            </w:r>
          </w:p>
          <w:p>
            <w:pPr>
              <w:widowControl/>
              <w:jc w:val="center"/>
              <w:rPr>
                <w:rFonts w:hAnsi="宋体" w:cs="宋体"/>
                <w:color w:val="auto"/>
                <w:kern w:val="0"/>
                <w:sz w:val="24"/>
                <w:highlight w:val="none"/>
              </w:rPr>
            </w:pPr>
            <w:r>
              <w:rPr>
                <w:rFonts w:hint="eastAsia" w:hAnsi="宋体" w:cs="宋体"/>
                <w:color w:val="auto"/>
                <w:kern w:val="0"/>
                <w:sz w:val="24"/>
                <w:highlight w:val="none"/>
              </w:rPr>
              <w:t>程</w:t>
            </w:r>
          </w:p>
          <w:p>
            <w:pPr>
              <w:widowControl/>
              <w:jc w:val="center"/>
              <w:rPr>
                <w:rFonts w:hAnsi="宋体" w:cs="宋体"/>
                <w:color w:val="auto"/>
                <w:kern w:val="0"/>
                <w:sz w:val="24"/>
                <w:highlight w:val="none"/>
              </w:rPr>
            </w:pPr>
            <w:r>
              <w:rPr>
                <w:rFonts w:hint="eastAsia" w:hAnsi="宋体" w:cs="宋体"/>
                <w:color w:val="auto"/>
                <w:kern w:val="0"/>
                <w:sz w:val="24"/>
                <w:highlight w:val="none"/>
              </w:rPr>
              <w:t>量</w:t>
            </w:r>
          </w:p>
        </w:tc>
        <w:tc>
          <w:tcPr>
            <w:tcW w:w="900" w:type="dxa"/>
            <w:vMerge w:val="restart"/>
            <w:tcBorders>
              <w:top w:val="single" w:color="auto" w:sz="4" w:space="0"/>
              <w:left w:val="single" w:color="auto" w:sz="4" w:space="0"/>
              <w:right w:val="single" w:color="auto" w:sz="4" w:space="0"/>
            </w:tcBorders>
            <w:noWrap w:val="0"/>
            <w:vAlign w:val="center"/>
          </w:tcPr>
          <w:p>
            <w:pPr>
              <w:widowControl/>
              <w:jc w:val="center"/>
              <w:rPr>
                <w:rFonts w:hAnsi="宋体" w:cs="宋体"/>
                <w:color w:val="auto"/>
                <w:kern w:val="0"/>
                <w:sz w:val="24"/>
                <w:highlight w:val="none"/>
              </w:rPr>
            </w:pPr>
            <w:r>
              <w:rPr>
                <w:rFonts w:hint="eastAsia" w:hAnsi="宋体" w:cs="宋体"/>
                <w:color w:val="auto"/>
                <w:kern w:val="0"/>
                <w:sz w:val="24"/>
                <w:highlight w:val="none"/>
              </w:rPr>
              <w:t>综合单价（元）</w:t>
            </w:r>
          </w:p>
        </w:tc>
        <w:tc>
          <w:tcPr>
            <w:tcW w:w="900" w:type="dxa"/>
            <w:vMerge w:val="restart"/>
            <w:tcBorders>
              <w:top w:val="single" w:color="auto" w:sz="4" w:space="0"/>
              <w:left w:val="single" w:color="auto" w:sz="4" w:space="0"/>
              <w:right w:val="single" w:color="auto" w:sz="4" w:space="0"/>
            </w:tcBorders>
            <w:noWrap w:val="0"/>
            <w:vAlign w:val="center"/>
          </w:tcPr>
          <w:p>
            <w:pPr>
              <w:widowControl/>
              <w:jc w:val="center"/>
              <w:rPr>
                <w:rFonts w:hAnsi="宋体" w:cs="宋体"/>
                <w:color w:val="auto"/>
                <w:kern w:val="0"/>
                <w:sz w:val="24"/>
                <w:highlight w:val="none"/>
              </w:rPr>
            </w:pPr>
            <w:r>
              <w:rPr>
                <w:rFonts w:hint="eastAsia" w:hAnsi="宋体" w:cs="宋体"/>
                <w:color w:val="auto"/>
                <w:kern w:val="0"/>
                <w:sz w:val="24"/>
                <w:highlight w:val="none"/>
              </w:rPr>
              <w:t>合价</w:t>
            </w:r>
          </w:p>
          <w:p>
            <w:pPr>
              <w:widowControl/>
              <w:jc w:val="center"/>
              <w:rPr>
                <w:rFonts w:hAnsi="宋体" w:cs="宋体"/>
                <w:color w:val="auto"/>
                <w:kern w:val="0"/>
                <w:sz w:val="24"/>
                <w:highlight w:val="none"/>
              </w:rPr>
            </w:pPr>
            <w:r>
              <w:rPr>
                <w:rFonts w:hint="eastAsia" w:hAnsi="宋体" w:cs="宋体"/>
                <w:color w:val="auto"/>
                <w:kern w:val="0"/>
                <w:sz w:val="24"/>
                <w:highlight w:val="none"/>
              </w:rPr>
              <w:t>（元）</w:t>
            </w:r>
          </w:p>
        </w:tc>
        <w:tc>
          <w:tcPr>
            <w:tcW w:w="2259"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Ansi="宋体" w:cs="宋体"/>
                <w:color w:val="auto"/>
                <w:kern w:val="0"/>
                <w:sz w:val="24"/>
                <w:highlight w:val="none"/>
              </w:rPr>
            </w:pPr>
            <w:r>
              <w:rPr>
                <w:rFonts w:hint="eastAsia" w:hAnsi="宋体" w:cs="宋体"/>
                <w:color w:val="auto"/>
                <w:kern w:val="0"/>
                <w:sz w:val="24"/>
                <w:highlight w:val="none"/>
              </w:rPr>
              <w:t>其中</w:t>
            </w:r>
          </w:p>
        </w:tc>
        <w:tc>
          <w:tcPr>
            <w:tcW w:w="749" w:type="dxa"/>
            <w:vMerge w:val="restart"/>
            <w:tcBorders>
              <w:top w:val="single" w:color="auto" w:sz="4" w:space="0"/>
              <w:left w:val="single" w:color="auto" w:sz="4" w:space="0"/>
              <w:right w:val="single" w:color="auto" w:sz="4" w:space="0"/>
            </w:tcBorders>
            <w:noWrap w:val="0"/>
            <w:vAlign w:val="center"/>
          </w:tcPr>
          <w:p>
            <w:pPr>
              <w:widowControl/>
              <w:jc w:val="center"/>
              <w:rPr>
                <w:rFonts w:hAnsi="宋体" w:cs="宋体"/>
                <w:color w:val="auto"/>
                <w:kern w:val="0"/>
                <w:sz w:val="24"/>
                <w:highlight w:val="none"/>
              </w:rPr>
            </w:pPr>
            <w:r>
              <w:rPr>
                <w:rFonts w:hint="eastAsia" w:hAnsi="宋体" w:cs="宋体"/>
                <w:color w:val="auto"/>
                <w:kern w:val="0"/>
                <w:sz w:val="24"/>
                <w:highlight w:val="none"/>
              </w:rPr>
              <w:t>备注</w:t>
            </w:r>
          </w:p>
        </w:tc>
      </w:tr>
      <w:tr>
        <w:tblPrEx>
          <w:tblCellMar>
            <w:top w:w="0" w:type="dxa"/>
            <w:left w:w="108" w:type="dxa"/>
            <w:bottom w:w="0" w:type="dxa"/>
            <w:right w:w="108" w:type="dxa"/>
          </w:tblCellMar>
        </w:tblPrEx>
        <w:trPr>
          <w:trHeight w:val="1270" w:hRule="atLeast"/>
        </w:trPr>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Ansi="宋体" w:cs="宋体"/>
                <w:color w:val="auto"/>
                <w:kern w:val="0"/>
                <w:sz w:val="24"/>
                <w:highlight w:val="none"/>
              </w:rPr>
            </w:pPr>
          </w:p>
        </w:tc>
        <w:tc>
          <w:tcPr>
            <w:tcW w:w="8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Ansi="宋体" w:cs="宋体"/>
                <w:color w:val="auto"/>
                <w:kern w:val="0"/>
                <w:sz w:val="24"/>
                <w:highlight w:val="none"/>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Ansi="宋体" w:cs="宋体"/>
                <w:color w:val="auto"/>
                <w:kern w:val="0"/>
                <w:sz w:val="24"/>
                <w:highlight w:val="none"/>
              </w:rPr>
            </w:pPr>
          </w:p>
        </w:tc>
        <w:tc>
          <w:tcPr>
            <w:tcW w:w="1008" w:type="dxa"/>
            <w:vMerge w:val="continue"/>
            <w:tcBorders>
              <w:top w:val="single" w:color="auto" w:sz="4" w:space="0"/>
              <w:left w:val="nil"/>
              <w:bottom w:val="single" w:color="auto" w:sz="4" w:space="0"/>
              <w:right w:val="single" w:color="auto" w:sz="4" w:space="0"/>
            </w:tcBorders>
            <w:noWrap w:val="0"/>
            <w:vAlign w:val="center"/>
          </w:tcPr>
          <w:p>
            <w:pPr>
              <w:jc w:val="center"/>
              <w:rPr>
                <w:rFonts w:hAnsi="宋体" w:cs="宋体"/>
                <w:color w:val="auto"/>
                <w:kern w:val="0"/>
                <w:sz w:val="24"/>
                <w:highlight w:val="none"/>
              </w:rPr>
            </w:pPr>
          </w:p>
        </w:tc>
        <w:tc>
          <w:tcPr>
            <w:tcW w:w="850" w:type="dxa"/>
            <w:vMerge w:val="continue"/>
            <w:tcBorders>
              <w:top w:val="single" w:color="auto" w:sz="4" w:space="0"/>
              <w:left w:val="nil"/>
              <w:bottom w:val="single" w:color="auto" w:sz="4" w:space="0"/>
              <w:right w:val="single" w:color="auto" w:sz="4" w:space="0"/>
            </w:tcBorders>
            <w:noWrap w:val="0"/>
            <w:vAlign w:val="center"/>
          </w:tcPr>
          <w:p>
            <w:pPr>
              <w:jc w:val="center"/>
              <w:rPr>
                <w:rFonts w:hAnsi="宋体" w:cs="宋体"/>
                <w:color w:val="auto"/>
                <w:kern w:val="0"/>
                <w:sz w:val="24"/>
                <w:highlight w:val="none"/>
              </w:rPr>
            </w:pPr>
          </w:p>
        </w:tc>
        <w:tc>
          <w:tcPr>
            <w:tcW w:w="720" w:type="dxa"/>
            <w:vMerge w:val="continue"/>
            <w:tcBorders>
              <w:left w:val="single" w:color="auto" w:sz="4" w:space="0"/>
              <w:bottom w:val="single" w:color="auto" w:sz="4" w:space="0"/>
              <w:right w:val="single" w:color="auto" w:sz="4" w:space="0"/>
            </w:tcBorders>
            <w:noWrap w:val="0"/>
            <w:vAlign w:val="center"/>
          </w:tcPr>
          <w:p>
            <w:pPr>
              <w:widowControl/>
              <w:jc w:val="center"/>
              <w:rPr>
                <w:rFonts w:hAnsi="宋体" w:cs="宋体"/>
                <w:color w:val="auto"/>
                <w:kern w:val="0"/>
                <w:sz w:val="24"/>
                <w:highlight w:val="none"/>
              </w:rPr>
            </w:pPr>
          </w:p>
        </w:tc>
        <w:tc>
          <w:tcPr>
            <w:tcW w:w="900" w:type="dxa"/>
            <w:vMerge w:val="continue"/>
            <w:tcBorders>
              <w:left w:val="single" w:color="auto" w:sz="4" w:space="0"/>
              <w:bottom w:val="single" w:color="auto" w:sz="4" w:space="0"/>
              <w:right w:val="single" w:color="auto" w:sz="4" w:space="0"/>
            </w:tcBorders>
            <w:noWrap w:val="0"/>
            <w:vAlign w:val="center"/>
          </w:tcPr>
          <w:p>
            <w:pPr>
              <w:widowControl/>
              <w:jc w:val="center"/>
              <w:rPr>
                <w:rFonts w:hAnsi="宋体" w:cs="宋体"/>
                <w:color w:val="auto"/>
                <w:kern w:val="0"/>
                <w:sz w:val="24"/>
                <w:highlight w:val="none"/>
              </w:rPr>
            </w:pPr>
          </w:p>
        </w:tc>
        <w:tc>
          <w:tcPr>
            <w:tcW w:w="900" w:type="dxa"/>
            <w:vMerge w:val="continue"/>
            <w:tcBorders>
              <w:left w:val="single" w:color="auto" w:sz="4" w:space="0"/>
              <w:bottom w:val="single" w:color="auto" w:sz="4" w:space="0"/>
              <w:right w:val="single" w:color="auto" w:sz="4" w:space="0"/>
            </w:tcBorders>
            <w:noWrap w:val="0"/>
            <w:vAlign w:val="center"/>
          </w:tcPr>
          <w:p>
            <w:pPr>
              <w:widowControl/>
              <w:jc w:val="center"/>
              <w:rPr>
                <w:rFonts w:hAnsi="宋体" w:cs="宋体"/>
                <w:color w:val="auto"/>
                <w:kern w:val="0"/>
                <w:sz w:val="24"/>
                <w:highlight w:val="none"/>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Ansi="宋体" w:cs="宋体"/>
                <w:color w:val="auto"/>
                <w:kern w:val="0"/>
                <w:sz w:val="24"/>
                <w:highlight w:val="none"/>
              </w:rPr>
            </w:pPr>
            <w:r>
              <w:rPr>
                <w:rFonts w:hint="eastAsia" w:hAnsi="宋体" w:cs="宋体"/>
                <w:color w:val="auto"/>
                <w:kern w:val="0"/>
                <w:sz w:val="24"/>
                <w:highlight w:val="none"/>
              </w:rPr>
              <w:t>人</w:t>
            </w:r>
          </w:p>
          <w:p>
            <w:pPr>
              <w:widowControl/>
              <w:jc w:val="center"/>
              <w:rPr>
                <w:rFonts w:hAnsi="宋体" w:cs="宋体"/>
                <w:color w:val="auto"/>
                <w:kern w:val="0"/>
                <w:sz w:val="24"/>
                <w:highlight w:val="none"/>
              </w:rPr>
            </w:pPr>
            <w:r>
              <w:rPr>
                <w:rFonts w:hint="eastAsia" w:hAnsi="宋体" w:cs="宋体"/>
                <w:color w:val="auto"/>
                <w:kern w:val="0"/>
                <w:sz w:val="24"/>
                <w:highlight w:val="none"/>
              </w:rPr>
              <w:t>工</w:t>
            </w:r>
          </w:p>
          <w:p>
            <w:pPr>
              <w:widowControl/>
              <w:jc w:val="center"/>
              <w:rPr>
                <w:rFonts w:hAnsi="宋体" w:cs="宋体"/>
                <w:color w:val="auto"/>
                <w:kern w:val="0"/>
                <w:sz w:val="24"/>
                <w:highlight w:val="none"/>
              </w:rPr>
            </w:pPr>
            <w:r>
              <w:rPr>
                <w:rFonts w:hint="eastAsia" w:hAnsi="宋体" w:cs="宋体"/>
                <w:color w:val="auto"/>
                <w:kern w:val="0"/>
                <w:sz w:val="24"/>
                <w:highlight w:val="none"/>
              </w:rPr>
              <w:t>费</w:t>
            </w:r>
          </w:p>
        </w:tc>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Ansi="宋体" w:cs="宋体"/>
                <w:color w:val="auto"/>
                <w:kern w:val="0"/>
                <w:sz w:val="24"/>
                <w:highlight w:val="none"/>
              </w:rPr>
            </w:pPr>
            <w:r>
              <w:rPr>
                <w:rFonts w:hint="eastAsia" w:hAnsi="宋体" w:cs="宋体"/>
                <w:color w:val="auto"/>
                <w:kern w:val="0"/>
                <w:sz w:val="24"/>
                <w:highlight w:val="none"/>
              </w:rPr>
              <w:t>机</w:t>
            </w:r>
          </w:p>
          <w:p>
            <w:pPr>
              <w:widowControl/>
              <w:jc w:val="center"/>
              <w:rPr>
                <w:rFonts w:hAnsi="宋体" w:cs="宋体"/>
                <w:color w:val="auto"/>
                <w:kern w:val="0"/>
                <w:sz w:val="24"/>
                <w:highlight w:val="none"/>
              </w:rPr>
            </w:pPr>
            <w:r>
              <w:rPr>
                <w:rFonts w:hint="eastAsia" w:hAnsi="宋体" w:cs="宋体"/>
                <w:color w:val="auto"/>
                <w:kern w:val="0"/>
                <w:sz w:val="24"/>
                <w:highlight w:val="none"/>
              </w:rPr>
              <w:t>械</w:t>
            </w:r>
          </w:p>
          <w:p>
            <w:pPr>
              <w:widowControl/>
              <w:jc w:val="center"/>
              <w:rPr>
                <w:rFonts w:hAnsi="宋体" w:cs="宋体"/>
                <w:color w:val="auto"/>
                <w:kern w:val="0"/>
                <w:sz w:val="24"/>
                <w:highlight w:val="none"/>
              </w:rPr>
            </w:pPr>
            <w:r>
              <w:rPr>
                <w:rFonts w:hint="eastAsia" w:hAnsi="宋体" w:cs="宋体"/>
                <w:color w:val="auto"/>
                <w:kern w:val="0"/>
                <w:sz w:val="24"/>
                <w:highlight w:val="none"/>
              </w:rPr>
              <w:t>费</w:t>
            </w:r>
          </w:p>
        </w:tc>
        <w:tc>
          <w:tcPr>
            <w:tcW w:w="78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Ansi="宋体" w:cs="宋体"/>
                <w:color w:val="auto"/>
                <w:kern w:val="0"/>
                <w:sz w:val="24"/>
                <w:highlight w:val="none"/>
              </w:rPr>
            </w:pPr>
            <w:r>
              <w:rPr>
                <w:rFonts w:hint="eastAsia" w:hAnsi="宋体" w:cs="宋体"/>
                <w:color w:val="auto"/>
                <w:kern w:val="0"/>
                <w:sz w:val="24"/>
                <w:highlight w:val="none"/>
              </w:rPr>
              <w:t>管</w:t>
            </w:r>
          </w:p>
          <w:p>
            <w:pPr>
              <w:widowControl/>
              <w:jc w:val="center"/>
              <w:rPr>
                <w:rFonts w:hAnsi="宋体" w:cs="宋体"/>
                <w:color w:val="auto"/>
                <w:kern w:val="0"/>
                <w:sz w:val="24"/>
                <w:highlight w:val="none"/>
              </w:rPr>
            </w:pPr>
            <w:r>
              <w:rPr>
                <w:rFonts w:hint="eastAsia" w:hAnsi="宋体" w:cs="宋体"/>
                <w:color w:val="auto"/>
                <w:kern w:val="0"/>
                <w:sz w:val="24"/>
                <w:highlight w:val="none"/>
              </w:rPr>
              <w:t>理</w:t>
            </w:r>
          </w:p>
          <w:p>
            <w:pPr>
              <w:widowControl/>
              <w:jc w:val="center"/>
              <w:rPr>
                <w:rFonts w:hAnsi="宋体" w:cs="宋体"/>
                <w:color w:val="auto"/>
                <w:kern w:val="0"/>
                <w:sz w:val="24"/>
                <w:highlight w:val="none"/>
              </w:rPr>
            </w:pPr>
            <w:r>
              <w:rPr>
                <w:rFonts w:hint="eastAsia" w:hAnsi="宋体" w:cs="宋体"/>
                <w:color w:val="auto"/>
                <w:kern w:val="0"/>
                <w:sz w:val="24"/>
                <w:highlight w:val="none"/>
              </w:rPr>
              <w:t>费</w:t>
            </w:r>
          </w:p>
        </w:tc>
        <w:tc>
          <w:tcPr>
            <w:tcW w:w="749" w:type="dxa"/>
            <w:vMerge w:val="continue"/>
            <w:tcBorders>
              <w:left w:val="single" w:color="auto" w:sz="4" w:space="0"/>
              <w:bottom w:val="single" w:color="000000" w:sz="4" w:space="0"/>
              <w:right w:val="single" w:color="auto" w:sz="4" w:space="0"/>
            </w:tcBorders>
            <w:noWrap w:val="0"/>
            <w:vAlign w:val="center"/>
          </w:tcPr>
          <w:p>
            <w:pPr>
              <w:widowControl/>
              <w:jc w:val="center"/>
              <w:rPr>
                <w:rFonts w:hAnsi="宋体" w:cs="宋体"/>
                <w:color w:val="auto"/>
                <w:kern w:val="0"/>
                <w:sz w:val="24"/>
                <w:highlight w:val="none"/>
              </w:rPr>
            </w:pPr>
          </w:p>
        </w:tc>
      </w:tr>
      <w:tr>
        <w:tblPrEx>
          <w:tblCellMar>
            <w:top w:w="0" w:type="dxa"/>
            <w:left w:w="108" w:type="dxa"/>
            <w:bottom w:w="0" w:type="dxa"/>
            <w:right w:w="108" w:type="dxa"/>
          </w:tblCellMar>
        </w:tblPrEx>
        <w:trPr>
          <w:trHeight w:val="645"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hAnsi="宋体" w:cs="宋体"/>
                <w:color w:val="auto"/>
                <w:kern w:val="0"/>
                <w:sz w:val="24"/>
                <w:highlight w:val="none"/>
              </w:rPr>
            </w:pPr>
            <w:r>
              <w:rPr>
                <w:rFonts w:hint="eastAsia" w:hAnsi="宋体" w:cs="宋体"/>
                <w:color w:val="auto"/>
                <w:kern w:val="0"/>
                <w:sz w:val="24"/>
                <w:highlight w:val="none"/>
              </w:rPr>
              <w:t>（1）</w:t>
            </w:r>
          </w:p>
        </w:tc>
        <w:tc>
          <w:tcPr>
            <w:tcW w:w="813" w:type="dxa"/>
            <w:tcBorders>
              <w:top w:val="nil"/>
              <w:left w:val="nil"/>
              <w:bottom w:val="single" w:color="auto" w:sz="4" w:space="0"/>
              <w:right w:val="single" w:color="auto" w:sz="4" w:space="0"/>
            </w:tcBorders>
            <w:noWrap w:val="0"/>
            <w:vAlign w:val="center"/>
          </w:tcPr>
          <w:p>
            <w:pPr>
              <w:widowControl/>
              <w:spacing w:line="500" w:lineRule="exact"/>
              <w:jc w:val="center"/>
              <w:rPr>
                <w:rFonts w:hAnsi="宋体" w:cs="宋体"/>
                <w:color w:val="auto"/>
                <w:kern w:val="0"/>
                <w:sz w:val="24"/>
                <w:highlight w:val="none"/>
              </w:rPr>
            </w:pPr>
            <w:r>
              <w:rPr>
                <w:rFonts w:hint="eastAsia" w:hAnsi="宋体" w:cs="宋体"/>
                <w:color w:val="auto"/>
                <w:kern w:val="0"/>
                <w:sz w:val="24"/>
                <w:highlight w:val="none"/>
              </w:rPr>
              <w:t>（2）</w:t>
            </w:r>
          </w:p>
        </w:tc>
        <w:tc>
          <w:tcPr>
            <w:tcW w:w="1260" w:type="dxa"/>
            <w:tcBorders>
              <w:top w:val="nil"/>
              <w:left w:val="nil"/>
              <w:bottom w:val="single" w:color="auto" w:sz="4" w:space="0"/>
              <w:right w:val="single" w:color="auto" w:sz="4" w:space="0"/>
            </w:tcBorders>
            <w:noWrap w:val="0"/>
            <w:vAlign w:val="center"/>
          </w:tcPr>
          <w:p>
            <w:pPr>
              <w:widowControl/>
              <w:spacing w:line="500" w:lineRule="exact"/>
              <w:jc w:val="center"/>
              <w:rPr>
                <w:rFonts w:hAnsi="宋体" w:cs="宋体"/>
                <w:color w:val="auto"/>
                <w:kern w:val="0"/>
                <w:sz w:val="24"/>
                <w:highlight w:val="none"/>
              </w:rPr>
            </w:pPr>
            <w:r>
              <w:rPr>
                <w:rFonts w:hint="eastAsia" w:hAnsi="宋体" w:cs="宋体"/>
                <w:color w:val="auto"/>
                <w:kern w:val="0"/>
                <w:sz w:val="24"/>
                <w:highlight w:val="none"/>
              </w:rPr>
              <w:t>（3）</w:t>
            </w:r>
          </w:p>
        </w:tc>
        <w:tc>
          <w:tcPr>
            <w:tcW w:w="1008" w:type="dxa"/>
            <w:tcBorders>
              <w:top w:val="single" w:color="auto" w:sz="4" w:space="0"/>
              <w:left w:val="nil"/>
              <w:bottom w:val="single" w:color="auto" w:sz="4" w:space="0"/>
              <w:right w:val="single" w:color="auto" w:sz="4" w:space="0"/>
            </w:tcBorders>
            <w:noWrap w:val="0"/>
            <w:vAlign w:val="center"/>
          </w:tcPr>
          <w:p>
            <w:pPr>
              <w:widowControl/>
              <w:spacing w:line="500" w:lineRule="exact"/>
              <w:jc w:val="center"/>
              <w:rPr>
                <w:rFonts w:hAnsi="宋体" w:cs="宋体"/>
                <w:color w:val="auto"/>
                <w:kern w:val="0"/>
                <w:sz w:val="24"/>
                <w:highlight w:val="none"/>
              </w:rPr>
            </w:pPr>
            <w:r>
              <w:rPr>
                <w:rFonts w:hint="eastAsia" w:hAnsi="宋体" w:cs="宋体"/>
                <w:color w:val="auto"/>
                <w:kern w:val="0"/>
                <w:sz w:val="24"/>
                <w:highlight w:val="none"/>
              </w:rPr>
              <w:t>（4）</w:t>
            </w:r>
          </w:p>
        </w:tc>
        <w:tc>
          <w:tcPr>
            <w:tcW w:w="850" w:type="dxa"/>
            <w:tcBorders>
              <w:top w:val="single" w:color="auto" w:sz="4" w:space="0"/>
              <w:left w:val="nil"/>
              <w:bottom w:val="single" w:color="auto" w:sz="4" w:space="0"/>
              <w:right w:val="single" w:color="auto" w:sz="4" w:space="0"/>
            </w:tcBorders>
            <w:noWrap w:val="0"/>
            <w:vAlign w:val="center"/>
          </w:tcPr>
          <w:p>
            <w:pPr>
              <w:widowControl/>
              <w:spacing w:line="500" w:lineRule="exact"/>
              <w:jc w:val="center"/>
              <w:rPr>
                <w:rFonts w:hAnsi="宋体" w:cs="宋体"/>
                <w:color w:val="auto"/>
                <w:kern w:val="0"/>
                <w:sz w:val="24"/>
                <w:highlight w:val="none"/>
              </w:rPr>
            </w:pPr>
            <w:r>
              <w:rPr>
                <w:rFonts w:hint="eastAsia" w:hAnsi="宋体" w:cs="宋体"/>
                <w:color w:val="auto"/>
                <w:kern w:val="0"/>
                <w:sz w:val="24"/>
                <w:highlight w:val="none"/>
              </w:rPr>
              <w:t>（5）</w:t>
            </w:r>
          </w:p>
        </w:tc>
        <w:tc>
          <w:tcPr>
            <w:tcW w:w="720" w:type="dxa"/>
            <w:tcBorders>
              <w:top w:val="nil"/>
              <w:left w:val="nil"/>
              <w:bottom w:val="single" w:color="auto" w:sz="4" w:space="0"/>
              <w:right w:val="single" w:color="auto" w:sz="4" w:space="0"/>
            </w:tcBorders>
            <w:noWrap w:val="0"/>
            <w:vAlign w:val="center"/>
          </w:tcPr>
          <w:p>
            <w:pPr>
              <w:widowControl/>
              <w:spacing w:line="500" w:lineRule="exact"/>
              <w:jc w:val="right"/>
              <w:rPr>
                <w:rFonts w:hAnsi="宋体" w:cs="宋体"/>
                <w:color w:val="auto"/>
                <w:kern w:val="0"/>
                <w:sz w:val="24"/>
                <w:highlight w:val="none"/>
              </w:rPr>
            </w:pPr>
          </w:p>
        </w:tc>
        <w:tc>
          <w:tcPr>
            <w:tcW w:w="900" w:type="dxa"/>
            <w:tcBorders>
              <w:top w:val="nil"/>
              <w:left w:val="nil"/>
              <w:bottom w:val="single" w:color="auto" w:sz="4" w:space="0"/>
              <w:right w:val="single" w:color="auto" w:sz="4" w:space="0"/>
            </w:tcBorders>
            <w:noWrap w:val="0"/>
            <w:vAlign w:val="center"/>
          </w:tcPr>
          <w:p>
            <w:pPr>
              <w:widowControl/>
              <w:spacing w:line="500" w:lineRule="exact"/>
              <w:jc w:val="right"/>
              <w:rPr>
                <w:rFonts w:hAnsi="宋体" w:cs="宋体"/>
                <w:color w:val="auto"/>
                <w:kern w:val="0"/>
                <w:sz w:val="24"/>
                <w:highlight w:val="none"/>
              </w:rPr>
            </w:pPr>
          </w:p>
        </w:tc>
        <w:tc>
          <w:tcPr>
            <w:tcW w:w="900" w:type="dxa"/>
            <w:tcBorders>
              <w:top w:val="nil"/>
              <w:left w:val="nil"/>
              <w:bottom w:val="single" w:color="auto" w:sz="4" w:space="0"/>
              <w:right w:val="single" w:color="auto" w:sz="4" w:space="0"/>
            </w:tcBorders>
            <w:noWrap w:val="0"/>
            <w:vAlign w:val="center"/>
          </w:tcPr>
          <w:p>
            <w:pPr>
              <w:widowControl/>
              <w:spacing w:line="500" w:lineRule="exact"/>
              <w:jc w:val="right"/>
              <w:rPr>
                <w:rFonts w:hAnsi="宋体" w:cs="宋体"/>
                <w:color w:val="auto"/>
                <w:kern w:val="0"/>
                <w:sz w:val="24"/>
                <w:highlight w:val="none"/>
              </w:rPr>
            </w:pPr>
          </w:p>
        </w:tc>
        <w:tc>
          <w:tcPr>
            <w:tcW w:w="720" w:type="dxa"/>
            <w:tcBorders>
              <w:top w:val="nil"/>
              <w:left w:val="nil"/>
              <w:bottom w:val="single" w:color="auto" w:sz="4" w:space="0"/>
              <w:right w:val="single" w:color="auto" w:sz="4" w:space="0"/>
            </w:tcBorders>
            <w:noWrap w:val="0"/>
            <w:vAlign w:val="center"/>
          </w:tcPr>
          <w:p>
            <w:pPr>
              <w:widowControl/>
              <w:spacing w:line="500" w:lineRule="exact"/>
              <w:jc w:val="right"/>
              <w:rPr>
                <w:rFonts w:hAnsi="宋体" w:cs="宋体"/>
                <w:color w:val="auto"/>
                <w:kern w:val="0"/>
                <w:sz w:val="24"/>
                <w:highlight w:val="none"/>
              </w:rPr>
            </w:pPr>
          </w:p>
        </w:tc>
        <w:tc>
          <w:tcPr>
            <w:tcW w:w="750" w:type="dxa"/>
            <w:tcBorders>
              <w:top w:val="nil"/>
              <w:left w:val="nil"/>
              <w:bottom w:val="single" w:color="auto" w:sz="4" w:space="0"/>
              <w:right w:val="single" w:color="auto" w:sz="4" w:space="0"/>
            </w:tcBorders>
            <w:noWrap w:val="0"/>
            <w:vAlign w:val="center"/>
          </w:tcPr>
          <w:p>
            <w:pPr>
              <w:widowControl/>
              <w:spacing w:line="500" w:lineRule="exact"/>
              <w:jc w:val="right"/>
              <w:rPr>
                <w:rFonts w:hAnsi="宋体" w:cs="宋体"/>
                <w:color w:val="auto"/>
                <w:kern w:val="0"/>
                <w:sz w:val="24"/>
                <w:highlight w:val="none"/>
              </w:rPr>
            </w:pPr>
          </w:p>
        </w:tc>
        <w:tc>
          <w:tcPr>
            <w:tcW w:w="789" w:type="dxa"/>
            <w:tcBorders>
              <w:top w:val="nil"/>
              <w:left w:val="nil"/>
              <w:bottom w:val="single" w:color="auto" w:sz="4" w:space="0"/>
              <w:right w:val="single" w:color="auto" w:sz="4" w:space="0"/>
            </w:tcBorders>
            <w:noWrap w:val="0"/>
            <w:vAlign w:val="center"/>
          </w:tcPr>
          <w:p>
            <w:pPr>
              <w:widowControl/>
              <w:spacing w:line="500" w:lineRule="exact"/>
              <w:jc w:val="right"/>
              <w:rPr>
                <w:rFonts w:hAnsi="宋体" w:cs="宋体"/>
                <w:color w:val="auto"/>
                <w:kern w:val="0"/>
                <w:sz w:val="24"/>
                <w:highlight w:val="none"/>
              </w:rPr>
            </w:pPr>
          </w:p>
        </w:tc>
        <w:tc>
          <w:tcPr>
            <w:tcW w:w="749" w:type="dxa"/>
            <w:tcBorders>
              <w:top w:val="nil"/>
              <w:left w:val="nil"/>
              <w:bottom w:val="single" w:color="auto" w:sz="4" w:space="0"/>
              <w:right w:val="single" w:color="auto" w:sz="4" w:space="0"/>
            </w:tcBorders>
            <w:noWrap w:val="0"/>
            <w:vAlign w:val="center"/>
          </w:tcPr>
          <w:p>
            <w:pPr>
              <w:widowControl/>
              <w:spacing w:line="500" w:lineRule="exact"/>
              <w:jc w:val="right"/>
              <w:rPr>
                <w:rFonts w:hAnsi="宋体" w:cs="宋体"/>
                <w:color w:val="auto"/>
                <w:kern w:val="0"/>
                <w:sz w:val="24"/>
                <w:highlight w:val="none"/>
              </w:rPr>
            </w:pPr>
            <w:r>
              <w:rPr>
                <w:rFonts w:hint="eastAsia" w:hAnsi="宋体" w:cs="宋体"/>
                <w:color w:val="auto"/>
                <w:kern w:val="0"/>
                <w:sz w:val="24"/>
                <w:highlight w:val="none"/>
              </w:rPr>
              <w:t>（6）</w:t>
            </w:r>
          </w:p>
        </w:tc>
      </w:tr>
      <w:tr>
        <w:tblPrEx>
          <w:tblCellMar>
            <w:top w:w="0" w:type="dxa"/>
            <w:left w:w="108" w:type="dxa"/>
            <w:bottom w:w="0" w:type="dxa"/>
            <w:right w:w="108" w:type="dxa"/>
          </w:tblCellMar>
        </w:tblPrEx>
        <w:trPr>
          <w:trHeight w:val="806" w:hRule="atLeast"/>
        </w:trPr>
        <w:tc>
          <w:tcPr>
            <w:tcW w:w="720"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hAnsi="宋体" w:cs="宋体"/>
                <w:color w:val="auto"/>
                <w:kern w:val="0"/>
                <w:sz w:val="24"/>
                <w:highlight w:val="none"/>
              </w:rPr>
            </w:pPr>
          </w:p>
        </w:tc>
        <w:tc>
          <w:tcPr>
            <w:tcW w:w="813" w:type="dxa"/>
            <w:tcBorders>
              <w:top w:val="nil"/>
              <w:left w:val="nil"/>
              <w:bottom w:val="single" w:color="auto" w:sz="4" w:space="0"/>
              <w:right w:val="single" w:color="auto" w:sz="4" w:space="0"/>
            </w:tcBorders>
            <w:noWrap w:val="0"/>
            <w:vAlign w:val="center"/>
          </w:tcPr>
          <w:p>
            <w:pPr>
              <w:widowControl/>
              <w:spacing w:line="500" w:lineRule="exact"/>
              <w:jc w:val="center"/>
              <w:rPr>
                <w:rFonts w:hAnsi="宋体" w:cs="宋体"/>
                <w:color w:val="auto"/>
                <w:kern w:val="0"/>
                <w:sz w:val="24"/>
                <w:highlight w:val="none"/>
              </w:rPr>
            </w:pPr>
          </w:p>
        </w:tc>
        <w:tc>
          <w:tcPr>
            <w:tcW w:w="1260" w:type="dxa"/>
            <w:tcBorders>
              <w:top w:val="nil"/>
              <w:left w:val="nil"/>
              <w:bottom w:val="single" w:color="auto" w:sz="4" w:space="0"/>
              <w:right w:val="single" w:color="auto" w:sz="4" w:space="0"/>
            </w:tcBorders>
            <w:noWrap w:val="0"/>
            <w:vAlign w:val="center"/>
          </w:tcPr>
          <w:p>
            <w:pPr>
              <w:widowControl/>
              <w:spacing w:line="500" w:lineRule="exact"/>
              <w:jc w:val="center"/>
              <w:rPr>
                <w:rFonts w:hAnsi="宋体" w:cs="宋体"/>
                <w:color w:val="auto"/>
                <w:kern w:val="0"/>
                <w:sz w:val="24"/>
                <w:highlight w:val="none"/>
              </w:rPr>
            </w:pPr>
            <w:r>
              <w:rPr>
                <w:rFonts w:hint="eastAsia" w:hAnsi="宋体" w:cs="宋体"/>
                <w:color w:val="auto"/>
                <w:kern w:val="0"/>
                <w:sz w:val="24"/>
                <w:highlight w:val="none"/>
              </w:rPr>
              <w:t>大型机械设备进出场及安拆</w:t>
            </w:r>
          </w:p>
        </w:tc>
        <w:tc>
          <w:tcPr>
            <w:tcW w:w="1008" w:type="dxa"/>
            <w:tcBorders>
              <w:top w:val="nil"/>
              <w:left w:val="nil"/>
              <w:bottom w:val="single" w:color="auto" w:sz="4" w:space="0"/>
              <w:right w:val="single" w:color="auto" w:sz="4" w:space="0"/>
              <w:tr2bl w:val="single" w:color="auto" w:sz="4" w:space="0"/>
            </w:tcBorders>
            <w:noWrap w:val="0"/>
            <w:vAlign w:val="center"/>
          </w:tcPr>
          <w:p>
            <w:pPr>
              <w:widowControl/>
              <w:spacing w:line="500" w:lineRule="exact"/>
              <w:jc w:val="center"/>
              <w:rPr>
                <w:rFonts w:hAnsi="宋体" w:cs="宋体"/>
                <w:color w:val="auto"/>
                <w:kern w:val="0"/>
                <w:sz w:val="24"/>
                <w:highlight w:val="none"/>
              </w:rPr>
            </w:pPr>
          </w:p>
        </w:tc>
        <w:tc>
          <w:tcPr>
            <w:tcW w:w="850" w:type="dxa"/>
            <w:tcBorders>
              <w:top w:val="nil"/>
              <w:left w:val="nil"/>
              <w:bottom w:val="single" w:color="auto" w:sz="4" w:space="0"/>
              <w:right w:val="single" w:color="auto" w:sz="4" w:space="0"/>
            </w:tcBorders>
            <w:noWrap w:val="0"/>
            <w:vAlign w:val="center"/>
          </w:tcPr>
          <w:p>
            <w:pPr>
              <w:widowControl/>
              <w:spacing w:line="500" w:lineRule="exact"/>
              <w:jc w:val="right"/>
              <w:rPr>
                <w:rFonts w:hAnsi="宋体" w:cs="宋体"/>
                <w:color w:val="auto"/>
                <w:kern w:val="0"/>
                <w:sz w:val="24"/>
                <w:highlight w:val="none"/>
              </w:rPr>
            </w:pPr>
          </w:p>
        </w:tc>
        <w:tc>
          <w:tcPr>
            <w:tcW w:w="720" w:type="dxa"/>
            <w:tcBorders>
              <w:top w:val="nil"/>
              <w:left w:val="nil"/>
              <w:bottom w:val="single" w:color="auto" w:sz="4" w:space="0"/>
              <w:right w:val="single" w:color="auto" w:sz="4" w:space="0"/>
            </w:tcBorders>
            <w:noWrap w:val="0"/>
            <w:vAlign w:val="center"/>
          </w:tcPr>
          <w:p>
            <w:pPr>
              <w:widowControl/>
              <w:spacing w:line="500" w:lineRule="exact"/>
              <w:jc w:val="right"/>
              <w:rPr>
                <w:rFonts w:hAnsi="宋体" w:cs="宋体"/>
                <w:color w:val="auto"/>
                <w:kern w:val="0"/>
                <w:sz w:val="24"/>
                <w:highlight w:val="none"/>
              </w:rPr>
            </w:pPr>
          </w:p>
        </w:tc>
        <w:tc>
          <w:tcPr>
            <w:tcW w:w="900" w:type="dxa"/>
            <w:tcBorders>
              <w:top w:val="nil"/>
              <w:left w:val="nil"/>
              <w:bottom w:val="single" w:color="auto" w:sz="4" w:space="0"/>
              <w:right w:val="single" w:color="auto" w:sz="4" w:space="0"/>
            </w:tcBorders>
            <w:noWrap w:val="0"/>
            <w:vAlign w:val="center"/>
          </w:tcPr>
          <w:p>
            <w:pPr>
              <w:widowControl/>
              <w:spacing w:line="500" w:lineRule="exact"/>
              <w:jc w:val="right"/>
              <w:rPr>
                <w:rFonts w:hAnsi="宋体" w:cs="宋体"/>
                <w:color w:val="auto"/>
                <w:kern w:val="0"/>
                <w:sz w:val="24"/>
                <w:highlight w:val="none"/>
              </w:rPr>
            </w:pPr>
          </w:p>
        </w:tc>
        <w:tc>
          <w:tcPr>
            <w:tcW w:w="900" w:type="dxa"/>
            <w:tcBorders>
              <w:top w:val="nil"/>
              <w:left w:val="nil"/>
              <w:bottom w:val="single" w:color="auto" w:sz="4" w:space="0"/>
              <w:right w:val="single" w:color="auto" w:sz="4" w:space="0"/>
            </w:tcBorders>
            <w:noWrap w:val="0"/>
            <w:vAlign w:val="center"/>
          </w:tcPr>
          <w:p>
            <w:pPr>
              <w:widowControl/>
              <w:spacing w:line="500" w:lineRule="exact"/>
              <w:jc w:val="right"/>
              <w:rPr>
                <w:rFonts w:hAnsi="宋体" w:cs="宋体"/>
                <w:color w:val="auto"/>
                <w:kern w:val="0"/>
                <w:sz w:val="24"/>
                <w:highlight w:val="none"/>
              </w:rPr>
            </w:pPr>
          </w:p>
        </w:tc>
        <w:tc>
          <w:tcPr>
            <w:tcW w:w="720" w:type="dxa"/>
            <w:tcBorders>
              <w:top w:val="nil"/>
              <w:left w:val="nil"/>
              <w:bottom w:val="single" w:color="auto" w:sz="4" w:space="0"/>
              <w:right w:val="single" w:color="auto" w:sz="4" w:space="0"/>
              <w:tr2bl w:val="single" w:color="auto" w:sz="4" w:space="0"/>
            </w:tcBorders>
            <w:noWrap w:val="0"/>
            <w:vAlign w:val="center"/>
          </w:tcPr>
          <w:p>
            <w:pPr>
              <w:widowControl/>
              <w:spacing w:line="500" w:lineRule="exact"/>
              <w:jc w:val="right"/>
              <w:rPr>
                <w:rFonts w:hAnsi="宋体" w:cs="宋体"/>
                <w:color w:val="auto"/>
                <w:kern w:val="0"/>
                <w:sz w:val="24"/>
                <w:highlight w:val="none"/>
              </w:rPr>
            </w:pPr>
          </w:p>
        </w:tc>
        <w:tc>
          <w:tcPr>
            <w:tcW w:w="750" w:type="dxa"/>
            <w:tcBorders>
              <w:top w:val="nil"/>
              <w:left w:val="nil"/>
              <w:bottom w:val="single" w:color="auto" w:sz="4" w:space="0"/>
              <w:right w:val="single" w:color="auto" w:sz="4" w:space="0"/>
              <w:tr2bl w:val="single" w:color="auto" w:sz="4" w:space="0"/>
            </w:tcBorders>
            <w:noWrap w:val="0"/>
            <w:vAlign w:val="center"/>
          </w:tcPr>
          <w:p>
            <w:pPr>
              <w:widowControl/>
              <w:spacing w:line="500" w:lineRule="exact"/>
              <w:jc w:val="right"/>
              <w:rPr>
                <w:rFonts w:hAnsi="宋体" w:cs="宋体"/>
                <w:color w:val="auto"/>
                <w:kern w:val="0"/>
                <w:sz w:val="24"/>
                <w:highlight w:val="none"/>
              </w:rPr>
            </w:pPr>
          </w:p>
        </w:tc>
        <w:tc>
          <w:tcPr>
            <w:tcW w:w="789" w:type="dxa"/>
            <w:tcBorders>
              <w:top w:val="nil"/>
              <w:left w:val="nil"/>
              <w:bottom w:val="single" w:color="auto" w:sz="4" w:space="0"/>
              <w:right w:val="single" w:color="auto" w:sz="4" w:space="0"/>
              <w:tr2bl w:val="single" w:color="auto" w:sz="4" w:space="0"/>
            </w:tcBorders>
            <w:noWrap w:val="0"/>
            <w:vAlign w:val="center"/>
          </w:tcPr>
          <w:p>
            <w:pPr>
              <w:widowControl/>
              <w:spacing w:line="500" w:lineRule="exact"/>
              <w:jc w:val="right"/>
              <w:rPr>
                <w:rFonts w:hAnsi="宋体" w:cs="宋体"/>
                <w:color w:val="auto"/>
                <w:kern w:val="0"/>
                <w:sz w:val="24"/>
                <w:highlight w:val="none"/>
              </w:rPr>
            </w:pPr>
          </w:p>
        </w:tc>
        <w:tc>
          <w:tcPr>
            <w:tcW w:w="749" w:type="dxa"/>
            <w:tcBorders>
              <w:top w:val="nil"/>
              <w:left w:val="nil"/>
              <w:bottom w:val="single" w:color="auto" w:sz="4" w:space="0"/>
              <w:right w:val="single" w:color="auto" w:sz="4" w:space="0"/>
            </w:tcBorders>
            <w:noWrap w:val="0"/>
            <w:vAlign w:val="center"/>
          </w:tcPr>
          <w:p>
            <w:pPr>
              <w:widowControl/>
              <w:spacing w:line="500" w:lineRule="exact"/>
              <w:jc w:val="right"/>
              <w:rPr>
                <w:rFonts w:hAnsi="宋体" w:cs="宋体"/>
                <w:color w:val="auto"/>
                <w:kern w:val="0"/>
                <w:sz w:val="24"/>
                <w:highlight w:val="none"/>
              </w:rPr>
            </w:pPr>
          </w:p>
        </w:tc>
      </w:tr>
      <w:tr>
        <w:tblPrEx>
          <w:tblCellMar>
            <w:top w:w="0" w:type="dxa"/>
            <w:left w:w="108" w:type="dxa"/>
            <w:bottom w:w="0" w:type="dxa"/>
            <w:right w:w="108" w:type="dxa"/>
          </w:tblCellMar>
        </w:tblPrEx>
        <w:trPr>
          <w:trHeight w:val="450" w:hRule="atLeast"/>
        </w:trPr>
        <w:tc>
          <w:tcPr>
            <w:tcW w:w="720"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hAnsi="宋体" w:cs="宋体"/>
                <w:color w:val="auto"/>
                <w:kern w:val="0"/>
                <w:sz w:val="24"/>
                <w:highlight w:val="none"/>
              </w:rPr>
            </w:pPr>
          </w:p>
        </w:tc>
        <w:tc>
          <w:tcPr>
            <w:tcW w:w="813" w:type="dxa"/>
            <w:tcBorders>
              <w:top w:val="nil"/>
              <w:left w:val="nil"/>
              <w:bottom w:val="single" w:color="auto" w:sz="4" w:space="0"/>
              <w:right w:val="single" w:color="auto" w:sz="4" w:space="0"/>
            </w:tcBorders>
            <w:noWrap w:val="0"/>
            <w:vAlign w:val="center"/>
          </w:tcPr>
          <w:p>
            <w:pPr>
              <w:widowControl/>
              <w:spacing w:line="500" w:lineRule="exact"/>
              <w:jc w:val="center"/>
              <w:rPr>
                <w:rFonts w:hAnsi="宋体" w:cs="宋体"/>
                <w:color w:val="auto"/>
                <w:kern w:val="0"/>
                <w:sz w:val="24"/>
                <w:highlight w:val="none"/>
              </w:rPr>
            </w:pPr>
          </w:p>
        </w:tc>
        <w:tc>
          <w:tcPr>
            <w:tcW w:w="1260" w:type="dxa"/>
            <w:tcBorders>
              <w:top w:val="nil"/>
              <w:left w:val="nil"/>
              <w:bottom w:val="single" w:color="auto" w:sz="4" w:space="0"/>
              <w:right w:val="single" w:color="auto" w:sz="4" w:space="0"/>
            </w:tcBorders>
            <w:noWrap w:val="0"/>
            <w:vAlign w:val="center"/>
          </w:tcPr>
          <w:p>
            <w:pPr>
              <w:widowControl/>
              <w:spacing w:line="500" w:lineRule="exact"/>
              <w:jc w:val="left"/>
              <w:rPr>
                <w:rFonts w:hAnsi="宋体" w:cs="宋体"/>
                <w:color w:val="auto"/>
                <w:kern w:val="0"/>
                <w:sz w:val="24"/>
                <w:highlight w:val="none"/>
              </w:rPr>
            </w:pPr>
            <w:r>
              <w:rPr>
                <w:rFonts w:hint="eastAsia" w:hAnsi="宋体" w:cs="宋体"/>
                <w:color w:val="auto"/>
                <w:kern w:val="0"/>
                <w:sz w:val="24"/>
                <w:highlight w:val="none"/>
              </w:rPr>
              <w:t>施工降水</w:t>
            </w:r>
          </w:p>
        </w:tc>
        <w:tc>
          <w:tcPr>
            <w:tcW w:w="1008" w:type="dxa"/>
            <w:tcBorders>
              <w:top w:val="nil"/>
              <w:left w:val="nil"/>
              <w:bottom w:val="single" w:color="auto" w:sz="4" w:space="0"/>
              <w:right w:val="single" w:color="auto" w:sz="4" w:space="0"/>
              <w:tr2bl w:val="single" w:color="auto" w:sz="4" w:space="0"/>
            </w:tcBorders>
            <w:noWrap w:val="0"/>
            <w:vAlign w:val="center"/>
          </w:tcPr>
          <w:p>
            <w:pPr>
              <w:widowControl/>
              <w:spacing w:line="500" w:lineRule="exact"/>
              <w:jc w:val="center"/>
              <w:rPr>
                <w:rFonts w:hAnsi="宋体" w:cs="宋体"/>
                <w:color w:val="auto"/>
                <w:kern w:val="0"/>
                <w:sz w:val="24"/>
                <w:highlight w:val="none"/>
              </w:rPr>
            </w:pPr>
          </w:p>
        </w:tc>
        <w:tc>
          <w:tcPr>
            <w:tcW w:w="850" w:type="dxa"/>
            <w:tcBorders>
              <w:top w:val="nil"/>
              <w:left w:val="nil"/>
              <w:bottom w:val="single" w:color="auto" w:sz="4" w:space="0"/>
              <w:right w:val="single" w:color="auto" w:sz="4" w:space="0"/>
            </w:tcBorders>
            <w:noWrap w:val="0"/>
            <w:vAlign w:val="center"/>
          </w:tcPr>
          <w:p>
            <w:pPr>
              <w:widowControl/>
              <w:spacing w:line="500" w:lineRule="exact"/>
              <w:jc w:val="right"/>
              <w:rPr>
                <w:rFonts w:hAnsi="宋体" w:cs="宋体"/>
                <w:color w:val="auto"/>
                <w:kern w:val="0"/>
                <w:sz w:val="24"/>
                <w:highlight w:val="none"/>
              </w:rPr>
            </w:pPr>
          </w:p>
        </w:tc>
        <w:tc>
          <w:tcPr>
            <w:tcW w:w="720" w:type="dxa"/>
            <w:tcBorders>
              <w:top w:val="nil"/>
              <w:left w:val="nil"/>
              <w:bottom w:val="single" w:color="auto" w:sz="4" w:space="0"/>
              <w:right w:val="single" w:color="auto" w:sz="4" w:space="0"/>
            </w:tcBorders>
            <w:noWrap w:val="0"/>
            <w:vAlign w:val="center"/>
          </w:tcPr>
          <w:p>
            <w:pPr>
              <w:widowControl/>
              <w:spacing w:line="500" w:lineRule="exact"/>
              <w:jc w:val="right"/>
              <w:rPr>
                <w:rFonts w:hAnsi="宋体" w:cs="宋体"/>
                <w:color w:val="auto"/>
                <w:kern w:val="0"/>
                <w:sz w:val="24"/>
                <w:highlight w:val="none"/>
              </w:rPr>
            </w:pPr>
          </w:p>
        </w:tc>
        <w:tc>
          <w:tcPr>
            <w:tcW w:w="900" w:type="dxa"/>
            <w:tcBorders>
              <w:top w:val="nil"/>
              <w:left w:val="nil"/>
              <w:bottom w:val="single" w:color="auto" w:sz="4" w:space="0"/>
              <w:right w:val="single" w:color="auto" w:sz="4" w:space="0"/>
            </w:tcBorders>
            <w:noWrap w:val="0"/>
            <w:vAlign w:val="center"/>
          </w:tcPr>
          <w:p>
            <w:pPr>
              <w:widowControl/>
              <w:spacing w:line="500" w:lineRule="exact"/>
              <w:jc w:val="right"/>
              <w:rPr>
                <w:rFonts w:hAnsi="宋体" w:cs="宋体"/>
                <w:color w:val="auto"/>
                <w:kern w:val="0"/>
                <w:sz w:val="24"/>
                <w:highlight w:val="none"/>
              </w:rPr>
            </w:pPr>
          </w:p>
        </w:tc>
        <w:tc>
          <w:tcPr>
            <w:tcW w:w="900" w:type="dxa"/>
            <w:tcBorders>
              <w:top w:val="nil"/>
              <w:left w:val="nil"/>
              <w:bottom w:val="single" w:color="auto" w:sz="4" w:space="0"/>
              <w:right w:val="single" w:color="auto" w:sz="4" w:space="0"/>
            </w:tcBorders>
            <w:noWrap w:val="0"/>
            <w:vAlign w:val="center"/>
          </w:tcPr>
          <w:p>
            <w:pPr>
              <w:widowControl/>
              <w:spacing w:line="500" w:lineRule="exact"/>
              <w:jc w:val="right"/>
              <w:rPr>
                <w:rFonts w:hAnsi="宋体" w:cs="宋体"/>
                <w:color w:val="auto"/>
                <w:kern w:val="0"/>
                <w:sz w:val="24"/>
                <w:highlight w:val="none"/>
              </w:rPr>
            </w:pPr>
          </w:p>
        </w:tc>
        <w:tc>
          <w:tcPr>
            <w:tcW w:w="720" w:type="dxa"/>
            <w:tcBorders>
              <w:top w:val="nil"/>
              <w:left w:val="nil"/>
              <w:bottom w:val="single" w:color="auto" w:sz="4" w:space="0"/>
              <w:right w:val="single" w:color="auto" w:sz="4" w:space="0"/>
            </w:tcBorders>
            <w:noWrap w:val="0"/>
            <w:vAlign w:val="center"/>
          </w:tcPr>
          <w:p>
            <w:pPr>
              <w:widowControl/>
              <w:spacing w:line="500" w:lineRule="exact"/>
              <w:jc w:val="right"/>
              <w:rPr>
                <w:rFonts w:hAnsi="宋体" w:cs="宋体"/>
                <w:color w:val="auto"/>
                <w:kern w:val="0"/>
                <w:sz w:val="24"/>
                <w:highlight w:val="none"/>
              </w:rPr>
            </w:pPr>
          </w:p>
        </w:tc>
        <w:tc>
          <w:tcPr>
            <w:tcW w:w="750" w:type="dxa"/>
            <w:tcBorders>
              <w:top w:val="nil"/>
              <w:left w:val="nil"/>
              <w:bottom w:val="single" w:color="auto" w:sz="4" w:space="0"/>
              <w:right w:val="single" w:color="auto" w:sz="4" w:space="0"/>
            </w:tcBorders>
            <w:noWrap w:val="0"/>
            <w:vAlign w:val="center"/>
          </w:tcPr>
          <w:p>
            <w:pPr>
              <w:widowControl/>
              <w:spacing w:line="500" w:lineRule="exact"/>
              <w:jc w:val="right"/>
              <w:rPr>
                <w:rFonts w:hAnsi="宋体" w:cs="宋体"/>
                <w:color w:val="auto"/>
                <w:kern w:val="0"/>
                <w:sz w:val="24"/>
                <w:highlight w:val="none"/>
              </w:rPr>
            </w:pPr>
          </w:p>
        </w:tc>
        <w:tc>
          <w:tcPr>
            <w:tcW w:w="789" w:type="dxa"/>
            <w:tcBorders>
              <w:top w:val="nil"/>
              <w:left w:val="nil"/>
              <w:bottom w:val="single" w:color="auto" w:sz="4" w:space="0"/>
              <w:right w:val="single" w:color="auto" w:sz="4" w:space="0"/>
            </w:tcBorders>
            <w:noWrap w:val="0"/>
            <w:vAlign w:val="center"/>
          </w:tcPr>
          <w:p>
            <w:pPr>
              <w:widowControl/>
              <w:spacing w:line="500" w:lineRule="exact"/>
              <w:jc w:val="right"/>
              <w:rPr>
                <w:rFonts w:hAnsi="宋体" w:cs="宋体"/>
                <w:color w:val="auto"/>
                <w:kern w:val="0"/>
                <w:sz w:val="24"/>
                <w:highlight w:val="none"/>
              </w:rPr>
            </w:pPr>
          </w:p>
        </w:tc>
        <w:tc>
          <w:tcPr>
            <w:tcW w:w="749" w:type="dxa"/>
            <w:tcBorders>
              <w:top w:val="nil"/>
              <w:left w:val="nil"/>
              <w:bottom w:val="single" w:color="auto" w:sz="4" w:space="0"/>
              <w:right w:val="single" w:color="auto" w:sz="4" w:space="0"/>
            </w:tcBorders>
            <w:noWrap w:val="0"/>
            <w:vAlign w:val="center"/>
          </w:tcPr>
          <w:p>
            <w:pPr>
              <w:widowControl/>
              <w:spacing w:line="500" w:lineRule="exact"/>
              <w:jc w:val="right"/>
              <w:rPr>
                <w:rFonts w:hAnsi="宋体" w:cs="宋体"/>
                <w:color w:val="auto"/>
                <w:kern w:val="0"/>
                <w:sz w:val="24"/>
                <w:highlight w:val="none"/>
              </w:rPr>
            </w:pPr>
          </w:p>
        </w:tc>
      </w:tr>
      <w:tr>
        <w:tblPrEx>
          <w:tblCellMar>
            <w:top w:w="0" w:type="dxa"/>
            <w:left w:w="108" w:type="dxa"/>
            <w:bottom w:w="0" w:type="dxa"/>
            <w:right w:w="108" w:type="dxa"/>
          </w:tblCellMar>
        </w:tblPrEx>
        <w:trPr>
          <w:trHeight w:val="525" w:hRule="atLeast"/>
        </w:trPr>
        <w:tc>
          <w:tcPr>
            <w:tcW w:w="720" w:type="dxa"/>
            <w:tcBorders>
              <w:top w:val="nil"/>
              <w:left w:val="single" w:color="auto" w:sz="4" w:space="0"/>
              <w:bottom w:val="single" w:color="auto" w:sz="4" w:space="0"/>
              <w:right w:val="single" w:color="auto" w:sz="4" w:space="0"/>
            </w:tcBorders>
            <w:noWrap w:val="0"/>
            <w:vAlign w:val="bottom"/>
          </w:tcPr>
          <w:p>
            <w:pPr>
              <w:widowControl/>
              <w:spacing w:line="500" w:lineRule="exact"/>
              <w:jc w:val="left"/>
              <w:rPr>
                <w:rFonts w:hAnsi="宋体" w:cs="宋体"/>
                <w:color w:val="auto"/>
                <w:kern w:val="0"/>
                <w:sz w:val="24"/>
                <w:highlight w:val="none"/>
              </w:rPr>
            </w:pPr>
          </w:p>
        </w:tc>
        <w:tc>
          <w:tcPr>
            <w:tcW w:w="813" w:type="dxa"/>
            <w:tcBorders>
              <w:top w:val="nil"/>
              <w:left w:val="nil"/>
              <w:bottom w:val="single" w:color="auto" w:sz="4" w:space="0"/>
              <w:right w:val="single" w:color="auto" w:sz="4" w:space="0"/>
            </w:tcBorders>
            <w:noWrap w:val="0"/>
            <w:vAlign w:val="center"/>
          </w:tcPr>
          <w:p>
            <w:pPr>
              <w:widowControl/>
              <w:spacing w:line="500" w:lineRule="exact"/>
              <w:jc w:val="center"/>
              <w:rPr>
                <w:rFonts w:hAnsi="宋体" w:cs="宋体"/>
                <w:color w:val="auto"/>
                <w:kern w:val="0"/>
                <w:sz w:val="24"/>
                <w:highlight w:val="none"/>
              </w:rPr>
            </w:pPr>
          </w:p>
        </w:tc>
        <w:tc>
          <w:tcPr>
            <w:tcW w:w="1260" w:type="dxa"/>
            <w:tcBorders>
              <w:top w:val="nil"/>
              <w:left w:val="nil"/>
              <w:bottom w:val="single" w:color="auto" w:sz="4" w:space="0"/>
              <w:right w:val="single" w:color="auto" w:sz="4" w:space="0"/>
            </w:tcBorders>
            <w:noWrap w:val="0"/>
            <w:vAlign w:val="center"/>
          </w:tcPr>
          <w:p>
            <w:pPr>
              <w:widowControl/>
              <w:spacing w:line="500" w:lineRule="exact"/>
              <w:jc w:val="left"/>
              <w:rPr>
                <w:rFonts w:hAnsi="宋体" w:cs="宋体"/>
                <w:color w:val="auto"/>
                <w:kern w:val="0"/>
                <w:sz w:val="24"/>
                <w:highlight w:val="none"/>
              </w:rPr>
            </w:pPr>
            <w:r>
              <w:rPr>
                <w:rFonts w:hint="eastAsia" w:hAnsi="宋体" w:cs="宋体"/>
                <w:color w:val="auto"/>
                <w:kern w:val="0"/>
                <w:sz w:val="24"/>
                <w:highlight w:val="none"/>
              </w:rPr>
              <w:t>施工排水</w:t>
            </w:r>
          </w:p>
        </w:tc>
        <w:tc>
          <w:tcPr>
            <w:tcW w:w="1008" w:type="dxa"/>
            <w:tcBorders>
              <w:top w:val="nil"/>
              <w:left w:val="nil"/>
              <w:bottom w:val="single" w:color="auto" w:sz="4" w:space="0"/>
              <w:right w:val="single" w:color="auto" w:sz="4" w:space="0"/>
              <w:tr2bl w:val="single" w:color="auto" w:sz="4" w:space="0"/>
            </w:tcBorders>
            <w:noWrap w:val="0"/>
            <w:vAlign w:val="bottom"/>
          </w:tcPr>
          <w:p>
            <w:pPr>
              <w:widowControl/>
              <w:spacing w:line="500" w:lineRule="exact"/>
              <w:jc w:val="left"/>
              <w:rPr>
                <w:rFonts w:hAnsi="宋体" w:cs="宋体"/>
                <w:color w:val="auto"/>
                <w:kern w:val="0"/>
                <w:sz w:val="24"/>
                <w:highlight w:val="none"/>
              </w:rPr>
            </w:pPr>
            <w:r>
              <w:rPr>
                <w:rFonts w:hint="eastAsia" w:hAnsi="宋体" w:cs="宋体"/>
                <w:color w:val="auto"/>
                <w:kern w:val="0"/>
                <w:sz w:val="24"/>
                <w:highlight w:val="none"/>
              </w:rPr>
              <w:t>　</w:t>
            </w:r>
          </w:p>
        </w:tc>
        <w:tc>
          <w:tcPr>
            <w:tcW w:w="85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4"/>
                <w:highlight w:val="none"/>
              </w:rPr>
            </w:pPr>
            <w:r>
              <w:rPr>
                <w:rFonts w:hint="eastAsia" w:hAnsi="宋体" w:cs="宋体"/>
                <w:color w:val="auto"/>
                <w:kern w:val="0"/>
                <w:sz w:val="24"/>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4"/>
                <w:highlight w:val="none"/>
              </w:rPr>
            </w:pPr>
            <w:r>
              <w:rPr>
                <w:rFonts w:hint="eastAsia" w:hAnsi="宋体" w:cs="宋体"/>
                <w:color w:val="auto"/>
                <w:kern w:val="0"/>
                <w:sz w:val="24"/>
                <w:highlight w:val="none"/>
              </w:rPr>
              <w:t>　</w:t>
            </w:r>
          </w:p>
        </w:tc>
        <w:tc>
          <w:tcPr>
            <w:tcW w:w="90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4"/>
                <w:highlight w:val="none"/>
              </w:rPr>
            </w:pPr>
            <w:r>
              <w:rPr>
                <w:rFonts w:hint="eastAsia" w:hAnsi="宋体" w:cs="宋体"/>
                <w:color w:val="auto"/>
                <w:kern w:val="0"/>
                <w:sz w:val="24"/>
                <w:highlight w:val="none"/>
              </w:rPr>
              <w:t>　</w:t>
            </w:r>
          </w:p>
        </w:tc>
        <w:tc>
          <w:tcPr>
            <w:tcW w:w="90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4"/>
                <w:highlight w:val="none"/>
              </w:rPr>
            </w:pPr>
            <w:r>
              <w:rPr>
                <w:rFonts w:hint="eastAsia" w:hAnsi="宋体" w:cs="宋体"/>
                <w:color w:val="auto"/>
                <w:kern w:val="0"/>
                <w:sz w:val="24"/>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4"/>
                <w:highlight w:val="none"/>
              </w:rPr>
            </w:pPr>
            <w:r>
              <w:rPr>
                <w:rFonts w:hint="eastAsia" w:hAnsi="宋体" w:cs="宋体"/>
                <w:color w:val="auto"/>
                <w:kern w:val="0"/>
                <w:sz w:val="24"/>
                <w:highlight w:val="none"/>
              </w:rPr>
              <w:t>　</w:t>
            </w:r>
          </w:p>
        </w:tc>
        <w:tc>
          <w:tcPr>
            <w:tcW w:w="75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4"/>
                <w:highlight w:val="none"/>
              </w:rPr>
            </w:pPr>
            <w:r>
              <w:rPr>
                <w:rFonts w:hint="eastAsia" w:hAnsi="宋体" w:cs="宋体"/>
                <w:color w:val="auto"/>
                <w:kern w:val="0"/>
                <w:sz w:val="24"/>
                <w:highlight w:val="none"/>
              </w:rPr>
              <w:t>　</w:t>
            </w:r>
          </w:p>
        </w:tc>
        <w:tc>
          <w:tcPr>
            <w:tcW w:w="789"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4"/>
                <w:highlight w:val="none"/>
              </w:rPr>
            </w:pPr>
          </w:p>
        </w:tc>
        <w:tc>
          <w:tcPr>
            <w:tcW w:w="749"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4"/>
                <w:highlight w:val="none"/>
              </w:rPr>
            </w:pPr>
            <w:r>
              <w:rPr>
                <w:rFonts w:hint="eastAsia" w:hAnsi="宋体" w:cs="宋体"/>
                <w:color w:val="auto"/>
                <w:kern w:val="0"/>
                <w:sz w:val="24"/>
                <w:highlight w:val="none"/>
              </w:rPr>
              <w:t>　</w:t>
            </w:r>
          </w:p>
        </w:tc>
      </w:tr>
      <w:tr>
        <w:tblPrEx>
          <w:tblCellMar>
            <w:top w:w="0" w:type="dxa"/>
            <w:left w:w="108" w:type="dxa"/>
            <w:bottom w:w="0" w:type="dxa"/>
            <w:right w:w="108" w:type="dxa"/>
          </w:tblCellMar>
        </w:tblPrEx>
        <w:trPr>
          <w:trHeight w:val="525" w:hRule="atLeast"/>
        </w:trPr>
        <w:tc>
          <w:tcPr>
            <w:tcW w:w="720" w:type="dxa"/>
            <w:tcBorders>
              <w:top w:val="nil"/>
              <w:left w:val="single" w:color="auto" w:sz="4" w:space="0"/>
              <w:bottom w:val="single" w:color="auto" w:sz="4" w:space="0"/>
              <w:right w:val="single" w:color="auto" w:sz="4" w:space="0"/>
            </w:tcBorders>
            <w:noWrap w:val="0"/>
            <w:vAlign w:val="bottom"/>
          </w:tcPr>
          <w:p>
            <w:pPr>
              <w:widowControl/>
              <w:spacing w:line="500" w:lineRule="exact"/>
              <w:jc w:val="left"/>
              <w:rPr>
                <w:rFonts w:hAnsi="宋体" w:cs="宋体"/>
                <w:color w:val="auto"/>
                <w:kern w:val="0"/>
                <w:sz w:val="24"/>
                <w:highlight w:val="none"/>
              </w:rPr>
            </w:pPr>
          </w:p>
        </w:tc>
        <w:tc>
          <w:tcPr>
            <w:tcW w:w="813" w:type="dxa"/>
            <w:tcBorders>
              <w:top w:val="nil"/>
              <w:left w:val="nil"/>
              <w:bottom w:val="single" w:color="auto" w:sz="4" w:space="0"/>
              <w:right w:val="single" w:color="auto" w:sz="4" w:space="0"/>
            </w:tcBorders>
            <w:noWrap w:val="0"/>
            <w:vAlign w:val="center"/>
          </w:tcPr>
          <w:p>
            <w:pPr>
              <w:widowControl/>
              <w:spacing w:line="500" w:lineRule="exact"/>
              <w:jc w:val="center"/>
              <w:rPr>
                <w:rFonts w:hAnsi="宋体" w:cs="宋体"/>
                <w:color w:val="auto"/>
                <w:kern w:val="0"/>
                <w:sz w:val="24"/>
                <w:highlight w:val="none"/>
              </w:rPr>
            </w:pPr>
          </w:p>
        </w:tc>
        <w:tc>
          <w:tcPr>
            <w:tcW w:w="1260" w:type="dxa"/>
            <w:tcBorders>
              <w:top w:val="nil"/>
              <w:left w:val="nil"/>
              <w:bottom w:val="single" w:color="auto" w:sz="4" w:space="0"/>
              <w:right w:val="single" w:color="auto" w:sz="4" w:space="0"/>
            </w:tcBorders>
            <w:noWrap w:val="0"/>
            <w:vAlign w:val="center"/>
          </w:tcPr>
          <w:p>
            <w:pPr>
              <w:widowControl/>
              <w:spacing w:line="280" w:lineRule="exact"/>
              <w:rPr>
                <w:rFonts w:hAnsi="宋体" w:cs="宋体"/>
                <w:color w:val="auto"/>
                <w:kern w:val="0"/>
                <w:sz w:val="24"/>
                <w:highlight w:val="none"/>
              </w:rPr>
            </w:pPr>
            <w:r>
              <w:rPr>
                <w:rFonts w:hint="eastAsia" w:hAnsi="宋体" w:cs="宋体"/>
                <w:color w:val="auto"/>
                <w:kern w:val="0"/>
                <w:sz w:val="24"/>
                <w:highlight w:val="none"/>
              </w:rPr>
              <w:t>地下、地下设施或建筑物的临时保护措施</w:t>
            </w:r>
          </w:p>
        </w:tc>
        <w:tc>
          <w:tcPr>
            <w:tcW w:w="1008" w:type="dxa"/>
            <w:tcBorders>
              <w:top w:val="nil"/>
              <w:left w:val="nil"/>
              <w:bottom w:val="single" w:color="auto" w:sz="4" w:space="0"/>
              <w:right w:val="single" w:color="auto" w:sz="4" w:space="0"/>
              <w:tr2bl w:val="single" w:color="auto" w:sz="4" w:space="0"/>
            </w:tcBorders>
            <w:noWrap w:val="0"/>
            <w:vAlign w:val="bottom"/>
          </w:tcPr>
          <w:p>
            <w:pPr>
              <w:widowControl/>
              <w:spacing w:line="500" w:lineRule="exact"/>
              <w:jc w:val="left"/>
              <w:rPr>
                <w:rFonts w:hAnsi="宋体" w:cs="宋体"/>
                <w:color w:val="auto"/>
                <w:kern w:val="0"/>
                <w:sz w:val="24"/>
                <w:highlight w:val="none"/>
              </w:rPr>
            </w:pPr>
            <w:r>
              <w:rPr>
                <w:rFonts w:hint="eastAsia" w:hAnsi="宋体" w:cs="宋体"/>
                <w:color w:val="auto"/>
                <w:kern w:val="0"/>
                <w:sz w:val="24"/>
                <w:highlight w:val="none"/>
              </w:rPr>
              <w:t>　</w:t>
            </w:r>
          </w:p>
        </w:tc>
        <w:tc>
          <w:tcPr>
            <w:tcW w:w="85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4"/>
                <w:highlight w:val="none"/>
              </w:rPr>
            </w:pPr>
            <w:r>
              <w:rPr>
                <w:rFonts w:hint="eastAsia" w:hAnsi="宋体" w:cs="宋体"/>
                <w:color w:val="auto"/>
                <w:kern w:val="0"/>
                <w:sz w:val="24"/>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4"/>
                <w:highlight w:val="none"/>
              </w:rPr>
            </w:pPr>
            <w:r>
              <w:rPr>
                <w:rFonts w:hint="eastAsia" w:hAnsi="宋体" w:cs="宋体"/>
                <w:color w:val="auto"/>
                <w:kern w:val="0"/>
                <w:sz w:val="24"/>
                <w:highlight w:val="none"/>
              </w:rPr>
              <w:t>　</w:t>
            </w:r>
          </w:p>
        </w:tc>
        <w:tc>
          <w:tcPr>
            <w:tcW w:w="90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4"/>
                <w:highlight w:val="none"/>
              </w:rPr>
            </w:pPr>
            <w:r>
              <w:rPr>
                <w:rFonts w:hint="eastAsia" w:hAnsi="宋体" w:cs="宋体"/>
                <w:color w:val="auto"/>
                <w:kern w:val="0"/>
                <w:sz w:val="24"/>
                <w:highlight w:val="none"/>
              </w:rPr>
              <w:t>　</w:t>
            </w:r>
          </w:p>
        </w:tc>
        <w:tc>
          <w:tcPr>
            <w:tcW w:w="90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4"/>
                <w:highlight w:val="none"/>
              </w:rPr>
            </w:pPr>
            <w:r>
              <w:rPr>
                <w:rFonts w:hint="eastAsia" w:hAnsi="宋体" w:cs="宋体"/>
                <w:color w:val="auto"/>
                <w:kern w:val="0"/>
                <w:sz w:val="24"/>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4"/>
                <w:highlight w:val="none"/>
              </w:rPr>
            </w:pPr>
            <w:r>
              <w:rPr>
                <w:rFonts w:hint="eastAsia" w:hAnsi="宋体" w:cs="宋体"/>
                <w:color w:val="auto"/>
                <w:kern w:val="0"/>
                <w:sz w:val="24"/>
                <w:highlight w:val="none"/>
              </w:rPr>
              <w:t>　</w:t>
            </w:r>
          </w:p>
        </w:tc>
        <w:tc>
          <w:tcPr>
            <w:tcW w:w="75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4"/>
                <w:highlight w:val="none"/>
              </w:rPr>
            </w:pPr>
            <w:r>
              <w:rPr>
                <w:rFonts w:hint="eastAsia" w:hAnsi="宋体" w:cs="宋体"/>
                <w:color w:val="auto"/>
                <w:kern w:val="0"/>
                <w:sz w:val="24"/>
                <w:highlight w:val="none"/>
              </w:rPr>
              <w:t>　</w:t>
            </w:r>
          </w:p>
        </w:tc>
        <w:tc>
          <w:tcPr>
            <w:tcW w:w="789"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4"/>
                <w:highlight w:val="none"/>
              </w:rPr>
            </w:pPr>
          </w:p>
        </w:tc>
        <w:tc>
          <w:tcPr>
            <w:tcW w:w="749"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4"/>
                <w:highlight w:val="none"/>
              </w:rPr>
            </w:pPr>
            <w:r>
              <w:rPr>
                <w:rFonts w:hint="eastAsia" w:hAnsi="宋体" w:cs="宋体"/>
                <w:color w:val="auto"/>
                <w:kern w:val="0"/>
                <w:sz w:val="24"/>
                <w:highlight w:val="none"/>
              </w:rPr>
              <w:t>　</w:t>
            </w:r>
          </w:p>
        </w:tc>
      </w:tr>
      <w:tr>
        <w:tblPrEx>
          <w:tblCellMar>
            <w:top w:w="0" w:type="dxa"/>
            <w:left w:w="108" w:type="dxa"/>
            <w:bottom w:w="0" w:type="dxa"/>
            <w:right w:w="108" w:type="dxa"/>
          </w:tblCellMar>
        </w:tblPrEx>
        <w:trPr>
          <w:trHeight w:val="525" w:hRule="atLeast"/>
        </w:trPr>
        <w:tc>
          <w:tcPr>
            <w:tcW w:w="720" w:type="dxa"/>
            <w:tcBorders>
              <w:top w:val="nil"/>
              <w:left w:val="single" w:color="auto" w:sz="4" w:space="0"/>
              <w:bottom w:val="single" w:color="auto" w:sz="4" w:space="0"/>
              <w:right w:val="single" w:color="auto" w:sz="4" w:space="0"/>
            </w:tcBorders>
            <w:noWrap w:val="0"/>
            <w:vAlign w:val="bottom"/>
          </w:tcPr>
          <w:p>
            <w:pPr>
              <w:widowControl/>
              <w:spacing w:line="500" w:lineRule="exact"/>
              <w:jc w:val="left"/>
              <w:rPr>
                <w:rFonts w:hAnsi="宋体" w:cs="宋体"/>
                <w:color w:val="auto"/>
                <w:kern w:val="0"/>
                <w:sz w:val="24"/>
                <w:highlight w:val="none"/>
              </w:rPr>
            </w:pPr>
          </w:p>
        </w:tc>
        <w:tc>
          <w:tcPr>
            <w:tcW w:w="813" w:type="dxa"/>
            <w:tcBorders>
              <w:top w:val="nil"/>
              <w:left w:val="nil"/>
              <w:bottom w:val="single" w:color="auto" w:sz="4" w:space="0"/>
              <w:right w:val="single" w:color="auto" w:sz="4" w:space="0"/>
            </w:tcBorders>
            <w:noWrap w:val="0"/>
            <w:vAlign w:val="center"/>
          </w:tcPr>
          <w:p>
            <w:pPr>
              <w:widowControl/>
              <w:spacing w:line="500" w:lineRule="exact"/>
              <w:jc w:val="center"/>
              <w:rPr>
                <w:rFonts w:hAnsi="宋体" w:cs="宋体"/>
                <w:color w:val="auto"/>
                <w:kern w:val="0"/>
                <w:sz w:val="24"/>
                <w:highlight w:val="none"/>
              </w:rPr>
            </w:pPr>
          </w:p>
        </w:tc>
        <w:tc>
          <w:tcPr>
            <w:tcW w:w="1260" w:type="dxa"/>
            <w:tcBorders>
              <w:top w:val="nil"/>
              <w:left w:val="nil"/>
              <w:bottom w:val="single" w:color="auto" w:sz="4" w:space="0"/>
              <w:right w:val="single" w:color="auto" w:sz="4" w:space="0"/>
            </w:tcBorders>
            <w:noWrap w:val="0"/>
            <w:vAlign w:val="center"/>
          </w:tcPr>
          <w:p>
            <w:pPr>
              <w:widowControl/>
              <w:spacing w:line="500" w:lineRule="exact"/>
              <w:jc w:val="center"/>
              <w:rPr>
                <w:rFonts w:hAnsi="宋体" w:cs="宋体"/>
                <w:color w:val="auto"/>
                <w:kern w:val="0"/>
                <w:sz w:val="24"/>
                <w:highlight w:val="none"/>
              </w:rPr>
            </w:pPr>
            <w:r>
              <w:rPr>
                <w:rFonts w:hint="eastAsia" w:hAnsi="宋体" w:cs="宋体"/>
                <w:color w:val="auto"/>
                <w:kern w:val="0"/>
                <w:sz w:val="24"/>
                <w:highlight w:val="none"/>
              </w:rPr>
              <w:t>……</w:t>
            </w:r>
          </w:p>
        </w:tc>
        <w:tc>
          <w:tcPr>
            <w:tcW w:w="1008"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4"/>
                <w:highlight w:val="none"/>
              </w:rPr>
            </w:pPr>
            <w:r>
              <w:rPr>
                <w:rFonts w:hint="eastAsia" w:hAnsi="宋体" w:cs="宋体"/>
                <w:color w:val="auto"/>
                <w:kern w:val="0"/>
                <w:sz w:val="24"/>
                <w:highlight w:val="none"/>
              </w:rPr>
              <w:t>　</w:t>
            </w:r>
          </w:p>
        </w:tc>
        <w:tc>
          <w:tcPr>
            <w:tcW w:w="85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4"/>
                <w:highlight w:val="none"/>
              </w:rPr>
            </w:pPr>
            <w:r>
              <w:rPr>
                <w:rFonts w:hint="eastAsia" w:hAnsi="宋体" w:cs="宋体"/>
                <w:color w:val="auto"/>
                <w:kern w:val="0"/>
                <w:sz w:val="24"/>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4"/>
                <w:highlight w:val="none"/>
              </w:rPr>
            </w:pPr>
            <w:r>
              <w:rPr>
                <w:rFonts w:hint="eastAsia" w:hAnsi="宋体" w:cs="宋体"/>
                <w:color w:val="auto"/>
                <w:kern w:val="0"/>
                <w:sz w:val="24"/>
                <w:highlight w:val="none"/>
              </w:rPr>
              <w:t>　</w:t>
            </w:r>
          </w:p>
        </w:tc>
        <w:tc>
          <w:tcPr>
            <w:tcW w:w="90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4"/>
                <w:highlight w:val="none"/>
              </w:rPr>
            </w:pPr>
            <w:r>
              <w:rPr>
                <w:rFonts w:hint="eastAsia" w:hAnsi="宋体" w:cs="宋体"/>
                <w:color w:val="auto"/>
                <w:kern w:val="0"/>
                <w:sz w:val="24"/>
                <w:highlight w:val="none"/>
              </w:rPr>
              <w:t>　</w:t>
            </w:r>
          </w:p>
        </w:tc>
        <w:tc>
          <w:tcPr>
            <w:tcW w:w="90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4"/>
                <w:highlight w:val="none"/>
              </w:rPr>
            </w:pPr>
            <w:r>
              <w:rPr>
                <w:rFonts w:hint="eastAsia" w:hAnsi="宋体" w:cs="宋体"/>
                <w:color w:val="auto"/>
                <w:kern w:val="0"/>
                <w:sz w:val="24"/>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4"/>
                <w:highlight w:val="none"/>
              </w:rPr>
            </w:pPr>
            <w:r>
              <w:rPr>
                <w:rFonts w:hint="eastAsia" w:hAnsi="宋体" w:cs="宋体"/>
                <w:color w:val="auto"/>
                <w:kern w:val="0"/>
                <w:sz w:val="24"/>
                <w:highlight w:val="none"/>
              </w:rPr>
              <w:t>　</w:t>
            </w:r>
          </w:p>
        </w:tc>
        <w:tc>
          <w:tcPr>
            <w:tcW w:w="75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4"/>
                <w:highlight w:val="none"/>
              </w:rPr>
            </w:pPr>
            <w:r>
              <w:rPr>
                <w:rFonts w:hint="eastAsia" w:hAnsi="宋体" w:cs="宋体"/>
                <w:color w:val="auto"/>
                <w:kern w:val="0"/>
                <w:sz w:val="24"/>
                <w:highlight w:val="none"/>
              </w:rPr>
              <w:t>　</w:t>
            </w:r>
          </w:p>
        </w:tc>
        <w:tc>
          <w:tcPr>
            <w:tcW w:w="789"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4"/>
                <w:highlight w:val="none"/>
              </w:rPr>
            </w:pPr>
          </w:p>
        </w:tc>
        <w:tc>
          <w:tcPr>
            <w:tcW w:w="749"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4"/>
                <w:highlight w:val="none"/>
              </w:rPr>
            </w:pPr>
            <w:r>
              <w:rPr>
                <w:rFonts w:hint="eastAsia" w:hAnsi="宋体" w:cs="宋体"/>
                <w:color w:val="auto"/>
                <w:kern w:val="0"/>
                <w:sz w:val="24"/>
                <w:highlight w:val="none"/>
              </w:rPr>
              <w:t>　</w:t>
            </w:r>
          </w:p>
        </w:tc>
      </w:tr>
      <w:tr>
        <w:tblPrEx>
          <w:tblCellMar>
            <w:top w:w="0" w:type="dxa"/>
            <w:left w:w="108" w:type="dxa"/>
            <w:bottom w:w="0" w:type="dxa"/>
            <w:right w:w="108" w:type="dxa"/>
          </w:tblCellMar>
        </w:tblPrEx>
        <w:trPr>
          <w:trHeight w:val="525" w:hRule="atLeast"/>
        </w:trPr>
        <w:tc>
          <w:tcPr>
            <w:tcW w:w="720" w:type="dxa"/>
            <w:tcBorders>
              <w:top w:val="nil"/>
              <w:left w:val="single" w:color="auto" w:sz="4" w:space="0"/>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813"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1260" w:type="dxa"/>
            <w:tcBorders>
              <w:top w:val="nil"/>
              <w:left w:val="nil"/>
              <w:bottom w:val="single" w:color="auto" w:sz="4" w:space="0"/>
              <w:right w:val="single" w:color="auto" w:sz="4" w:space="0"/>
            </w:tcBorders>
            <w:noWrap w:val="0"/>
            <w:vAlign w:val="bottom"/>
          </w:tcPr>
          <w:p>
            <w:pPr>
              <w:widowControl/>
              <w:spacing w:line="500" w:lineRule="exact"/>
              <w:jc w:val="center"/>
              <w:rPr>
                <w:rFonts w:hAnsi="宋体" w:cs="宋体"/>
                <w:color w:val="auto"/>
                <w:kern w:val="0"/>
                <w:sz w:val="24"/>
                <w:highlight w:val="none"/>
              </w:rPr>
            </w:pPr>
            <w:r>
              <w:rPr>
                <w:rFonts w:hint="eastAsia" w:hAnsi="宋体" w:cs="宋体"/>
                <w:color w:val="auto"/>
                <w:kern w:val="0"/>
                <w:sz w:val="24"/>
                <w:highlight w:val="none"/>
              </w:rPr>
              <w:t>模板</w:t>
            </w:r>
          </w:p>
        </w:tc>
        <w:tc>
          <w:tcPr>
            <w:tcW w:w="1008"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85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90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90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75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789"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p>
        </w:tc>
        <w:tc>
          <w:tcPr>
            <w:tcW w:w="749"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r>
      <w:tr>
        <w:tblPrEx>
          <w:tblCellMar>
            <w:top w:w="0" w:type="dxa"/>
            <w:left w:w="108" w:type="dxa"/>
            <w:bottom w:w="0" w:type="dxa"/>
            <w:right w:w="108" w:type="dxa"/>
          </w:tblCellMar>
        </w:tblPrEx>
        <w:trPr>
          <w:trHeight w:val="525" w:hRule="atLeast"/>
        </w:trPr>
        <w:tc>
          <w:tcPr>
            <w:tcW w:w="720" w:type="dxa"/>
            <w:tcBorders>
              <w:top w:val="nil"/>
              <w:left w:val="single" w:color="auto" w:sz="4" w:space="0"/>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813"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126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1008"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85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90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90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75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789"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p>
        </w:tc>
        <w:tc>
          <w:tcPr>
            <w:tcW w:w="749"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r>
      <w:tr>
        <w:tblPrEx>
          <w:tblCellMar>
            <w:top w:w="0" w:type="dxa"/>
            <w:left w:w="108" w:type="dxa"/>
            <w:bottom w:w="0" w:type="dxa"/>
            <w:right w:w="108" w:type="dxa"/>
          </w:tblCellMar>
        </w:tblPrEx>
        <w:trPr>
          <w:trHeight w:val="398" w:hRule="atLeast"/>
        </w:trPr>
        <w:tc>
          <w:tcPr>
            <w:tcW w:w="6271" w:type="dxa"/>
            <w:gridSpan w:val="7"/>
            <w:tcBorders>
              <w:top w:val="nil"/>
              <w:left w:val="single" w:color="auto" w:sz="4" w:space="0"/>
              <w:bottom w:val="single" w:color="auto" w:sz="4" w:space="0"/>
              <w:right w:val="single" w:color="auto" w:sz="4" w:space="0"/>
            </w:tcBorders>
            <w:noWrap w:val="0"/>
            <w:vAlign w:val="bottom"/>
          </w:tcPr>
          <w:p>
            <w:pPr>
              <w:widowControl/>
              <w:spacing w:line="500" w:lineRule="exact"/>
              <w:jc w:val="center"/>
              <w:rPr>
                <w:rFonts w:hAnsi="宋体" w:cs="宋体"/>
                <w:color w:val="auto"/>
                <w:kern w:val="0"/>
                <w:sz w:val="24"/>
                <w:highlight w:val="none"/>
              </w:rPr>
            </w:pPr>
            <w:r>
              <w:rPr>
                <w:rFonts w:hint="eastAsia" w:hAnsi="宋体" w:cs="宋体"/>
                <w:color w:val="auto"/>
                <w:kern w:val="0"/>
                <w:sz w:val="24"/>
                <w:highlight w:val="none"/>
              </w:rPr>
              <w:t>合　　计</w:t>
            </w:r>
          </w:p>
        </w:tc>
        <w:tc>
          <w:tcPr>
            <w:tcW w:w="90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75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789"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p>
        </w:tc>
        <w:tc>
          <w:tcPr>
            <w:tcW w:w="749"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r>
    </w:tbl>
    <w:p>
      <w:pPr>
        <w:spacing w:line="300" w:lineRule="exact"/>
        <w:ind w:firstLine="480" w:firstLineChars="200"/>
        <w:rPr>
          <w:rFonts w:hAnsi="宋体"/>
          <w:bCs/>
          <w:color w:val="auto"/>
          <w:sz w:val="24"/>
          <w:highlight w:val="none"/>
        </w:rPr>
      </w:pPr>
      <w:r>
        <w:rPr>
          <w:rFonts w:hint="eastAsia" w:hAnsi="宋体"/>
          <w:bCs/>
          <w:color w:val="auto"/>
          <w:sz w:val="24"/>
          <w:highlight w:val="none"/>
        </w:rPr>
        <w:t>注：1、本表适用于以“项”为单位计价和以“分部分项工程量清单综合单价”方式计价的技术措施项目。2、措施项目应分整体措施项目和专业工程措施项目，如应用于整体措施项目，表头中只须填报工程名称；如应用于专业工程措施项目，表头中应分别填写工程名称、单位工程及专业工程名称。3、以“分部分项工程量清单项目综合单价”方式计价的技术措施项目，表中（1）（2）（3）（4）（5）栏由招标人提供；以“项”为单位计价的技术措施项目，表中第（4）栏项目特征不需提供和填写。</w:t>
      </w:r>
      <w:r>
        <w:rPr>
          <w:rFonts w:hint="eastAsia" w:hAnsi="宋体"/>
          <w:bCs/>
          <w:color w:val="auto"/>
          <w:sz w:val="24"/>
          <w:highlight w:val="none"/>
          <w:lang w:val="en-US" w:eastAsia="zh-CN"/>
        </w:rPr>
        <w:t>响应</w:t>
      </w:r>
      <w:r>
        <w:rPr>
          <w:rFonts w:hint="eastAsia" w:hAnsi="宋体"/>
          <w:bCs/>
          <w:color w:val="auto"/>
          <w:sz w:val="24"/>
          <w:highlight w:val="none"/>
        </w:rPr>
        <w:t>人根据施工方案对具体项目可作补充。4、第（6）栏由招标人按需出要求，如招标人需要</w:t>
      </w:r>
      <w:r>
        <w:rPr>
          <w:rFonts w:hint="eastAsia" w:hAnsi="宋体"/>
          <w:bCs/>
          <w:color w:val="auto"/>
          <w:sz w:val="24"/>
          <w:highlight w:val="none"/>
          <w:lang w:val="en-US" w:eastAsia="zh-CN"/>
        </w:rPr>
        <w:t>响应</w:t>
      </w:r>
      <w:r>
        <w:rPr>
          <w:rFonts w:hint="eastAsia" w:hAnsi="宋体"/>
          <w:bCs/>
          <w:color w:val="auto"/>
          <w:sz w:val="24"/>
          <w:highlight w:val="none"/>
        </w:rPr>
        <w:t>人提供清单项目综合单价的计算分析和工料机分析，请在备注中明确。</w:t>
      </w:r>
    </w:p>
    <w:p>
      <w:pPr>
        <w:rPr>
          <w:rFonts w:hAnsi="宋体"/>
          <w:color w:val="auto"/>
          <w:sz w:val="24"/>
          <w:highlight w:val="none"/>
        </w:rPr>
      </w:pPr>
      <w:r>
        <w:rPr>
          <w:rFonts w:hint="eastAsia" w:hAnsi="宋体"/>
          <w:color w:val="auto"/>
          <w:kern w:val="0"/>
          <w:sz w:val="24"/>
          <w:highlight w:val="none"/>
          <w:lang w:val="en-US" w:eastAsia="zh-CN"/>
        </w:rPr>
        <w:t>响应</w:t>
      </w:r>
      <w:r>
        <w:rPr>
          <w:rFonts w:hint="eastAsia" w:hAnsi="宋体"/>
          <w:color w:val="auto"/>
          <w:kern w:val="0"/>
          <w:sz w:val="24"/>
          <w:highlight w:val="none"/>
        </w:rPr>
        <w:t>人：（ 盖章）</w:t>
      </w:r>
      <w:r>
        <w:rPr>
          <w:rFonts w:hint="eastAsia" w:hAnsi="宋体"/>
          <w:color w:val="auto"/>
          <w:sz w:val="24"/>
          <w:highlight w:val="none"/>
        </w:rPr>
        <w:t xml:space="preserve">                 </w:t>
      </w:r>
    </w:p>
    <w:p>
      <w:pPr>
        <w:pStyle w:val="797"/>
        <w:rPr>
          <w:rFonts w:hAnsi="宋体"/>
          <w:color w:val="auto"/>
          <w:sz w:val="24"/>
          <w:highlight w:val="none"/>
        </w:rPr>
      </w:pPr>
      <w:r>
        <w:rPr>
          <w:rFonts w:hAnsi="宋体"/>
          <w:color w:val="auto"/>
          <w:sz w:val="24"/>
          <w:highlight w:val="none"/>
        </w:rPr>
        <w:br w:type="page"/>
      </w:r>
    </w:p>
    <w:p>
      <w:pPr>
        <w:spacing w:line="360" w:lineRule="auto"/>
        <w:jc w:val="center"/>
        <w:rPr>
          <w:b/>
          <w:bCs/>
          <w:color w:val="auto"/>
          <w:sz w:val="28"/>
          <w:szCs w:val="28"/>
          <w:highlight w:val="none"/>
        </w:rPr>
      </w:pPr>
      <w:r>
        <w:rPr>
          <w:rFonts w:hint="eastAsia" w:hAnsi="宋体"/>
          <w:b/>
          <w:bCs/>
          <w:color w:val="auto"/>
          <w:sz w:val="28"/>
          <w:szCs w:val="28"/>
          <w:highlight w:val="none"/>
        </w:rPr>
        <w:t>表</w:t>
      </w:r>
      <w:r>
        <w:rPr>
          <w:rFonts w:hAnsi="宋体"/>
          <w:b/>
          <w:bCs/>
          <w:color w:val="auto"/>
          <w:sz w:val="28"/>
          <w:szCs w:val="28"/>
          <w:highlight w:val="none"/>
        </w:rPr>
        <w:t xml:space="preserve">1-3-A-1  </w:t>
      </w:r>
      <w:r>
        <w:rPr>
          <w:rFonts w:hint="eastAsia" w:hAnsi="宋体"/>
          <w:b/>
          <w:bCs/>
          <w:color w:val="auto"/>
          <w:sz w:val="28"/>
          <w:szCs w:val="28"/>
          <w:highlight w:val="none"/>
        </w:rPr>
        <w:t>安全文明施工措施项目清单及计价表</w:t>
      </w:r>
    </w:p>
    <w:p>
      <w:pPr>
        <w:spacing w:line="360" w:lineRule="auto"/>
        <w:rPr>
          <w:b/>
          <w:bCs/>
          <w:color w:val="auto"/>
          <w:sz w:val="24"/>
          <w:szCs w:val="24"/>
          <w:highlight w:val="none"/>
        </w:rPr>
      </w:pPr>
      <w:r>
        <w:rPr>
          <w:rFonts w:hint="eastAsia" w:hAnsi="宋体"/>
          <w:bCs/>
          <w:color w:val="auto"/>
          <w:sz w:val="24"/>
          <w:szCs w:val="24"/>
          <w:highlight w:val="none"/>
        </w:rPr>
        <w:t>工程名称</w:t>
      </w:r>
      <w:r>
        <w:rPr>
          <w:rFonts w:hAnsi="宋体"/>
          <w:bCs/>
          <w:color w:val="auto"/>
          <w:sz w:val="24"/>
          <w:szCs w:val="24"/>
          <w:highlight w:val="none"/>
        </w:rPr>
        <w:t xml:space="preserve">:                                                        </w:t>
      </w:r>
      <w:r>
        <w:rPr>
          <w:rFonts w:hint="eastAsia" w:hAnsi="宋体"/>
          <w:bCs/>
          <w:color w:val="auto"/>
          <w:sz w:val="24"/>
          <w:szCs w:val="24"/>
          <w:highlight w:val="none"/>
        </w:rPr>
        <w:t>第</w:t>
      </w:r>
      <w:r>
        <w:rPr>
          <w:rFonts w:hint="eastAsia" w:hAnsi="宋体"/>
          <w:bCs/>
          <w:color w:val="auto"/>
          <w:sz w:val="24"/>
          <w:szCs w:val="24"/>
          <w:highlight w:val="none"/>
          <w:lang w:val="en-US" w:eastAsia="zh-CN"/>
        </w:rPr>
        <w:t xml:space="preserve">  </w:t>
      </w:r>
      <w:r>
        <w:rPr>
          <w:rFonts w:hint="eastAsia" w:hAnsi="宋体"/>
          <w:bCs/>
          <w:color w:val="auto"/>
          <w:sz w:val="24"/>
          <w:szCs w:val="24"/>
          <w:highlight w:val="none"/>
        </w:rPr>
        <w:t>页</w:t>
      </w:r>
      <w:r>
        <w:rPr>
          <w:rFonts w:hint="eastAsia" w:hAnsi="宋体"/>
          <w:bCs/>
          <w:color w:val="auto"/>
          <w:sz w:val="24"/>
          <w:szCs w:val="24"/>
          <w:highlight w:val="none"/>
          <w:lang w:val="en-US" w:eastAsia="zh-CN"/>
        </w:rPr>
        <w:t xml:space="preserve">  </w:t>
      </w:r>
      <w:r>
        <w:rPr>
          <w:rFonts w:hint="eastAsia" w:hAnsi="宋体"/>
          <w:bCs/>
          <w:color w:val="auto"/>
          <w:sz w:val="24"/>
          <w:szCs w:val="24"/>
          <w:highlight w:val="none"/>
        </w:rPr>
        <w:t>共</w:t>
      </w:r>
      <w:r>
        <w:rPr>
          <w:rFonts w:hint="eastAsia" w:hAnsi="宋体"/>
          <w:bCs/>
          <w:color w:val="auto"/>
          <w:sz w:val="24"/>
          <w:szCs w:val="24"/>
          <w:highlight w:val="none"/>
          <w:lang w:val="en-US" w:eastAsia="zh-CN"/>
        </w:rPr>
        <w:t xml:space="preserve">   </w:t>
      </w:r>
      <w:r>
        <w:rPr>
          <w:rFonts w:hint="eastAsia" w:hAnsi="宋体"/>
          <w:bCs/>
          <w:color w:val="auto"/>
          <w:sz w:val="24"/>
          <w:szCs w:val="24"/>
          <w:highlight w:val="none"/>
        </w:rPr>
        <w:t>页</w:t>
      </w:r>
    </w:p>
    <w:tbl>
      <w:tblPr>
        <w:tblStyle w:val="62"/>
        <w:tblW w:w="0" w:type="auto"/>
        <w:tblInd w:w="-459" w:type="dxa"/>
        <w:tblLayout w:type="fixed"/>
        <w:tblCellMar>
          <w:top w:w="0" w:type="dxa"/>
          <w:left w:w="108" w:type="dxa"/>
          <w:bottom w:w="0" w:type="dxa"/>
          <w:right w:w="108" w:type="dxa"/>
        </w:tblCellMar>
      </w:tblPr>
      <w:tblGrid>
        <w:gridCol w:w="1107"/>
        <w:gridCol w:w="3004"/>
        <w:gridCol w:w="776"/>
        <w:gridCol w:w="1080"/>
        <w:gridCol w:w="1080"/>
        <w:gridCol w:w="1080"/>
        <w:gridCol w:w="1980"/>
      </w:tblGrid>
      <w:tr>
        <w:tblPrEx>
          <w:tblCellMar>
            <w:top w:w="0" w:type="dxa"/>
            <w:left w:w="108" w:type="dxa"/>
            <w:bottom w:w="0" w:type="dxa"/>
            <w:right w:w="108" w:type="dxa"/>
          </w:tblCellMar>
        </w:tblPrEx>
        <w:trPr>
          <w:trHeight w:val="449" w:hRule="atLeast"/>
        </w:trPr>
        <w:tc>
          <w:tcPr>
            <w:tcW w:w="1107"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Cs w:val="21"/>
                <w:highlight w:val="none"/>
              </w:rPr>
            </w:pPr>
            <w:r>
              <w:rPr>
                <w:rFonts w:hint="eastAsia"/>
                <w:color w:val="auto"/>
                <w:szCs w:val="21"/>
                <w:highlight w:val="none"/>
              </w:rPr>
              <w:t>序号</w:t>
            </w:r>
          </w:p>
        </w:tc>
        <w:tc>
          <w:tcPr>
            <w:tcW w:w="3004" w:type="dxa"/>
            <w:tcBorders>
              <w:top w:val="single" w:color="auto" w:sz="4" w:space="0"/>
              <w:left w:val="nil"/>
              <w:bottom w:val="single" w:color="auto" w:sz="4" w:space="0"/>
              <w:right w:val="single" w:color="auto" w:sz="4" w:space="0"/>
            </w:tcBorders>
            <w:noWrap w:val="0"/>
            <w:vAlign w:val="center"/>
          </w:tcPr>
          <w:p>
            <w:pPr>
              <w:jc w:val="center"/>
              <w:rPr>
                <w:color w:val="auto"/>
                <w:szCs w:val="21"/>
                <w:highlight w:val="none"/>
              </w:rPr>
            </w:pPr>
            <w:r>
              <w:rPr>
                <w:rFonts w:hint="eastAsia"/>
                <w:color w:val="auto"/>
                <w:szCs w:val="21"/>
                <w:highlight w:val="none"/>
              </w:rPr>
              <w:t>措施项目名称</w:t>
            </w:r>
          </w:p>
        </w:tc>
        <w:tc>
          <w:tcPr>
            <w:tcW w:w="776" w:type="dxa"/>
            <w:tcBorders>
              <w:top w:val="single" w:color="auto" w:sz="4" w:space="0"/>
              <w:left w:val="nil"/>
              <w:bottom w:val="single" w:color="auto" w:sz="4" w:space="0"/>
              <w:right w:val="single" w:color="auto" w:sz="4" w:space="0"/>
            </w:tcBorders>
            <w:noWrap w:val="0"/>
            <w:vAlign w:val="center"/>
          </w:tcPr>
          <w:p>
            <w:pPr>
              <w:jc w:val="center"/>
              <w:rPr>
                <w:color w:val="auto"/>
                <w:szCs w:val="21"/>
                <w:highlight w:val="none"/>
              </w:rPr>
            </w:pPr>
            <w:r>
              <w:rPr>
                <w:rFonts w:hint="eastAsia"/>
                <w:color w:val="auto"/>
                <w:szCs w:val="21"/>
                <w:highlight w:val="none"/>
              </w:rPr>
              <w:t>单位</w:t>
            </w:r>
          </w:p>
        </w:tc>
        <w:tc>
          <w:tcPr>
            <w:tcW w:w="1080" w:type="dxa"/>
            <w:tcBorders>
              <w:top w:val="single" w:color="auto" w:sz="4" w:space="0"/>
              <w:left w:val="nil"/>
              <w:bottom w:val="single" w:color="auto" w:sz="4" w:space="0"/>
              <w:right w:val="single" w:color="auto" w:sz="4" w:space="0"/>
            </w:tcBorders>
            <w:noWrap w:val="0"/>
            <w:vAlign w:val="center"/>
          </w:tcPr>
          <w:p>
            <w:pPr>
              <w:jc w:val="center"/>
              <w:rPr>
                <w:color w:val="auto"/>
                <w:szCs w:val="21"/>
                <w:highlight w:val="none"/>
              </w:rPr>
            </w:pPr>
            <w:r>
              <w:rPr>
                <w:rFonts w:hint="eastAsia"/>
                <w:color w:val="auto"/>
                <w:szCs w:val="21"/>
                <w:highlight w:val="none"/>
              </w:rPr>
              <w:t>数量</w:t>
            </w:r>
          </w:p>
        </w:tc>
        <w:tc>
          <w:tcPr>
            <w:tcW w:w="1080" w:type="dxa"/>
            <w:tcBorders>
              <w:top w:val="single" w:color="auto" w:sz="4" w:space="0"/>
              <w:left w:val="nil"/>
              <w:bottom w:val="single" w:color="auto" w:sz="4" w:space="0"/>
              <w:right w:val="single" w:color="auto" w:sz="4" w:space="0"/>
            </w:tcBorders>
            <w:noWrap w:val="0"/>
            <w:vAlign w:val="center"/>
          </w:tcPr>
          <w:p>
            <w:pPr>
              <w:jc w:val="center"/>
              <w:rPr>
                <w:color w:val="auto"/>
                <w:szCs w:val="21"/>
                <w:highlight w:val="none"/>
              </w:rPr>
            </w:pPr>
            <w:r>
              <w:rPr>
                <w:rFonts w:hint="eastAsia"/>
                <w:color w:val="auto"/>
                <w:szCs w:val="21"/>
                <w:highlight w:val="none"/>
              </w:rPr>
              <w:t>单价（元）</w:t>
            </w:r>
          </w:p>
        </w:tc>
        <w:tc>
          <w:tcPr>
            <w:tcW w:w="1080" w:type="dxa"/>
            <w:tcBorders>
              <w:top w:val="single" w:color="auto" w:sz="4" w:space="0"/>
              <w:left w:val="nil"/>
              <w:bottom w:val="single" w:color="auto" w:sz="4" w:space="0"/>
              <w:right w:val="single" w:color="auto" w:sz="4" w:space="0"/>
            </w:tcBorders>
            <w:noWrap w:val="0"/>
            <w:vAlign w:val="center"/>
          </w:tcPr>
          <w:p>
            <w:pPr>
              <w:ind w:left="-288" w:leftChars="-137"/>
              <w:jc w:val="center"/>
              <w:rPr>
                <w:color w:val="auto"/>
                <w:szCs w:val="21"/>
                <w:highlight w:val="none"/>
              </w:rPr>
            </w:pPr>
            <w:r>
              <w:rPr>
                <w:rFonts w:hint="eastAsia"/>
                <w:color w:val="auto"/>
                <w:szCs w:val="21"/>
                <w:highlight w:val="none"/>
              </w:rPr>
              <w:t>合价（元）</w:t>
            </w:r>
          </w:p>
        </w:tc>
        <w:tc>
          <w:tcPr>
            <w:tcW w:w="1980" w:type="dxa"/>
            <w:tcBorders>
              <w:top w:val="single" w:color="auto" w:sz="4" w:space="0"/>
              <w:left w:val="nil"/>
              <w:bottom w:val="single" w:color="auto" w:sz="4" w:space="0"/>
              <w:right w:val="single" w:color="auto" w:sz="4" w:space="0"/>
            </w:tcBorders>
            <w:noWrap w:val="0"/>
            <w:vAlign w:val="center"/>
          </w:tcPr>
          <w:p>
            <w:pPr>
              <w:jc w:val="center"/>
              <w:rPr>
                <w:color w:val="auto"/>
                <w:szCs w:val="21"/>
                <w:highlight w:val="none"/>
              </w:rPr>
            </w:pPr>
            <w:r>
              <w:rPr>
                <w:rFonts w:hint="eastAsia"/>
                <w:color w:val="auto"/>
                <w:szCs w:val="21"/>
                <w:highlight w:val="none"/>
              </w:rPr>
              <w:t>备注</w:t>
            </w:r>
          </w:p>
        </w:tc>
      </w:tr>
      <w:tr>
        <w:tblPrEx>
          <w:tblCellMar>
            <w:top w:w="0" w:type="dxa"/>
            <w:left w:w="108" w:type="dxa"/>
            <w:bottom w:w="0" w:type="dxa"/>
            <w:right w:w="108" w:type="dxa"/>
          </w:tblCellMar>
        </w:tblPrEx>
        <w:trPr>
          <w:trHeight w:val="277" w:hRule="atLeast"/>
        </w:trPr>
        <w:tc>
          <w:tcPr>
            <w:tcW w:w="110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rFonts w:ascii="黑体" w:hAnsi="宋体" w:eastAsia="黑体"/>
                <w:color w:val="auto"/>
                <w:szCs w:val="21"/>
                <w:highlight w:val="none"/>
              </w:rPr>
            </w:pPr>
            <w:r>
              <w:rPr>
                <w:rFonts w:hint="eastAsia"/>
                <w:color w:val="auto"/>
                <w:szCs w:val="21"/>
                <w:highlight w:val="none"/>
              </w:rPr>
              <w:t>（</w:t>
            </w:r>
            <w:r>
              <w:rPr>
                <w:color w:val="auto"/>
                <w:szCs w:val="21"/>
                <w:highlight w:val="none"/>
              </w:rPr>
              <w:t>1</w:t>
            </w:r>
            <w:r>
              <w:rPr>
                <w:rFonts w:hint="eastAsia"/>
                <w:color w:val="auto"/>
                <w:szCs w:val="21"/>
                <w:highlight w:val="none"/>
              </w:rPr>
              <w:t>）</w:t>
            </w:r>
          </w:p>
        </w:tc>
        <w:tc>
          <w:tcPr>
            <w:tcW w:w="3004" w:type="dxa"/>
            <w:tcBorders>
              <w:top w:val="single" w:color="auto" w:sz="4" w:space="0"/>
              <w:left w:val="nil"/>
              <w:bottom w:val="single" w:color="auto" w:sz="4" w:space="0"/>
              <w:right w:val="single" w:color="auto" w:sz="4" w:space="0"/>
            </w:tcBorders>
            <w:shd w:val="clear" w:color="auto" w:fill="FFFFFF"/>
            <w:noWrap w:val="0"/>
            <w:vAlign w:val="top"/>
          </w:tcPr>
          <w:p>
            <w:pPr>
              <w:jc w:val="center"/>
              <w:rPr>
                <w:rFonts w:ascii="黑体" w:hAnsi="宋体" w:eastAsia="黑体"/>
                <w:b/>
                <w:bCs/>
                <w:color w:val="auto"/>
                <w:szCs w:val="21"/>
                <w:highlight w:val="none"/>
              </w:rPr>
            </w:pPr>
            <w:r>
              <w:rPr>
                <w:rFonts w:hint="eastAsia"/>
                <w:color w:val="auto"/>
                <w:szCs w:val="21"/>
                <w:highlight w:val="none"/>
              </w:rPr>
              <w:t>（</w:t>
            </w:r>
            <w:r>
              <w:rPr>
                <w:color w:val="auto"/>
                <w:szCs w:val="21"/>
                <w:highlight w:val="none"/>
              </w:rPr>
              <w:t>2</w:t>
            </w:r>
            <w:r>
              <w:rPr>
                <w:rFonts w:hint="eastAsia"/>
                <w:color w:val="auto"/>
                <w:szCs w:val="21"/>
                <w:highlight w:val="none"/>
              </w:rPr>
              <w:t>）</w:t>
            </w:r>
          </w:p>
        </w:tc>
        <w:tc>
          <w:tcPr>
            <w:tcW w:w="776" w:type="dxa"/>
            <w:tcBorders>
              <w:top w:val="single" w:color="auto" w:sz="4" w:space="0"/>
              <w:left w:val="nil"/>
              <w:bottom w:val="single" w:color="auto" w:sz="4" w:space="0"/>
              <w:right w:val="single" w:color="auto" w:sz="4" w:space="0"/>
            </w:tcBorders>
            <w:shd w:val="clear" w:color="auto" w:fill="FFFFFF"/>
            <w:noWrap w:val="0"/>
            <w:vAlign w:val="top"/>
          </w:tcPr>
          <w:p>
            <w:pPr>
              <w:jc w:val="center"/>
              <w:rPr>
                <w:color w:val="auto"/>
                <w:szCs w:val="21"/>
                <w:highlight w:val="none"/>
              </w:rPr>
            </w:pPr>
            <w:r>
              <w:rPr>
                <w:rFonts w:hint="eastAsia"/>
                <w:color w:val="auto"/>
                <w:szCs w:val="21"/>
                <w:highlight w:val="none"/>
              </w:rPr>
              <w:t>（</w:t>
            </w:r>
            <w:r>
              <w:rPr>
                <w:color w:val="auto"/>
                <w:szCs w:val="21"/>
                <w:highlight w:val="none"/>
              </w:rPr>
              <w:t>3</w:t>
            </w:r>
            <w:r>
              <w:rPr>
                <w:rFonts w:hint="eastAsia"/>
                <w:color w:val="auto"/>
                <w:szCs w:val="21"/>
                <w:highlight w:val="none"/>
              </w:rPr>
              <w:t>）</w:t>
            </w:r>
          </w:p>
        </w:tc>
        <w:tc>
          <w:tcPr>
            <w:tcW w:w="1080" w:type="dxa"/>
            <w:tcBorders>
              <w:top w:val="single" w:color="auto" w:sz="4" w:space="0"/>
              <w:left w:val="nil"/>
              <w:bottom w:val="single" w:color="auto" w:sz="4" w:space="0"/>
              <w:right w:val="single" w:color="auto" w:sz="4" w:space="0"/>
            </w:tcBorders>
            <w:shd w:val="clear" w:color="auto" w:fill="FFFFFF"/>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top"/>
          </w:tcPr>
          <w:p>
            <w:pPr>
              <w:rPr>
                <w:color w:val="auto"/>
                <w:szCs w:val="21"/>
                <w:highlight w:val="none"/>
              </w:rPr>
            </w:pPr>
          </w:p>
        </w:tc>
        <w:tc>
          <w:tcPr>
            <w:tcW w:w="1980" w:type="dxa"/>
            <w:tcBorders>
              <w:top w:val="single" w:color="auto" w:sz="4" w:space="0"/>
              <w:left w:val="nil"/>
              <w:bottom w:val="single" w:color="auto" w:sz="4" w:space="0"/>
              <w:right w:val="single" w:color="auto" w:sz="4" w:space="0"/>
            </w:tcBorders>
            <w:shd w:val="clear" w:color="auto" w:fill="FFFFFF"/>
            <w:noWrap w:val="0"/>
            <w:vAlign w:val="top"/>
          </w:tcPr>
          <w:p>
            <w:pPr>
              <w:rPr>
                <w:color w:val="auto"/>
                <w:szCs w:val="21"/>
                <w:highlight w:val="none"/>
              </w:rPr>
            </w:pP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b/>
                <w:bCs/>
                <w:color w:val="auto"/>
                <w:szCs w:val="21"/>
                <w:highlight w:val="none"/>
              </w:rPr>
            </w:pPr>
            <w:r>
              <w:rPr>
                <w:rFonts w:hint="eastAsia" w:ascii="黑体" w:eastAsia="黑体"/>
                <w:b/>
                <w:bCs/>
                <w:color w:val="auto"/>
                <w:szCs w:val="21"/>
                <w:highlight w:val="none"/>
              </w:rPr>
              <w:t>一</w:t>
            </w:r>
          </w:p>
        </w:tc>
        <w:tc>
          <w:tcPr>
            <w:tcW w:w="3004" w:type="dxa"/>
            <w:tcBorders>
              <w:top w:val="single" w:color="auto" w:sz="4" w:space="0"/>
              <w:left w:val="nil"/>
              <w:bottom w:val="single" w:color="auto" w:sz="4" w:space="0"/>
              <w:right w:val="single" w:color="auto" w:sz="4" w:space="0"/>
            </w:tcBorders>
            <w:noWrap w:val="0"/>
            <w:vAlign w:val="center"/>
          </w:tcPr>
          <w:p>
            <w:pPr>
              <w:jc w:val="center"/>
              <w:rPr>
                <w:rFonts w:ascii="黑体" w:eastAsia="黑体"/>
                <w:b/>
                <w:bCs/>
                <w:color w:val="auto"/>
                <w:szCs w:val="21"/>
                <w:highlight w:val="none"/>
              </w:rPr>
            </w:pPr>
            <w:r>
              <w:rPr>
                <w:rFonts w:hint="eastAsia" w:ascii="黑体" w:eastAsia="黑体"/>
                <w:b/>
                <w:bCs/>
                <w:color w:val="auto"/>
                <w:szCs w:val="21"/>
                <w:highlight w:val="none"/>
              </w:rPr>
              <w:t>安全施工措施项目</w:t>
            </w:r>
          </w:p>
        </w:tc>
        <w:tc>
          <w:tcPr>
            <w:tcW w:w="776" w:type="dxa"/>
            <w:tcBorders>
              <w:top w:val="single" w:color="auto" w:sz="4" w:space="0"/>
              <w:left w:val="nil"/>
              <w:bottom w:val="single" w:color="auto" w:sz="4" w:space="0"/>
              <w:right w:val="single" w:color="auto" w:sz="4" w:space="0"/>
            </w:tcBorders>
            <w:noWrap w:val="0"/>
            <w:vAlign w:val="center"/>
          </w:tcPr>
          <w:p>
            <w:pPr>
              <w:jc w:val="center"/>
              <w:rPr>
                <w:rFonts w:ascii="黑体" w:eastAsia="黑体"/>
                <w:b/>
                <w:bCs/>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rFonts w:ascii="黑体" w:eastAsia="黑体"/>
                <w:b/>
                <w:bCs/>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rFonts w:ascii="黑体" w:eastAsia="黑体"/>
                <w:b/>
                <w:bCs/>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rFonts w:ascii="黑体" w:eastAsia="黑体"/>
                <w:b/>
                <w:bCs/>
                <w:color w:val="auto"/>
                <w:szCs w:val="21"/>
                <w:highlight w:val="none"/>
              </w:rPr>
            </w:pPr>
          </w:p>
        </w:tc>
        <w:tc>
          <w:tcPr>
            <w:tcW w:w="1980" w:type="dxa"/>
            <w:tcBorders>
              <w:top w:val="single" w:color="auto" w:sz="4" w:space="0"/>
              <w:left w:val="nil"/>
              <w:bottom w:val="single" w:color="auto" w:sz="4" w:space="0"/>
              <w:right w:val="single" w:color="auto" w:sz="4" w:space="0"/>
            </w:tcBorders>
            <w:noWrap w:val="0"/>
            <w:vAlign w:val="top"/>
          </w:tcPr>
          <w:p>
            <w:pPr>
              <w:rPr>
                <w:rFonts w:ascii="黑体" w:eastAsia="黑体"/>
                <w:b/>
                <w:bCs/>
                <w:color w:val="auto"/>
                <w:szCs w:val="21"/>
                <w:highlight w:val="none"/>
              </w:rPr>
            </w:pP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b/>
                <w:bCs/>
                <w:color w:val="auto"/>
                <w:szCs w:val="21"/>
                <w:highlight w:val="none"/>
              </w:rPr>
            </w:pPr>
            <w:r>
              <w:rPr>
                <w:rFonts w:hint="eastAsia" w:ascii="黑体"/>
                <w:b/>
                <w:bCs/>
                <w:color w:val="auto"/>
                <w:szCs w:val="21"/>
                <w:highlight w:val="none"/>
              </w:rPr>
              <w:t>（一）</w:t>
            </w:r>
          </w:p>
        </w:tc>
        <w:tc>
          <w:tcPr>
            <w:tcW w:w="3004" w:type="dxa"/>
            <w:tcBorders>
              <w:top w:val="single" w:color="auto" w:sz="4" w:space="0"/>
              <w:left w:val="nil"/>
              <w:bottom w:val="single" w:color="auto" w:sz="4" w:space="0"/>
              <w:right w:val="single" w:color="auto" w:sz="4" w:space="0"/>
            </w:tcBorders>
            <w:noWrap w:val="0"/>
            <w:vAlign w:val="center"/>
          </w:tcPr>
          <w:p>
            <w:pPr>
              <w:rPr>
                <w:b/>
                <w:bCs/>
                <w:color w:val="auto"/>
                <w:szCs w:val="21"/>
                <w:highlight w:val="none"/>
              </w:rPr>
            </w:pPr>
            <w:r>
              <w:rPr>
                <w:rFonts w:hint="eastAsia"/>
                <w:b/>
                <w:bCs/>
                <w:color w:val="auto"/>
                <w:szCs w:val="21"/>
                <w:highlight w:val="none"/>
              </w:rPr>
              <w:t>基本安全防护</w:t>
            </w:r>
          </w:p>
        </w:tc>
        <w:tc>
          <w:tcPr>
            <w:tcW w:w="776" w:type="dxa"/>
            <w:tcBorders>
              <w:top w:val="single" w:color="auto" w:sz="4" w:space="0"/>
              <w:left w:val="nil"/>
              <w:bottom w:val="single" w:color="auto" w:sz="4" w:space="0"/>
              <w:right w:val="single" w:color="auto" w:sz="4" w:space="0"/>
            </w:tcBorders>
            <w:noWrap w:val="0"/>
            <w:vAlign w:val="center"/>
          </w:tcPr>
          <w:p>
            <w:pPr>
              <w:jc w:val="center"/>
              <w:rPr>
                <w:rFonts w:ascii="黑体" w:eastAsia="黑体"/>
                <w:b/>
                <w:bCs/>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rFonts w:ascii="黑体" w:eastAsia="黑体"/>
                <w:b/>
                <w:bCs/>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rFonts w:ascii="黑体" w:eastAsia="黑体"/>
                <w:b/>
                <w:bCs/>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rFonts w:ascii="黑体" w:eastAsia="黑体"/>
                <w:b/>
                <w:bCs/>
                <w:color w:val="auto"/>
                <w:szCs w:val="21"/>
                <w:highlight w:val="none"/>
              </w:rPr>
            </w:pPr>
          </w:p>
        </w:tc>
        <w:tc>
          <w:tcPr>
            <w:tcW w:w="1980" w:type="dxa"/>
            <w:tcBorders>
              <w:top w:val="single" w:color="auto" w:sz="4" w:space="0"/>
              <w:left w:val="nil"/>
              <w:bottom w:val="single" w:color="auto" w:sz="4" w:space="0"/>
              <w:right w:val="single" w:color="auto" w:sz="4" w:space="0"/>
            </w:tcBorders>
            <w:noWrap w:val="0"/>
            <w:vAlign w:val="top"/>
          </w:tcPr>
          <w:p>
            <w:pPr>
              <w:rPr>
                <w:rFonts w:ascii="黑体" w:eastAsia="黑体"/>
                <w:b/>
                <w:bCs/>
                <w:color w:val="auto"/>
                <w:szCs w:val="21"/>
                <w:highlight w:val="none"/>
              </w:rPr>
            </w:pP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Cs w:val="21"/>
                <w:highlight w:val="none"/>
              </w:rPr>
            </w:pPr>
            <w:r>
              <w:rPr>
                <w:color w:val="auto"/>
                <w:szCs w:val="21"/>
                <w:highlight w:val="none"/>
              </w:rPr>
              <w:t>1</w:t>
            </w:r>
          </w:p>
        </w:tc>
        <w:tc>
          <w:tcPr>
            <w:tcW w:w="3004"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r>
              <w:rPr>
                <w:rFonts w:hint="eastAsia"/>
                <w:color w:val="auto"/>
                <w:szCs w:val="21"/>
                <w:highlight w:val="none"/>
              </w:rPr>
              <w:t>安全网</w:t>
            </w:r>
          </w:p>
        </w:tc>
        <w:tc>
          <w:tcPr>
            <w:tcW w:w="776" w:type="dxa"/>
            <w:tcBorders>
              <w:top w:val="single" w:color="auto" w:sz="4" w:space="0"/>
              <w:left w:val="nil"/>
              <w:bottom w:val="single" w:color="auto" w:sz="4" w:space="0"/>
              <w:right w:val="single" w:color="auto" w:sz="4" w:space="0"/>
            </w:tcBorders>
            <w:noWrap w:val="0"/>
            <w:vAlign w:val="center"/>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980"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Cs w:val="21"/>
                <w:highlight w:val="none"/>
              </w:rPr>
            </w:pPr>
            <w:r>
              <w:rPr>
                <w:rFonts w:hint="eastAsia"/>
                <w:color w:val="auto"/>
                <w:szCs w:val="21"/>
                <w:highlight w:val="none"/>
              </w:rPr>
              <w:t>（</w:t>
            </w:r>
            <w:r>
              <w:rPr>
                <w:color w:val="auto"/>
                <w:szCs w:val="21"/>
                <w:highlight w:val="none"/>
              </w:rPr>
              <w:t>1</w:t>
            </w:r>
            <w:r>
              <w:rPr>
                <w:rFonts w:hint="eastAsia"/>
                <w:color w:val="auto"/>
                <w:szCs w:val="21"/>
                <w:highlight w:val="none"/>
              </w:rPr>
              <w:t>）</w:t>
            </w:r>
          </w:p>
        </w:tc>
        <w:tc>
          <w:tcPr>
            <w:tcW w:w="3004"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r>
              <w:rPr>
                <w:rFonts w:hint="eastAsia"/>
                <w:color w:val="auto"/>
                <w:szCs w:val="21"/>
                <w:highlight w:val="none"/>
              </w:rPr>
              <w:t>安全平网</w:t>
            </w:r>
          </w:p>
        </w:tc>
        <w:tc>
          <w:tcPr>
            <w:tcW w:w="776" w:type="dxa"/>
            <w:tcBorders>
              <w:top w:val="single" w:color="auto" w:sz="4" w:space="0"/>
              <w:left w:val="nil"/>
              <w:bottom w:val="single" w:color="auto" w:sz="4" w:space="0"/>
              <w:right w:val="single" w:color="auto" w:sz="4" w:space="0"/>
            </w:tcBorders>
            <w:noWrap w:val="0"/>
            <w:vAlign w:val="center"/>
          </w:tcPr>
          <w:p>
            <w:pPr>
              <w:jc w:val="center"/>
              <w:rPr>
                <w:color w:val="auto"/>
                <w:szCs w:val="21"/>
                <w:highlight w:val="none"/>
              </w:rPr>
            </w:pPr>
            <w:r>
              <w:rPr>
                <w:color w:val="auto"/>
                <w:szCs w:val="21"/>
                <w:highlight w:val="none"/>
              </w:rPr>
              <w:t>m</w:t>
            </w:r>
            <w:r>
              <w:rPr>
                <w:color w:val="auto"/>
                <w:szCs w:val="21"/>
                <w:highlight w:val="none"/>
                <w:vertAlign w:val="superscript"/>
              </w:rPr>
              <w:t>2</w:t>
            </w: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980"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r>
              <w:rPr>
                <w:rFonts w:hint="eastAsia"/>
                <w:color w:val="auto"/>
                <w:szCs w:val="21"/>
                <w:highlight w:val="none"/>
              </w:rPr>
              <w:t>平面面积</w:t>
            </w: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Cs w:val="21"/>
                <w:highlight w:val="none"/>
              </w:rPr>
            </w:pPr>
            <w:r>
              <w:rPr>
                <w:color w:val="auto"/>
                <w:szCs w:val="21"/>
                <w:highlight w:val="none"/>
              </w:rPr>
              <w:t>(2)</w:t>
            </w:r>
          </w:p>
        </w:tc>
        <w:tc>
          <w:tcPr>
            <w:tcW w:w="3004"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r>
              <w:rPr>
                <w:rFonts w:hint="eastAsia"/>
                <w:color w:val="auto"/>
                <w:szCs w:val="21"/>
                <w:highlight w:val="none"/>
              </w:rPr>
              <w:t>密目式立网</w:t>
            </w:r>
          </w:p>
        </w:tc>
        <w:tc>
          <w:tcPr>
            <w:tcW w:w="776" w:type="dxa"/>
            <w:tcBorders>
              <w:top w:val="single" w:color="auto" w:sz="4" w:space="0"/>
              <w:left w:val="nil"/>
              <w:bottom w:val="single" w:color="auto" w:sz="4" w:space="0"/>
              <w:right w:val="single" w:color="auto" w:sz="4" w:space="0"/>
            </w:tcBorders>
            <w:noWrap w:val="0"/>
            <w:vAlign w:val="center"/>
          </w:tcPr>
          <w:p>
            <w:pPr>
              <w:jc w:val="center"/>
              <w:rPr>
                <w:color w:val="auto"/>
                <w:szCs w:val="21"/>
                <w:highlight w:val="none"/>
              </w:rPr>
            </w:pPr>
            <w:r>
              <w:rPr>
                <w:color w:val="auto"/>
                <w:szCs w:val="21"/>
                <w:highlight w:val="none"/>
              </w:rPr>
              <w:t>m</w:t>
            </w:r>
            <w:r>
              <w:rPr>
                <w:color w:val="auto"/>
                <w:szCs w:val="21"/>
                <w:highlight w:val="none"/>
                <w:vertAlign w:val="superscript"/>
              </w:rPr>
              <w:t>2</w:t>
            </w: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980"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r>
              <w:rPr>
                <w:rFonts w:hint="eastAsia"/>
                <w:color w:val="auto"/>
                <w:szCs w:val="21"/>
                <w:highlight w:val="none"/>
              </w:rPr>
              <w:t>垂直立面</w:t>
            </w: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Cs w:val="21"/>
                <w:highlight w:val="none"/>
              </w:rPr>
            </w:pPr>
            <w:r>
              <w:rPr>
                <w:color w:val="auto"/>
                <w:szCs w:val="21"/>
                <w:highlight w:val="none"/>
              </w:rPr>
              <w:t>2</w:t>
            </w:r>
          </w:p>
        </w:tc>
        <w:tc>
          <w:tcPr>
            <w:tcW w:w="3004"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r>
              <w:rPr>
                <w:rFonts w:hint="eastAsia"/>
                <w:color w:val="auto"/>
                <w:szCs w:val="21"/>
                <w:highlight w:val="none"/>
              </w:rPr>
              <w:t>防护栏杆</w:t>
            </w:r>
          </w:p>
        </w:tc>
        <w:tc>
          <w:tcPr>
            <w:tcW w:w="776" w:type="dxa"/>
            <w:tcBorders>
              <w:top w:val="single" w:color="auto" w:sz="4" w:space="0"/>
              <w:left w:val="nil"/>
              <w:bottom w:val="single" w:color="auto" w:sz="4" w:space="0"/>
              <w:right w:val="single" w:color="auto" w:sz="4" w:space="0"/>
            </w:tcBorders>
            <w:noWrap w:val="0"/>
            <w:vAlign w:val="center"/>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980"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r>
              <w:rPr>
                <w:rFonts w:hint="eastAsia"/>
                <w:color w:val="auto"/>
                <w:szCs w:val="21"/>
                <w:highlight w:val="none"/>
              </w:rPr>
              <w:t>按栏杆长度</w:t>
            </w: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Cs w:val="21"/>
                <w:highlight w:val="none"/>
              </w:rPr>
            </w:pPr>
            <w:r>
              <w:rPr>
                <w:rFonts w:hint="eastAsia"/>
                <w:color w:val="auto"/>
                <w:szCs w:val="21"/>
                <w:highlight w:val="none"/>
              </w:rPr>
              <w:t>（</w:t>
            </w:r>
            <w:r>
              <w:rPr>
                <w:color w:val="auto"/>
                <w:szCs w:val="21"/>
                <w:highlight w:val="none"/>
              </w:rPr>
              <w:t>1</w:t>
            </w:r>
            <w:r>
              <w:rPr>
                <w:rFonts w:hint="eastAsia"/>
                <w:color w:val="auto"/>
                <w:szCs w:val="21"/>
                <w:highlight w:val="none"/>
              </w:rPr>
              <w:t>）</w:t>
            </w:r>
          </w:p>
        </w:tc>
        <w:tc>
          <w:tcPr>
            <w:tcW w:w="3004"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r>
              <w:rPr>
                <w:rFonts w:hint="eastAsia"/>
                <w:color w:val="auto"/>
                <w:szCs w:val="21"/>
                <w:highlight w:val="none"/>
              </w:rPr>
              <w:t>高处作业临边防护栏杆</w:t>
            </w:r>
          </w:p>
        </w:tc>
        <w:tc>
          <w:tcPr>
            <w:tcW w:w="776" w:type="dxa"/>
            <w:tcBorders>
              <w:top w:val="single" w:color="auto" w:sz="4" w:space="0"/>
              <w:left w:val="nil"/>
              <w:bottom w:val="single" w:color="auto" w:sz="4" w:space="0"/>
              <w:right w:val="single" w:color="auto" w:sz="4" w:space="0"/>
            </w:tcBorders>
            <w:noWrap w:val="0"/>
            <w:vAlign w:val="center"/>
          </w:tcPr>
          <w:p>
            <w:pPr>
              <w:jc w:val="center"/>
              <w:rPr>
                <w:color w:val="auto"/>
                <w:szCs w:val="21"/>
                <w:highlight w:val="none"/>
              </w:rPr>
            </w:pPr>
            <w:r>
              <w:rPr>
                <w:color w:val="auto"/>
                <w:szCs w:val="21"/>
                <w:highlight w:val="none"/>
              </w:rPr>
              <w:t>m</w:t>
            </w: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980"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Cs w:val="21"/>
                <w:highlight w:val="none"/>
              </w:rPr>
            </w:pPr>
            <w:r>
              <w:rPr>
                <w:rFonts w:hint="eastAsia"/>
                <w:color w:val="auto"/>
                <w:szCs w:val="21"/>
                <w:highlight w:val="none"/>
              </w:rPr>
              <w:t>（</w:t>
            </w:r>
            <w:r>
              <w:rPr>
                <w:color w:val="auto"/>
                <w:szCs w:val="21"/>
                <w:highlight w:val="none"/>
              </w:rPr>
              <w:t>2</w:t>
            </w:r>
            <w:r>
              <w:rPr>
                <w:rFonts w:hint="eastAsia"/>
                <w:color w:val="auto"/>
                <w:szCs w:val="21"/>
                <w:highlight w:val="none"/>
              </w:rPr>
              <w:t>）</w:t>
            </w:r>
          </w:p>
        </w:tc>
        <w:tc>
          <w:tcPr>
            <w:tcW w:w="3004"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r>
              <w:rPr>
                <w:rFonts w:hint="eastAsia"/>
                <w:color w:val="auto"/>
                <w:szCs w:val="21"/>
                <w:highlight w:val="none"/>
              </w:rPr>
              <w:t>深基坑（槽）临边护栏</w:t>
            </w:r>
          </w:p>
        </w:tc>
        <w:tc>
          <w:tcPr>
            <w:tcW w:w="776" w:type="dxa"/>
            <w:tcBorders>
              <w:top w:val="single" w:color="auto" w:sz="4" w:space="0"/>
              <w:left w:val="nil"/>
              <w:bottom w:val="single" w:color="auto" w:sz="4" w:space="0"/>
              <w:right w:val="single" w:color="auto" w:sz="4" w:space="0"/>
            </w:tcBorders>
            <w:noWrap w:val="0"/>
            <w:vAlign w:val="center"/>
          </w:tcPr>
          <w:p>
            <w:pPr>
              <w:jc w:val="center"/>
              <w:rPr>
                <w:color w:val="auto"/>
                <w:szCs w:val="21"/>
                <w:highlight w:val="none"/>
              </w:rPr>
            </w:pPr>
            <w:r>
              <w:rPr>
                <w:color w:val="auto"/>
                <w:szCs w:val="21"/>
                <w:highlight w:val="none"/>
              </w:rPr>
              <w:t>m</w:t>
            </w: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980"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Cs w:val="21"/>
                <w:highlight w:val="none"/>
              </w:rPr>
            </w:pPr>
            <w:r>
              <w:rPr>
                <w:rFonts w:hint="eastAsia"/>
                <w:color w:val="auto"/>
                <w:szCs w:val="21"/>
                <w:highlight w:val="none"/>
              </w:rPr>
              <w:t>（</w:t>
            </w:r>
            <w:r>
              <w:rPr>
                <w:color w:val="auto"/>
                <w:szCs w:val="21"/>
                <w:highlight w:val="none"/>
              </w:rPr>
              <w:t>3</w:t>
            </w:r>
            <w:r>
              <w:rPr>
                <w:rFonts w:hint="eastAsia"/>
                <w:color w:val="auto"/>
                <w:szCs w:val="21"/>
                <w:highlight w:val="none"/>
              </w:rPr>
              <w:t>）</w:t>
            </w:r>
          </w:p>
        </w:tc>
        <w:tc>
          <w:tcPr>
            <w:tcW w:w="3004"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r>
              <w:rPr>
                <w:rFonts w:hint="eastAsia"/>
                <w:color w:val="auto"/>
                <w:szCs w:val="21"/>
                <w:highlight w:val="none"/>
              </w:rPr>
              <w:t>其他防护栏杆</w:t>
            </w:r>
          </w:p>
        </w:tc>
        <w:tc>
          <w:tcPr>
            <w:tcW w:w="776" w:type="dxa"/>
            <w:tcBorders>
              <w:top w:val="single" w:color="auto" w:sz="4" w:space="0"/>
              <w:left w:val="nil"/>
              <w:bottom w:val="single" w:color="auto" w:sz="4" w:space="0"/>
              <w:right w:val="single" w:color="auto" w:sz="4" w:space="0"/>
            </w:tcBorders>
            <w:noWrap w:val="0"/>
            <w:vAlign w:val="center"/>
          </w:tcPr>
          <w:p>
            <w:pPr>
              <w:jc w:val="center"/>
              <w:rPr>
                <w:color w:val="auto"/>
                <w:szCs w:val="21"/>
                <w:highlight w:val="none"/>
              </w:rPr>
            </w:pPr>
            <w:r>
              <w:rPr>
                <w:color w:val="auto"/>
                <w:szCs w:val="21"/>
                <w:highlight w:val="none"/>
              </w:rPr>
              <w:t>m</w:t>
            </w: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980"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Cs w:val="21"/>
                <w:highlight w:val="none"/>
              </w:rPr>
            </w:pPr>
            <w:r>
              <w:rPr>
                <w:color w:val="auto"/>
                <w:szCs w:val="21"/>
                <w:highlight w:val="none"/>
              </w:rPr>
              <w:t>3</w:t>
            </w:r>
          </w:p>
        </w:tc>
        <w:tc>
          <w:tcPr>
            <w:tcW w:w="3004"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r>
              <w:rPr>
                <w:rFonts w:hint="eastAsia"/>
                <w:color w:val="auto"/>
                <w:szCs w:val="21"/>
                <w:highlight w:val="none"/>
              </w:rPr>
              <w:t>防护门</w:t>
            </w:r>
          </w:p>
        </w:tc>
        <w:tc>
          <w:tcPr>
            <w:tcW w:w="776" w:type="dxa"/>
            <w:tcBorders>
              <w:top w:val="single" w:color="auto" w:sz="4" w:space="0"/>
              <w:left w:val="nil"/>
              <w:bottom w:val="single" w:color="auto" w:sz="4" w:space="0"/>
              <w:right w:val="single" w:color="auto" w:sz="4" w:space="0"/>
            </w:tcBorders>
            <w:noWrap w:val="0"/>
            <w:vAlign w:val="center"/>
          </w:tcPr>
          <w:p>
            <w:pPr>
              <w:jc w:val="center"/>
              <w:rPr>
                <w:color w:val="auto"/>
                <w:szCs w:val="21"/>
                <w:highlight w:val="none"/>
              </w:rPr>
            </w:pPr>
            <w:r>
              <w:rPr>
                <w:color w:val="auto"/>
                <w:szCs w:val="21"/>
                <w:highlight w:val="none"/>
              </w:rPr>
              <w:t>m</w:t>
            </w:r>
            <w:r>
              <w:rPr>
                <w:color w:val="auto"/>
                <w:szCs w:val="21"/>
                <w:highlight w:val="none"/>
                <w:vertAlign w:val="superscript"/>
              </w:rPr>
              <w:t>2</w:t>
            </w: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980"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Cs w:val="21"/>
                <w:highlight w:val="none"/>
              </w:rPr>
            </w:pPr>
            <w:r>
              <w:rPr>
                <w:color w:val="auto"/>
                <w:szCs w:val="21"/>
                <w:highlight w:val="none"/>
              </w:rPr>
              <w:t>4</w:t>
            </w:r>
          </w:p>
        </w:tc>
        <w:tc>
          <w:tcPr>
            <w:tcW w:w="3004"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r>
              <w:rPr>
                <w:rFonts w:hint="eastAsia"/>
                <w:color w:val="auto"/>
                <w:szCs w:val="21"/>
                <w:highlight w:val="none"/>
              </w:rPr>
              <w:t>防护棚</w:t>
            </w:r>
          </w:p>
        </w:tc>
        <w:tc>
          <w:tcPr>
            <w:tcW w:w="776" w:type="dxa"/>
            <w:tcBorders>
              <w:top w:val="single" w:color="auto" w:sz="4" w:space="0"/>
              <w:left w:val="nil"/>
              <w:bottom w:val="single" w:color="auto" w:sz="4" w:space="0"/>
              <w:right w:val="single" w:color="auto" w:sz="4" w:space="0"/>
            </w:tcBorders>
            <w:noWrap w:val="0"/>
            <w:vAlign w:val="center"/>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980"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r>
              <w:rPr>
                <w:rFonts w:hint="eastAsia"/>
                <w:color w:val="auto"/>
                <w:szCs w:val="21"/>
                <w:highlight w:val="none"/>
              </w:rPr>
              <w:t>按防护面积</w:t>
            </w: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Cs w:val="21"/>
                <w:highlight w:val="none"/>
              </w:rPr>
            </w:pPr>
            <w:r>
              <w:rPr>
                <w:rFonts w:hint="eastAsia"/>
                <w:color w:val="auto"/>
                <w:szCs w:val="21"/>
                <w:highlight w:val="none"/>
              </w:rPr>
              <w:t>（</w:t>
            </w:r>
            <w:r>
              <w:rPr>
                <w:color w:val="auto"/>
                <w:szCs w:val="21"/>
                <w:highlight w:val="none"/>
              </w:rPr>
              <w:t>1</w:t>
            </w:r>
            <w:r>
              <w:rPr>
                <w:rFonts w:hint="eastAsia"/>
                <w:color w:val="auto"/>
                <w:szCs w:val="21"/>
                <w:highlight w:val="none"/>
              </w:rPr>
              <w:t>）</w:t>
            </w:r>
          </w:p>
        </w:tc>
        <w:tc>
          <w:tcPr>
            <w:tcW w:w="3004"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r>
              <w:rPr>
                <w:rFonts w:hint="eastAsia"/>
                <w:color w:val="auto"/>
                <w:szCs w:val="21"/>
                <w:highlight w:val="none"/>
              </w:rPr>
              <w:t>通道防护棚</w:t>
            </w:r>
          </w:p>
        </w:tc>
        <w:tc>
          <w:tcPr>
            <w:tcW w:w="776" w:type="dxa"/>
            <w:tcBorders>
              <w:top w:val="single" w:color="auto" w:sz="4" w:space="0"/>
              <w:left w:val="nil"/>
              <w:bottom w:val="single" w:color="auto" w:sz="4" w:space="0"/>
              <w:right w:val="single" w:color="auto" w:sz="4" w:space="0"/>
            </w:tcBorders>
            <w:noWrap w:val="0"/>
            <w:vAlign w:val="center"/>
          </w:tcPr>
          <w:p>
            <w:pPr>
              <w:jc w:val="center"/>
              <w:rPr>
                <w:color w:val="auto"/>
                <w:szCs w:val="21"/>
                <w:highlight w:val="none"/>
              </w:rPr>
            </w:pPr>
            <w:r>
              <w:rPr>
                <w:color w:val="auto"/>
                <w:szCs w:val="21"/>
                <w:highlight w:val="none"/>
              </w:rPr>
              <w:t>m</w:t>
            </w:r>
            <w:r>
              <w:rPr>
                <w:color w:val="auto"/>
                <w:szCs w:val="21"/>
                <w:highlight w:val="none"/>
                <w:vertAlign w:val="superscript"/>
              </w:rPr>
              <w:t>2</w:t>
            </w: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980"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Cs w:val="21"/>
                <w:highlight w:val="none"/>
              </w:rPr>
            </w:pPr>
            <w:r>
              <w:rPr>
                <w:rFonts w:hint="eastAsia"/>
                <w:color w:val="auto"/>
                <w:szCs w:val="21"/>
                <w:highlight w:val="none"/>
              </w:rPr>
              <w:t>（</w:t>
            </w:r>
            <w:r>
              <w:rPr>
                <w:color w:val="auto"/>
                <w:szCs w:val="21"/>
                <w:highlight w:val="none"/>
              </w:rPr>
              <w:t>2</w:t>
            </w:r>
            <w:r>
              <w:rPr>
                <w:rFonts w:hint="eastAsia"/>
                <w:color w:val="auto"/>
                <w:szCs w:val="21"/>
                <w:highlight w:val="none"/>
              </w:rPr>
              <w:t>）</w:t>
            </w:r>
          </w:p>
        </w:tc>
        <w:tc>
          <w:tcPr>
            <w:tcW w:w="3004"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r>
              <w:rPr>
                <w:rFonts w:hint="eastAsia"/>
                <w:color w:val="auto"/>
                <w:szCs w:val="21"/>
                <w:highlight w:val="none"/>
              </w:rPr>
              <w:t>井架防护棚</w:t>
            </w:r>
          </w:p>
        </w:tc>
        <w:tc>
          <w:tcPr>
            <w:tcW w:w="776" w:type="dxa"/>
            <w:tcBorders>
              <w:top w:val="single" w:color="auto" w:sz="4" w:space="0"/>
              <w:left w:val="nil"/>
              <w:bottom w:val="single" w:color="auto" w:sz="4" w:space="0"/>
              <w:right w:val="single" w:color="auto" w:sz="4" w:space="0"/>
            </w:tcBorders>
            <w:noWrap w:val="0"/>
            <w:vAlign w:val="center"/>
          </w:tcPr>
          <w:p>
            <w:pPr>
              <w:jc w:val="center"/>
              <w:rPr>
                <w:color w:val="auto"/>
                <w:szCs w:val="21"/>
                <w:highlight w:val="none"/>
              </w:rPr>
            </w:pPr>
            <w:r>
              <w:rPr>
                <w:color w:val="auto"/>
                <w:szCs w:val="21"/>
                <w:highlight w:val="none"/>
              </w:rPr>
              <w:t>m</w:t>
            </w:r>
            <w:r>
              <w:rPr>
                <w:color w:val="auto"/>
                <w:szCs w:val="21"/>
                <w:highlight w:val="none"/>
                <w:vertAlign w:val="superscript"/>
              </w:rPr>
              <w:t>2</w:t>
            </w: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980"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Cs w:val="21"/>
                <w:highlight w:val="none"/>
              </w:rPr>
            </w:pPr>
            <w:r>
              <w:rPr>
                <w:rFonts w:hint="eastAsia"/>
                <w:color w:val="auto"/>
                <w:szCs w:val="21"/>
                <w:highlight w:val="none"/>
              </w:rPr>
              <w:t>（</w:t>
            </w:r>
            <w:r>
              <w:rPr>
                <w:color w:val="auto"/>
                <w:szCs w:val="21"/>
                <w:highlight w:val="none"/>
              </w:rPr>
              <w:t>3</w:t>
            </w:r>
            <w:r>
              <w:rPr>
                <w:rFonts w:hint="eastAsia"/>
                <w:color w:val="auto"/>
                <w:szCs w:val="21"/>
                <w:highlight w:val="none"/>
              </w:rPr>
              <w:t>）</w:t>
            </w:r>
          </w:p>
        </w:tc>
        <w:tc>
          <w:tcPr>
            <w:tcW w:w="3004"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r>
              <w:rPr>
                <w:rFonts w:hint="eastAsia"/>
                <w:color w:val="auto"/>
                <w:szCs w:val="21"/>
                <w:highlight w:val="none"/>
              </w:rPr>
              <w:t>升降机防护棚</w:t>
            </w:r>
          </w:p>
        </w:tc>
        <w:tc>
          <w:tcPr>
            <w:tcW w:w="776" w:type="dxa"/>
            <w:tcBorders>
              <w:top w:val="single" w:color="auto" w:sz="4" w:space="0"/>
              <w:left w:val="nil"/>
              <w:bottom w:val="single" w:color="auto" w:sz="4" w:space="0"/>
              <w:right w:val="single" w:color="auto" w:sz="4" w:space="0"/>
            </w:tcBorders>
            <w:noWrap w:val="0"/>
            <w:vAlign w:val="center"/>
          </w:tcPr>
          <w:p>
            <w:pPr>
              <w:jc w:val="center"/>
              <w:rPr>
                <w:color w:val="auto"/>
                <w:szCs w:val="21"/>
                <w:highlight w:val="none"/>
              </w:rPr>
            </w:pPr>
            <w:r>
              <w:rPr>
                <w:color w:val="auto"/>
                <w:szCs w:val="21"/>
                <w:highlight w:val="none"/>
              </w:rPr>
              <w:t>m</w:t>
            </w:r>
            <w:r>
              <w:rPr>
                <w:color w:val="auto"/>
                <w:szCs w:val="21"/>
                <w:highlight w:val="none"/>
                <w:vertAlign w:val="superscript"/>
              </w:rPr>
              <w:t>2</w:t>
            </w: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980"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r>
              <w:rPr>
                <w:rFonts w:hint="eastAsia"/>
                <w:color w:val="auto"/>
                <w:szCs w:val="21"/>
                <w:highlight w:val="none"/>
              </w:rPr>
              <w:t>含人货两用升降机、货用升降机</w:t>
            </w: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Cs w:val="21"/>
                <w:highlight w:val="none"/>
              </w:rPr>
            </w:pPr>
            <w:r>
              <w:rPr>
                <w:color w:val="auto"/>
                <w:szCs w:val="21"/>
                <w:highlight w:val="none"/>
              </w:rPr>
              <w:t>5</w:t>
            </w:r>
          </w:p>
        </w:tc>
        <w:tc>
          <w:tcPr>
            <w:tcW w:w="3004"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r>
              <w:rPr>
                <w:rFonts w:hint="eastAsia"/>
                <w:color w:val="auto"/>
                <w:szCs w:val="21"/>
                <w:highlight w:val="none"/>
              </w:rPr>
              <w:t>断头路阻挡墙</w:t>
            </w:r>
          </w:p>
        </w:tc>
        <w:tc>
          <w:tcPr>
            <w:tcW w:w="776" w:type="dxa"/>
            <w:tcBorders>
              <w:top w:val="single" w:color="auto" w:sz="4" w:space="0"/>
              <w:left w:val="nil"/>
              <w:bottom w:val="single" w:color="auto" w:sz="4" w:space="0"/>
              <w:right w:val="single" w:color="auto" w:sz="4" w:space="0"/>
            </w:tcBorders>
            <w:noWrap w:val="0"/>
            <w:vAlign w:val="center"/>
          </w:tcPr>
          <w:p>
            <w:pPr>
              <w:jc w:val="center"/>
              <w:rPr>
                <w:color w:val="auto"/>
                <w:szCs w:val="21"/>
                <w:highlight w:val="none"/>
              </w:rPr>
            </w:pPr>
            <w:r>
              <w:rPr>
                <w:color w:val="auto"/>
                <w:szCs w:val="21"/>
                <w:highlight w:val="none"/>
              </w:rPr>
              <w:t>m</w:t>
            </w:r>
            <w:r>
              <w:rPr>
                <w:color w:val="auto"/>
                <w:szCs w:val="21"/>
                <w:highlight w:val="none"/>
                <w:vertAlign w:val="superscript"/>
              </w:rPr>
              <w:t>3</w:t>
            </w: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980"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Cs w:val="21"/>
                <w:highlight w:val="none"/>
              </w:rPr>
            </w:pPr>
            <w:r>
              <w:rPr>
                <w:color w:val="auto"/>
                <w:szCs w:val="21"/>
                <w:highlight w:val="none"/>
              </w:rPr>
              <w:t>6</w:t>
            </w:r>
          </w:p>
        </w:tc>
        <w:tc>
          <w:tcPr>
            <w:tcW w:w="3004"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r>
              <w:rPr>
                <w:rFonts w:hint="eastAsia"/>
                <w:color w:val="auto"/>
                <w:szCs w:val="21"/>
                <w:highlight w:val="none"/>
              </w:rPr>
              <w:t>安全隔离网</w:t>
            </w:r>
          </w:p>
        </w:tc>
        <w:tc>
          <w:tcPr>
            <w:tcW w:w="776" w:type="dxa"/>
            <w:tcBorders>
              <w:top w:val="single" w:color="auto" w:sz="4" w:space="0"/>
              <w:left w:val="nil"/>
              <w:bottom w:val="single" w:color="auto" w:sz="4" w:space="0"/>
              <w:right w:val="single" w:color="auto" w:sz="4" w:space="0"/>
            </w:tcBorders>
            <w:noWrap w:val="0"/>
            <w:vAlign w:val="center"/>
          </w:tcPr>
          <w:p>
            <w:pPr>
              <w:jc w:val="center"/>
              <w:rPr>
                <w:color w:val="auto"/>
                <w:szCs w:val="21"/>
                <w:highlight w:val="none"/>
              </w:rPr>
            </w:pPr>
            <w:r>
              <w:rPr>
                <w:color w:val="auto"/>
                <w:szCs w:val="21"/>
                <w:highlight w:val="none"/>
              </w:rPr>
              <w:t>m</w:t>
            </w:r>
            <w:r>
              <w:rPr>
                <w:color w:val="auto"/>
                <w:szCs w:val="21"/>
                <w:highlight w:val="none"/>
                <w:vertAlign w:val="superscript"/>
              </w:rPr>
              <w:t>2</w:t>
            </w: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980"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r>
              <w:rPr>
                <w:rFonts w:hint="eastAsia"/>
                <w:color w:val="auto"/>
                <w:szCs w:val="21"/>
                <w:highlight w:val="none"/>
              </w:rPr>
              <w:t>爆破工程</w:t>
            </w: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Cs w:val="21"/>
                <w:highlight w:val="none"/>
              </w:rPr>
            </w:pPr>
            <w:r>
              <w:rPr>
                <w:color w:val="auto"/>
                <w:szCs w:val="21"/>
                <w:highlight w:val="none"/>
              </w:rPr>
              <w:t>7</w:t>
            </w:r>
          </w:p>
        </w:tc>
        <w:tc>
          <w:tcPr>
            <w:tcW w:w="3004"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r>
              <w:rPr>
                <w:rFonts w:hint="eastAsia"/>
                <w:color w:val="auto"/>
                <w:szCs w:val="21"/>
                <w:highlight w:val="none"/>
              </w:rPr>
              <w:t>对讲机</w:t>
            </w:r>
          </w:p>
        </w:tc>
        <w:tc>
          <w:tcPr>
            <w:tcW w:w="776" w:type="dxa"/>
            <w:tcBorders>
              <w:top w:val="single" w:color="auto" w:sz="4" w:space="0"/>
              <w:left w:val="nil"/>
              <w:bottom w:val="single" w:color="auto" w:sz="4" w:space="0"/>
              <w:right w:val="single" w:color="auto" w:sz="4" w:space="0"/>
            </w:tcBorders>
            <w:noWrap w:val="0"/>
            <w:vAlign w:val="center"/>
          </w:tcPr>
          <w:p>
            <w:pPr>
              <w:jc w:val="center"/>
              <w:rPr>
                <w:color w:val="auto"/>
                <w:szCs w:val="21"/>
                <w:highlight w:val="none"/>
              </w:rPr>
            </w:pPr>
            <w:r>
              <w:rPr>
                <w:rFonts w:hint="eastAsia"/>
                <w:color w:val="auto"/>
                <w:szCs w:val="21"/>
                <w:highlight w:val="none"/>
              </w:rPr>
              <w:t>套</w:t>
            </w: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980"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b/>
                <w:bCs/>
                <w:color w:val="auto"/>
                <w:szCs w:val="21"/>
                <w:highlight w:val="none"/>
              </w:rPr>
            </w:pPr>
            <w:r>
              <w:rPr>
                <w:rFonts w:hint="eastAsia" w:ascii="黑体"/>
                <w:b/>
                <w:bCs/>
                <w:color w:val="auto"/>
                <w:szCs w:val="21"/>
                <w:highlight w:val="none"/>
              </w:rPr>
              <w:t>（二）</w:t>
            </w:r>
          </w:p>
        </w:tc>
        <w:tc>
          <w:tcPr>
            <w:tcW w:w="3004" w:type="dxa"/>
            <w:tcBorders>
              <w:top w:val="single" w:color="auto" w:sz="4" w:space="0"/>
              <w:left w:val="nil"/>
              <w:bottom w:val="single" w:color="auto" w:sz="4" w:space="0"/>
              <w:right w:val="single" w:color="auto" w:sz="4" w:space="0"/>
            </w:tcBorders>
            <w:noWrap w:val="0"/>
            <w:vAlign w:val="center"/>
          </w:tcPr>
          <w:p>
            <w:pPr>
              <w:rPr>
                <w:b/>
                <w:bCs/>
                <w:color w:val="auto"/>
                <w:szCs w:val="21"/>
                <w:highlight w:val="none"/>
              </w:rPr>
            </w:pPr>
            <w:r>
              <w:rPr>
                <w:rFonts w:hint="eastAsia"/>
                <w:b/>
                <w:bCs/>
                <w:color w:val="auto"/>
                <w:szCs w:val="21"/>
                <w:highlight w:val="none"/>
              </w:rPr>
              <w:t>高处作业</w:t>
            </w:r>
          </w:p>
        </w:tc>
        <w:tc>
          <w:tcPr>
            <w:tcW w:w="776" w:type="dxa"/>
            <w:tcBorders>
              <w:top w:val="single" w:color="auto" w:sz="4" w:space="0"/>
              <w:left w:val="nil"/>
              <w:bottom w:val="single" w:color="auto" w:sz="4" w:space="0"/>
              <w:right w:val="single" w:color="auto" w:sz="4" w:space="0"/>
            </w:tcBorders>
            <w:noWrap w:val="0"/>
            <w:vAlign w:val="center"/>
          </w:tcPr>
          <w:p>
            <w:pPr>
              <w:jc w:val="center"/>
              <w:rPr>
                <w:rFonts w:ascii="黑体" w:eastAsia="黑体"/>
                <w:b/>
                <w:bCs/>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rFonts w:ascii="黑体" w:eastAsia="黑体"/>
                <w:b/>
                <w:bCs/>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rFonts w:ascii="黑体" w:eastAsia="黑体"/>
                <w:b/>
                <w:bCs/>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rFonts w:ascii="黑体" w:eastAsia="黑体"/>
                <w:b/>
                <w:bCs/>
                <w:color w:val="auto"/>
                <w:szCs w:val="21"/>
                <w:highlight w:val="none"/>
              </w:rPr>
            </w:pPr>
          </w:p>
        </w:tc>
        <w:tc>
          <w:tcPr>
            <w:tcW w:w="1980" w:type="dxa"/>
            <w:tcBorders>
              <w:top w:val="single" w:color="auto" w:sz="4" w:space="0"/>
              <w:left w:val="nil"/>
              <w:bottom w:val="single" w:color="auto" w:sz="4" w:space="0"/>
              <w:right w:val="single" w:color="auto" w:sz="4" w:space="0"/>
            </w:tcBorders>
            <w:noWrap w:val="0"/>
            <w:vAlign w:val="center"/>
          </w:tcPr>
          <w:p>
            <w:pPr>
              <w:rPr>
                <w:rFonts w:ascii="黑体" w:eastAsia="黑体"/>
                <w:b/>
                <w:bCs/>
                <w:color w:val="auto"/>
                <w:szCs w:val="21"/>
                <w:highlight w:val="none"/>
              </w:rPr>
            </w:pP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Cs w:val="21"/>
                <w:highlight w:val="none"/>
              </w:rPr>
            </w:pPr>
            <w:r>
              <w:rPr>
                <w:color w:val="auto"/>
                <w:szCs w:val="21"/>
                <w:highlight w:val="none"/>
              </w:rPr>
              <w:t>1</w:t>
            </w:r>
          </w:p>
        </w:tc>
        <w:tc>
          <w:tcPr>
            <w:tcW w:w="3004"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r>
              <w:rPr>
                <w:rFonts w:hint="eastAsia"/>
                <w:color w:val="auto"/>
                <w:szCs w:val="21"/>
                <w:highlight w:val="none"/>
              </w:rPr>
              <w:t>洞口水平隔离防护</w:t>
            </w:r>
          </w:p>
        </w:tc>
        <w:tc>
          <w:tcPr>
            <w:tcW w:w="776" w:type="dxa"/>
            <w:tcBorders>
              <w:top w:val="single" w:color="auto" w:sz="4" w:space="0"/>
              <w:left w:val="nil"/>
              <w:bottom w:val="single" w:color="auto" w:sz="4" w:space="0"/>
              <w:right w:val="single" w:color="auto" w:sz="4" w:space="0"/>
            </w:tcBorders>
            <w:noWrap w:val="0"/>
            <w:vAlign w:val="center"/>
          </w:tcPr>
          <w:p>
            <w:pPr>
              <w:jc w:val="center"/>
              <w:rPr>
                <w:color w:val="auto"/>
                <w:szCs w:val="21"/>
                <w:highlight w:val="none"/>
              </w:rPr>
            </w:pPr>
            <w:r>
              <w:rPr>
                <w:color w:val="auto"/>
                <w:szCs w:val="21"/>
                <w:highlight w:val="none"/>
              </w:rPr>
              <w:t>m</w:t>
            </w:r>
            <w:r>
              <w:rPr>
                <w:color w:val="auto"/>
                <w:szCs w:val="21"/>
                <w:highlight w:val="none"/>
                <w:vertAlign w:val="superscript"/>
              </w:rPr>
              <w:t>2</w:t>
            </w: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980"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r>
              <w:rPr>
                <w:rFonts w:hint="eastAsia"/>
                <w:color w:val="auto"/>
                <w:szCs w:val="21"/>
                <w:highlight w:val="none"/>
              </w:rPr>
              <w:t>按洞口水平面积</w:t>
            </w: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Cs w:val="21"/>
                <w:highlight w:val="none"/>
              </w:rPr>
            </w:pPr>
            <w:r>
              <w:rPr>
                <w:color w:val="auto"/>
                <w:szCs w:val="21"/>
                <w:highlight w:val="none"/>
              </w:rPr>
              <w:t>2</w:t>
            </w:r>
          </w:p>
        </w:tc>
        <w:tc>
          <w:tcPr>
            <w:tcW w:w="3004"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r>
              <w:rPr>
                <w:rFonts w:hint="eastAsia"/>
                <w:color w:val="auto"/>
                <w:szCs w:val="21"/>
                <w:highlight w:val="none"/>
              </w:rPr>
              <w:t>高压线安全措施</w:t>
            </w:r>
          </w:p>
        </w:tc>
        <w:tc>
          <w:tcPr>
            <w:tcW w:w="776" w:type="dxa"/>
            <w:tcBorders>
              <w:top w:val="single" w:color="auto" w:sz="4" w:space="0"/>
              <w:left w:val="nil"/>
              <w:bottom w:val="single" w:color="auto" w:sz="4" w:space="0"/>
              <w:right w:val="single" w:color="auto" w:sz="4" w:space="0"/>
            </w:tcBorders>
            <w:noWrap w:val="0"/>
            <w:vAlign w:val="center"/>
          </w:tcPr>
          <w:p>
            <w:pPr>
              <w:jc w:val="center"/>
              <w:rPr>
                <w:color w:val="auto"/>
                <w:szCs w:val="21"/>
                <w:highlight w:val="none"/>
              </w:rPr>
            </w:pPr>
            <w:r>
              <w:rPr>
                <w:rFonts w:hint="eastAsia"/>
                <w:color w:val="auto"/>
                <w:szCs w:val="21"/>
                <w:highlight w:val="none"/>
              </w:rPr>
              <w:t>元</w:t>
            </w: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980"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Cs w:val="21"/>
                <w:highlight w:val="none"/>
              </w:rPr>
            </w:pPr>
            <w:r>
              <w:rPr>
                <w:color w:val="auto"/>
                <w:szCs w:val="21"/>
                <w:highlight w:val="none"/>
              </w:rPr>
              <w:t>3</w:t>
            </w:r>
          </w:p>
        </w:tc>
        <w:tc>
          <w:tcPr>
            <w:tcW w:w="3004"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r>
              <w:rPr>
                <w:rFonts w:hint="eastAsia"/>
                <w:color w:val="auto"/>
                <w:szCs w:val="21"/>
                <w:highlight w:val="none"/>
              </w:rPr>
              <w:t>起重设备防护措施</w:t>
            </w:r>
          </w:p>
        </w:tc>
        <w:tc>
          <w:tcPr>
            <w:tcW w:w="776" w:type="dxa"/>
            <w:tcBorders>
              <w:top w:val="single" w:color="auto" w:sz="4" w:space="0"/>
              <w:left w:val="nil"/>
              <w:bottom w:val="single" w:color="auto" w:sz="4" w:space="0"/>
              <w:right w:val="single" w:color="auto" w:sz="4" w:space="0"/>
            </w:tcBorders>
            <w:noWrap w:val="0"/>
            <w:vAlign w:val="center"/>
          </w:tcPr>
          <w:p>
            <w:pPr>
              <w:jc w:val="center"/>
              <w:rPr>
                <w:color w:val="auto"/>
                <w:szCs w:val="21"/>
                <w:highlight w:val="none"/>
              </w:rPr>
            </w:pPr>
            <w:r>
              <w:rPr>
                <w:rFonts w:hint="eastAsia"/>
                <w:color w:val="auto"/>
                <w:szCs w:val="21"/>
                <w:highlight w:val="none"/>
              </w:rPr>
              <w:t>元</w:t>
            </w: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980"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Cs w:val="21"/>
                <w:highlight w:val="none"/>
              </w:rPr>
            </w:pPr>
            <w:r>
              <w:rPr>
                <w:color w:val="auto"/>
                <w:szCs w:val="21"/>
                <w:highlight w:val="none"/>
              </w:rPr>
              <w:t>4</w:t>
            </w:r>
          </w:p>
        </w:tc>
        <w:tc>
          <w:tcPr>
            <w:tcW w:w="3004"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r>
              <w:rPr>
                <w:rFonts w:hint="eastAsia"/>
                <w:color w:val="auto"/>
                <w:szCs w:val="21"/>
                <w:highlight w:val="none"/>
              </w:rPr>
              <w:t>楼层呼唤器</w:t>
            </w:r>
          </w:p>
        </w:tc>
        <w:tc>
          <w:tcPr>
            <w:tcW w:w="776" w:type="dxa"/>
            <w:tcBorders>
              <w:top w:val="single" w:color="auto" w:sz="4" w:space="0"/>
              <w:left w:val="nil"/>
              <w:bottom w:val="single" w:color="auto" w:sz="4" w:space="0"/>
              <w:right w:val="single" w:color="auto" w:sz="4" w:space="0"/>
            </w:tcBorders>
            <w:noWrap w:val="0"/>
            <w:vAlign w:val="center"/>
          </w:tcPr>
          <w:p>
            <w:pPr>
              <w:jc w:val="center"/>
              <w:rPr>
                <w:color w:val="auto"/>
                <w:szCs w:val="21"/>
                <w:highlight w:val="none"/>
              </w:rPr>
            </w:pPr>
            <w:r>
              <w:rPr>
                <w:rFonts w:hint="eastAsia"/>
                <w:color w:val="auto"/>
                <w:szCs w:val="21"/>
                <w:highlight w:val="none"/>
              </w:rPr>
              <w:t>套</w:t>
            </w: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980"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Cs w:val="21"/>
                <w:highlight w:val="none"/>
              </w:rPr>
            </w:pPr>
            <w:r>
              <w:rPr>
                <w:color w:val="auto"/>
                <w:szCs w:val="21"/>
                <w:highlight w:val="none"/>
              </w:rPr>
              <w:t>5</w:t>
            </w:r>
          </w:p>
        </w:tc>
        <w:tc>
          <w:tcPr>
            <w:tcW w:w="3004"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r>
              <w:rPr>
                <w:rFonts w:hint="eastAsia"/>
                <w:color w:val="auto"/>
                <w:szCs w:val="21"/>
                <w:highlight w:val="none"/>
              </w:rPr>
              <w:t>其他高处作业安全防护</w:t>
            </w:r>
          </w:p>
        </w:tc>
        <w:tc>
          <w:tcPr>
            <w:tcW w:w="776" w:type="dxa"/>
            <w:tcBorders>
              <w:top w:val="single" w:color="auto" w:sz="4" w:space="0"/>
              <w:left w:val="nil"/>
              <w:bottom w:val="single" w:color="auto" w:sz="4" w:space="0"/>
              <w:right w:val="single" w:color="auto" w:sz="4" w:space="0"/>
            </w:tcBorders>
            <w:noWrap w:val="0"/>
            <w:vAlign w:val="center"/>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980"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noWrap w:val="0"/>
            <w:vAlign w:val="center"/>
          </w:tcPr>
          <w:p>
            <w:pPr>
              <w:jc w:val="center"/>
              <w:rPr>
                <w:b/>
                <w:bCs/>
                <w:color w:val="auto"/>
                <w:szCs w:val="21"/>
                <w:highlight w:val="none"/>
              </w:rPr>
            </w:pPr>
            <w:r>
              <w:rPr>
                <w:rFonts w:hint="eastAsia"/>
                <w:b/>
                <w:bCs/>
                <w:color w:val="auto"/>
                <w:szCs w:val="21"/>
                <w:highlight w:val="none"/>
              </w:rPr>
              <w:t>（三）</w:t>
            </w:r>
          </w:p>
        </w:tc>
        <w:tc>
          <w:tcPr>
            <w:tcW w:w="3004" w:type="dxa"/>
            <w:tcBorders>
              <w:top w:val="single" w:color="auto" w:sz="4" w:space="0"/>
              <w:left w:val="nil"/>
              <w:bottom w:val="single" w:color="auto" w:sz="4" w:space="0"/>
              <w:right w:val="single" w:color="auto" w:sz="4" w:space="0"/>
            </w:tcBorders>
            <w:noWrap w:val="0"/>
            <w:vAlign w:val="center"/>
          </w:tcPr>
          <w:p>
            <w:pPr>
              <w:rPr>
                <w:b/>
                <w:bCs/>
                <w:color w:val="auto"/>
                <w:szCs w:val="21"/>
                <w:highlight w:val="none"/>
              </w:rPr>
            </w:pPr>
            <w:r>
              <w:rPr>
                <w:rFonts w:hint="eastAsia"/>
                <w:b/>
                <w:bCs/>
                <w:color w:val="auto"/>
                <w:szCs w:val="21"/>
                <w:highlight w:val="none"/>
              </w:rPr>
              <w:t>深基坑（槽）</w:t>
            </w:r>
          </w:p>
        </w:tc>
        <w:tc>
          <w:tcPr>
            <w:tcW w:w="776" w:type="dxa"/>
            <w:tcBorders>
              <w:top w:val="single" w:color="auto" w:sz="4" w:space="0"/>
              <w:left w:val="nil"/>
              <w:bottom w:val="single" w:color="auto" w:sz="4" w:space="0"/>
              <w:right w:val="single" w:color="auto" w:sz="4" w:space="0"/>
            </w:tcBorders>
            <w:noWrap w:val="0"/>
            <w:vAlign w:val="center"/>
          </w:tcPr>
          <w:p>
            <w:pPr>
              <w:jc w:val="center"/>
              <w:rPr>
                <w:rFonts w:ascii="黑体" w:eastAsia="黑体"/>
                <w:b/>
                <w:bCs/>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rFonts w:ascii="黑体" w:eastAsia="黑体"/>
                <w:b/>
                <w:bCs/>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rFonts w:ascii="黑体" w:eastAsia="黑体"/>
                <w:b/>
                <w:bCs/>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rFonts w:ascii="黑体" w:eastAsia="黑体"/>
                <w:b/>
                <w:bCs/>
                <w:color w:val="auto"/>
                <w:szCs w:val="21"/>
                <w:highlight w:val="none"/>
              </w:rPr>
            </w:pPr>
          </w:p>
        </w:tc>
        <w:tc>
          <w:tcPr>
            <w:tcW w:w="1980" w:type="dxa"/>
            <w:tcBorders>
              <w:top w:val="single" w:color="auto" w:sz="4" w:space="0"/>
              <w:left w:val="nil"/>
              <w:bottom w:val="single" w:color="auto" w:sz="4" w:space="0"/>
              <w:right w:val="single" w:color="auto" w:sz="4" w:space="0"/>
            </w:tcBorders>
            <w:noWrap w:val="0"/>
            <w:vAlign w:val="center"/>
          </w:tcPr>
          <w:p>
            <w:pPr>
              <w:rPr>
                <w:rFonts w:ascii="黑体" w:eastAsia="黑体"/>
                <w:b/>
                <w:bCs/>
                <w:color w:val="auto"/>
                <w:szCs w:val="21"/>
                <w:highlight w:val="none"/>
              </w:rPr>
            </w:pP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Cs w:val="21"/>
                <w:highlight w:val="none"/>
              </w:rPr>
            </w:pPr>
            <w:r>
              <w:rPr>
                <w:color w:val="auto"/>
                <w:szCs w:val="21"/>
                <w:highlight w:val="none"/>
              </w:rPr>
              <w:t>1</w:t>
            </w:r>
          </w:p>
        </w:tc>
        <w:tc>
          <w:tcPr>
            <w:tcW w:w="3004"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r>
              <w:rPr>
                <w:rFonts w:hint="eastAsia"/>
                <w:color w:val="auto"/>
                <w:szCs w:val="21"/>
                <w:highlight w:val="none"/>
              </w:rPr>
              <w:t>上下专用通道</w:t>
            </w:r>
          </w:p>
        </w:tc>
        <w:tc>
          <w:tcPr>
            <w:tcW w:w="776" w:type="dxa"/>
            <w:tcBorders>
              <w:top w:val="single" w:color="auto" w:sz="4" w:space="0"/>
              <w:left w:val="nil"/>
              <w:bottom w:val="single" w:color="auto" w:sz="4" w:space="0"/>
              <w:right w:val="single" w:color="auto" w:sz="4" w:space="0"/>
            </w:tcBorders>
            <w:noWrap w:val="0"/>
            <w:vAlign w:val="center"/>
          </w:tcPr>
          <w:p>
            <w:pPr>
              <w:jc w:val="center"/>
              <w:rPr>
                <w:color w:val="auto"/>
                <w:szCs w:val="21"/>
                <w:highlight w:val="none"/>
              </w:rPr>
            </w:pPr>
            <w:r>
              <w:rPr>
                <w:color w:val="auto"/>
                <w:szCs w:val="21"/>
                <w:highlight w:val="none"/>
              </w:rPr>
              <w:t>m</w:t>
            </w:r>
            <w:r>
              <w:rPr>
                <w:color w:val="auto"/>
                <w:szCs w:val="21"/>
                <w:highlight w:val="none"/>
                <w:vertAlign w:val="superscript"/>
              </w:rPr>
              <w:t>2</w:t>
            </w: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980"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r>
              <w:rPr>
                <w:rFonts w:hint="eastAsia"/>
                <w:color w:val="auto"/>
                <w:szCs w:val="21"/>
                <w:highlight w:val="none"/>
              </w:rPr>
              <w:t>含安全爬梯</w:t>
            </w: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Cs w:val="21"/>
                <w:highlight w:val="none"/>
              </w:rPr>
            </w:pPr>
            <w:r>
              <w:rPr>
                <w:color w:val="auto"/>
                <w:szCs w:val="21"/>
                <w:highlight w:val="none"/>
              </w:rPr>
              <w:t>2</w:t>
            </w:r>
          </w:p>
        </w:tc>
        <w:tc>
          <w:tcPr>
            <w:tcW w:w="3004"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r>
              <w:rPr>
                <w:rFonts w:hint="eastAsia"/>
                <w:color w:val="auto"/>
                <w:szCs w:val="21"/>
                <w:highlight w:val="none"/>
              </w:rPr>
              <w:t>基坑支护变形监测</w:t>
            </w:r>
          </w:p>
        </w:tc>
        <w:tc>
          <w:tcPr>
            <w:tcW w:w="776" w:type="dxa"/>
            <w:tcBorders>
              <w:top w:val="single" w:color="auto" w:sz="4" w:space="0"/>
              <w:left w:val="nil"/>
              <w:bottom w:val="single" w:color="auto" w:sz="4" w:space="0"/>
              <w:right w:val="single" w:color="auto" w:sz="4" w:space="0"/>
            </w:tcBorders>
            <w:noWrap w:val="0"/>
            <w:vAlign w:val="center"/>
          </w:tcPr>
          <w:p>
            <w:pPr>
              <w:jc w:val="center"/>
              <w:rPr>
                <w:color w:val="auto"/>
                <w:szCs w:val="21"/>
                <w:highlight w:val="none"/>
              </w:rPr>
            </w:pPr>
            <w:r>
              <w:rPr>
                <w:rFonts w:hint="eastAsia"/>
                <w:color w:val="auto"/>
                <w:szCs w:val="21"/>
                <w:highlight w:val="none"/>
              </w:rPr>
              <w:t>元</w:t>
            </w: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980"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Cs w:val="21"/>
                <w:highlight w:val="none"/>
              </w:rPr>
            </w:pPr>
            <w:r>
              <w:rPr>
                <w:color w:val="auto"/>
                <w:szCs w:val="21"/>
                <w:highlight w:val="none"/>
              </w:rPr>
              <w:t>3</w:t>
            </w:r>
          </w:p>
        </w:tc>
        <w:tc>
          <w:tcPr>
            <w:tcW w:w="3004"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r>
              <w:rPr>
                <w:rFonts w:hint="eastAsia"/>
                <w:color w:val="auto"/>
                <w:szCs w:val="21"/>
                <w:highlight w:val="none"/>
              </w:rPr>
              <w:t>其他深基坑安全防护</w:t>
            </w:r>
          </w:p>
        </w:tc>
        <w:tc>
          <w:tcPr>
            <w:tcW w:w="776" w:type="dxa"/>
            <w:tcBorders>
              <w:top w:val="single" w:color="auto" w:sz="4" w:space="0"/>
              <w:left w:val="nil"/>
              <w:bottom w:val="single" w:color="auto" w:sz="4" w:space="0"/>
              <w:right w:val="single" w:color="auto" w:sz="4" w:space="0"/>
            </w:tcBorders>
            <w:noWrap w:val="0"/>
            <w:vAlign w:val="center"/>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980"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noWrap w:val="0"/>
            <w:vAlign w:val="center"/>
          </w:tcPr>
          <w:p>
            <w:pPr>
              <w:jc w:val="center"/>
              <w:rPr>
                <w:b/>
                <w:bCs/>
                <w:color w:val="auto"/>
                <w:szCs w:val="21"/>
                <w:highlight w:val="none"/>
              </w:rPr>
            </w:pPr>
            <w:r>
              <w:rPr>
                <w:rFonts w:hint="eastAsia"/>
                <w:b/>
                <w:bCs/>
                <w:color w:val="auto"/>
                <w:szCs w:val="21"/>
                <w:highlight w:val="none"/>
              </w:rPr>
              <w:t>（四）</w:t>
            </w:r>
          </w:p>
        </w:tc>
        <w:tc>
          <w:tcPr>
            <w:tcW w:w="3004" w:type="dxa"/>
            <w:tcBorders>
              <w:top w:val="single" w:color="auto" w:sz="4" w:space="0"/>
              <w:left w:val="nil"/>
              <w:bottom w:val="single" w:color="auto" w:sz="4" w:space="0"/>
              <w:right w:val="single" w:color="auto" w:sz="4" w:space="0"/>
            </w:tcBorders>
            <w:noWrap w:val="0"/>
            <w:vAlign w:val="center"/>
          </w:tcPr>
          <w:p>
            <w:pPr>
              <w:rPr>
                <w:b/>
                <w:bCs/>
                <w:color w:val="auto"/>
                <w:szCs w:val="21"/>
                <w:highlight w:val="none"/>
              </w:rPr>
            </w:pPr>
            <w:r>
              <w:rPr>
                <w:rFonts w:hint="eastAsia"/>
                <w:b/>
                <w:bCs/>
                <w:color w:val="auto"/>
                <w:szCs w:val="21"/>
                <w:highlight w:val="none"/>
              </w:rPr>
              <w:t>脚手架</w:t>
            </w:r>
          </w:p>
        </w:tc>
        <w:tc>
          <w:tcPr>
            <w:tcW w:w="776" w:type="dxa"/>
            <w:tcBorders>
              <w:top w:val="single" w:color="auto" w:sz="4" w:space="0"/>
              <w:left w:val="nil"/>
              <w:bottom w:val="single" w:color="auto" w:sz="4" w:space="0"/>
              <w:right w:val="single" w:color="auto" w:sz="4" w:space="0"/>
            </w:tcBorders>
            <w:noWrap w:val="0"/>
            <w:vAlign w:val="center"/>
          </w:tcPr>
          <w:p>
            <w:pPr>
              <w:jc w:val="center"/>
              <w:rPr>
                <w:rFonts w:ascii="黑体" w:eastAsia="黑体"/>
                <w:b/>
                <w:bCs/>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rFonts w:ascii="黑体" w:eastAsia="黑体"/>
                <w:b/>
                <w:bCs/>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rFonts w:ascii="黑体" w:eastAsia="黑体"/>
                <w:b/>
                <w:bCs/>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rFonts w:ascii="黑体" w:eastAsia="黑体"/>
                <w:b/>
                <w:bCs/>
                <w:color w:val="auto"/>
                <w:szCs w:val="21"/>
                <w:highlight w:val="none"/>
              </w:rPr>
            </w:pPr>
          </w:p>
        </w:tc>
        <w:tc>
          <w:tcPr>
            <w:tcW w:w="1980" w:type="dxa"/>
            <w:tcBorders>
              <w:top w:val="single" w:color="auto" w:sz="4" w:space="0"/>
              <w:left w:val="nil"/>
              <w:bottom w:val="single" w:color="auto" w:sz="4" w:space="0"/>
              <w:right w:val="single" w:color="auto" w:sz="4" w:space="0"/>
            </w:tcBorders>
            <w:noWrap w:val="0"/>
            <w:vAlign w:val="center"/>
          </w:tcPr>
          <w:p>
            <w:pPr>
              <w:rPr>
                <w:rFonts w:ascii="黑体" w:eastAsia="黑体"/>
                <w:b/>
                <w:bCs/>
                <w:color w:val="auto"/>
                <w:szCs w:val="21"/>
                <w:highlight w:val="none"/>
              </w:rPr>
            </w:pP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Cs w:val="21"/>
                <w:highlight w:val="none"/>
              </w:rPr>
            </w:pPr>
            <w:r>
              <w:rPr>
                <w:color w:val="auto"/>
                <w:szCs w:val="21"/>
                <w:highlight w:val="none"/>
              </w:rPr>
              <w:t>1</w:t>
            </w:r>
          </w:p>
        </w:tc>
        <w:tc>
          <w:tcPr>
            <w:tcW w:w="3004"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r>
              <w:rPr>
                <w:rFonts w:hint="eastAsia"/>
                <w:color w:val="auto"/>
                <w:szCs w:val="21"/>
                <w:highlight w:val="none"/>
              </w:rPr>
              <w:t>水平隔离封闭设施</w:t>
            </w:r>
          </w:p>
        </w:tc>
        <w:tc>
          <w:tcPr>
            <w:tcW w:w="776" w:type="dxa"/>
            <w:tcBorders>
              <w:top w:val="single" w:color="auto" w:sz="4" w:space="0"/>
              <w:left w:val="nil"/>
              <w:bottom w:val="single" w:color="auto" w:sz="4" w:space="0"/>
              <w:right w:val="single" w:color="auto" w:sz="4" w:space="0"/>
            </w:tcBorders>
            <w:noWrap w:val="0"/>
            <w:vAlign w:val="center"/>
          </w:tcPr>
          <w:p>
            <w:pPr>
              <w:jc w:val="center"/>
              <w:rPr>
                <w:color w:val="auto"/>
                <w:szCs w:val="21"/>
                <w:highlight w:val="none"/>
              </w:rPr>
            </w:pPr>
            <w:r>
              <w:rPr>
                <w:color w:val="auto"/>
                <w:szCs w:val="21"/>
                <w:highlight w:val="none"/>
              </w:rPr>
              <w:t>m</w:t>
            </w: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980"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Cs w:val="21"/>
                <w:highlight w:val="none"/>
              </w:rPr>
            </w:pPr>
            <w:r>
              <w:rPr>
                <w:color w:val="auto"/>
                <w:szCs w:val="21"/>
                <w:highlight w:val="none"/>
              </w:rPr>
              <w:t>2</w:t>
            </w:r>
          </w:p>
        </w:tc>
        <w:tc>
          <w:tcPr>
            <w:tcW w:w="3004"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r>
              <w:rPr>
                <w:rFonts w:hint="eastAsia"/>
                <w:color w:val="auto"/>
                <w:szCs w:val="21"/>
                <w:highlight w:val="none"/>
              </w:rPr>
              <w:t>其他脚手架安全防护</w:t>
            </w:r>
          </w:p>
        </w:tc>
        <w:tc>
          <w:tcPr>
            <w:tcW w:w="776" w:type="dxa"/>
            <w:tcBorders>
              <w:top w:val="single" w:color="auto" w:sz="4" w:space="0"/>
              <w:left w:val="nil"/>
              <w:bottom w:val="single" w:color="auto" w:sz="4" w:space="0"/>
              <w:right w:val="single" w:color="auto" w:sz="4" w:space="0"/>
            </w:tcBorders>
            <w:noWrap w:val="0"/>
            <w:vAlign w:val="center"/>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ind w:left="-288" w:leftChars="-137"/>
              <w:jc w:val="center"/>
              <w:rPr>
                <w:color w:val="auto"/>
                <w:szCs w:val="21"/>
                <w:highlight w:val="none"/>
              </w:rPr>
            </w:pPr>
          </w:p>
        </w:tc>
        <w:tc>
          <w:tcPr>
            <w:tcW w:w="1980"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noWrap w:val="0"/>
            <w:vAlign w:val="center"/>
          </w:tcPr>
          <w:p>
            <w:pPr>
              <w:jc w:val="center"/>
              <w:rPr>
                <w:b/>
                <w:bCs/>
                <w:color w:val="auto"/>
                <w:szCs w:val="21"/>
                <w:highlight w:val="none"/>
              </w:rPr>
            </w:pPr>
            <w:r>
              <w:rPr>
                <w:rFonts w:hint="eastAsia"/>
                <w:b/>
                <w:bCs/>
                <w:color w:val="auto"/>
                <w:szCs w:val="21"/>
                <w:highlight w:val="none"/>
              </w:rPr>
              <w:t>（五）</w:t>
            </w:r>
          </w:p>
        </w:tc>
        <w:tc>
          <w:tcPr>
            <w:tcW w:w="3004" w:type="dxa"/>
            <w:tcBorders>
              <w:top w:val="single" w:color="auto" w:sz="4" w:space="0"/>
              <w:left w:val="nil"/>
              <w:bottom w:val="single" w:color="auto" w:sz="4" w:space="0"/>
              <w:right w:val="single" w:color="auto" w:sz="4" w:space="0"/>
            </w:tcBorders>
            <w:noWrap w:val="0"/>
            <w:vAlign w:val="center"/>
          </w:tcPr>
          <w:p>
            <w:pPr>
              <w:rPr>
                <w:b/>
                <w:bCs/>
                <w:color w:val="auto"/>
                <w:szCs w:val="21"/>
                <w:highlight w:val="none"/>
              </w:rPr>
            </w:pPr>
            <w:r>
              <w:rPr>
                <w:rFonts w:hint="eastAsia"/>
                <w:b/>
                <w:bCs/>
                <w:color w:val="auto"/>
                <w:szCs w:val="21"/>
                <w:highlight w:val="none"/>
              </w:rPr>
              <w:t>井架</w:t>
            </w:r>
          </w:p>
        </w:tc>
        <w:tc>
          <w:tcPr>
            <w:tcW w:w="776" w:type="dxa"/>
            <w:tcBorders>
              <w:top w:val="single" w:color="auto" w:sz="4" w:space="0"/>
              <w:left w:val="nil"/>
              <w:bottom w:val="single" w:color="auto" w:sz="4" w:space="0"/>
              <w:right w:val="single" w:color="auto" w:sz="4" w:space="0"/>
            </w:tcBorders>
            <w:noWrap w:val="0"/>
            <w:vAlign w:val="center"/>
          </w:tcPr>
          <w:p>
            <w:pPr>
              <w:jc w:val="center"/>
              <w:rPr>
                <w:rFonts w:ascii="黑体" w:eastAsia="黑体"/>
                <w:b/>
                <w:bCs/>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rFonts w:ascii="黑体" w:eastAsia="黑体"/>
                <w:b/>
                <w:bCs/>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rFonts w:ascii="黑体" w:eastAsia="黑体"/>
                <w:b/>
                <w:bCs/>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rFonts w:ascii="黑体" w:eastAsia="黑体"/>
                <w:b/>
                <w:bCs/>
                <w:color w:val="auto"/>
                <w:szCs w:val="21"/>
                <w:highlight w:val="none"/>
              </w:rPr>
            </w:pPr>
          </w:p>
        </w:tc>
        <w:tc>
          <w:tcPr>
            <w:tcW w:w="1980" w:type="dxa"/>
            <w:tcBorders>
              <w:top w:val="single" w:color="auto" w:sz="4" w:space="0"/>
              <w:left w:val="nil"/>
              <w:bottom w:val="single" w:color="auto" w:sz="4" w:space="0"/>
              <w:right w:val="single" w:color="auto" w:sz="4" w:space="0"/>
            </w:tcBorders>
            <w:noWrap w:val="0"/>
            <w:vAlign w:val="center"/>
          </w:tcPr>
          <w:p>
            <w:pPr>
              <w:rPr>
                <w:rFonts w:ascii="黑体" w:eastAsia="黑体"/>
                <w:b/>
                <w:bCs/>
                <w:color w:val="auto"/>
                <w:szCs w:val="21"/>
                <w:highlight w:val="none"/>
              </w:rPr>
            </w:pP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Cs w:val="21"/>
                <w:highlight w:val="none"/>
              </w:rPr>
            </w:pPr>
            <w:r>
              <w:rPr>
                <w:color w:val="auto"/>
                <w:szCs w:val="21"/>
                <w:highlight w:val="none"/>
              </w:rPr>
              <w:t>1</w:t>
            </w:r>
          </w:p>
        </w:tc>
        <w:tc>
          <w:tcPr>
            <w:tcW w:w="3004"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r>
              <w:rPr>
                <w:rFonts w:hint="eastAsia"/>
                <w:color w:val="auto"/>
                <w:szCs w:val="21"/>
                <w:highlight w:val="none"/>
              </w:rPr>
              <w:t>架体围护</w:t>
            </w:r>
          </w:p>
        </w:tc>
        <w:tc>
          <w:tcPr>
            <w:tcW w:w="776" w:type="dxa"/>
            <w:tcBorders>
              <w:top w:val="single" w:color="auto" w:sz="4" w:space="0"/>
              <w:left w:val="nil"/>
              <w:bottom w:val="single" w:color="auto" w:sz="4" w:space="0"/>
              <w:right w:val="single" w:color="auto" w:sz="4" w:space="0"/>
            </w:tcBorders>
            <w:noWrap w:val="0"/>
            <w:vAlign w:val="center"/>
          </w:tcPr>
          <w:p>
            <w:pPr>
              <w:jc w:val="center"/>
              <w:rPr>
                <w:color w:val="auto"/>
                <w:szCs w:val="21"/>
                <w:highlight w:val="none"/>
              </w:rPr>
            </w:pPr>
            <w:r>
              <w:rPr>
                <w:color w:val="auto"/>
                <w:szCs w:val="21"/>
                <w:highlight w:val="none"/>
              </w:rPr>
              <w:t>m</w:t>
            </w:r>
            <w:r>
              <w:rPr>
                <w:color w:val="auto"/>
                <w:szCs w:val="21"/>
                <w:highlight w:val="none"/>
                <w:vertAlign w:val="superscript"/>
              </w:rPr>
              <w:t>2</w:t>
            </w: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980"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Cs w:val="21"/>
                <w:highlight w:val="none"/>
              </w:rPr>
            </w:pPr>
            <w:r>
              <w:rPr>
                <w:color w:val="auto"/>
                <w:szCs w:val="21"/>
                <w:highlight w:val="none"/>
              </w:rPr>
              <w:t>2</w:t>
            </w:r>
          </w:p>
        </w:tc>
        <w:tc>
          <w:tcPr>
            <w:tcW w:w="3004"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r>
              <w:rPr>
                <w:rFonts w:hint="eastAsia"/>
                <w:color w:val="auto"/>
                <w:szCs w:val="21"/>
                <w:highlight w:val="none"/>
              </w:rPr>
              <w:t>货用升降机操作室</w:t>
            </w:r>
          </w:p>
        </w:tc>
        <w:tc>
          <w:tcPr>
            <w:tcW w:w="776" w:type="dxa"/>
            <w:tcBorders>
              <w:top w:val="single" w:color="auto" w:sz="4" w:space="0"/>
              <w:left w:val="nil"/>
              <w:bottom w:val="single" w:color="auto" w:sz="4" w:space="0"/>
              <w:right w:val="single" w:color="auto" w:sz="4" w:space="0"/>
            </w:tcBorders>
            <w:noWrap w:val="0"/>
            <w:vAlign w:val="center"/>
          </w:tcPr>
          <w:p>
            <w:pPr>
              <w:jc w:val="center"/>
              <w:rPr>
                <w:color w:val="auto"/>
                <w:szCs w:val="21"/>
                <w:highlight w:val="none"/>
              </w:rPr>
            </w:pPr>
            <w:r>
              <w:rPr>
                <w:color w:val="auto"/>
                <w:szCs w:val="21"/>
                <w:highlight w:val="none"/>
              </w:rPr>
              <w:t>m</w:t>
            </w:r>
            <w:r>
              <w:rPr>
                <w:color w:val="auto"/>
                <w:szCs w:val="21"/>
                <w:highlight w:val="none"/>
                <w:vertAlign w:val="superscript"/>
              </w:rPr>
              <w:t>2</w:t>
            </w: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980"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Cs w:val="21"/>
                <w:highlight w:val="none"/>
              </w:rPr>
            </w:pPr>
            <w:r>
              <w:rPr>
                <w:color w:val="auto"/>
                <w:szCs w:val="21"/>
                <w:highlight w:val="none"/>
              </w:rPr>
              <w:t>3</w:t>
            </w:r>
          </w:p>
        </w:tc>
        <w:tc>
          <w:tcPr>
            <w:tcW w:w="3004"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r>
              <w:rPr>
                <w:rFonts w:hint="eastAsia"/>
                <w:color w:val="auto"/>
                <w:szCs w:val="21"/>
                <w:highlight w:val="none"/>
              </w:rPr>
              <w:t>其他井架防护</w:t>
            </w:r>
          </w:p>
        </w:tc>
        <w:tc>
          <w:tcPr>
            <w:tcW w:w="776" w:type="dxa"/>
            <w:tcBorders>
              <w:top w:val="single" w:color="auto" w:sz="4" w:space="0"/>
              <w:left w:val="nil"/>
              <w:bottom w:val="single" w:color="auto" w:sz="4" w:space="0"/>
              <w:right w:val="single" w:color="auto" w:sz="4" w:space="0"/>
            </w:tcBorders>
            <w:noWrap w:val="0"/>
            <w:vAlign w:val="center"/>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980"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noWrap w:val="0"/>
            <w:vAlign w:val="center"/>
          </w:tcPr>
          <w:p>
            <w:pPr>
              <w:jc w:val="center"/>
              <w:rPr>
                <w:b/>
                <w:bCs/>
                <w:color w:val="auto"/>
                <w:szCs w:val="21"/>
                <w:highlight w:val="none"/>
              </w:rPr>
            </w:pPr>
            <w:r>
              <w:rPr>
                <w:rFonts w:hint="eastAsia"/>
                <w:b/>
                <w:bCs/>
                <w:color w:val="auto"/>
                <w:szCs w:val="21"/>
                <w:highlight w:val="none"/>
              </w:rPr>
              <w:t>（六）</w:t>
            </w:r>
          </w:p>
        </w:tc>
        <w:tc>
          <w:tcPr>
            <w:tcW w:w="3004" w:type="dxa"/>
            <w:tcBorders>
              <w:top w:val="single" w:color="auto" w:sz="4" w:space="0"/>
              <w:left w:val="nil"/>
              <w:bottom w:val="single" w:color="auto" w:sz="4" w:space="0"/>
              <w:right w:val="single" w:color="auto" w:sz="4" w:space="0"/>
            </w:tcBorders>
            <w:noWrap w:val="0"/>
            <w:vAlign w:val="center"/>
          </w:tcPr>
          <w:p>
            <w:pPr>
              <w:rPr>
                <w:b/>
                <w:bCs/>
                <w:color w:val="auto"/>
                <w:szCs w:val="21"/>
                <w:highlight w:val="none"/>
              </w:rPr>
            </w:pPr>
            <w:r>
              <w:rPr>
                <w:rFonts w:hint="eastAsia"/>
                <w:b/>
                <w:bCs/>
                <w:color w:val="auto"/>
                <w:szCs w:val="21"/>
                <w:highlight w:val="none"/>
              </w:rPr>
              <w:t>消防器材、设施</w:t>
            </w:r>
          </w:p>
        </w:tc>
        <w:tc>
          <w:tcPr>
            <w:tcW w:w="776" w:type="dxa"/>
            <w:tcBorders>
              <w:top w:val="single" w:color="auto" w:sz="4" w:space="0"/>
              <w:left w:val="nil"/>
              <w:bottom w:val="single" w:color="auto" w:sz="4" w:space="0"/>
              <w:right w:val="single" w:color="auto" w:sz="4" w:space="0"/>
            </w:tcBorders>
            <w:noWrap w:val="0"/>
            <w:vAlign w:val="center"/>
          </w:tcPr>
          <w:p>
            <w:pPr>
              <w:jc w:val="center"/>
              <w:rPr>
                <w:rFonts w:ascii="黑体" w:eastAsia="黑体"/>
                <w:b/>
                <w:bCs/>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rFonts w:ascii="黑体" w:eastAsia="黑体"/>
                <w:b/>
                <w:bCs/>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rFonts w:ascii="黑体" w:eastAsia="黑体"/>
                <w:b/>
                <w:bCs/>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rFonts w:ascii="黑体" w:eastAsia="黑体"/>
                <w:b/>
                <w:bCs/>
                <w:color w:val="auto"/>
                <w:szCs w:val="21"/>
                <w:highlight w:val="none"/>
              </w:rPr>
            </w:pPr>
          </w:p>
        </w:tc>
        <w:tc>
          <w:tcPr>
            <w:tcW w:w="1980" w:type="dxa"/>
            <w:tcBorders>
              <w:top w:val="single" w:color="auto" w:sz="4" w:space="0"/>
              <w:left w:val="nil"/>
              <w:bottom w:val="single" w:color="auto" w:sz="4" w:space="0"/>
              <w:right w:val="single" w:color="auto" w:sz="4" w:space="0"/>
            </w:tcBorders>
            <w:noWrap w:val="0"/>
            <w:vAlign w:val="center"/>
          </w:tcPr>
          <w:p>
            <w:pPr>
              <w:rPr>
                <w:rFonts w:ascii="黑体" w:eastAsia="黑体"/>
                <w:b/>
                <w:bCs/>
                <w:color w:val="auto"/>
                <w:szCs w:val="21"/>
                <w:highlight w:val="none"/>
              </w:rPr>
            </w:pP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Cs w:val="21"/>
                <w:highlight w:val="none"/>
              </w:rPr>
            </w:pPr>
            <w:r>
              <w:rPr>
                <w:color w:val="auto"/>
                <w:szCs w:val="21"/>
                <w:highlight w:val="none"/>
              </w:rPr>
              <w:t>1</w:t>
            </w:r>
          </w:p>
        </w:tc>
        <w:tc>
          <w:tcPr>
            <w:tcW w:w="3004"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r>
              <w:rPr>
                <w:rFonts w:hint="eastAsia"/>
                <w:color w:val="auto"/>
                <w:szCs w:val="21"/>
                <w:highlight w:val="none"/>
              </w:rPr>
              <w:t>灭火器</w:t>
            </w:r>
          </w:p>
        </w:tc>
        <w:tc>
          <w:tcPr>
            <w:tcW w:w="776" w:type="dxa"/>
            <w:tcBorders>
              <w:top w:val="single" w:color="auto" w:sz="4" w:space="0"/>
              <w:left w:val="nil"/>
              <w:bottom w:val="single" w:color="auto" w:sz="4" w:space="0"/>
              <w:right w:val="single" w:color="auto" w:sz="4" w:space="0"/>
            </w:tcBorders>
            <w:noWrap w:val="0"/>
            <w:vAlign w:val="center"/>
          </w:tcPr>
          <w:p>
            <w:pPr>
              <w:jc w:val="center"/>
              <w:rPr>
                <w:color w:val="auto"/>
                <w:szCs w:val="21"/>
                <w:highlight w:val="none"/>
              </w:rPr>
            </w:pPr>
            <w:r>
              <w:rPr>
                <w:rFonts w:hint="eastAsia"/>
                <w:color w:val="auto"/>
                <w:szCs w:val="21"/>
                <w:highlight w:val="none"/>
              </w:rPr>
              <w:t>只</w:t>
            </w: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980"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Cs w:val="21"/>
                <w:highlight w:val="none"/>
              </w:rPr>
            </w:pPr>
            <w:r>
              <w:rPr>
                <w:color w:val="auto"/>
                <w:szCs w:val="21"/>
                <w:highlight w:val="none"/>
              </w:rPr>
              <w:t>2</w:t>
            </w:r>
          </w:p>
        </w:tc>
        <w:tc>
          <w:tcPr>
            <w:tcW w:w="3004"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r>
              <w:rPr>
                <w:rFonts w:hint="eastAsia"/>
                <w:color w:val="auto"/>
                <w:szCs w:val="21"/>
                <w:highlight w:val="none"/>
              </w:rPr>
              <w:t>消防水泵</w:t>
            </w:r>
          </w:p>
        </w:tc>
        <w:tc>
          <w:tcPr>
            <w:tcW w:w="776" w:type="dxa"/>
            <w:tcBorders>
              <w:top w:val="single" w:color="auto" w:sz="4" w:space="0"/>
              <w:left w:val="nil"/>
              <w:bottom w:val="single" w:color="auto" w:sz="4" w:space="0"/>
              <w:right w:val="single" w:color="auto" w:sz="4" w:space="0"/>
            </w:tcBorders>
            <w:noWrap w:val="0"/>
            <w:vAlign w:val="center"/>
          </w:tcPr>
          <w:p>
            <w:pPr>
              <w:jc w:val="center"/>
              <w:rPr>
                <w:color w:val="auto"/>
                <w:szCs w:val="21"/>
                <w:highlight w:val="none"/>
              </w:rPr>
            </w:pPr>
            <w:r>
              <w:rPr>
                <w:rFonts w:hint="eastAsia"/>
                <w:color w:val="auto"/>
                <w:szCs w:val="21"/>
                <w:highlight w:val="none"/>
              </w:rPr>
              <w:t>台</w:t>
            </w: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980"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Cs w:val="21"/>
                <w:highlight w:val="none"/>
              </w:rPr>
            </w:pPr>
            <w:r>
              <w:rPr>
                <w:color w:val="auto"/>
                <w:szCs w:val="21"/>
                <w:highlight w:val="none"/>
              </w:rPr>
              <w:t>3</w:t>
            </w:r>
          </w:p>
        </w:tc>
        <w:tc>
          <w:tcPr>
            <w:tcW w:w="3004"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r>
              <w:rPr>
                <w:rFonts w:hint="eastAsia"/>
                <w:color w:val="auto"/>
                <w:szCs w:val="21"/>
                <w:highlight w:val="none"/>
              </w:rPr>
              <w:t>水枪、水带</w:t>
            </w:r>
          </w:p>
        </w:tc>
        <w:tc>
          <w:tcPr>
            <w:tcW w:w="776" w:type="dxa"/>
            <w:tcBorders>
              <w:top w:val="single" w:color="auto" w:sz="4" w:space="0"/>
              <w:left w:val="nil"/>
              <w:bottom w:val="single" w:color="auto" w:sz="4" w:space="0"/>
              <w:right w:val="single" w:color="auto" w:sz="4" w:space="0"/>
            </w:tcBorders>
            <w:noWrap w:val="0"/>
            <w:vAlign w:val="center"/>
          </w:tcPr>
          <w:p>
            <w:pPr>
              <w:jc w:val="center"/>
              <w:rPr>
                <w:color w:val="auto"/>
                <w:szCs w:val="21"/>
                <w:highlight w:val="none"/>
              </w:rPr>
            </w:pPr>
            <w:r>
              <w:rPr>
                <w:rFonts w:hint="eastAsia"/>
                <w:color w:val="auto"/>
                <w:szCs w:val="21"/>
                <w:highlight w:val="none"/>
              </w:rPr>
              <w:t>套</w:t>
            </w: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980"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Cs w:val="21"/>
                <w:highlight w:val="none"/>
              </w:rPr>
            </w:pPr>
            <w:r>
              <w:rPr>
                <w:color w:val="auto"/>
                <w:szCs w:val="21"/>
                <w:highlight w:val="none"/>
              </w:rPr>
              <w:t>4</w:t>
            </w:r>
          </w:p>
        </w:tc>
        <w:tc>
          <w:tcPr>
            <w:tcW w:w="3004"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r>
              <w:rPr>
                <w:rFonts w:hint="eastAsia"/>
                <w:color w:val="auto"/>
                <w:szCs w:val="21"/>
                <w:highlight w:val="none"/>
              </w:rPr>
              <w:t>消防箱</w:t>
            </w:r>
          </w:p>
        </w:tc>
        <w:tc>
          <w:tcPr>
            <w:tcW w:w="776" w:type="dxa"/>
            <w:tcBorders>
              <w:top w:val="single" w:color="auto" w:sz="4" w:space="0"/>
              <w:left w:val="nil"/>
              <w:bottom w:val="single" w:color="auto" w:sz="4" w:space="0"/>
              <w:right w:val="single" w:color="auto" w:sz="4" w:space="0"/>
            </w:tcBorders>
            <w:noWrap w:val="0"/>
            <w:vAlign w:val="center"/>
          </w:tcPr>
          <w:p>
            <w:pPr>
              <w:jc w:val="center"/>
              <w:rPr>
                <w:color w:val="auto"/>
                <w:szCs w:val="21"/>
                <w:highlight w:val="none"/>
              </w:rPr>
            </w:pPr>
            <w:r>
              <w:rPr>
                <w:rFonts w:hint="eastAsia"/>
                <w:color w:val="auto"/>
                <w:szCs w:val="21"/>
                <w:highlight w:val="none"/>
              </w:rPr>
              <w:t>只</w:t>
            </w: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980"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Cs w:val="21"/>
                <w:highlight w:val="none"/>
              </w:rPr>
            </w:pPr>
            <w:r>
              <w:rPr>
                <w:color w:val="auto"/>
                <w:szCs w:val="21"/>
                <w:highlight w:val="none"/>
              </w:rPr>
              <w:t>5</w:t>
            </w:r>
          </w:p>
        </w:tc>
        <w:tc>
          <w:tcPr>
            <w:tcW w:w="3004"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r>
              <w:rPr>
                <w:rFonts w:hint="eastAsia"/>
                <w:color w:val="auto"/>
                <w:szCs w:val="21"/>
                <w:highlight w:val="none"/>
              </w:rPr>
              <w:t>消防立管</w:t>
            </w:r>
          </w:p>
        </w:tc>
        <w:tc>
          <w:tcPr>
            <w:tcW w:w="776" w:type="dxa"/>
            <w:tcBorders>
              <w:top w:val="single" w:color="auto" w:sz="4" w:space="0"/>
              <w:left w:val="nil"/>
              <w:bottom w:val="single" w:color="auto" w:sz="4" w:space="0"/>
              <w:right w:val="single" w:color="auto" w:sz="4" w:space="0"/>
            </w:tcBorders>
            <w:noWrap w:val="0"/>
            <w:vAlign w:val="center"/>
          </w:tcPr>
          <w:p>
            <w:pPr>
              <w:jc w:val="center"/>
              <w:rPr>
                <w:color w:val="auto"/>
                <w:szCs w:val="21"/>
                <w:highlight w:val="none"/>
              </w:rPr>
            </w:pPr>
            <w:r>
              <w:rPr>
                <w:color w:val="auto"/>
                <w:szCs w:val="21"/>
                <w:highlight w:val="none"/>
              </w:rPr>
              <w:t>m</w:t>
            </w: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980"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Cs w:val="21"/>
                <w:highlight w:val="none"/>
              </w:rPr>
            </w:pPr>
            <w:r>
              <w:rPr>
                <w:color w:val="auto"/>
                <w:szCs w:val="21"/>
                <w:highlight w:val="none"/>
              </w:rPr>
              <w:t>6</w:t>
            </w:r>
          </w:p>
        </w:tc>
        <w:tc>
          <w:tcPr>
            <w:tcW w:w="3004"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r>
              <w:rPr>
                <w:rFonts w:hint="eastAsia"/>
                <w:color w:val="auto"/>
                <w:szCs w:val="21"/>
                <w:highlight w:val="none"/>
              </w:rPr>
              <w:t>危险品仓库搭建</w:t>
            </w:r>
          </w:p>
        </w:tc>
        <w:tc>
          <w:tcPr>
            <w:tcW w:w="776" w:type="dxa"/>
            <w:tcBorders>
              <w:top w:val="single" w:color="auto" w:sz="4" w:space="0"/>
              <w:left w:val="nil"/>
              <w:bottom w:val="single" w:color="auto" w:sz="4" w:space="0"/>
              <w:right w:val="single" w:color="auto" w:sz="4" w:space="0"/>
            </w:tcBorders>
            <w:noWrap w:val="0"/>
            <w:vAlign w:val="center"/>
          </w:tcPr>
          <w:p>
            <w:pPr>
              <w:jc w:val="center"/>
              <w:rPr>
                <w:color w:val="auto"/>
                <w:szCs w:val="21"/>
                <w:highlight w:val="none"/>
              </w:rPr>
            </w:pPr>
            <w:r>
              <w:rPr>
                <w:color w:val="auto"/>
                <w:szCs w:val="21"/>
                <w:highlight w:val="none"/>
              </w:rPr>
              <w:t>m</w:t>
            </w:r>
            <w:r>
              <w:rPr>
                <w:color w:val="auto"/>
                <w:szCs w:val="21"/>
                <w:highlight w:val="none"/>
                <w:vertAlign w:val="superscript"/>
              </w:rPr>
              <w:t>2</w:t>
            </w: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980"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Cs w:val="21"/>
                <w:highlight w:val="none"/>
              </w:rPr>
            </w:pPr>
            <w:r>
              <w:rPr>
                <w:color w:val="auto"/>
                <w:szCs w:val="21"/>
                <w:highlight w:val="none"/>
              </w:rPr>
              <w:t>7</w:t>
            </w:r>
          </w:p>
        </w:tc>
        <w:tc>
          <w:tcPr>
            <w:tcW w:w="3004"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r>
              <w:rPr>
                <w:rFonts w:hint="eastAsia"/>
                <w:color w:val="auto"/>
                <w:szCs w:val="21"/>
                <w:highlight w:val="none"/>
              </w:rPr>
              <w:t>防雷设施</w:t>
            </w:r>
          </w:p>
        </w:tc>
        <w:tc>
          <w:tcPr>
            <w:tcW w:w="776" w:type="dxa"/>
            <w:tcBorders>
              <w:top w:val="single" w:color="auto" w:sz="4" w:space="0"/>
              <w:left w:val="nil"/>
              <w:bottom w:val="single" w:color="auto" w:sz="4" w:space="0"/>
              <w:right w:val="single" w:color="auto" w:sz="4" w:space="0"/>
            </w:tcBorders>
            <w:noWrap w:val="0"/>
            <w:vAlign w:val="center"/>
          </w:tcPr>
          <w:p>
            <w:pPr>
              <w:jc w:val="center"/>
              <w:rPr>
                <w:color w:val="auto"/>
                <w:szCs w:val="21"/>
                <w:highlight w:val="none"/>
              </w:rPr>
            </w:pPr>
            <w:r>
              <w:rPr>
                <w:rFonts w:hint="eastAsia"/>
                <w:color w:val="auto"/>
                <w:szCs w:val="21"/>
                <w:highlight w:val="none"/>
              </w:rPr>
              <w:t>元</w:t>
            </w: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ind w:left="-288" w:leftChars="-137"/>
              <w:jc w:val="center"/>
              <w:rPr>
                <w:color w:val="auto"/>
                <w:szCs w:val="21"/>
                <w:highlight w:val="none"/>
              </w:rPr>
            </w:pPr>
          </w:p>
        </w:tc>
        <w:tc>
          <w:tcPr>
            <w:tcW w:w="1980"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Cs w:val="21"/>
                <w:highlight w:val="none"/>
              </w:rPr>
            </w:pPr>
            <w:r>
              <w:rPr>
                <w:color w:val="auto"/>
                <w:szCs w:val="21"/>
                <w:highlight w:val="none"/>
              </w:rPr>
              <w:t>8</w:t>
            </w:r>
          </w:p>
        </w:tc>
        <w:tc>
          <w:tcPr>
            <w:tcW w:w="3004"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r>
              <w:rPr>
                <w:rFonts w:hint="eastAsia"/>
                <w:color w:val="auto"/>
                <w:szCs w:val="21"/>
                <w:highlight w:val="none"/>
              </w:rPr>
              <w:t>其他</w:t>
            </w:r>
          </w:p>
        </w:tc>
        <w:tc>
          <w:tcPr>
            <w:tcW w:w="776" w:type="dxa"/>
            <w:tcBorders>
              <w:top w:val="single" w:color="auto" w:sz="4" w:space="0"/>
              <w:left w:val="nil"/>
              <w:bottom w:val="single" w:color="auto" w:sz="4" w:space="0"/>
              <w:right w:val="single" w:color="auto" w:sz="4" w:space="0"/>
            </w:tcBorders>
            <w:noWrap w:val="0"/>
            <w:vAlign w:val="center"/>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ind w:left="-288" w:leftChars="-137"/>
              <w:jc w:val="center"/>
              <w:rPr>
                <w:color w:val="auto"/>
                <w:szCs w:val="21"/>
                <w:highlight w:val="none"/>
              </w:rPr>
            </w:pPr>
          </w:p>
        </w:tc>
        <w:tc>
          <w:tcPr>
            <w:tcW w:w="1980"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noWrap w:val="0"/>
            <w:vAlign w:val="center"/>
          </w:tcPr>
          <w:p>
            <w:pPr>
              <w:jc w:val="center"/>
              <w:rPr>
                <w:b/>
                <w:bCs/>
                <w:color w:val="auto"/>
                <w:szCs w:val="21"/>
                <w:highlight w:val="none"/>
              </w:rPr>
            </w:pPr>
            <w:r>
              <w:rPr>
                <w:rFonts w:hint="eastAsia"/>
                <w:b/>
                <w:bCs/>
                <w:color w:val="auto"/>
                <w:szCs w:val="21"/>
                <w:highlight w:val="none"/>
              </w:rPr>
              <w:t>（七）</w:t>
            </w:r>
          </w:p>
        </w:tc>
        <w:tc>
          <w:tcPr>
            <w:tcW w:w="3004" w:type="dxa"/>
            <w:tcBorders>
              <w:top w:val="single" w:color="auto" w:sz="4" w:space="0"/>
              <w:left w:val="nil"/>
              <w:bottom w:val="single" w:color="auto" w:sz="4" w:space="0"/>
              <w:right w:val="single" w:color="auto" w:sz="4" w:space="0"/>
            </w:tcBorders>
            <w:noWrap w:val="0"/>
            <w:vAlign w:val="center"/>
          </w:tcPr>
          <w:p>
            <w:pPr>
              <w:rPr>
                <w:b/>
                <w:bCs/>
                <w:color w:val="auto"/>
                <w:szCs w:val="21"/>
                <w:highlight w:val="none"/>
              </w:rPr>
            </w:pPr>
            <w:r>
              <w:rPr>
                <w:rFonts w:hint="eastAsia"/>
                <w:b/>
                <w:bCs/>
                <w:color w:val="auto"/>
                <w:szCs w:val="21"/>
                <w:highlight w:val="none"/>
              </w:rPr>
              <w:t>特殊工程安全措施</w:t>
            </w:r>
          </w:p>
        </w:tc>
        <w:tc>
          <w:tcPr>
            <w:tcW w:w="776" w:type="dxa"/>
            <w:tcBorders>
              <w:top w:val="single" w:color="auto" w:sz="4" w:space="0"/>
              <w:left w:val="nil"/>
              <w:bottom w:val="single" w:color="auto" w:sz="4" w:space="0"/>
              <w:right w:val="single" w:color="auto" w:sz="4" w:space="0"/>
            </w:tcBorders>
            <w:noWrap w:val="0"/>
            <w:vAlign w:val="center"/>
          </w:tcPr>
          <w:p>
            <w:pPr>
              <w:jc w:val="center"/>
              <w:rPr>
                <w:rFonts w:ascii="黑体" w:eastAsia="黑体"/>
                <w:b/>
                <w:bCs/>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rFonts w:ascii="黑体" w:eastAsia="黑体"/>
                <w:b/>
                <w:bCs/>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rFonts w:ascii="黑体" w:eastAsia="黑体"/>
                <w:b/>
                <w:bCs/>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ind w:left="-288" w:leftChars="-137"/>
              <w:jc w:val="center"/>
              <w:rPr>
                <w:rFonts w:ascii="黑体" w:eastAsia="黑体"/>
                <w:b/>
                <w:bCs/>
                <w:color w:val="auto"/>
                <w:szCs w:val="21"/>
                <w:highlight w:val="none"/>
              </w:rPr>
            </w:pPr>
          </w:p>
        </w:tc>
        <w:tc>
          <w:tcPr>
            <w:tcW w:w="1980" w:type="dxa"/>
            <w:tcBorders>
              <w:top w:val="single" w:color="auto" w:sz="4" w:space="0"/>
              <w:left w:val="nil"/>
              <w:bottom w:val="single" w:color="auto" w:sz="4" w:space="0"/>
              <w:right w:val="single" w:color="auto" w:sz="4" w:space="0"/>
            </w:tcBorders>
            <w:noWrap w:val="0"/>
            <w:vAlign w:val="center"/>
          </w:tcPr>
          <w:p>
            <w:pPr>
              <w:rPr>
                <w:rFonts w:ascii="黑体" w:eastAsia="黑体"/>
                <w:b/>
                <w:bCs/>
                <w:color w:val="auto"/>
                <w:szCs w:val="21"/>
                <w:highlight w:val="none"/>
              </w:rPr>
            </w:pP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Cs w:val="21"/>
                <w:highlight w:val="none"/>
              </w:rPr>
            </w:pPr>
            <w:r>
              <w:rPr>
                <w:color w:val="auto"/>
                <w:szCs w:val="21"/>
                <w:highlight w:val="none"/>
              </w:rPr>
              <w:t>1</w:t>
            </w:r>
          </w:p>
        </w:tc>
        <w:tc>
          <w:tcPr>
            <w:tcW w:w="3004"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r>
              <w:rPr>
                <w:rFonts w:hint="eastAsia"/>
                <w:color w:val="auto"/>
                <w:szCs w:val="21"/>
                <w:highlight w:val="none"/>
              </w:rPr>
              <w:t>特殊作业防护用品</w:t>
            </w:r>
          </w:p>
        </w:tc>
        <w:tc>
          <w:tcPr>
            <w:tcW w:w="776" w:type="dxa"/>
            <w:tcBorders>
              <w:top w:val="single" w:color="auto" w:sz="4" w:space="0"/>
              <w:left w:val="nil"/>
              <w:bottom w:val="single" w:color="auto" w:sz="4" w:space="0"/>
              <w:right w:val="single" w:color="auto" w:sz="4" w:space="0"/>
            </w:tcBorders>
            <w:noWrap w:val="0"/>
            <w:vAlign w:val="center"/>
          </w:tcPr>
          <w:p>
            <w:pPr>
              <w:jc w:val="center"/>
              <w:rPr>
                <w:color w:val="auto"/>
                <w:szCs w:val="21"/>
                <w:highlight w:val="none"/>
              </w:rPr>
            </w:pPr>
            <w:r>
              <w:rPr>
                <w:rFonts w:hint="eastAsia"/>
                <w:color w:val="auto"/>
                <w:szCs w:val="21"/>
                <w:highlight w:val="none"/>
              </w:rPr>
              <w:t>元</w:t>
            </w: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ind w:left="-288" w:leftChars="-137"/>
              <w:jc w:val="center"/>
              <w:rPr>
                <w:color w:val="auto"/>
                <w:szCs w:val="21"/>
                <w:highlight w:val="none"/>
              </w:rPr>
            </w:pPr>
          </w:p>
        </w:tc>
        <w:tc>
          <w:tcPr>
            <w:tcW w:w="1980"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Cs w:val="21"/>
                <w:highlight w:val="none"/>
              </w:rPr>
            </w:pPr>
            <w:r>
              <w:rPr>
                <w:color w:val="auto"/>
                <w:szCs w:val="21"/>
                <w:highlight w:val="none"/>
              </w:rPr>
              <w:t>2</w:t>
            </w:r>
          </w:p>
        </w:tc>
        <w:tc>
          <w:tcPr>
            <w:tcW w:w="3004"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r>
              <w:rPr>
                <w:rFonts w:hint="eastAsia"/>
                <w:color w:val="auto"/>
                <w:szCs w:val="21"/>
                <w:highlight w:val="none"/>
              </w:rPr>
              <w:t>救生设施</w:t>
            </w:r>
          </w:p>
        </w:tc>
        <w:tc>
          <w:tcPr>
            <w:tcW w:w="776" w:type="dxa"/>
            <w:tcBorders>
              <w:top w:val="single" w:color="auto" w:sz="4" w:space="0"/>
              <w:left w:val="nil"/>
              <w:bottom w:val="single" w:color="auto" w:sz="4" w:space="0"/>
              <w:right w:val="single" w:color="auto" w:sz="4" w:space="0"/>
            </w:tcBorders>
            <w:noWrap w:val="0"/>
            <w:vAlign w:val="center"/>
          </w:tcPr>
          <w:p>
            <w:pPr>
              <w:jc w:val="center"/>
              <w:rPr>
                <w:color w:val="auto"/>
                <w:szCs w:val="21"/>
                <w:highlight w:val="none"/>
              </w:rPr>
            </w:pPr>
            <w:r>
              <w:rPr>
                <w:rFonts w:hint="eastAsia"/>
                <w:color w:val="auto"/>
                <w:szCs w:val="21"/>
                <w:highlight w:val="none"/>
              </w:rPr>
              <w:t>元</w:t>
            </w: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ind w:left="-288" w:leftChars="-137"/>
              <w:jc w:val="center"/>
              <w:rPr>
                <w:color w:val="auto"/>
                <w:szCs w:val="21"/>
                <w:highlight w:val="none"/>
              </w:rPr>
            </w:pPr>
          </w:p>
        </w:tc>
        <w:tc>
          <w:tcPr>
            <w:tcW w:w="1980"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r>
              <w:rPr>
                <w:rFonts w:hint="eastAsia"/>
                <w:color w:val="auto"/>
                <w:szCs w:val="21"/>
                <w:highlight w:val="none"/>
              </w:rPr>
              <w:t>含救生衣、救生圈等</w:t>
            </w: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Cs w:val="21"/>
                <w:highlight w:val="none"/>
              </w:rPr>
            </w:pPr>
            <w:r>
              <w:rPr>
                <w:color w:val="auto"/>
                <w:szCs w:val="21"/>
                <w:highlight w:val="none"/>
              </w:rPr>
              <w:t>3</w:t>
            </w:r>
          </w:p>
        </w:tc>
        <w:tc>
          <w:tcPr>
            <w:tcW w:w="3004"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r>
              <w:rPr>
                <w:rFonts w:hint="eastAsia"/>
                <w:color w:val="auto"/>
                <w:szCs w:val="21"/>
                <w:highlight w:val="none"/>
              </w:rPr>
              <w:t>防毒面具</w:t>
            </w:r>
          </w:p>
        </w:tc>
        <w:tc>
          <w:tcPr>
            <w:tcW w:w="776" w:type="dxa"/>
            <w:tcBorders>
              <w:top w:val="single" w:color="auto" w:sz="4" w:space="0"/>
              <w:left w:val="nil"/>
              <w:bottom w:val="single" w:color="auto" w:sz="4" w:space="0"/>
              <w:right w:val="single" w:color="auto" w:sz="4" w:space="0"/>
            </w:tcBorders>
            <w:noWrap w:val="0"/>
            <w:vAlign w:val="center"/>
          </w:tcPr>
          <w:p>
            <w:pPr>
              <w:jc w:val="center"/>
              <w:rPr>
                <w:color w:val="auto"/>
                <w:szCs w:val="21"/>
                <w:highlight w:val="none"/>
              </w:rPr>
            </w:pPr>
            <w:r>
              <w:rPr>
                <w:rFonts w:hint="eastAsia"/>
                <w:color w:val="auto"/>
                <w:szCs w:val="21"/>
                <w:highlight w:val="none"/>
              </w:rPr>
              <w:t>付</w:t>
            </w: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ind w:left="-288" w:leftChars="-137"/>
              <w:jc w:val="center"/>
              <w:rPr>
                <w:color w:val="auto"/>
                <w:szCs w:val="21"/>
                <w:highlight w:val="none"/>
              </w:rPr>
            </w:pPr>
          </w:p>
        </w:tc>
        <w:tc>
          <w:tcPr>
            <w:tcW w:w="1980"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Cs w:val="21"/>
                <w:highlight w:val="none"/>
              </w:rPr>
            </w:pPr>
            <w:r>
              <w:rPr>
                <w:color w:val="auto"/>
                <w:szCs w:val="21"/>
                <w:highlight w:val="none"/>
              </w:rPr>
              <w:t>4</w:t>
            </w:r>
          </w:p>
        </w:tc>
        <w:tc>
          <w:tcPr>
            <w:tcW w:w="3004"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r>
              <w:rPr>
                <w:rFonts w:hint="eastAsia"/>
                <w:color w:val="auto"/>
                <w:szCs w:val="21"/>
                <w:highlight w:val="none"/>
              </w:rPr>
              <w:t>有毒气体检测仪器</w:t>
            </w:r>
          </w:p>
        </w:tc>
        <w:tc>
          <w:tcPr>
            <w:tcW w:w="776" w:type="dxa"/>
            <w:tcBorders>
              <w:top w:val="single" w:color="auto" w:sz="4" w:space="0"/>
              <w:left w:val="nil"/>
              <w:bottom w:val="single" w:color="auto" w:sz="4" w:space="0"/>
              <w:right w:val="single" w:color="auto" w:sz="4" w:space="0"/>
            </w:tcBorders>
            <w:noWrap w:val="0"/>
            <w:vAlign w:val="center"/>
          </w:tcPr>
          <w:p>
            <w:pPr>
              <w:jc w:val="center"/>
              <w:rPr>
                <w:color w:val="auto"/>
                <w:szCs w:val="21"/>
                <w:highlight w:val="none"/>
              </w:rPr>
            </w:pPr>
            <w:r>
              <w:rPr>
                <w:rFonts w:hint="eastAsia"/>
                <w:color w:val="auto"/>
                <w:szCs w:val="21"/>
                <w:highlight w:val="none"/>
              </w:rPr>
              <w:t>套</w:t>
            </w: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ind w:left="-288" w:leftChars="-137"/>
              <w:jc w:val="center"/>
              <w:rPr>
                <w:color w:val="auto"/>
                <w:szCs w:val="21"/>
                <w:highlight w:val="none"/>
              </w:rPr>
            </w:pPr>
          </w:p>
        </w:tc>
        <w:tc>
          <w:tcPr>
            <w:tcW w:w="1980"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Cs w:val="21"/>
                <w:highlight w:val="none"/>
              </w:rPr>
            </w:pPr>
            <w:r>
              <w:rPr>
                <w:color w:val="auto"/>
                <w:szCs w:val="21"/>
                <w:highlight w:val="none"/>
              </w:rPr>
              <w:t>5</w:t>
            </w:r>
          </w:p>
        </w:tc>
        <w:tc>
          <w:tcPr>
            <w:tcW w:w="3004"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r>
              <w:rPr>
                <w:rFonts w:hint="eastAsia"/>
                <w:color w:val="auto"/>
                <w:szCs w:val="21"/>
                <w:highlight w:val="none"/>
              </w:rPr>
              <w:t>其他特殊安全防护</w:t>
            </w:r>
          </w:p>
        </w:tc>
        <w:tc>
          <w:tcPr>
            <w:tcW w:w="776" w:type="dxa"/>
            <w:tcBorders>
              <w:top w:val="single" w:color="auto" w:sz="4" w:space="0"/>
              <w:left w:val="nil"/>
              <w:bottom w:val="single" w:color="auto" w:sz="4" w:space="0"/>
              <w:right w:val="single" w:color="auto" w:sz="4" w:space="0"/>
            </w:tcBorders>
            <w:noWrap w:val="0"/>
            <w:vAlign w:val="center"/>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ind w:left="-288" w:leftChars="-137"/>
              <w:jc w:val="center"/>
              <w:rPr>
                <w:color w:val="auto"/>
                <w:szCs w:val="21"/>
                <w:highlight w:val="none"/>
              </w:rPr>
            </w:pPr>
          </w:p>
        </w:tc>
        <w:tc>
          <w:tcPr>
            <w:tcW w:w="1980"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noWrap w:val="0"/>
            <w:vAlign w:val="center"/>
          </w:tcPr>
          <w:p>
            <w:pPr>
              <w:jc w:val="center"/>
              <w:rPr>
                <w:b/>
                <w:bCs/>
                <w:color w:val="auto"/>
                <w:szCs w:val="21"/>
                <w:highlight w:val="none"/>
              </w:rPr>
            </w:pPr>
            <w:r>
              <w:rPr>
                <w:rFonts w:hint="eastAsia"/>
                <w:b/>
                <w:bCs/>
                <w:color w:val="auto"/>
                <w:szCs w:val="21"/>
                <w:highlight w:val="none"/>
              </w:rPr>
              <w:t>（八）</w:t>
            </w:r>
          </w:p>
        </w:tc>
        <w:tc>
          <w:tcPr>
            <w:tcW w:w="3004" w:type="dxa"/>
            <w:tcBorders>
              <w:top w:val="single" w:color="auto" w:sz="4" w:space="0"/>
              <w:left w:val="nil"/>
              <w:bottom w:val="single" w:color="auto" w:sz="4" w:space="0"/>
              <w:right w:val="single" w:color="auto" w:sz="4" w:space="0"/>
            </w:tcBorders>
            <w:noWrap w:val="0"/>
            <w:vAlign w:val="center"/>
          </w:tcPr>
          <w:p>
            <w:pPr>
              <w:rPr>
                <w:b/>
                <w:bCs/>
                <w:color w:val="auto"/>
                <w:szCs w:val="21"/>
                <w:highlight w:val="none"/>
              </w:rPr>
            </w:pPr>
            <w:r>
              <w:rPr>
                <w:rFonts w:hint="eastAsia"/>
                <w:b/>
                <w:bCs/>
                <w:color w:val="auto"/>
                <w:szCs w:val="21"/>
                <w:highlight w:val="none"/>
              </w:rPr>
              <w:t>安全标志</w:t>
            </w:r>
          </w:p>
        </w:tc>
        <w:tc>
          <w:tcPr>
            <w:tcW w:w="776" w:type="dxa"/>
            <w:tcBorders>
              <w:top w:val="single" w:color="auto" w:sz="4" w:space="0"/>
              <w:left w:val="nil"/>
              <w:bottom w:val="single" w:color="auto" w:sz="4" w:space="0"/>
              <w:right w:val="single" w:color="auto" w:sz="4" w:space="0"/>
            </w:tcBorders>
            <w:noWrap w:val="0"/>
            <w:vAlign w:val="center"/>
          </w:tcPr>
          <w:p>
            <w:pPr>
              <w:jc w:val="center"/>
              <w:rPr>
                <w:rFonts w:ascii="黑体" w:eastAsia="黑体"/>
                <w:b/>
                <w:bCs/>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jc w:val="center"/>
              <w:rPr>
                <w:rFonts w:ascii="黑体" w:eastAsia="黑体"/>
                <w:b/>
                <w:bCs/>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jc w:val="center"/>
              <w:rPr>
                <w:rFonts w:ascii="黑体" w:eastAsia="黑体"/>
                <w:b/>
                <w:bCs/>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ind w:left="-288" w:leftChars="-137"/>
              <w:jc w:val="center"/>
              <w:rPr>
                <w:rFonts w:ascii="黑体" w:eastAsia="黑体"/>
                <w:b/>
                <w:bCs/>
                <w:color w:val="auto"/>
                <w:szCs w:val="21"/>
                <w:highlight w:val="none"/>
              </w:rPr>
            </w:pPr>
          </w:p>
        </w:tc>
        <w:tc>
          <w:tcPr>
            <w:tcW w:w="1980" w:type="dxa"/>
            <w:tcBorders>
              <w:top w:val="single" w:color="auto" w:sz="4" w:space="0"/>
              <w:left w:val="nil"/>
              <w:bottom w:val="single" w:color="auto" w:sz="4" w:space="0"/>
              <w:right w:val="single" w:color="auto" w:sz="4" w:space="0"/>
            </w:tcBorders>
            <w:noWrap w:val="0"/>
            <w:vAlign w:val="center"/>
          </w:tcPr>
          <w:p>
            <w:pPr>
              <w:rPr>
                <w:rFonts w:ascii="黑体" w:eastAsia="黑体"/>
                <w:b/>
                <w:bCs/>
                <w:color w:val="auto"/>
                <w:szCs w:val="21"/>
                <w:highlight w:val="none"/>
              </w:rPr>
            </w:pP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Cs w:val="21"/>
                <w:highlight w:val="none"/>
              </w:rPr>
            </w:pPr>
            <w:r>
              <w:rPr>
                <w:color w:val="auto"/>
                <w:szCs w:val="21"/>
                <w:highlight w:val="none"/>
              </w:rPr>
              <w:t>1</w:t>
            </w:r>
          </w:p>
        </w:tc>
        <w:tc>
          <w:tcPr>
            <w:tcW w:w="3004"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r>
              <w:rPr>
                <w:rFonts w:hint="eastAsia"/>
                <w:color w:val="auto"/>
                <w:szCs w:val="21"/>
                <w:highlight w:val="none"/>
              </w:rPr>
              <w:t>安全警示标牌、标识</w:t>
            </w:r>
          </w:p>
        </w:tc>
        <w:tc>
          <w:tcPr>
            <w:tcW w:w="776" w:type="dxa"/>
            <w:tcBorders>
              <w:top w:val="single" w:color="auto" w:sz="4" w:space="0"/>
              <w:left w:val="nil"/>
              <w:bottom w:val="single" w:color="auto" w:sz="4" w:space="0"/>
              <w:right w:val="single" w:color="auto" w:sz="4" w:space="0"/>
            </w:tcBorders>
            <w:noWrap w:val="0"/>
            <w:vAlign w:val="center"/>
          </w:tcPr>
          <w:p>
            <w:pPr>
              <w:jc w:val="center"/>
              <w:rPr>
                <w:color w:val="auto"/>
                <w:szCs w:val="21"/>
                <w:highlight w:val="none"/>
              </w:rPr>
            </w:pPr>
            <w:r>
              <w:rPr>
                <w:rFonts w:hint="eastAsia"/>
                <w:color w:val="auto"/>
                <w:szCs w:val="21"/>
                <w:highlight w:val="none"/>
              </w:rPr>
              <w:t>元</w:t>
            </w:r>
          </w:p>
        </w:tc>
        <w:tc>
          <w:tcPr>
            <w:tcW w:w="1080" w:type="dxa"/>
            <w:tcBorders>
              <w:top w:val="single" w:color="auto" w:sz="4" w:space="0"/>
              <w:left w:val="nil"/>
              <w:bottom w:val="single" w:color="auto" w:sz="4" w:space="0"/>
              <w:right w:val="single" w:color="auto" w:sz="4" w:space="0"/>
            </w:tcBorders>
            <w:noWrap w:val="0"/>
            <w:vAlign w:val="top"/>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ind w:left="-288" w:leftChars="-137"/>
              <w:jc w:val="center"/>
              <w:rPr>
                <w:color w:val="auto"/>
                <w:szCs w:val="21"/>
                <w:highlight w:val="none"/>
              </w:rPr>
            </w:pPr>
          </w:p>
        </w:tc>
        <w:tc>
          <w:tcPr>
            <w:tcW w:w="1980"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Cs w:val="21"/>
                <w:highlight w:val="none"/>
              </w:rPr>
            </w:pPr>
            <w:r>
              <w:rPr>
                <w:color w:val="auto"/>
                <w:szCs w:val="21"/>
                <w:highlight w:val="none"/>
              </w:rPr>
              <w:t>2</w:t>
            </w:r>
          </w:p>
        </w:tc>
        <w:tc>
          <w:tcPr>
            <w:tcW w:w="3004"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r>
              <w:rPr>
                <w:rFonts w:hint="eastAsia"/>
                <w:color w:val="auto"/>
                <w:szCs w:val="21"/>
                <w:highlight w:val="none"/>
              </w:rPr>
              <w:t>警示灯</w:t>
            </w:r>
          </w:p>
        </w:tc>
        <w:tc>
          <w:tcPr>
            <w:tcW w:w="776" w:type="dxa"/>
            <w:tcBorders>
              <w:top w:val="single" w:color="auto" w:sz="4" w:space="0"/>
              <w:left w:val="nil"/>
              <w:bottom w:val="single" w:color="auto" w:sz="4" w:space="0"/>
              <w:right w:val="single" w:color="auto" w:sz="4" w:space="0"/>
            </w:tcBorders>
            <w:noWrap w:val="0"/>
            <w:vAlign w:val="center"/>
          </w:tcPr>
          <w:p>
            <w:pPr>
              <w:jc w:val="center"/>
              <w:rPr>
                <w:color w:val="auto"/>
                <w:szCs w:val="21"/>
                <w:highlight w:val="none"/>
              </w:rPr>
            </w:pPr>
            <w:r>
              <w:rPr>
                <w:rFonts w:hint="eastAsia"/>
                <w:color w:val="auto"/>
                <w:szCs w:val="21"/>
                <w:highlight w:val="none"/>
              </w:rPr>
              <w:t>处</w:t>
            </w: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980"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Cs w:val="21"/>
                <w:highlight w:val="none"/>
              </w:rPr>
            </w:pPr>
            <w:r>
              <w:rPr>
                <w:color w:val="auto"/>
                <w:szCs w:val="21"/>
                <w:highlight w:val="none"/>
              </w:rPr>
              <w:t>3</w:t>
            </w:r>
          </w:p>
        </w:tc>
        <w:tc>
          <w:tcPr>
            <w:tcW w:w="3004"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r>
              <w:rPr>
                <w:rFonts w:hint="eastAsia"/>
                <w:color w:val="auto"/>
                <w:szCs w:val="21"/>
                <w:highlight w:val="none"/>
              </w:rPr>
              <w:t>航标灯</w:t>
            </w:r>
          </w:p>
        </w:tc>
        <w:tc>
          <w:tcPr>
            <w:tcW w:w="776" w:type="dxa"/>
            <w:tcBorders>
              <w:top w:val="single" w:color="auto" w:sz="4" w:space="0"/>
              <w:left w:val="nil"/>
              <w:bottom w:val="single" w:color="auto" w:sz="4" w:space="0"/>
              <w:right w:val="single" w:color="auto" w:sz="4" w:space="0"/>
            </w:tcBorders>
            <w:noWrap w:val="0"/>
            <w:vAlign w:val="center"/>
          </w:tcPr>
          <w:p>
            <w:pPr>
              <w:jc w:val="center"/>
              <w:rPr>
                <w:color w:val="auto"/>
                <w:szCs w:val="21"/>
                <w:highlight w:val="none"/>
              </w:rPr>
            </w:pPr>
            <w:r>
              <w:rPr>
                <w:rFonts w:hint="eastAsia"/>
                <w:color w:val="auto"/>
                <w:szCs w:val="21"/>
                <w:highlight w:val="none"/>
              </w:rPr>
              <w:t>处</w:t>
            </w: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rPr>
                <w:color w:val="auto"/>
                <w:szCs w:val="21"/>
                <w:highlight w:val="none"/>
              </w:rPr>
            </w:pPr>
          </w:p>
        </w:tc>
        <w:tc>
          <w:tcPr>
            <w:tcW w:w="1980"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r>
              <w:rPr>
                <w:rFonts w:hint="eastAsia"/>
                <w:color w:val="auto"/>
                <w:szCs w:val="21"/>
                <w:highlight w:val="none"/>
              </w:rPr>
              <w:t>通航要求</w:t>
            </w: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黑体"/>
                <w:color w:val="auto"/>
                <w:szCs w:val="21"/>
                <w:highlight w:val="none"/>
              </w:rPr>
            </w:pPr>
            <w:r>
              <w:rPr>
                <w:rFonts w:eastAsia="黑体"/>
                <w:color w:val="auto"/>
                <w:szCs w:val="21"/>
                <w:highlight w:val="none"/>
              </w:rPr>
              <w:t>4</w:t>
            </w:r>
          </w:p>
        </w:tc>
        <w:tc>
          <w:tcPr>
            <w:tcW w:w="3004"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r>
              <w:rPr>
                <w:rFonts w:hint="eastAsia"/>
                <w:color w:val="auto"/>
                <w:szCs w:val="21"/>
                <w:highlight w:val="none"/>
              </w:rPr>
              <w:t>其他安全标志</w:t>
            </w:r>
          </w:p>
        </w:tc>
        <w:tc>
          <w:tcPr>
            <w:tcW w:w="776" w:type="dxa"/>
            <w:tcBorders>
              <w:top w:val="single" w:color="auto" w:sz="4" w:space="0"/>
              <w:left w:val="nil"/>
              <w:bottom w:val="single" w:color="auto" w:sz="4" w:space="0"/>
              <w:right w:val="single" w:color="auto" w:sz="4" w:space="0"/>
            </w:tcBorders>
            <w:noWrap w:val="0"/>
            <w:vAlign w:val="center"/>
          </w:tcPr>
          <w:p>
            <w:pPr>
              <w:jc w:val="center"/>
              <w:rPr>
                <w:rFonts w:ascii="黑体" w:eastAsia="黑体"/>
                <w:b/>
                <w:bCs/>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jc w:val="center"/>
              <w:rPr>
                <w:rFonts w:ascii="黑体" w:eastAsia="黑体"/>
                <w:b/>
                <w:bCs/>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jc w:val="center"/>
              <w:rPr>
                <w:rFonts w:ascii="黑体" w:eastAsia="黑体"/>
                <w:b/>
                <w:bCs/>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ind w:left="-288" w:leftChars="-137"/>
              <w:jc w:val="center"/>
              <w:rPr>
                <w:rFonts w:ascii="黑体" w:eastAsia="黑体"/>
                <w:b/>
                <w:bCs/>
                <w:color w:val="auto"/>
                <w:szCs w:val="21"/>
                <w:highlight w:val="none"/>
              </w:rPr>
            </w:pPr>
          </w:p>
        </w:tc>
        <w:tc>
          <w:tcPr>
            <w:tcW w:w="1980" w:type="dxa"/>
            <w:tcBorders>
              <w:top w:val="single" w:color="auto" w:sz="4" w:space="0"/>
              <w:left w:val="nil"/>
              <w:bottom w:val="single" w:color="auto" w:sz="4" w:space="0"/>
              <w:right w:val="single" w:color="auto" w:sz="4" w:space="0"/>
            </w:tcBorders>
            <w:noWrap w:val="0"/>
            <w:vAlign w:val="center"/>
          </w:tcPr>
          <w:p>
            <w:pPr>
              <w:rPr>
                <w:rFonts w:ascii="黑体" w:eastAsia="黑体"/>
                <w:b/>
                <w:bCs/>
                <w:color w:val="auto"/>
                <w:szCs w:val="21"/>
                <w:highlight w:val="none"/>
              </w:rPr>
            </w:pP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noWrap w:val="0"/>
            <w:vAlign w:val="center"/>
          </w:tcPr>
          <w:p>
            <w:pPr>
              <w:jc w:val="center"/>
              <w:rPr>
                <w:b/>
                <w:bCs/>
                <w:color w:val="auto"/>
                <w:szCs w:val="21"/>
                <w:highlight w:val="none"/>
              </w:rPr>
            </w:pPr>
            <w:r>
              <w:rPr>
                <w:rFonts w:hint="eastAsia"/>
                <w:b/>
                <w:bCs/>
                <w:color w:val="auto"/>
                <w:szCs w:val="21"/>
                <w:highlight w:val="none"/>
              </w:rPr>
              <w:t>（九）</w:t>
            </w:r>
          </w:p>
        </w:tc>
        <w:tc>
          <w:tcPr>
            <w:tcW w:w="3004" w:type="dxa"/>
            <w:tcBorders>
              <w:top w:val="single" w:color="auto" w:sz="4" w:space="0"/>
              <w:left w:val="nil"/>
              <w:bottom w:val="single" w:color="auto" w:sz="4" w:space="0"/>
              <w:right w:val="single" w:color="auto" w:sz="4" w:space="0"/>
            </w:tcBorders>
            <w:noWrap w:val="0"/>
            <w:vAlign w:val="center"/>
          </w:tcPr>
          <w:p>
            <w:pPr>
              <w:rPr>
                <w:b/>
                <w:bCs/>
                <w:color w:val="auto"/>
                <w:szCs w:val="21"/>
                <w:highlight w:val="none"/>
              </w:rPr>
            </w:pPr>
            <w:r>
              <w:rPr>
                <w:rFonts w:hint="eastAsia"/>
                <w:b/>
                <w:bCs/>
                <w:color w:val="auto"/>
                <w:szCs w:val="21"/>
                <w:highlight w:val="none"/>
              </w:rPr>
              <w:t>安全专项检测</w:t>
            </w:r>
          </w:p>
        </w:tc>
        <w:tc>
          <w:tcPr>
            <w:tcW w:w="776" w:type="dxa"/>
            <w:tcBorders>
              <w:top w:val="single" w:color="auto" w:sz="4" w:space="0"/>
              <w:left w:val="nil"/>
              <w:bottom w:val="single" w:color="auto" w:sz="4" w:space="0"/>
              <w:right w:val="single" w:color="auto" w:sz="4" w:space="0"/>
            </w:tcBorders>
            <w:noWrap w:val="0"/>
            <w:vAlign w:val="center"/>
          </w:tcPr>
          <w:p>
            <w:pPr>
              <w:jc w:val="center"/>
              <w:rPr>
                <w:rFonts w:ascii="黑体" w:eastAsia="黑体"/>
                <w:b/>
                <w:bCs/>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jc w:val="center"/>
              <w:rPr>
                <w:rFonts w:ascii="黑体" w:eastAsia="黑体"/>
                <w:b/>
                <w:bCs/>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jc w:val="center"/>
              <w:rPr>
                <w:rFonts w:ascii="黑体" w:eastAsia="黑体"/>
                <w:b/>
                <w:bCs/>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ind w:left="-288" w:leftChars="-137"/>
              <w:jc w:val="center"/>
              <w:rPr>
                <w:rFonts w:ascii="黑体" w:eastAsia="黑体"/>
                <w:b/>
                <w:bCs/>
                <w:color w:val="auto"/>
                <w:szCs w:val="21"/>
                <w:highlight w:val="none"/>
              </w:rPr>
            </w:pPr>
          </w:p>
        </w:tc>
        <w:tc>
          <w:tcPr>
            <w:tcW w:w="1980" w:type="dxa"/>
            <w:tcBorders>
              <w:top w:val="single" w:color="auto" w:sz="4" w:space="0"/>
              <w:left w:val="nil"/>
              <w:bottom w:val="single" w:color="auto" w:sz="4" w:space="0"/>
              <w:right w:val="single" w:color="auto" w:sz="4" w:space="0"/>
            </w:tcBorders>
            <w:noWrap w:val="0"/>
            <w:vAlign w:val="center"/>
          </w:tcPr>
          <w:p>
            <w:pPr>
              <w:rPr>
                <w:rFonts w:ascii="黑体" w:eastAsia="黑体"/>
                <w:b/>
                <w:bCs/>
                <w:color w:val="auto"/>
                <w:szCs w:val="21"/>
                <w:highlight w:val="none"/>
              </w:rPr>
            </w:pP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Cs w:val="21"/>
                <w:highlight w:val="none"/>
              </w:rPr>
            </w:pPr>
            <w:r>
              <w:rPr>
                <w:color w:val="auto"/>
                <w:szCs w:val="21"/>
                <w:highlight w:val="none"/>
              </w:rPr>
              <w:t>1</w:t>
            </w:r>
          </w:p>
        </w:tc>
        <w:tc>
          <w:tcPr>
            <w:tcW w:w="3004"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r>
              <w:rPr>
                <w:rFonts w:hint="eastAsia"/>
                <w:color w:val="auto"/>
                <w:szCs w:val="21"/>
                <w:highlight w:val="none"/>
              </w:rPr>
              <w:t>起重机械检测费</w:t>
            </w:r>
          </w:p>
        </w:tc>
        <w:tc>
          <w:tcPr>
            <w:tcW w:w="776" w:type="dxa"/>
            <w:tcBorders>
              <w:top w:val="single" w:color="auto" w:sz="4" w:space="0"/>
              <w:left w:val="nil"/>
              <w:bottom w:val="single" w:color="auto" w:sz="4" w:space="0"/>
              <w:right w:val="single" w:color="auto" w:sz="4" w:space="0"/>
            </w:tcBorders>
            <w:noWrap w:val="0"/>
            <w:vAlign w:val="center"/>
          </w:tcPr>
          <w:p>
            <w:pPr>
              <w:jc w:val="center"/>
              <w:rPr>
                <w:color w:val="auto"/>
                <w:szCs w:val="21"/>
                <w:highlight w:val="none"/>
              </w:rPr>
            </w:pPr>
            <w:r>
              <w:rPr>
                <w:rFonts w:hint="eastAsia"/>
                <w:color w:val="auto"/>
                <w:szCs w:val="21"/>
                <w:highlight w:val="none"/>
              </w:rPr>
              <w:t>元</w:t>
            </w:r>
          </w:p>
        </w:tc>
        <w:tc>
          <w:tcPr>
            <w:tcW w:w="1080" w:type="dxa"/>
            <w:tcBorders>
              <w:top w:val="single" w:color="auto" w:sz="4" w:space="0"/>
              <w:left w:val="nil"/>
              <w:bottom w:val="single" w:color="auto" w:sz="4" w:space="0"/>
              <w:right w:val="single" w:color="auto" w:sz="4" w:space="0"/>
            </w:tcBorders>
            <w:noWrap w:val="0"/>
            <w:vAlign w:val="top"/>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ind w:left="-288" w:leftChars="-137"/>
              <w:jc w:val="center"/>
              <w:rPr>
                <w:color w:val="auto"/>
                <w:szCs w:val="21"/>
                <w:highlight w:val="none"/>
              </w:rPr>
            </w:pPr>
          </w:p>
        </w:tc>
        <w:tc>
          <w:tcPr>
            <w:tcW w:w="1980"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r>
              <w:rPr>
                <w:rFonts w:hint="eastAsia"/>
                <w:color w:val="auto"/>
                <w:szCs w:val="21"/>
                <w:highlight w:val="none"/>
              </w:rPr>
              <w:t>塔吊、升降机等</w:t>
            </w: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Cs w:val="21"/>
                <w:highlight w:val="none"/>
              </w:rPr>
            </w:pPr>
            <w:r>
              <w:rPr>
                <w:color w:val="auto"/>
                <w:szCs w:val="21"/>
                <w:highlight w:val="none"/>
              </w:rPr>
              <w:t>2</w:t>
            </w:r>
          </w:p>
        </w:tc>
        <w:tc>
          <w:tcPr>
            <w:tcW w:w="3004"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r>
              <w:rPr>
                <w:rFonts w:hint="eastAsia"/>
                <w:color w:val="auto"/>
                <w:szCs w:val="21"/>
                <w:highlight w:val="none"/>
              </w:rPr>
              <w:t>钢管、扣件检测费</w:t>
            </w:r>
          </w:p>
        </w:tc>
        <w:tc>
          <w:tcPr>
            <w:tcW w:w="776" w:type="dxa"/>
            <w:tcBorders>
              <w:top w:val="single" w:color="auto" w:sz="4" w:space="0"/>
              <w:left w:val="nil"/>
              <w:bottom w:val="single" w:color="auto" w:sz="4" w:space="0"/>
              <w:right w:val="single" w:color="auto" w:sz="4" w:space="0"/>
            </w:tcBorders>
            <w:noWrap w:val="0"/>
            <w:vAlign w:val="center"/>
          </w:tcPr>
          <w:p>
            <w:pPr>
              <w:jc w:val="center"/>
              <w:rPr>
                <w:color w:val="auto"/>
                <w:szCs w:val="21"/>
                <w:highlight w:val="none"/>
              </w:rPr>
            </w:pPr>
            <w:r>
              <w:rPr>
                <w:rFonts w:hint="eastAsia"/>
                <w:color w:val="auto"/>
                <w:szCs w:val="21"/>
                <w:highlight w:val="none"/>
              </w:rPr>
              <w:t>元</w:t>
            </w:r>
          </w:p>
        </w:tc>
        <w:tc>
          <w:tcPr>
            <w:tcW w:w="1080" w:type="dxa"/>
            <w:tcBorders>
              <w:top w:val="single" w:color="auto" w:sz="4" w:space="0"/>
              <w:left w:val="nil"/>
              <w:bottom w:val="single" w:color="auto" w:sz="4" w:space="0"/>
              <w:right w:val="single" w:color="auto" w:sz="4" w:space="0"/>
            </w:tcBorders>
            <w:noWrap w:val="0"/>
            <w:vAlign w:val="top"/>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ind w:left="-288" w:leftChars="-137"/>
              <w:jc w:val="center"/>
              <w:rPr>
                <w:color w:val="auto"/>
                <w:szCs w:val="21"/>
                <w:highlight w:val="none"/>
              </w:rPr>
            </w:pPr>
          </w:p>
        </w:tc>
        <w:tc>
          <w:tcPr>
            <w:tcW w:w="1980"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Cs w:val="21"/>
                <w:highlight w:val="none"/>
              </w:rPr>
            </w:pPr>
            <w:r>
              <w:rPr>
                <w:color w:val="auto"/>
                <w:szCs w:val="21"/>
                <w:highlight w:val="none"/>
              </w:rPr>
              <w:t>3</w:t>
            </w:r>
          </w:p>
        </w:tc>
        <w:tc>
          <w:tcPr>
            <w:tcW w:w="3004"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r>
              <w:rPr>
                <w:rFonts w:hint="eastAsia"/>
                <w:color w:val="auto"/>
                <w:szCs w:val="21"/>
                <w:highlight w:val="none"/>
              </w:rPr>
              <w:t>高处作业吊篮检测费</w:t>
            </w:r>
          </w:p>
        </w:tc>
        <w:tc>
          <w:tcPr>
            <w:tcW w:w="776" w:type="dxa"/>
            <w:tcBorders>
              <w:top w:val="single" w:color="auto" w:sz="4" w:space="0"/>
              <w:left w:val="nil"/>
              <w:bottom w:val="single" w:color="auto" w:sz="4" w:space="0"/>
              <w:right w:val="single" w:color="auto" w:sz="4" w:space="0"/>
            </w:tcBorders>
            <w:noWrap w:val="0"/>
            <w:vAlign w:val="center"/>
          </w:tcPr>
          <w:p>
            <w:pPr>
              <w:jc w:val="center"/>
              <w:rPr>
                <w:color w:val="auto"/>
                <w:szCs w:val="21"/>
                <w:highlight w:val="none"/>
              </w:rPr>
            </w:pPr>
            <w:r>
              <w:rPr>
                <w:rFonts w:hint="eastAsia"/>
                <w:color w:val="auto"/>
                <w:szCs w:val="21"/>
                <w:highlight w:val="none"/>
              </w:rPr>
              <w:t>元</w:t>
            </w:r>
          </w:p>
        </w:tc>
        <w:tc>
          <w:tcPr>
            <w:tcW w:w="1080" w:type="dxa"/>
            <w:tcBorders>
              <w:top w:val="single" w:color="auto" w:sz="4" w:space="0"/>
              <w:left w:val="nil"/>
              <w:bottom w:val="single" w:color="auto" w:sz="4" w:space="0"/>
              <w:right w:val="single" w:color="auto" w:sz="4" w:space="0"/>
            </w:tcBorders>
            <w:noWrap w:val="0"/>
            <w:vAlign w:val="top"/>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ind w:left="-288" w:leftChars="-137"/>
              <w:jc w:val="center"/>
              <w:rPr>
                <w:color w:val="auto"/>
                <w:szCs w:val="21"/>
                <w:highlight w:val="none"/>
              </w:rPr>
            </w:pPr>
          </w:p>
        </w:tc>
        <w:tc>
          <w:tcPr>
            <w:tcW w:w="1980"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Cs w:val="21"/>
                <w:highlight w:val="none"/>
              </w:rPr>
            </w:pPr>
            <w:r>
              <w:rPr>
                <w:color w:val="auto"/>
                <w:szCs w:val="21"/>
                <w:highlight w:val="none"/>
              </w:rPr>
              <w:t>4</w:t>
            </w:r>
          </w:p>
        </w:tc>
        <w:tc>
          <w:tcPr>
            <w:tcW w:w="3004"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r>
              <w:rPr>
                <w:rFonts w:hint="eastAsia"/>
                <w:color w:val="auto"/>
                <w:szCs w:val="21"/>
                <w:highlight w:val="none"/>
              </w:rPr>
              <w:t>防坠器专项检测费</w:t>
            </w:r>
          </w:p>
        </w:tc>
        <w:tc>
          <w:tcPr>
            <w:tcW w:w="776" w:type="dxa"/>
            <w:tcBorders>
              <w:top w:val="single" w:color="auto" w:sz="4" w:space="0"/>
              <w:left w:val="nil"/>
              <w:bottom w:val="single" w:color="auto" w:sz="4" w:space="0"/>
              <w:right w:val="single" w:color="auto" w:sz="4" w:space="0"/>
            </w:tcBorders>
            <w:noWrap w:val="0"/>
            <w:vAlign w:val="center"/>
          </w:tcPr>
          <w:p>
            <w:pPr>
              <w:jc w:val="center"/>
              <w:rPr>
                <w:color w:val="auto"/>
                <w:szCs w:val="21"/>
                <w:highlight w:val="none"/>
              </w:rPr>
            </w:pPr>
            <w:r>
              <w:rPr>
                <w:rFonts w:hint="eastAsia"/>
                <w:color w:val="auto"/>
                <w:szCs w:val="21"/>
                <w:highlight w:val="none"/>
              </w:rPr>
              <w:t>元</w:t>
            </w:r>
          </w:p>
        </w:tc>
        <w:tc>
          <w:tcPr>
            <w:tcW w:w="1080" w:type="dxa"/>
            <w:tcBorders>
              <w:top w:val="single" w:color="auto" w:sz="4" w:space="0"/>
              <w:left w:val="nil"/>
              <w:bottom w:val="single" w:color="auto" w:sz="4" w:space="0"/>
              <w:right w:val="single" w:color="auto" w:sz="4" w:space="0"/>
            </w:tcBorders>
            <w:noWrap w:val="0"/>
            <w:vAlign w:val="top"/>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ind w:left="-288" w:leftChars="-137"/>
              <w:jc w:val="center"/>
              <w:rPr>
                <w:color w:val="auto"/>
                <w:szCs w:val="21"/>
                <w:highlight w:val="none"/>
              </w:rPr>
            </w:pPr>
          </w:p>
        </w:tc>
        <w:tc>
          <w:tcPr>
            <w:tcW w:w="1980"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Cs w:val="21"/>
                <w:highlight w:val="none"/>
              </w:rPr>
            </w:pPr>
            <w:r>
              <w:rPr>
                <w:color w:val="auto"/>
                <w:szCs w:val="21"/>
                <w:highlight w:val="none"/>
              </w:rPr>
              <w:t>5</w:t>
            </w:r>
          </w:p>
        </w:tc>
        <w:tc>
          <w:tcPr>
            <w:tcW w:w="3004"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r>
              <w:rPr>
                <w:rFonts w:hint="eastAsia"/>
                <w:color w:val="auto"/>
                <w:szCs w:val="21"/>
                <w:highlight w:val="none"/>
              </w:rPr>
              <w:t>其他安全检测</w:t>
            </w:r>
          </w:p>
        </w:tc>
        <w:tc>
          <w:tcPr>
            <w:tcW w:w="776" w:type="dxa"/>
            <w:tcBorders>
              <w:top w:val="single" w:color="auto" w:sz="4" w:space="0"/>
              <w:left w:val="nil"/>
              <w:bottom w:val="single" w:color="auto" w:sz="4" w:space="0"/>
              <w:right w:val="single" w:color="auto" w:sz="4" w:space="0"/>
            </w:tcBorders>
            <w:noWrap w:val="0"/>
            <w:vAlign w:val="center"/>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noWrap w:val="0"/>
            <w:vAlign w:val="top"/>
          </w:tcPr>
          <w:p>
            <w:pPr>
              <w:ind w:left="-288" w:leftChars="-137"/>
              <w:jc w:val="center"/>
              <w:rPr>
                <w:color w:val="auto"/>
                <w:szCs w:val="21"/>
                <w:highlight w:val="none"/>
              </w:rPr>
            </w:pPr>
          </w:p>
        </w:tc>
        <w:tc>
          <w:tcPr>
            <w:tcW w:w="1980" w:type="dxa"/>
            <w:tcBorders>
              <w:top w:val="single" w:color="auto" w:sz="4" w:space="0"/>
              <w:left w:val="nil"/>
              <w:bottom w:val="single" w:color="auto" w:sz="4" w:space="0"/>
              <w:right w:val="single" w:color="auto" w:sz="4" w:space="0"/>
            </w:tcBorders>
            <w:noWrap w:val="0"/>
            <w:vAlign w:val="center"/>
          </w:tcPr>
          <w:p>
            <w:pPr>
              <w:rPr>
                <w:color w:val="auto"/>
                <w:szCs w:val="21"/>
                <w:highlight w:val="none"/>
              </w:rPr>
            </w:pP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b/>
                <w:bCs/>
                <w:color w:val="auto"/>
                <w:szCs w:val="21"/>
                <w:highlight w:val="none"/>
              </w:rPr>
            </w:pPr>
            <w:r>
              <w:rPr>
                <w:rFonts w:hint="eastAsia"/>
                <w:b/>
                <w:bCs/>
                <w:color w:val="auto"/>
                <w:szCs w:val="21"/>
                <w:highlight w:val="none"/>
              </w:rPr>
              <w:t>（十）</w:t>
            </w:r>
          </w:p>
        </w:tc>
        <w:tc>
          <w:tcPr>
            <w:tcW w:w="3004" w:type="dxa"/>
            <w:tcBorders>
              <w:top w:val="single" w:color="auto" w:sz="4" w:space="0"/>
              <w:left w:val="nil"/>
              <w:bottom w:val="single" w:color="auto" w:sz="4" w:space="0"/>
              <w:right w:val="single" w:color="auto" w:sz="4" w:space="0"/>
            </w:tcBorders>
            <w:shd w:val="clear" w:color="auto" w:fill="FFFFFF"/>
            <w:noWrap w:val="0"/>
            <w:vAlign w:val="center"/>
          </w:tcPr>
          <w:p>
            <w:pPr>
              <w:rPr>
                <w:b/>
                <w:bCs/>
                <w:color w:val="auto"/>
                <w:szCs w:val="21"/>
                <w:highlight w:val="none"/>
              </w:rPr>
            </w:pPr>
            <w:r>
              <w:rPr>
                <w:rFonts w:hint="eastAsia"/>
                <w:b/>
                <w:bCs/>
                <w:color w:val="auto"/>
                <w:szCs w:val="21"/>
                <w:highlight w:val="none"/>
              </w:rPr>
              <w:t>安全教育培训</w:t>
            </w:r>
          </w:p>
        </w:tc>
        <w:tc>
          <w:tcPr>
            <w:tcW w:w="776"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r>
              <w:rPr>
                <w:rFonts w:hint="eastAsia"/>
                <w:color w:val="auto"/>
                <w:szCs w:val="21"/>
                <w:highlight w:val="none"/>
              </w:rPr>
              <w:t>元</w:t>
            </w:r>
          </w:p>
        </w:tc>
        <w:tc>
          <w:tcPr>
            <w:tcW w:w="1080" w:type="dxa"/>
            <w:tcBorders>
              <w:top w:val="single" w:color="auto" w:sz="4" w:space="0"/>
              <w:left w:val="nil"/>
              <w:bottom w:val="single" w:color="auto" w:sz="4" w:space="0"/>
              <w:right w:val="single" w:color="auto" w:sz="4" w:space="0"/>
            </w:tcBorders>
            <w:shd w:val="clear" w:color="auto" w:fill="FFFFFF"/>
            <w:noWrap w:val="0"/>
            <w:vAlign w:val="top"/>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top"/>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top"/>
          </w:tcPr>
          <w:p>
            <w:pPr>
              <w:ind w:left="-288" w:leftChars="-137"/>
              <w:jc w:val="center"/>
              <w:rPr>
                <w:color w:val="auto"/>
                <w:szCs w:val="21"/>
                <w:highlight w:val="none"/>
              </w:rPr>
            </w:pPr>
          </w:p>
        </w:tc>
        <w:tc>
          <w:tcPr>
            <w:tcW w:w="1980" w:type="dxa"/>
            <w:tcBorders>
              <w:top w:val="single" w:color="auto" w:sz="4" w:space="0"/>
              <w:left w:val="nil"/>
              <w:bottom w:val="single" w:color="auto" w:sz="4" w:space="0"/>
              <w:right w:val="single" w:color="auto" w:sz="4" w:space="0"/>
            </w:tcBorders>
            <w:shd w:val="clear" w:color="auto" w:fill="FFFFFF"/>
            <w:noWrap w:val="0"/>
            <w:vAlign w:val="center"/>
          </w:tcPr>
          <w:p>
            <w:pPr>
              <w:rPr>
                <w:color w:val="auto"/>
                <w:szCs w:val="21"/>
                <w:highlight w:val="none"/>
              </w:rPr>
            </w:pP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b/>
                <w:bCs/>
                <w:color w:val="auto"/>
                <w:szCs w:val="21"/>
                <w:highlight w:val="none"/>
              </w:rPr>
            </w:pPr>
            <w:r>
              <w:rPr>
                <w:rFonts w:hint="eastAsia"/>
                <w:b/>
                <w:bCs/>
                <w:color w:val="auto"/>
                <w:szCs w:val="21"/>
                <w:highlight w:val="none"/>
              </w:rPr>
              <w:t>（十一）</w:t>
            </w:r>
          </w:p>
        </w:tc>
        <w:tc>
          <w:tcPr>
            <w:tcW w:w="3004" w:type="dxa"/>
            <w:tcBorders>
              <w:top w:val="single" w:color="auto" w:sz="4" w:space="0"/>
              <w:left w:val="nil"/>
              <w:bottom w:val="single" w:color="auto" w:sz="4" w:space="0"/>
              <w:right w:val="single" w:color="auto" w:sz="4" w:space="0"/>
            </w:tcBorders>
            <w:shd w:val="clear" w:color="auto" w:fill="FFFFFF"/>
            <w:noWrap w:val="0"/>
            <w:vAlign w:val="center"/>
          </w:tcPr>
          <w:p>
            <w:pPr>
              <w:rPr>
                <w:b/>
                <w:bCs/>
                <w:color w:val="auto"/>
                <w:szCs w:val="21"/>
                <w:highlight w:val="none"/>
              </w:rPr>
            </w:pPr>
            <w:r>
              <w:rPr>
                <w:rFonts w:hint="eastAsia"/>
                <w:b/>
                <w:bCs/>
                <w:color w:val="auto"/>
                <w:szCs w:val="21"/>
                <w:highlight w:val="none"/>
              </w:rPr>
              <w:t>现场安全保卫</w:t>
            </w:r>
          </w:p>
        </w:tc>
        <w:tc>
          <w:tcPr>
            <w:tcW w:w="776"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r>
              <w:rPr>
                <w:rFonts w:hint="eastAsia"/>
                <w:color w:val="auto"/>
                <w:szCs w:val="21"/>
                <w:highlight w:val="none"/>
              </w:rPr>
              <w:t>元</w:t>
            </w:r>
          </w:p>
        </w:tc>
        <w:tc>
          <w:tcPr>
            <w:tcW w:w="1080" w:type="dxa"/>
            <w:tcBorders>
              <w:top w:val="single" w:color="auto" w:sz="4" w:space="0"/>
              <w:left w:val="nil"/>
              <w:bottom w:val="single" w:color="auto" w:sz="4" w:space="0"/>
              <w:right w:val="single" w:color="auto" w:sz="4" w:space="0"/>
            </w:tcBorders>
            <w:shd w:val="clear" w:color="auto" w:fill="FFFFFF"/>
            <w:noWrap w:val="0"/>
            <w:vAlign w:val="top"/>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top"/>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top"/>
          </w:tcPr>
          <w:p>
            <w:pPr>
              <w:ind w:left="-288" w:leftChars="-137"/>
              <w:jc w:val="center"/>
              <w:rPr>
                <w:color w:val="auto"/>
                <w:szCs w:val="21"/>
                <w:highlight w:val="none"/>
              </w:rPr>
            </w:pPr>
          </w:p>
        </w:tc>
        <w:tc>
          <w:tcPr>
            <w:tcW w:w="1980" w:type="dxa"/>
            <w:tcBorders>
              <w:top w:val="single" w:color="auto" w:sz="4" w:space="0"/>
              <w:left w:val="nil"/>
              <w:bottom w:val="single" w:color="auto" w:sz="4" w:space="0"/>
              <w:right w:val="single" w:color="auto" w:sz="4" w:space="0"/>
            </w:tcBorders>
            <w:shd w:val="clear" w:color="auto" w:fill="FFFFFF"/>
            <w:noWrap w:val="0"/>
            <w:vAlign w:val="center"/>
          </w:tcPr>
          <w:p>
            <w:pPr>
              <w:rPr>
                <w:color w:val="auto"/>
                <w:szCs w:val="21"/>
                <w:highlight w:val="none"/>
              </w:rPr>
            </w:pP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b/>
                <w:bCs/>
                <w:color w:val="auto"/>
                <w:szCs w:val="21"/>
                <w:highlight w:val="none"/>
              </w:rPr>
            </w:pPr>
            <w:r>
              <w:rPr>
                <w:rFonts w:hint="eastAsia"/>
                <w:b/>
                <w:bCs/>
                <w:color w:val="auto"/>
                <w:szCs w:val="21"/>
                <w:highlight w:val="none"/>
              </w:rPr>
              <w:t>（十二）</w:t>
            </w:r>
          </w:p>
        </w:tc>
        <w:tc>
          <w:tcPr>
            <w:tcW w:w="3004" w:type="dxa"/>
            <w:tcBorders>
              <w:top w:val="single" w:color="auto" w:sz="4" w:space="0"/>
              <w:left w:val="nil"/>
              <w:bottom w:val="single" w:color="auto" w:sz="4" w:space="0"/>
              <w:right w:val="single" w:color="auto" w:sz="4" w:space="0"/>
            </w:tcBorders>
            <w:shd w:val="clear" w:color="auto" w:fill="FFFFFF"/>
            <w:noWrap w:val="0"/>
            <w:vAlign w:val="center"/>
          </w:tcPr>
          <w:p>
            <w:pPr>
              <w:rPr>
                <w:b/>
                <w:bCs/>
                <w:color w:val="auto"/>
                <w:szCs w:val="21"/>
                <w:highlight w:val="none"/>
              </w:rPr>
            </w:pPr>
            <w:r>
              <w:rPr>
                <w:rFonts w:hint="eastAsia"/>
                <w:b/>
                <w:bCs/>
                <w:color w:val="auto"/>
                <w:szCs w:val="21"/>
                <w:highlight w:val="none"/>
              </w:rPr>
              <w:t>其他安全施工措施</w:t>
            </w:r>
          </w:p>
        </w:tc>
        <w:tc>
          <w:tcPr>
            <w:tcW w:w="776"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top"/>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top"/>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top"/>
          </w:tcPr>
          <w:p>
            <w:pPr>
              <w:ind w:left="-288" w:leftChars="-137"/>
              <w:jc w:val="center"/>
              <w:rPr>
                <w:color w:val="auto"/>
                <w:szCs w:val="21"/>
                <w:highlight w:val="none"/>
              </w:rPr>
            </w:pPr>
          </w:p>
        </w:tc>
        <w:tc>
          <w:tcPr>
            <w:tcW w:w="1980" w:type="dxa"/>
            <w:tcBorders>
              <w:top w:val="single" w:color="auto" w:sz="4" w:space="0"/>
              <w:left w:val="nil"/>
              <w:bottom w:val="single" w:color="auto" w:sz="4" w:space="0"/>
              <w:right w:val="single" w:color="auto" w:sz="4" w:space="0"/>
            </w:tcBorders>
            <w:shd w:val="clear" w:color="auto" w:fill="FFFFFF"/>
            <w:noWrap w:val="0"/>
            <w:vAlign w:val="center"/>
          </w:tcPr>
          <w:p>
            <w:pPr>
              <w:rPr>
                <w:color w:val="auto"/>
                <w:szCs w:val="21"/>
                <w:highlight w:val="none"/>
              </w:rPr>
            </w:pP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黑体" w:eastAsia="黑体"/>
                <w:b/>
                <w:bCs/>
                <w:color w:val="auto"/>
                <w:szCs w:val="21"/>
                <w:highlight w:val="none"/>
              </w:rPr>
            </w:pPr>
            <w:r>
              <w:rPr>
                <w:rFonts w:hint="eastAsia" w:ascii="黑体" w:eastAsia="黑体"/>
                <w:b/>
                <w:bCs/>
                <w:color w:val="auto"/>
                <w:szCs w:val="21"/>
                <w:highlight w:val="none"/>
              </w:rPr>
              <w:t>二</w:t>
            </w:r>
          </w:p>
        </w:tc>
        <w:tc>
          <w:tcPr>
            <w:tcW w:w="3004" w:type="dxa"/>
            <w:tcBorders>
              <w:top w:val="single" w:color="auto" w:sz="4" w:space="0"/>
              <w:left w:val="nil"/>
              <w:bottom w:val="single" w:color="auto" w:sz="4" w:space="0"/>
              <w:right w:val="single" w:color="auto" w:sz="4" w:space="0"/>
            </w:tcBorders>
            <w:shd w:val="clear" w:color="auto" w:fill="FFFFFF"/>
            <w:noWrap w:val="0"/>
            <w:vAlign w:val="center"/>
          </w:tcPr>
          <w:p>
            <w:pPr>
              <w:jc w:val="center"/>
              <w:rPr>
                <w:rFonts w:ascii="黑体" w:eastAsia="黑体"/>
                <w:b/>
                <w:bCs/>
                <w:color w:val="auto"/>
                <w:szCs w:val="21"/>
                <w:highlight w:val="none"/>
              </w:rPr>
            </w:pPr>
            <w:r>
              <w:rPr>
                <w:rFonts w:hint="eastAsia" w:ascii="黑体" w:eastAsia="黑体"/>
                <w:b/>
                <w:bCs/>
                <w:color w:val="auto"/>
                <w:szCs w:val="21"/>
                <w:highlight w:val="none"/>
              </w:rPr>
              <w:t>文明施工措施项目</w:t>
            </w:r>
          </w:p>
        </w:tc>
        <w:tc>
          <w:tcPr>
            <w:tcW w:w="776"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top"/>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top"/>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top"/>
          </w:tcPr>
          <w:p>
            <w:pPr>
              <w:ind w:left="-288" w:leftChars="-137"/>
              <w:jc w:val="center"/>
              <w:rPr>
                <w:color w:val="auto"/>
                <w:szCs w:val="21"/>
                <w:highlight w:val="none"/>
              </w:rPr>
            </w:pPr>
          </w:p>
        </w:tc>
        <w:tc>
          <w:tcPr>
            <w:tcW w:w="1980" w:type="dxa"/>
            <w:tcBorders>
              <w:top w:val="single" w:color="auto" w:sz="4" w:space="0"/>
              <w:left w:val="nil"/>
              <w:bottom w:val="single" w:color="auto" w:sz="4" w:space="0"/>
              <w:right w:val="single" w:color="auto" w:sz="4" w:space="0"/>
            </w:tcBorders>
            <w:shd w:val="clear" w:color="auto" w:fill="FFFFFF"/>
            <w:noWrap w:val="0"/>
            <w:vAlign w:val="center"/>
          </w:tcPr>
          <w:p>
            <w:pPr>
              <w:rPr>
                <w:color w:val="auto"/>
                <w:szCs w:val="21"/>
                <w:highlight w:val="none"/>
              </w:rPr>
            </w:pP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auto"/>
                <w:szCs w:val="21"/>
                <w:highlight w:val="none"/>
              </w:rPr>
            </w:pPr>
            <w:r>
              <w:rPr>
                <w:color w:val="auto"/>
                <w:szCs w:val="21"/>
                <w:highlight w:val="none"/>
              </w:rPr>
              <w:t>1</w:t>
            </w:r>
          </w:p>
        </w:tc>
        <w:tc>
          <w:tcPr>
            <w:tcW w:w="3004" w:type="dxa"/>
            <w:tcBorders>
              <w:top w:val="single" w:color="auto" w:sz="4" w:space="0"/>
              <w:left w:val="nil"/>
              <w:bottom w:val="single" w:color="auto" w:sz="4" w:space="0"/>
              <w:right w:val="single" w:color="auto" w:sz="4" w:space="0"/>
            </w:tcBorders>
            <w:shd w:val="clear" w:color="auto" w:fill="FFFFFF"/>
            <w:noWrap w:val="0"/>
            <w:vAlign w:val="center"/>
          </w:tcPr>
          <w:p>
            <w:pPr>
              <w:rPr>
                <w:color w:val="auto"/>
                <w:szCs w:val="21"/>
                <w:highlight w:val="none"/>
              </w:rPr>
            </w:pPr>
            <w:r>
              <w:rPr>
                <w:rFonts w:hint="eastAsia"/>
                <w:color w:val="auto"/>
                <w:szCs w:val="21"/>
                <w:highlight w:val="none"/>
              </w:rPr>
              <w:t>围墙</w:t>
            </w:r>
          </w:p>
        </w:tc>
        <w:tc>
          <w:tcPr>
            <w:tcW w:w="776"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r>
              <w:rPr>
                <w:color w:val="auto"/>
                <w:szCs w:val="21"/>
                <w:highlight w:val="none"/>
              </w:rPr>
              <w:t>m</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ind w:left="-288" w:leftChars="-137"/>
              <w:jc w:val="center"/>
              <w:rPr>
                <w:color w:val="auto"/>
                <w:szCs w:val="21"/>
                <w:highlight w:val="none"/>
              </w:rPr>
            </w:pPr>
          </w:p>
        </w:tc>
        <w:tc>
          <w:tcPr>
            <w:tcW w:w="1980" w:type="dxa"/>
            <w:tcBorders>
              <w:top w:val="single" w:color="auto" w:sz="4" w:space="0"/>
              <w:left w:val="nil"/>
              <w:bottom w:val="single" w:color="auto" w:sz="4" w:space="0"/>
              <w:right w:val="single" w:color="auto" w:sz="4" w:space="0"/>
            </w:tcBorders>
            <w:shd w:val="clear" w:color="auto" w:fill="FFFFFF"/>
            <w:noWrap w:val="0"/>
            <w:vAlign w:val="center"/>
          </w:tcPr>
          <w:p>
            <w:pPr>
              <w:rPr>
                <w:color w:val="auto"/>
                <w:szCs w:val="21"/>
                <w:highlight w:val="none"/>
              </w:rPr>
            </w:pPr>
            <w:r>
              <w:rPr>
                <w:rFonts w:hint="eastAsia"/>
                <w:color w:val="auto"/>
                <w:szCs w:val="21"/>
                <w:highlight w:val="none"/>
              </w:rPr>
              <w:t>按标准设置</w:t>
            </w: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auto"/>
                <w:szCs w:val="21"/>
                <w:highlight w:val="none"/>
              </w:rPr>
            </w:pPr>
            <w:r>
              <w:rPr>
                <w:color w:val="auto"/>
                <w:szCs w:val="21"/>
                <w:highlight w:val="none"/>
              </w:rPr>
              <w:t>2</w:t>
            </w:r>
          </w:p>
        </w:tc>
        <w:tc>
          <w:tcPr>
            <w:tcW w:w="3004" w:type="dxa"/>
            <w:tcBorders>
              <w:top w:val="single" w:color="auto" w:sz="4" w:space="0"/>
              <w:left w:val="nil"/>
              <w:bottom w:val="single" w:color="auto" w:sz="4" w:space="0"/>
              <w:right w:val="single" w:color="auto" w:sz="4" w:space="0"/>
            </w:tcBorders>
            <w:shd w:val="clear" w:color="auto" w:fill="FFFFFF"/>
            <w:noWrap w:val="0"/>
            <w:vAlign w:val="center"/>
          </w:tcPr>
          <w:p>
            <w:pPr>
              <w:rPr>
                <w:color w:val="auto"/>
                <w:szCs w:val="21"/>
                <w:highlight w:val="none"/>
              </w:rPr>
            </w:pPr>
            <w:r>
              <w:rPr>
                <w:rFonts w:hint="eastAsia"/>
                <w:color w:val="auto"/>
                <w:szCs w:val="21"/>
                <w:highlight w:val="none"/>
              </w:rPr>
              <w:t>大门、门楼</w:t>
            </w:r>
          </w:p>
        </w:tc>
        <w:tc>
          <w:tcPr>
            <w:tcW w:w="776"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r>
              <w:rPr>
                <w:rFonts w:hint="eastAsia"/>
                <w:color w:val="auto"/>
                <w:szCs w:val="21"/>
                <w:highlight w:val="none"/>
              </w:rPr>
              <w:t>块</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ind w:left="-288" w:leftChars="-137"/>
              <w:jc w:val="center"/>
              <w:rPr>
                <w:color w:val="auto"/>
                <w:szCs w:val="21"/>
                <w:highlight w:val="none"/>
              </w:rPr>
            </w:pPr>
          </w:p>
        </w:tc>
        <w:tc>
          <w:tcPr>
            <w:tcW w:w="1980" w:type="dxa"/>
            <w:tcBorders>
              <w:top w:val="single" w:color="auto" w:sz="4" w:space="0"/>
              <w:left w:val="nil"/>
              <w:bottom w:val="single" w:color="auto" w:sz="4" w:space="0"/>
              <w:right w:val="single" w:color="auto" w:sz="4" w:space="0"/>
            </w:tcBorders>
            <w:shd w:val="clear" w:color="auto" w:fill="FFFFFF"/>
            <w:noWrap w:val="0"/>
            <w:vAlign w:val="center"/>
          </w:tcPr>
          <w:p>
            <w:pPr>
              <w:rPr>
                <w:color w:val="auto"/>
                <w:szCs w:val="21"/>
                <w:highlight w:val="none"/>
              </w:rPr>
            </w:pP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auto"/>
                <w:szCs w:val="21"/>
                <w:highlight w:val="none"/>
              </w:rPr>
            </w:pPr>
            <w:r>
              <w:rPr>
                <w:color w:val="auto"/>
                <w:szCs w:val="21"/>
                <w:highlight w:val="none"/>
              </w:rPr>
              <w:t>3</w:t>
            </w:r>
          </w:p>
        </w:tc>
        <w:tc>
          <w:tcPr>
            <w:tcW w:w="3004" w:type="dxa"/>
            <w:tcBorders>
              <w:top w:val="single" w:color="auto" w:sz="4" w:space="0"/>
              <w:left w:val="nil"/>
              <w:bottom w:val="single" w:color="auto" w:sz="4" w:space="0"/>
              <w:right w:val="single" w:color="auto" w:sz="4" w:space="0"/>
            </w:tcBorders>
            <w:shd w:val="clear" w:color="auto" w:fill="FFFFFF"/>
            <w:noWrap w:val="0"/>
            <w:vAlign w:val="center"/>
          </w:tcPr>
          <w:p>
            <w:pPr>
              <w:rPr>
                <w:color w:val="auto"/>
                <w:szCs w:val="21"/>
                <w:highlight w:val="none"/>
              </w:rPr>
            </w:pPr>
            <w:r>
              <w:rPr>
                <w:rFonts w:hint="eastAsia"/>
                <w:color w:val="auto"/>
                <w:szCs w:val="21"/>
                <w:highlight w:val="none"/>
              </w:rPr>
              <w:t>标牌</w:t>
            </w:r>
          </w:p>
        </w:tc>
        <w:tc>
          <w:tcPr>
            <w:tcW w:w="776"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r>
              <w:rPr>
                <w:rFonts w:hint="eastAsia"/>
                <w:color w:val="auto"/>
                <w:szCs w:val="21"/>
                <w:highlight w:val="none"/>
              </w:rPr>
              <w:t>块</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ind w:left="-288" w:leftChars="-137"/>
              <w:jc w:val="center"/>
              <w:rPr>
                <w:color w:val="auto"/>
                <w:szCs w:val="21"/>
                <w:highlight w:val="none"/>
              </w:rPr>
            </w:pPr>
          </w:p>
        </w:tc>
        <w:tc>
          <w:tcPr>
            <w:tcW w:w="1980" w:type="dxa"/>
            <w:tcBorders>
              <w:top w:val="single" w:color="auto" w:sz="4" w:space="0"/>
              <w:left w:val="nil"/>
              <w:bottom w:val="single" w:color="auto" w:sz="4" w:space="0"/>
              <w:right w:val="single" w:color="auto" w:sz="4" w:space="0"/>
            </w:tcBorders>
            <w:shd w:val="clear" w:color="auto" w:fill="FFFFFF"/>
            <w:noWrap w:val="0"/>
            <w:vAlign w:val="center"/>
          </w:tcPr>
          <w:p>
            <w:pPr>
              <w:rPr>
                <w:color w:val="auto"/>
                <w:szCs w:val="21"/>
                <w:highlight w:val="none"/>
              </w:rPr>
            </w:pP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auto"/>
                <w:szCs w:val="21"/>
                <w:highlight w:val="none"/>
              </w:rPr>
            </w:pPr>
            <w:r>
              <w:rPr>
                <w:color w:val="auto"/>
                <w:szCs w:val="21"/>
                <w:highlight w:val="none"/>
              </w:rPr>
              <w:t>4</w:t>
            </w:r>
          </w:p>
        </w:tc>
        <w:tc>
          <w:tcPr>
            <w:tcW w:w="3004" w:type="dxa"/>
            <w:tcBorders>
              <w:top w:val="single" w:color="auto" w:sz="4" w:space="0"/>
              <w:left w:val="nil"/>
              <w:bottom w:val="single" w:color="auto" w:sz="4" w:space="0"/>
              <w:right w:val="single" w:color="auto" w:sz="4" w:space="0"/>
            </w:tcBorders>
            <w:shd w:val="clear" w:color="auto" w:fill="FFFFFF"/>
            <w:noWrap w:val="0"/>
            <w:vAlign w:val="center"/>
          </w:tcPr>
          <w:p>
            <w:pPr>
              <w:rPr>
                <w:color w:val="auto"/>
                <w:szCs w:val="21"/>
                <w:highlight w:val="none"/>
              </w:rPr>
            </w:pPr>
            <w:r>
              <w:rPr>
                <w:rFonts w:hint="eastAsia"/>
                <w:color w:val="auto"/>
                <w:szCs w:val="21"/>
                <w:highlight w:val="none"/>
              </w:rPr>
              <w:t>效果图</w:t>
            </w:r>
          </w:p>
        </w:tc>
        <w:tc>
          <w:tcPr>
            <w:tcW w:w="776"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r>
              <w:rPr>
                <w:rFonts w:hint="eastAsia"/>
                <w:color w:val="auto"/>
                <w:szCs w:val="21"/>
                <w:highlight w:val="none"/>
              </w:rPr>
              <w:t>块</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ind w:left="-288" w:leftChars="-137"/>
              <w:jc w:val="center"/>
              <w:rPr>
                <w:color w:val="auto"/>
                <w:szCs w:val="21"/>
                <w:highlight w:val="none"/>
              </w:rPr>
            </w:pPr>
          </w:p>
        </w:tc>
        <w:tc>
          <w:tcPr>
            <w:tcW w:w="1980" w:type="dxa"/>
            <w:tcBorders>
              <w:top w:val="single" w:color="auto" w:sz="4" w:space="0"/>
              <w:left w:val="nil"/>
              <w:bottom w:val="single" w:color="auto" w:sz="4" w:space="0"/>
              <w:right w:val="single" w:color="auto" w:sz="4" w:space="0"/>
            </w:tcBorders>
            <w:shd w:val="clear" w:color="auto" w:fill="FFFFFF"/>
            <w:noWrap w:val="0"/>
            <w:vAlign w:val="center"/>
          </w:tcPr>
          <w:p>
            <w:pPr>
              <w:rPr>
                <w:color w:val="auto"/>
                <w:szCs w:val="21"/>
                <w:highlight w:val="none"/>
              </w:rPr>
            </w:pP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auto"/>
                <w:szCs w:val="21"/>
                <w:highlight w:val="none"/>
              </w:rPr>
            </w:pPr>
            <w:r>
              <w:rPr>
                <w:color w:val="auto"/>
                <w:szCs w:val="21"/>
                <w:highlight w:val="none"/>
              </w:rPr>
              <w:t>5</w:t>
            </w:r>
          </w:p>
        </w:tc>
        <w:tc>
          <w:tcPr>
            <w:tcW w:w="3004" w:type="dxa"/>
            <w:tcBorders>
              <w:top w:val="single" w:color="auto" w:sz="4" w:space="0"/>
              <w:left w:val="nil"/>
              <w:bottom w:val="single" w:color="auto" w:sz="4" w:space="0"/>
              <w:right w:val="single" w:color="auto" w:sz="4" w:space="0"/>
            </w:tcBorders>
            <w:shd w:val="clear" w:color="auto" w:fill="FFFFFF"/>
            <w:noWrap w:val="0"/>
            <w:vAlign w:val="center"/>
          </w:tcPr>
          <w:p>
            <w:pPr>
              <w:rPr>
                <w:color w:val="auto"/>
                <w:szCs w:val="21"/>
                <w:highlight w:val="none"/>
              </w:rPr>
            </w:pPr>
            <w:r>
              <w:rPr>
                <w:rFonts w:hint="eastAsia"/>
                <w:color w:val="auto"/>
                <w:szCs w:val="21"/>
                <w:highlight w:val="none"/>
              </w:rPr>
              <w:t>彩钢板围档</w:t>
            </w:r>
          </w:p>
        </w:tc>
        <w:tc>
          <w:tcPr>
            <w:tcW w:w="776"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r>
              <w:rPr>
                <w:color w:val="auto"/>
                <w:szCs w:val="21"/>
                <w:highlight w:val="none"/>
              </w:rPr>
              <w:t>m</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ind w:left="-288" w:leftChars="-137"/>
              <w:jc w:val="center"/>
              <w:rPr>
                <w:color w:val="auto"/>
                <w:szCs w:val="21"/>
                <w:highlight w:val="none"/>
              </w:rPr>
            </w:pPr>
          </w:p>
        </w:tc>
        <w:tc>
          <w:tcPr>
            <w:tcW w:w="1980" w:type="dxa"/>
            <w:tcBorders>
              <w:top w:val="single" w:color="auto" w:sz="4" w:space="0"/>
              <w:left w:val="nil"/>
              <w:bottom w:val="single" w:color="auto" w:sz="4" w:space="0"/>
              <w:right w:val="single" w:color="auto" w:sz="4" w:space="0"/>
            </w:tcBorders>
            <w:shd w:val="clear" w:color="auto" w:fill="FFFFFF"/>
            <w:noWrap w:val="0"/>
            <w:vAlign w:val="center"/>
          </w:tcPr>
          <w:p>
            <w:pPr>
              <w:rPr>
                <w:color w:val="auto"/>
                <w:szCs w:val="21"/>
                <w:highlight w:val="none"/>
              </w:rPr>
            </w:pPr>
            <w:r>
              <w:rPr>
                <w:rFonts w:hint="eastAsia"/>
                <w:color w:val="auto"/>
                <w:szCs w:val="21"/>
                <w:highlight w:val="none"/>
              </w:rPr>
              <w:t>按标准设置</w:t>
            </w: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auto"/>
                <w:szCs w:val="21"/>
                <w:highlight w:val="none"/>
              </w:rPr>
            </w:pPr>
            <w:r>
              <w:rPr>
                <w:color w:val="auto"/>
                <w:szCs w:val="21"/>
                <w:highlight w:val="none"/>
              </w:rPr>
              <w:t>6</w:t>
            </w:r>
          </w:p>
        </w:tc>
        <w:tc>
          <w:tcPr>
            <w:tcW w:w="3004" w:type="dxa"/>
            <w:tcBorders>
              <w:top w:val="single" w:color="auto" w:sz="4" w:space="0"/>
              <w:left w:val="nil"/>
              <w:bottom w:val="single" w:color="auto" w:sz="4" w:space="0"/>
              <w:right w:val="single" w:color="auto" w:sz="4" w:space="0"/>
            </w:tcBorders>
            <w:shd w:val="clear" w:color="auto" w:fill="FFFFFF"/>
            <w:noWrap w:val="0"/>
            <w:vAlign w:val="center"/>
          </w:tcPr>
          <w:p>
            <w:pPr>
              <w:rPr>
                <w:color w:val="auto"/>
                <w:szCs w:val="21"/>
                <w:highlight w:val="none"/>
              </w:rPr>
            </w:pPr>
            <w:r>
              <w:rPr>
                <w:rFonts w:hint="eastAsia"/>
                <w:color w:val="auto"/>
                <w:szCs w:val="21"/>
                <w:highlight w:val="none"/>
              </w:rPr>
              <w:t>地坪硬化</w:t>
            </w:r>
          </w:p>
        </w:tc>
        <w:tc>
          <w:tcPr>
            <w:tcW w:w="776"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r>
              <w:rPr>
                <w:color w:val="auto"/>
                <w:szCs w:val="21"/>
                <w:highlight w:val="none"/>
              </w:rPr>
              <w:t>m</w:t>
            </w:r>
            <w:r>
              <w:rPr>
                <w:color w:val="auto"/>
                <w:szCs w:val="21"/>
                <w:highlight w:val="none"/>
                <w:vertAlign w:val="superscript"/>
              </w:rPr>
              <w:t>2</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p>
        </w:tc>
        <w:tc>
          <w:tcPr>
            <w:tcW w:w="1980" w:type="dxa"/>
            <w:tcBorders>
              <w:top w:val="single" w:color="auto" w:sz="4" w:space="0"/>
              <w:left w:val="nil"/>
              <w:bottom w:val="single" w:color="auto" w:sz="4" w:space="0"/>
              <w:right w:val="single" w:color="auto" w:sz="4" w:space="0"/>
            </w:tcBorders>
            <w:shd w:val="clear" w:color="auto" w:fill="FFFFFF"/>
            <w:noWrap w:val="0"/>
            <w:vAlign w:val="center"/>
          </w:tcPr>
          <w:p>
            <w:pPr>
              <w:rPr>
                <w:color w:val="auto"/>
                <w:szCs w:val="21"/>
                <w:highlight w:val="none"/>
              </w:rPr>
            </w:pP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auto"/>
                <w:szCs w:val="21"/>
                <w:highlight w:val="none"/>
              </w:rPr>
            </w:pPr>
            <w:r>
              <w:rPr>
                <w:color w:val="auto"/>
                <w:szCs w:val="21"/>
                <w:highlight w:val="none"/>
              </w:rPr>
              <w:t>7</w:t>
            </w:r>
          </w:p>
        </w:tc>
        <w:tc>
          <w:tcPr>
            <w:tcW w:w="3004" w:type="dxa"/>
            <w:tcBorders>
              <w:top w:val="single" w:color="auto" w:sz="4" w:space="0"/>
              <w:left w:val="nil"/>
              <w:bottom w:val="single" w:color="auto" w:sz="4" w:space="0"/>
              <w:right w:val="single" w:color="auto" w:sz="4" w:space="0"/>
            </w:tcBorders>
            <w:shd w:val="clear" w:color="auto" w:fill="FFFFFF"/>
            <w:noWrap w:val="0"/>
            <w:vAlign w:val="center"/>
          </w:tcPr>
          <w:p>
            <w:pPr>
              <w:rPr>
                <w:color w:val="auto"/>
                <w:szCs w:val="21"/>
                <w:highlight w:val="none"/>
              </w:rPr>
            </w:pPr>
            <w:r>
              <w:rPr>
                <w:rFonts w:hint="eastAsia"/>
                <w:color w:val="auto"/>
                <w:szCs w:val="21"/>
                <w:highlight w:val="none"/>
              </w:rPr>
              <w:t>其他文明施工措施</w:t>
            </w:r>
          </w:p>
        </w:tc>
        <w:tc>
          <w:tcPr>
            <w:tcW w:w="776"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p>
        </w:tc>
        <w:tc>
          <w:tcPr>
            <w:tcW w:w="1980" w:type="dxa"/>
            <w:tcBorders>
              <w:top w:val="single" w:color="auto" w:sz="4" w:space="0"/>
              <w:left w:val="nil"/>
              <w:bottom w:val="single" w:color="auto" w:sz="4" w:space="0"/>
              <w:right w:val="single" w:color="auto" w:sz="4" w:space="0"/>
            </w:tcBorders>
            <w:shd w:val="clear" w:color="auto" w:fill="FFFFFF"/>
            <w:noWrap w:val="0"/>
            <w:vAlign w:val="center"/>
          </w:tcPr>
          <w:p>
            <w:pPr>
              <w:rPr>
                <w:color w:val="auto"/>
                <w:szCs w:val="21"/>
                <w:highlight w:val="none"/>
              </w:rPr>
            </w:pPr>
          </w:p>
        </w:tc>
      </w:tr>
      <w:tr>
        <w:tblPrEx>
          <w:tblCellMar>
            <w:top w:w="0" w:type="dxa"/>
            <w:left w:w="108" w:type="dxa"/>
            <w:bottom w:w="0" w:type="dxa"/>
            <w:right w:w="108" w:type="dxa"/>
          </w:tblCellMar>
        </w:tblPrEx>
        <w:trPr>
          <w:trHeight w:val="511" w:hRule="atLeast"/>
        </w:trPr>
        <w:tc>
          <w:tcPr>
            <w:tcW w:w="11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黑体" w:eastAsia="黑体"/>
                <w:b/>
                <w:bCs/>
                <w:color w:val="auto"/>
                <w:szCs w:val="21"/>
                <w:highlight w:val="none"/>
              </w:rPr>
            </w:pPr>
            <w:r>
              <w:rPr>
                <w:rFonts w:hint="eastAsia" w:ascii="黑体" w:eastAsia="黑体"/>
                <w:b/>
                <w:bCs/>
                <w:color w:val="auto"/>
                <w:szCs w:val="21"/>
                <w:highlight w:val="none"/>
              </w:rPr>
              <w:t>三</w:t>
            </w:r>
          </w:p>
        </w:tc>
        <w:tc>
          <w:tcPr>
            <w:tcW w:w="3004" w:type="dxa"/>
            <w:tcBorders>
              <w:top w:val="single" w:color="auto" w:sz="4" w:space="0"/>
              <w:left w:val="nil"/>
              <w:bottom w:val="single" w:color="auto" w:sz="4" w:space="0"/>
              <w:right w:val="single" w:color="auto" w:sz="4" w:space="0"/>
            </w:tcBorders>
            <w:shd w:val="clear" w:color="auto" w:fill="FFFFFF"/>
            <w:noWrap w:val="0"/>
            <w:vAlign w:val="center"/>
          </w:tcPr>
          <w:p>
            <w:pPr>
              <w:jc w:val="center"/>
              <w:rPr>
                <w:rFonts w:ascii="黑体" w:eastAsia="黑体"/>
                <w:b/>
                <w:bCs/>
                <w:color w:val="auto"/>
                <w:szCs w:val="21"/>
                <w:highlight w:val="none"/>
              </w:rPr>
            </w:pPr>
            <w:r>
              <w:rPr>
                <w:rFonts w:hint="eastAsia" w:ascii="黑体" w:eastAsia="黑体"/>
                <w:b/>
                <w:bCs/>
                <w:color w:val="auto"/>
                <w:szCs w:val="21"/>
                <w:highlight w:val="none"/>
              </w:rPr>
              <w:t>环境保护措施项目</w:t>
            </w:r>
          </w:p>
        </w:tc>
        <w:tc>
          <w:tcPr>
            <w:tcW w:w="776"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top"/>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top"/>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top"/>
          </w:tcPr>
          <w:p>
            <w:pPr>
              <w:ind w:left="-288" w:leftChars="-137"/>
              <w:jc w:val="center"/>
              <w:rPr>
                <w:color w:val="auto"/>
                <w:szCs w:val="21"/>
                <w:highlight w:val="none"/>
              </w:rPr>
            </w:pPr>
          </w:p>
        </w:tc>
        <w:tc>
          <w:tcPr>
            <w:tcW w:w="1980" w:type="dxa"/>
            <w:tcBorders>
              <w:top w:val="single" w:color="auto" w:sz="4" w:space="0"/>
              <w:left w:val="nil"/>
              <w:bottom w:val="single" w:color="auto" w:sz="4" w:space="0"/>
              <w:right w:val="single" w:color="auto" w:sz="4" w:space="0"/>
            </w:tcBorders>
            <w:shd w:val="clear" w:color="auto" w:fill="FFFFFF"/>
            <w:noWrap w:val="0"/>
            <w:vAlign w:val="center"/>
          </w:tcPr>
          <w:p>
            <w:pPr>
              <w:rPr>
                <w:color w:val="auto"/>
                <w:szCs w:val="21"/>
                <w:highlight w:val="none"/>
              </w:rPr>
            </w:pPr>
            <w:r>
              <w:rPr>
                <w:rFonts w:hint="eastAsia"/>
                <w:color w:val="auto"/>
                <w:szCs w:val="21"/>
                <w:highlight w:val="none"/>
              </w:rPr>
              <w:t>含扬尘污染防治措施</w:t>
            </w: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auto"/>
                <w:szCs w:val="21"/>
                <w:highlight w:val="none"/>
              </w:rPr>
            </w:pPr>
            <w:r>
              <w:rPr>
                <w:color w:val="auto"/>
                <w:szCs w:val="21"/>
                <w:highlight w:val="none"/>
              </w:rPr>
              <w:t>1</w:t>
            </w:r>
          </w:p>
        </w:tc>
        <w:tc>
          <w:tcPr>
            <w:tcW w:w="3004" w:type="dxa"/>
            <w:tcBorders>
              <w:top w:val="single" w:color="auto" w:sz="4" w:space="0"/>
              <w:left w:val="nil"/>
              <w:bottom w:val="single" w:color="auto" w:sz="4" w:space="0"/>
              <w:right w:val="single" w:color="auto" w:sz="4" w:space="0"/>
            </w:tcBorders>
            <w:shd w:val="clear" w:color="auto" w:fill="FFFFFF"/>
            <w:noWrap w:val="0"/>
            <w:vAlign w:val="center"/>
          </w:tcPr>
          <w:p>
            <w:pPr>
              <w:rPr>
                <w:color w:val="auto"/>
                <w:szCs w:val="21"/>
                <w:highlight w:val="none"/>
              </w:rPr>
            </w:pPr>
            <w:r>
              <w:rPr>
                <w:rFonts w:hint="eastAsia"/>
                <w:color w:val="auto"/>
                <w:szCs w:val="21"/>
                <w:highlight w:val="none"/>
              </w:rPr>
              <w:t>现场绿化</w:t>
            </w:r>
          </w:p>
        </w:tc>
        <w:tc>
          <w:tcPr>
            <w:tcW w:w="776"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r>
              <w:rPr>
                <w:color w:val="auto"/>
                <w:szCs w:val="21"/>
                <w:highlight w:val="none"/>
              </w:rPr>
              <w:t>m</w:t>
            </w:r>
            <w:r>
              <w:rPr>
                <w:color w:val="auto"/>
                <w:szCs w:val="21"/>
                <w:highlight w:val="none"/>
                <w:vertAlign w:val="superscript"/>
              </w:rPr>
              <w:t>2</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ind w:left="-288" w:leftChars="-137"/>
              <w:jc w:val="center"/>
              <w:rPr>
                <w:color w:val="auto"/>
                <w:szCs w:val="21"/>
                <w:highlight w:val="none"/>
              </w:rPr>
            </w:pPr>
          </w:p>
        </w:tc>
        <w:tc>
          <w:tcPr>
            <w:tcW w:w="1980" w:type="dxa"/>
            <w:tcBorders>
              <w:top w:val="single" w:color="auto" w:sz="4" w:space="0"/>
              <w:left w:val="nil"/>
              <w:bottom w:val="single" w:color="auto" w:sz="4" w:space="0"/>
              <w:right w:val="single" w:color="auto" w:sz="4" w:space="0"/>
            </w:tcBorders>
            <w:shd w:val="clear" w:color="auto" w:fill="FFFFFF"/>
            <w:noWrap w:val="0"/>
            <w:vAlign w:val="center"/>
          </w:tcPr>
          <w:p>
            <w:pPr>
              <w:rPr>
                <w:color w:val="auto"/>
                <w:szCs w:val="21"/>
                <w:highlight w:val="none"/>
              </w:rPr>
            </w:pP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auto"/>
                <w:szCs w:val="21"/>
                <w:highlight w:val="none"/>
              </w:rPr>
            </w:pPr>
            <w:r>
              <w:rPr>
                <w:color w:val="auto"/>
                <w:szCs w:val="21"/>
                <w:highlight w:val="none"/>
              </w:rPr>
              <w:t>2</w:t>
            </w:r>
          </w:p>
        </w:tc>
        <w:tc>
          <w:tcPr>
            <w:tcW w:w="3004" w:type="dxa"/>
            <w:tcBorders>
              <w:top w:val="single" w:color="auto" w:sz="4" w:space="0"/>
              <w:left w:val="nil"/>
              <w:bottom w:val="single" w:color="auto" w:sz="4" w:space="0"/>
              <w:right w:val="single" w:color="auto" w:sz="4" w:space="0"/>
            </w:tcBorders>
            <w:shd w:val="clear" w:color="auto" w:fill="FFFFFF"/>
            <w:noWrap w:val="0"/>
            <w:vAlign w:val="center"/>
          </w:tcPr>
          <w:p>
            <w:pPr>
              <w:rPr>
                <w:color w:val="auto"/>
                <w:szCs w:val="21"/>
                <w:highlight w:val="none"/>
              </w:rPr>
            </w:pPr>
            <w:r>
              <w:rPr>
                <w:rFonts w:hint="eastAsia"/>
                <w:color w:val="auto"/>
                <w:szCs w:val="21"/>
                <w:highlight w:val="none"/>
              </w:rPr>
              <w:t>防尘网布</w:t>
            </w:r>
          </w:p>
        </w:tc>
        <w:tc>
          <w:tcPr>
            <w:tcW w:w="776"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r>
              <w:rPr>
                <w:color w:val="auto"/>
                <w:szCs w:val="21"/>
                <w:highlight w:val="none"/>
              </w:rPr>
              <w:t>m</w:t>
            </w:r>
            <w:r>
              <w:rPr>
                <w:color w:val="auto"/>
                <w:szCs w:val="21"/>
                <w:highlight w:val="none"/>
                <w:vertAlign w:val="superscript"/>
              </w:rPr>
              <w:t>2</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ind w:left="-288" w:leftChars="-137"/>
              <w:jc w:val="center"/>
              <w:rPr>
                <w:color w:val="auto"/>
                <w:szCs w:val="21"/>
                <w:highlight w:val="none"/>
              </w:rPr>
            </w:pPr>
          </w:p>
        </w:tc>
        <w:tc>
          <w:tcPr>
            <w:tcW w:w="1980" w:type="dxa"/>
            <w:tcBorders>
              <w:top w:val="single" w:color="auto" w:sz="4" w:space="0"/>
              <w:left w:val="nil"/>
              <w:bottom w:val="single" w:color="auto" w:sz="4" w:space="0"/>
              <w:right w:val="single" w:color="auto" w:sz="4" w:space="0"/>
            </w:tcBorders>
            <w:shd w:val="clear" w:color="auto" w:fill="FFFFFF"/>
            <w:noWrap w:val="0"/>
            <w:vAlign w:val="center"/>
          </w:tcPr>
          <w:p>
            <w:pPr>
              <w:rPr>
                <w:color w:val="auto"/>
                <w:szCs w:val="21"/>
                <w:highlight w:val="none"/>
              </w:rPr>
            </w:pP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auto"/>
                <w:szCs w:val="21"/>
                <w:highlight w:val="none"/>
              </w:rPr>
            </w:pPr>
            <w:r>
              <w:rPr>
                <w:color w:val="auto"/>
                <w:szCs w:val="21"/>
                <w:highlight w:val="none"/>
              </w:rPr>
              <w:t>3</w:t>
            </w:r>
          </w:p>
        </w:tc>
        <w:tc>
          <w:tcPr>
            <w:tcW w:w="3004" w:type="dxa"/>
            <w:tcBorders>
              <w:top w:val="single" w:color="auto" w:sz="4" w:space="0"/>
              <w:left w:val="nil"/>
              <w:bottom w:val="single" w:color="auto" w:sz="4" w:space="0"/>
              <w:right w:val="single" w:color="auto" w:sz="4" w:space="0"/>
            </w:tcBorders>
            <w:shd w:val="clear" w:color="auto" w:fill="FFFFFF"/>
            <w:noWrap w:val="0"/>
            <w:vAlign w:val="center"/>
          </w:tcPr>
          <w:p>
            <w:pPr>
              <w:rPr>
                <w:color w:val="auto"/>
                <w:szCs w:val="21"/>
                <w:highlight w:val="none"/>
              </w:rPr>
            </w:pPr>
            <w:r>
              <w:rPr>
                <w:rFonts w:hint="eastAsia"/>
                <w:color w:val="auto"/>
                <w:szCs w:val="21"/>
                <w:highlight w:val="none"/>
              </w:rPr>
              <w:t>车辆冲洗设施</w:t>
            </w:r>
          </w:p>
        </w:tc>
        <w:tc>
          <w:tcPr>
            <w:tcW w:w="776"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r>
              <w:rPr>
                <w:rFonts w:hint="eastAsia"/>
                <w:color w:val="auto"/>
                <w:szCs w:val="21"/>
                <w:highlight w:val="none"/>
              </w:rPr>
              <w:t>套</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ind w:left="-288" w:leftChars="-137"/>
              <w:jc w:val="center"/>
              <w:rPr>
                <w:color w:val="auto"/>
                <w:szCs w:val="21"/>
                <w:highlight w:val="none"/>
              </w:rPr>
            </w:pPr>
          </w:p>
        </w:tc>
        <w:tc>
          <w:tcPr>
            <w:tcW w:w="1980" w:type="dxa"/>
            <w:tcBorders>
              <w:top w:val="single" w:color="auto" w:sz="4" w:space="0"/>
              <w:left w:val="nil"/>
              <w:bottom w:val="single" w:color="auto" w:sz="4" w:space="0"/>
              <w:right w:val="single" w:color="auto" w:sz="4" w:space="0"/>
            </w:tcBorders>
            <w:shd w:val="clear" w:color="auto" w:fill="FFFFFF"/>
            <w:noWrap w:val="0"/>
            <w:vAlign w:val="center"/>
          </w:tcPr>
          <w:p>
            <w:pPr>
              <w:rPr>
                <w:color w:val="auto"/>
                <w:szCs w:val="21"/>
                <w:highlight w:val="none"/>
              </w:rPr>
            </w:pPr>
            <w:r>
              <w:rPr>
                <w:rFonts w:hint="eastAsia"/>
                <w:color w:val="auto"/>
                <w:szCs w:val="21"/>
                <w:highlight w:val="none"/>
              </w:rPr>
              <w:t>含洗车槽、自动冲洗或其他冲洗设备等</w:t>
            </w: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auto"/>
                <w:szCs w:val="21"/>
                <w:highlight w:val="none"/>
              </w:rPr>
            </w:pPr>
            <w:r>
              <w:rPr>
                <w:color w:val="auto"/>
                <w:szCs w:val="21"/>
                <w:highlight w:val="none"/>
              </w:rPr>
              <w:t>4</w:t>
            </w:r>
          </w:p>
        </w:tc>
        <w:tc>
          <w:tcPr>
            <w:tcW w:w="3004" w:type="dxa"/>
            <w:tcBorders>
              <w:top w:val="single" w:color="auto" w:sz="4" w:space="0"/>
              <w:left w:val="nil"/>
              <w:bottom w:val="single" w:color="auto" w:sz="4" w:space="0"/>
              <w:right w:val="single" w:color="auto" w:sz="4" w:space="0"/>
            </w:tcBorders>
            <w:shd w:val="clear" w:color="auto" w:fill="FFFFFF"/>
            <w:noWrap w:val="0"/>
            <w:vAlign w:val="center"/>
          </w:tcPr>
          <w:p>
            <w:pPr>
              <w:rPr>
                <w:color w:val="auto"/>
                <w:szCs w:val="21"/>
                <w:highlight w:val="none"/>
              </w:rPr>
            </w:pPr>
            <w:r>
              <w:rPr>
                <w:rFonts w:hint="eastAsia"/>
                <w:color w:val="auto"/>
                <w:szCs w:val="21"/>
                <w:highlight w:val="none"/>
              </w:rPr>
              <w:t>喷淋设施</w:t>
            </w:r>
          </w:p>
        </w:tc>
        <w:tc>
          <w:tcPr>
            <w:tcW w:w="776"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top"/>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ind w:left="-288" w:leftChars="-137"/>
              <w:jc w:val="center"/>
              <w:rPr>
                <w:color w:val="auto"/>
                <w:szCs w:val="21"/>
                <w:highlight w:val="none"/>
              </w:rPr>
            </w:pPr>
          </w:p>
        </w:tc>
        <w:tc>
          <w:tcPr>
            <w:tcW w:w="1980" w:type="dxa"/>
            <w:tcBorders>
              <w:top w:val="single" w:color="auto" w:sz="4" w:space="0"/>
              <w:left w:val="nil"/>
              <w:bottom w:val="single" w:color="auto" w:sz="4" w:space="0"/>
              <w:right w:val="single" w:color="auto" w:sz="4" w:space="0"/>
            </w:tcBorders>
            <w:shd w:val="clear" w:color="auto" w:fill="FFFFFF"/>
            <w:noWrap w:val="0"/>
            <w:vAlign w:val="center"/>
          </w:tcPr>
          <w:p>
            <w:pPr>
              <w:rPr>
                <w:color w:val="auto"/>
                <w:szCs w:val="21"/>
                <w:highlight w:val="none"/>
              </w:rPr>
            </w:pP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auto"/>
                <w:szCs w:val="21"/>
                <w:highlight w:val="none"/>
              </w:rPr>
            </w:pPr>
            <w:r>
              <w:rPr>
                <w:rFonts w:hint="eastAsia"/>
                <w:color w:val="auto"/>
                <w:szCs w:val="21"/>
                <w:highlight w:val="none"/>
              </w:rPr>
              <w:t>（</w:t>
            </w:r>
            <w:r>
              <w:rPr>
                <w:color w:val="auto"/>
                <w:szCs w:val="21"/>
                <w:highlight w:val="none"/>
              </w:rPr>
              <w:t>1</w:t>
            </w:r>
            <w:r>
              <w:rPr>
                <w:rFonts w:hint="eastAsia"/>
                <w:color w:val="auto"/>
                <w:szCs w:val="21"/>
                <w:highlight w:val="none"/>
              </w:rPr>
              <w:t>）</w:t>
            </w:r>
          </w:p>
        </w:tc>
        <w:tc>
          <w:tcPr>
            <w:tcW w:w="3004" w:type="dxa"/>
            <w:tcBorders>
              <w:top w:val="single" w:color="auto" w:sz="4" w:space="0"/>
              <w:left w:val="nil"/>
              <w:bottom w:val="single" w:color="auto" w:sz="4" w:space="0"/>
              <w:right w:val="single" w:color="auto" w:sz="4" w:space="0"/>
            </w:tcBorders>
            <w:shd w:val="clear" w:color="auto" w:fill="FFFFFF"/>
            <w:noWrap w:val="0"/>
            <w:vAlign w:val="center"/>
          </w:tcPr>
          <w:p>
            <w:pPr>
              <w:rPr>
                <w:color w:val="auto"/>
                <w:szCs w:val="21"/>
                <w:highlight w:val="none"/>
              </w:rPr>
            </w:pPr>
            <w:r>
              <w:rPr>
                <w:rFonts w:hint="eastAsia"/>
                <w:color w:val="auto"/>
                <w:szCs w:val="21"/>
                <w:highlight w:val="none"/>
              </w:rPr>
              <w:t>塔吊喷淋</w:t>
            </w:r>
          </w:p>
        </w:tc>
        <w:tc>
          <w:tcPr>
            <w:tcW w:w="776"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r>
              <w:rPr>
                <w:rFonts w:hint="eastAsia"/>
                <w:color w:val="auto"/>
                <w:szCs w:val="21"/>
                <w:highlight w:val="none"/>
              </w:rPr>
              <w:t>套</w:t>
            </w:r>
          </w:p>
        </w:tc>
        <w:tc>
          <w:tcPr>
            <w:tcW w:w="1080" w:type="dxa"/>
            <w:tcBorders>
              <w:top w:val="single" w:color="auto" w:sz="4" w:space="0"/>
              <w:left w:val="nil"/>
              <w:bottom w:val="single" w:color="auto" w:sz="4" w:space="0"/>
              <w:right w:val="single" w:color="auto" w:sz="4" w:space="0"/>
            </w:tcBorders>
            <w:shd w:val="clear" w:color="auto" w:fill="FFFFFF"/>
            <w:noWrap w:val="0"/>
            <w:vAlign w:val="top"/>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ind w:left="-288" w:leftChars="-137"/>
              <w:jc w:val="center"/>
              <w:rPr>
                <w:color w:val="auto"/>
                <w:szCs w:val="21"/>
                <w:highlight w:val="none"/>
              </w:rPr>
            </w:pPr>
          </w:p>
        </w:tc>
        <w:tc>
          <w:tcPr>
            <w:tcW w:w="1980" w:type="dxa"/>
            <w:tcBorders>
              <w:top w:val="single" w:color="auto" w:sz="4" w:space="0"/>
              <w:left w:val="nil"/>
              <w:bottom w:val="single" w:color="auto" w:sz="4" w:space="0"/>
              <w:right w:val="single" w:color="auto" w:sz="4" w:space="0"/>
            </w:tcBorders>
            <w:shd w:val="clear" w:color="auto" w:fill="FFFFFF"/>
            <w:noWrap w:val="0"/>
            <w:vAlign w:val="center"/>
          </w:tcPr>
          <w:p>
            <w:pPr>
              <w:rPr>
                <w:color w:val="auto"/>
                <w:szCs w:val="21"/>
                <w:highlight w:val="none"/>
              </w:rPr>
            </w:pP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auto"/>
                <w:szCs w:val="21"/>
                <w:highlight w:val="none"/>
              </w:rPr>
            </w:pPr>
            <w:r>
              <w:rPr>
                <w:rFonts w:hint="eastAsia"/>
                <w:color w:val="auto"/>
                <w:szCs w:val="21"/>
                <w:highlight w:val="none"/>
              </w:rPr>
              <w:t>（</w:t>
            </w:r>
            <w:r>
              <w:rPr>
                <w:color w:val="auto"/>
                <w:szCs w:val="21"/>
                <w:highlight w:val="none"/>
              </w:rPr>
              <w:t>2</w:t>
            </w:r>
            <w:r>
              <w:rPr>
                <w:rFonts w:hint="eastAsia"/>
                <w:color w:val="auto"/>
                <w:szCs w:val="21"/>
                <w:highlight w:val="none"/>
              </w:rPr>
              <w:t>）</w:t>
            </w:r>
          </w:p>
        </w:tc>
        <w:tc>
          <w:tcPr>
            <w:tcW w:w="3004" w:type="dxa"/>
            <w:tcBorders>
              <w:top w:val="single" w:color="auto" w:sz="4" w:space="0"/>
              <w:left w:val="nil"/>
              <w:bottom w:val="single" w:color="auto" w:sz="4" w:space="0"/>
              <w:right w:val="single" w:color="auto" w:sz="4" w:space="0"/>
            </w:tcBorders>
            <w:shd w:val="clear" w:color="auto" w:fill="FFFFFF"/>
            <w:noWrap w:val="0"/>
            <w:vAlign w:val="center"/>
          </w:tcPr>
          <w:p>
            <w:pPr>
              <w:rPr>
                <w:color w:val="auto"/>
                <w:szCs w:val="21"/>
                <w:highlight w:val="none"/>
              </w:rPr>
            </w:pPr>
            <w:r>
              <w:rPr>
                <w:rFonts w:hint="eastAsia"/>
                <w:color w:val="auto"/>
                <w:szCs w:val="21"/>
                <w:highlight w:val="none"/>
              </w:rPr>
              <w:t>外架喷淋</w:t>
            </w:r>
          </w:p>
        </w:tc>
        <w:tc>
          <w:tcPr>
            <w:tcW w:w="776"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r>
              <w:rPr>
                <w:rFonts w:hint="eastAsia"/>
                <w:color w:val="auto"/>
                <w:szCs w:val="21"/>
                <w:highlight w:val="none"/>
              </w:rPr>
              <w:t>套</w:t>
            </w:r>
          </w:p>
        </w:tc>
        <w:tc>
          <w:tcPr>
            <w:tcW w:w="1080" w:type="dxa"/>
            <w:tcBorders>
              <w:top w:val="single" w:color="auto" w:sz="4" w:space="0"/>
              <w:left w:val="nil"/>
              <w:bottom w:val="single" w:color="auto" w:sz="4" w:space="0"/>
              <w:right w:val="single" w:color="auto" w:sz="4" w:space="0"/>
            </w:tcBorders>
            <w:shd w:val="clear" w:color="auto" w:fill="FFFFFF"/>
            <w:noWrap w:val="0"/>
            <w:vAlign w:val="top"/>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ind w:left="-288" w:leftChars="-137"/>
              <w:jc w:val="center"/>
              <w:rPr>
                <w:color w:val="auto"/>
                <w:szCs w:val="21"/>
                <w:highlight w:val="none"/>
              </w:rPr>
            </w:pPr>
          </w:p>
        </w:tc>
        <w:tc>
          <w:tcPr>
            <w:tcW w:w="1980" w:type="dxa"/>
            <w:tcBorders>
              <w:top w:val="single" w:color="auto" w:sz="4" w:space="0"/>
              <w:left w:val="nil"/>
              <w:bottom w:val="single" w:color="auto" w:sz="4" w:space="0"/>
              <w:right w:val="single" w:color="auto" w:sz="4" w:space="0"/>
            </w:tcBorders>
            <w:shd w:val="clear" w:color="auto" w:fill="FFFFFF"/>
            <w:noWrap w:val="0"/>
            <w:vAlign w:val="center"/>
          </w:tcPr>
          <w:p>
            <w:pPr>
              <w:rPr>
                <w:color w:val="auto"/>
                <w:szCs w:val="21"/>
                <w:highlight w:val="none"/>
              </w:rPr>
            </w:pP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auto"/>
                <w:szCs w:val="21"/>
                <w:highlight w:val="none"/>
              </w:rPr>
            </w:pPr>
            <w:r>
              <w:rPr>
                <w:rFonts w:hint="eastAsia"/>
                <w:color w:val="auto"/>
                <w:szCs w:val="21"/>
                <w:highlight w:val="none"/>
              </w:rPr>
              <w:t>（</w:t>
            </w:r>
            <w:r>
              <w:rPr>
                <w:color w:val="auto"/>
                <w:szCs w:val="21"/>
                <w:highlight w:val="none"/>
              </w:rPr>
              <w:t>3</w:t>
            </w:r>
            <w:r>
              <w:rPr>
                <w:rFonts w:hint="eastAsia"/>
                <w:color w:val="auto"/>
                <w:szCs w:val="21"/>
                <w:highlight w:val="none"/>
              </w:rPr>
              <w:t>）</w:t>
            </w:r>
          </w:p>
        </w:tc>
        <w:tc>
          <w:tcPr>
            <w:tcW w:w="3004" w:type="dxa"/>
            <w:tcBorders>
              <w:top w:val="single" w:color="auto" w:sz="4" w:space="0"/>
              <w:left w:val="nil"/>
              <w:bottom w:val="single" w:color="auto" w:sz="4" w:space="0"/>
              <w:right w:val="single" w:color="auto" w:sz="4" w:space="0"/>
            </w:tcBorders>
            <w:shd w:val="clear" w:color="auto" w:fill="FFFFFF"/>
            <w:noWrap w:val="0"/>
            <w:vAlign w:val="center"/>
          </w:tcPr>
          <w:p>
            <w:pPr>
              <w:rPr>
                <w:color w:val="auto"/>
                <w:szCs w:val="21"/>
                <w:highlight w:val="none"/>
              </w:rPr>
            </w:pPr>
            <w:r>
              <w:rPr>
                <w:rFonts w:hint="eastAsia"/>
                <w:color w:val="auto"/>
                <w:szCs w:val="21"/>
                <w:highlight w:val="none"/>
              </w:rPr>
              <w:t>场地喷淋</w:t>
            </w:r>
          </w:p>
        </w:tc>
        <w:tc>
          <w:tcPr>
            <w:tcW w:w="776"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r>
              <w:rPr>
                <w:rFonts w:hint="eastAsia"/>
                <w:color w:val="auto"/>
                <w:szCs w:val="21"/>
                <w:highlight w:val="none"/>
              </w:rPr>
              <w:t>套</w:t>
            </w:r>
          </w:p>
        </w:tc>
        <w:tc>
          <w:tcPr>
            <w:tcW w:w="1080" w:type="dxa"/>
            <w:tcBorders>
              <w:top w:val="single" w:color="auto" w:sz="4" w:space="0"/>
              <w:left w:val="nil"/>
              <w:bottom w:val="single" w:color="auto" w:sz="4" w:space="0"/>
              <w:right w:val="single" w:color="auto" w:sz="4" w:space="0"/>
            </w:tcBorders>
            <w:shd w:val="clear" w:color="auto" w:fill="FFFFFF"/>
            <w:noWrap w:val="0"/>
            <w:vAlign w:val="top"/>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ind w:left="-288" w:leftChars="-137"/>
              <w:jc w:val="center"/>
              <w:rPr>
                <w:color w:val="auto"/>
                <w:szCs w:val="21"/>
                <w:highlight w:val="none"/>
              </w:rPr>
            </w:pPr>
          </w:p>
        </w:tc>
        <w:tc>
          <w:tcPr>
            <w:tcW w:w="1980" w:type="dxa"/>
            <w:tcBorders>
              <w:top w:val="single" w:color="auto" w:sz="4" w:space="0"/>
              <w:left w:val="nil"/>
              <w:bottom w:val="single" w:color="auto" w:sz="4" w:space="0"/>
              <w:right w:val="single" w:color="auto" w:sz="4" w:space="0"/>
            </w:tcBorders>
            <w:shd w:val="clear" w:color="auto" w:fill="FFFFFF"/>
            <w:noWrap w:val="0"/>
            <w:vAlign w:val="center"/>
          </w:tcPr>
          <w:p>
            <w:pPr>
              <w:rPr>
                <w:color w:val="auto"/>
                <w:szCs w:val="21"/>
                <w:highlight w:val="none"/>
              </w:rPr>
            </w:pP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auto"/>
                <w:szCs w:val="21"/>
                <w:highlight w:val="none"/>
              </w:rPr>
            </w:pPr>
            <w:r>
              <w:rPr>
                <w:color w:val="auto"/>
                <w:szCs w:val="21"/>
                <w:highlight w:val="none"/>
              </w:rPr>
              <w:t>5</w:t>
            </w:r>
          </w:p>
        </w:tc>
        <w:tc>
          <w:tcPr>
            <w:tcW w:w="3004" w:type="dxa"/>
            <w:tcBorders>
              <w:top w:val="single" w:color="auto" w:sz="4" w:space="0"/>
              <w:left w:val="nil"/>
              <w:bottom w:val="single" w:color="auto" w:sz="4" w:space="0"/>
              <w:right w:val="single" w:color="auto" w:sz="4" w:space="0"/>
            </w:tcBorders>
            <w:shd w:val="clear" w:color="auto" w:fill="FFFFFF"/>
            <w:noWrap w:val="0"/>
            <w:vAlign w:val="center"/>
          </w:tcPr>
          <w:p>
            <w:pPr>
              <w:rPr>
                <w:color w:val="auto"/>
                <w:szCs w:val="21"/>
                <w:highlight w:val="none"/>
              </w:rPr>
            </w:pPr>
            <w:r>
              <w:rPr>
                <w:rFonts w:hint="eastAsia"/>
                <w:color w:val="auto"/>
                <w:szCs w:val="21"/>
                <w:highlight w:val="none"/>
              </w:rPr>
              <w:t>防尘雾炮</w:t>
            </w:r>
          </w:p>
        </w:tc>
        <w:tc>
          <w:tcPr>
            <w:tcW w:w="776"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r>
              <w:rPr>
                <w:rFonts w:hint="eastAsia"/>
                <w:color w:val="auto"/>
                <w:szCs w:val="21"/>
                <w:highlight w:val="none"/>
              </w:rPr>
              <w:t>台</w:t>
            </w:r>
          </w:p>
        </w:tc>
        <w:tc>
          <w:tcPr>
            <w:tcW w:w="1080" w:type="dxa"/>
            <w:tcBorders>
              <w:top w:val="single" w:color="auto" w:sz="4" w:space="0"/>
              <w:left w:val="nil"/>
              <w:bottom w:val="single" w:color="auto" w:sz="4" w:space="0"/>
              <w:right w:val="single" w:color="auto" w:sz="4" w:space="0"/>
            </w:tcBorders>
            <w:shd w:val="clear" w:color="auto" w:fill="FFFFFF"/>
            <w:noWrap w:val="0"/>
            <w:vAlign w:val="top"/>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ind w:left="-288" w:leftChars="-137"/>
              <w:jc w:val="center"/>
              <w:rPr>
                <w:color w:val="auto"/>
                <w:szCs w:val="21"/>
                <w:highlight w:val="none"/>
              </w:rPr>
            </w:pPr>
          </w:p>
        </w:tc>
        <w:tc>
          <w:tcPr>
            <w:tcW w:w="1980" w:type="dxa"/>
            <w:tcBorders>
              <w:top w:val="single" w:color="auto" w:sz="4" w:space="0"/>
              <w:left w:val="nil"/>
              <w:bottom w:val="single" w:color="auto" w:sz="4" w:space="0"/>
              <w:right w:val="single" w:color="auto" w:sz="4" w:space="0"/>
            </w:tcBorders>
            <w:shd w:val="clear" w:color="auto" w:fill="FFFFFF"/>
            <w:noWrap w:val="0"/>
            <w:vAlign w:val="center"/>
          </w:tcPr>
          <w:p>
            <w:pPr>
              <w:rPr>
                <w:color w:val="auto"/>
                <w:szCs w:val="21"/>
                <w:highlight w:val="none"/>
              </w:rPr>
            </w:pP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auto"/>
                <w:szCs w:val="21"/>
                <w:highlight w:val="none"/>
              </w:rPr>
            </w:pPr>
            <w:r>
              <w:rPr>
                <w:color w:val="auto"/>
                <w:szCs w:val="21"/>
                <w:highlight w:val="none"/>
              </w:rPr>
              <w:t>6</w:t>
            </w:r>
          </w:p>
        </w:tc>
        <w:tc>
          <w:tcPr>
            <w:tcW w:w="3004" w:type="dxa"/>
            <w:tcBorders>
              <w:top w:val="single" w:color="auto" w:sz="4" w:space="0"/>
              <w:left w:val="nil"/>
              <w:bottom w:val="single" w:color="auto" w:sz="4" w:space="0"/>
              <w:right w:val="single" w:color="auto" w:sz="4" w:space="0"/>
            </w:tcBorders>
            <w:shd w:val="clear" w:color="auto" w:fill="FFFFFF"/>
            <w:noWrap w:val="0"/>
            <w:vAlign w:val="center"/>
          </w:tcPr>
          <w:p>
            <w:pPr>
              <w:rPr>
                <w:color w:val="auto"/>
                <w:szCs w:val="21"/>
                <w:highlight w:val="none"/>
              </w:rPr>
            </w:pPr>
            <w:r>
              <w:rPr>
                <w:rFonts w:hint="eastAsia"/>
                <w:color w:val="auto"/>
                <w:szCs w:val="21"/>
                <w:highlight w:val="none"/>
              </w:rPr>
              <w:t>其他扬尘控制费用</w:t>
            </w:r>
          </w:p>
        </w:tc>
        <w:tc>
          <w:tcPr>
            <w:tcW w:w="776"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r>
              <w:rPr>
                <w:rFonts w:hint="eastAsia"/>
                <w:color w:val="auto"/>
                <w:szCs w:val="21"/>
                <w:highlight w:val="none"/>
              </w:rPr>
              <w:t>元</w:t>
            </w:r>
          </w:p>
        </w:tc>
        <w:tc>
          <w:tcPr>
            <w:tcW w:w="1080" w:type="dxa"/>
            <w:tcBorders>
              <w:top w:val="single" w:color="auto" w:sz="4" w:space="0"/>
              <w:left w:val="nil"/>
              <w:bottom w:val="single" w:color="auto" w:sz="4" w:space="0"/>
              <w:right w:val="single" w:color="auto" w:sz="4" w:space="0"/>
            </w:tcBorders>
            <w:shd w:val="clear" w:color="auto" w:fill="FFFFFF"/>
            <w:noWrap w:val="0"/>
            <w:vAlign w:val="top"/>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ind w:left="-288" w:leftChars="-137"/>
              <w:jc w:val="center"/>
              <w:rPr>
                <w:color w:val="auto"/>
                <w:szCs w:val="21"/>
                <w:highlight w:val="none"/>
              </w:rPr>
            </w:pPr>
          </w:p>
        </w:tc>
        <w:tc>
          <w:tcPr>
            <w:tcW w:w="1980" w:type="dxa"/>
            <w:tcBorders>
              <w:top w:val="single" w:color="auto" w:sz="4" w:space="0"/>
              <w:left w:val="nil"/>
              <w:bottom w:val="single" w:color="auto" w:sz="4" w:space="0"/>
              <w:right w:val="single" w:color="auto" w:sz="4" w:space="0"/>
            </w:tcBorders>
            <w:shd w:val="clear" w:color="auto" w:fill="FFFFFF"/>
            <w:noWrap w:val="0"/>
            <w:vAlign w:val="center"/>
          </w:tcPr>
          <w:p>
            <w:pPr>
              <w:rPr>
                <w:color w:val="auto"/>
                <w:szCs w:val="21"/>
                <w:highlight w:val="none"/>
              </w:rPr>
            </w:pP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auto"/>
                <w:szCs w:val="21"/>
                <w:highlight w:val="none"/>
              </w:rPr>
            </w:pPr>
            <w:r>
              <w:rPr>
                <w:color w:val="auto"/>
                <w:szCs w:val="21"/>
                <w:highlight w:val="none"/>
              </w:rPr>
              <w:t>7</w:t>
            </w:r>
          </w:p>
        </w:tc>
        <w:tc>
          <w:tcPr>
            <w:tcW w:w="3004" w:type="dxa"/>
            <w:tcBorders>
              <w:top w:val="single" w:color="auto" w:sz="4" w:space="0"/>
              <w:left w:val="nil"/>
              <w:bottom w:val="single" w:color="auto" w:sz="4" w:space="0"/>
              <w:right w:val="single" w:color="auto" w:sz="4" w:space="0"/>
            </w:tcBorders>
            <w:shd w:val="clear" w:color="auto" w:fill="FFFFFF"/>
            <w:noWrap w:val="0"/>
            <w:vAlign w:val="center"/>
          </w:tcPr>
          <w:p>
            <w:pPr>
              <w:rPr>
                <w:color w:val="auto"/>
                <w:szCs w:val="21"/>
                <w:highlight w:val="none"/>
              </w:rPr>
            </w:pPr>
            <w:r>
              <w:rPr>
                <w:rFonts w:hint="eastAsia"/>
                <w:color w:val="auto"/>
                <w:szCs w:val="21"/>
                <w:highlight w:val="none"/>
              </w:rPr>
              <w:t>噪声控制费用</w:t>
            </w:r>
          </w:p>
        </w:tc>
        <w:tc>
          <w:tcPr>
            <w:tcW w:w="776"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r>
              <w:rPr>
                <w:rFonts w:hint="eastAsia"/>
                <w:color w:val="auto"/>
                <w:szCs w:val="21"/>
                <w:highlight w:val="none"/>
              </w:rPr>
              <w:t>元</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ind w:left="-288" w:leftChars="-137"/>
              <w:jc w:val="center"/>
              <w:rPr>
                <w:color w:val="auto"/>
                <w:szCs w:val="21"/>
                <w:highlight w:val="none"/>
              </w:rPr>
            </w:pPr>
          </w:p>
        </w:tc>
        <w:tc>
          <w:tcPr>
            <w:tcW w:w="1980" w:type="dxa"/>
            <w:tcBorders>
              <w:top w:val="single" w:color="auto" w:sz="4" w:space="0"/>
              <w:left w:val="nil"/>
              <w:bottom w:val="single" w:color="auto" w:sz="4" w:space="0"/>
              <w:right w:val="single" w:color="auto" w:sz="4" w:space="0"/>
            </w:tcBorders>
            <w:shd w:val="clear" w:color="auto" w:fill="FFFFFF"/>
            <w:noWrap w:val="0"/>
            <w:vAlign w:val="center"/>
          </w:tcPr>
          <w:p>
            <w:pPr>
              <w:rPr>
                <w:color w:val="auto"/>
                <w:szCs w:val="21"/>
                <w:highlight w:val="none"/>
              </w:rPr>
            </w:pP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auto"/>
                <w:szCs w:val="21"/>
                <w:highlight w:val="none"/>
              </w:rPr>
            </w:pPr>
            <w:r>
              <w:rPr>
                <w:color w:val="auto"/>
                <w:szCs w:val="21"/>
                <w:highlight w:val="none"/>
              </w:rPr>
              <w:t>8</w:t>
            </w:r>
          </w:p>
        </w:tc>
        <w:tc>
          <w:tcPr>
            <w:tcW w:w="3004" w:type="dxa"/>
            <w:tcBorders>
              <w:top w:val="single" w:color="auto" w:sz="4" w:space="0"/>
              <w:left w:val="nil"/>
              <w:bottom w:val="single" w:color="auto" w:sz="4" w:space="0"/>
              <w:right w:val="single" w:color="auto" w:sz="4" w:space="0"/>
            </w:tcBorders>
            <w:shd w:val="clear" w:color="auto" w:fill="FFFFFF"/>
            <w:noWrap w:val="0"/>
            <w:vAlign w:val="center"/>
          </w:tcPr>
          <w:p>
            <w:pPr>
              <w:rPr>
                <w:color w:val="auto"/>
                <w:szCs w:val="21"/>
                <w:highlight w:val="none"/>
              </w:rPr>
            </w:pPr>
            <w:r>
              <w:rPr>
                <w:rFonts w:hint="eastAsia"/>
                <w:color w:val="auto"/>
                <w:szCs w:val="21"/>
                <w:highlight w:val="none"/>
              </w:rPr>
              <w:t>污水处理费用</w:t>
            </w:r>
          </w:p>
        </w:tc>
        <w:tc>
          <w:tcPr>
            <w:tcW w:w="776"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r>
              <w:rPr>
                <w:rFonts w:hint="eastAsia"/>
                <w:color w:val="auto"/>
                <w:szCs w:val="21"/>
                <w:highlight w:val="none"/>
              </w:rPr>
              <w:t>元</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ind w:left="-288" w:leftChars="-137"/>
              <w:jc w:val="center"/>
              <w:rPr>
                <w:color w:val="auto"/>
                <w:szCs w:val="21"/>
                <w:highlight w:val="none"/>
              </w:rPr>
            </w:pPr>
          </w:p>
        </w:tc>
        <w:tc>
          <w:tcPr>
            <w:tcW w:w="1980" w:type="dxa"/>
            <w:tcBorders>
              <w:top w:val="single" w:color="auto" w:sz="4" w:space="0"/>
              <w:left w:val="nil"/>
              <w:bottom w:val="single" w:color="auto" w:sz="4" w:space="0"/>
              <w:right w:val="single" w:color="auto" w:sz="4" w:space="0"/>
            </w:tcBorders>
            <w:shd w:val="clear" w:color="auto" w:fill="FFFFFF"/>
            <w:noWrap w:val="0"/>
            <w:vAlign w:val="center"/>
          </w:tcPr>
          <w:p>
            <w:pPr>
              <w:rPr>
                <w:color w:val="auto"/>
                <w:szCs w:val="21"/>
                <w:highlight w:val="none"/>
              </w:rPr>
            </w:pPr>
            <w:r>
              <w:rPr>
                <w:rFonts w:hint="eastAsia"/>
                <w:color w:val="auto"/>
                <w:szCs w:val="21"/>
                <w:highlight w:val="none"/>
              </w:rPr>
              <w:t>特殊工程要求</w:t>
            </w: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auto"/>
                <w:szCs w:val="21"/>
                <w:highlight w:val="none"/>
              </w:rPr>
            </w:pPr>
            <w:r>
              <w:rPr>
                <w:color w:val="auto"/>
                <w:szCs w:val="21"/>
                <w:highlight w:val="none"/>
              </w:rPr>
              <w:t>9</w:t>
            </w:r>
          </w:p>
        </w:tc>
        <w:tc>
          <w:tcPr>
            <w:tcW w:w="3004" w:type="dxa"/>
            <w:tcBorders>
              <w:top w:val="single" w:color="auto" w:sz="4" w:space="0"/>
              <w:left w:val="nil"/>
              <w:bottom w:val="single" w:color="auto" w:sz="4" w:space="0"/>
              <w:right w:val="single" w:color="auto" w:sz="4" w:space="0"/>
            </w:tcBorders>
            <w:shd w:val="clear" w:color="auto" w:fill="FFFFFF"/>
            <w:noWrap w:val="0"/>
            <w:vAlign w:val="center"/>
          </w:tcPr>
          <w:p>
            <w:pPr>
              <w:rPr>
                <w:color w:val="auto"/>
                <w:szCs w:val="21"/>
                <w:highlight w:val="none"/>
              </w:rPr>
            </w:pPr>
            <w:r>
              <w:rPr>
                <w:rFonts w:hint="eastAsia"/>
                <w:color w:val="auto"/>
                <w:szCs w:val="21"/>
                <w:highlight w:val="none"/>
              </w:rPr>
              <w:t>车辆密封费用</w:t>
            </w:r>
          </w:p>
        </w:tc>
        <w:tc>
          <w:tcPr>
            <w:tcW w:w="776"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r>
              <w:rPr>
                <w:rFonts w:hint="eastAsia"/>
                <w:color w:val="auto"/>
                <w:szCs w:val="21"/>
                <w:highlight w:val="none"/>
              </w:rPr>
              <w:t>元</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ind w:left="-288" w:leftChars="-137"/>
              <w:jc w:val="center"/>
              <w:rPr>
                <w:color w:val="auto"/>
                <w:szCs w:val="21"/>
                <w:highlight w:val="none"/>
              </w:rPr>
            </w:pPr>
          </w:p>
        </w:tc>
        <w:tc>
          <w:tcPr>
            <w:tcW w:w="1980" w:type="dxa"/>
            <w:tcBorders>
              <w:top w:val="single" w:color="auto" w:sz="4" w:space="0"/>
              <w:left w:val="nil"/>
              <w:bottom w:val="single" w:color="auto" w:sz="4" w:space="0"/>
              <w:right w:val="single" w:color="auto" w:sz="4" w:space="0"/>
            </w:tcBorders>
            <w:shd w:val="clear" w:color="auto" w:fill="FFFFFF"/>
            <w:noWrap w:val="0"/>
            <w:vAlign w:val="center"/>
          </w:tcPr>
          <w:p>
            <w:pPr>
              <w:rPr>
                <w:color w:val="auto"/>
                <w:szCs w:val="21"/>
                <w:highlight w:val="none"/>
              </w:rPr>
            </w:pP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auto"/>
                <w:szCs w:val="21"/>
                <w:highlight w:val="none"/>
              </w:rPr>
            </w:pPr>
            <w:r>
              <w:rPr>
                <w:color w:val="auto"/>
                <w:szCs w:val="21"/>
                <w:highlight w:val="none"/>
              </w:rPr>
              <w:t>10</w:t>
            </w:r>
          </w:p>
        </w:tc>
        <w:tc>
          <w:tcPr>
            <w:tcW w:w="3004" w:type="dxa"/>
            <w:tcBorders>
              <w:top w:val="single" w:color="auto" w:sz="4" w:space="0"/>
              <w:left w:val="nil"/>
              <w:bottom w:val="single" w:color="auto" w:sz="4" w:space="0"/>
              <w:right w:val="single" w:color="auto" w:sz="4" w:space="0"/>
            </w:tcBorders>
            <w:shd w:val="clear" w:color="auto" w:fill="FFFFFF"/>
            <w:noWrap w:val="0"/>
            <w:vAlign w:val="center"/>
          </w:tcPr>
          <w:p>
            <w:pPr>
              <w:rPr>
                <w:color w:val="auto"/>
                <w:szCs w:val="21"/>
                <w:highlight w:val="none"/>
              </w:rPr>
            </w:pPr>
            <w:r>
              <w:rPr>
                <w:rFonts w:hint="eastAsia"/>
                <w:color w:val="auto"/>
                <w:szCs w:val="21"/>
                <w:highlight w:val="none"/>
              </w:rPr>
              <w:t>工地食堂油烟净化设备</w:t>
            </w:r>
          </w:p>
        </w:tc>
        <w:tc>
          <w:tcPr>
            <w:tcW w:w="776"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r>
              <w:rPr>
                <w:rFonts w:hint="eastAsia"/>
                <w:color w:val="auto"/>
                <w:szCs w:val="21"/>
                <w:highlight w:val="none"/>
              </w:rPr>
              <w:t>套</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ind w:left="-288" w:leftChars="-137"/>
              <w:jc w:val="center"/>
              <w:rPr>
                <w:color w:val="auto"/>
                <w:szCs w:val="21"/>
                <w:highlight w:val="none"/>
              </w:rPr>
            </w:pPr>
          </w:p>
        </w:tc>
        <w:tc>
          <w:tcPr>
            <w:tcW w:w="1980" w:type="dxa"/>
            <w:tcBorders>
              <w:top w:val="single" w:color="auto" w:sz="4" w:space="0"/>
              <w:left w:val="nil"/>
              <w:bottom w:val="single" w:color="auto" w:sz="4" w:space="0"/>
              <w:right w:val="single" w:color="auto" w:sz="4" w:space="0"/>
            </w:tcBorders>
            <w:shd w:val="clear" w:color="auto" w:fill="FFFFFF"/>
            <w:noWrap w:val="0"/>
            <w:vAlign w:val="center"/>
          </w:tcPr>
          <w:p>
            <w:pPr>
              <w:rPr>
                <w:color w:val="auto"/>
                <w:szCs w:val="21"/>
                <w:highlight w:val="none"/>
              </w:rPr>
            </w:pP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auto"/>
                <w:szCs w:val="21"/>
                <w:highlight w:val="none"/>
              </w:rPr>
            </w:pPr>
            <w:r>
              <w:rPr>
                <w:color w:val="auto"/>
                <w:szCs w:val="21"/>
                <w:highlight w:val="none"/>
              </w:rPr>
              <w:t>11</w:t>
            </w:r>
          </w:p>
        </w:tc>
        <w:tc>
          <w:tcPr>
            <w:tcW w:w="3004" w:type="dxa"/>
            <w:tcBorders>
              <w:top w:val="single" w:color="auto" w:sz="4" w:space="0"/>
              <w:left w:val="nil"/>
              <w:bottom w:val="single" w:color="auto" w:sz="4" w:space="0"/>
              <w:right w:val="single" w:color="auto" w:sz="4" w:space="0"/>
            </w:tcBorders>
            <w:shd w:val="clear" w:color="auto" w:fill="FFFFFF"/>
            <w:noWrap w:val="0"/>
            <w:vAlign w:val="center"/>
          </w:tcPr>
          <w:p>
            <w:pPr>
              <w:rPr>
                <w:color w:val="auto"/>
                <w:szCs w:val="21"/>
                <w:highlight w:val="none"/>
              </w:rPr>
            </w:pPr>
            <w:r>
              <w:rPr>
                <w:rFonts w:hint="eastAsia"/>
                <w:color w:val="auto"/>
                <w:szCs w:val="21"/>
                <w:highlight w:val="none"/>
              </w:rPr>
              <w:t>其他环境保护措施</w:t>
            </w:r>
          </w:p>
        </w:tc>
        <w:tc>
          <w:tcPr>
            <w:tcW w:w="776"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ind w:left="-288" w:leftChars="-137"/>
              <w:jc w:val="center"/>
              <w:rPr>
                <w:color w:val="auto"/>
                <w:szCs w:val="21"/>
                <w:highlight w:val="none"/>
              </w:rPr>
            </w:pPr>
          </w:p>
        </w:tc>
        <w:tc>
          <w:tcPr>
            <w:tcW w:w="1980" w:type="dxa"/>
            <w:tcBorders>
              <w:top w:val="single" w:color="auto" w:sz="4" w:space="0"/>
              <w:left w:val="nil"/>
              <w:bottom w:val="single" w:color="auto" w:sz="4" w:space="0"/>
              <w:right w:val="single" w:color="auto" w:sz="4" w:space="0"/>
            </w:tcBorders>
            <w:shd w:val="clear" w:color="auto" w:fill="FFFFFF"/>
            <w:noWrap w:val="0"/>
            <w:vAlign w:val="center"/>
          </w:tcPr>
          <w:p>
            <w:pPr>
              <w:rPr>
                <w:color w:val="auto"/>
                <w:szCs w:val="21"/>
                <w:highlight w:val="none"/>
              </w:rPr>
            </w:pP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黑体" w:eastAsia="黑体"/>
                <w:b/>
                <w:bCs/>
                <w:color w:val="auto"/>
                <w:szCs w:val="21"/>
                <w:highlight w:val="none"/>
              </w:rPr>
            </w:pPr>
            <w:r>
              <w:rPr>
                <w:rFonts w:hint="eastAsia" w:ascii="黑体" w:eastAsia="黑体"/>
                <w:b/>
                <w:bCs/>
                <w:color w:val="auto"/>
                <w:szCs w:val="21"/>
                <w:highlight w:val="none"/>
              </w:rPr>
              <w:t>四</w:t>
            </w:r>
          </w:p>
        </w:tc>
        <w:tc>
          <w:tcPr>
            <w:tcW w:w="3004" w:type="dxa"/>
            <w:tcBorders>
              <w:top w:val="single" w:color="auto" w:sz="4" w:space="0"/>
              <w:left w:val="nil"/>
              <w:bottom w:val="single" w:color="auto" w:sz="4" w:space="0"/>
              <w:right w:val="single" w:color="auto" w:sz="4" w:space="0"/>
            </w:tcBorders>
            <w:shd w:val="clear" w:color="auto" w:fill="FFFFFF"/>
            <w:noWrap w:val="0"/>
            <w:vAlign w:val="center"/>
          </w:tcPr>
          <w:p>
            <w:pPr>
              <w:jc w:val="center"/>
              <w:rPr>
                <w:rFonts w:ascii="黑体" w:eastAsia="黑体"/>
                <w:b/>
                <w:bCs/>
                <w:color w:val="auto"/>
                <w:szCs w:val="21"/>
                <w:highlight w:val="none"/>
              </w:rPr>
            </w:pPr>
            <w:r>
              <w:rPr>
                <w:rFonts w:hint="eastAsia" w:ascii="黑体" w:eastAsia="黑体"/>
                <w:b/>
                <w:bCs/>
                <w:color w:val="auto"/>
                <w:szCs w:val="21"/>
                <w:highlight w:val="none"/>
              </w:rPr>
              <w:t>临时设施措施项目</w:t>
            </w:r>
          </w:p>
        </w:tc>
        <w:tc>
          <w:tcPr>
            <w:tcW w:w="776"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top"/>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top"/>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top"/>
          </w:tcPr>
          <w:p>
            <w:pPr>
              <w:ind w:left="-288" w:leftChars="-137"/>
              <w:jc w:val="center"/>
              <w:rPr>
                <w:color w:val="auto"/>
                <w:szCs w:val="21"/>
                <w:highlight w:val="none"/>
              </w:rPr>
            </w:pPr>
          </w:p>
        </w:tc>
        <w:tc>
          <w:tcPr>
            <w:tcW w:w="1980" w:type="dxa"/>
            <w:tcBorders>
              <w:top w:val="single" w:color="auto" w:sz="4" w:space="0"/>
              <w:left w:val="nil"/>
              <w:bottom w:val="single" w:color="auto" w:sz="4" w:space="0"/>
              <w:right w:val="single" w:color="auto" w:sz="4" w:space="0"/>
            </w:tcBorders>
            <w:shd w:val="clear" w:color="auto" w:fill="FFFFFF"/>
            <w:noWrap w:val="0"/>
            <w:vAlign w:val="center"/>
          </w:tcPr>
          <w:p>
            <w:pPr>
              <w:rPr>
                <w:color w:val="auto"/>
                <w:szCs w:val="21"/>
                <w:highlight w:val="none"/>
              </w:rPr>
            </w:pP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jc w:val="center"/>
              <w:rPr>
                <w:b/>
                <w:bCs/>
                <w:color w:val="auto"/>
                <w:szCs w:val="21"/>
                <w:highlight w:val="none"/>
              </w:rPr>
            </w:pPr>
            <w:r>
              <w:rPr>
                <w:rFonts w:hint="eastAsia"/>
                <w:b/>
                <w:bCs/>
                <w:color w:val="auto"/>
                <w:szCs w:val="21"/>
                <w:highlight w:val="none"/>
              </w:rPr>
              <w:t>（一）</w:t>
            </w:r>
          </w:p>
        </w:tc>
        <w:tc>
          <w:tcPr>
            <w:tcW w:w="3004" w:type="dxa"/>
            <w:tcBorders>
              <w:top w:val="single" w:color="auto" w:sz="4" w:space="0"/>
              <w:left w:val="nil"/>
              <w:bottom w:val="single" w:color="auto" w:sz="4" w:space="0"/>
              <w:right w:val="single" w:color="auto" w:sz="4" w:space="0"/>
            </w:tcBorders>
            <w:shd w:val="clear" w:color="auto" w:fill="FFFFFF"/>
            <w:noWrap w:val="0"/>
            <w:vAlign w:val="center"/>
          </w:tcPr>
          <w:p>
            <w:pPr>
              <w:spacing w:line="360" w:lineRule="auto"/>
              <w:rPr>
                <w:b/>
                <w:bCs/>
                <w:color w:val="auto"/>
                <w:szCs w:val="21"/>
                <w:highlight w:val="none"/>
              </w:rPr>
            </w:pPr>
            <w:r>
              <w:rPr>
                <w:rFonts w:hint="eastAsia"/>
                <w:b/>
                <w:bCs/>
                <w:color w:val="auto"/>
                <w:szCs w:val="21"/>
                <w:highlight w:val="none"/>
              </w:rPr>
              <w:t>办公用房</w:t>
            </w:r>
          </w:p>
        </w:tc>
        <w:tc>
          <w:tcPr>
            <w:tcW w:w="776" w:type="dxa"/>
            <w:tcBorders>
              <w:top w:val="single" w:color="auto" w:sz="4" w:space="0"/>
              <w:left w:val="nil"/>
              <w:bottom w:val="single" w:color="auto" w:sz="4" w:space="0"/>
              <w:right w:val="single" w:color="auto" w:sz="4" w:space="0"/>
            </w:tcBorders>
            <w:shd w:val="clear" w:color="auto" w:fill="FFFFFF"/>
            <w:noWrap w:val="0"/>
            <w:vAlign w:val="center"/>
          </w:tcPr>
          <w:p>
            <w:pPr>
              <w:spacing w:line="360" w:lineRule="auto"/>
              <w:jc w:val="center"/>
              <w:rPr>
                <w:color w:val="auto"/>
                <w:szCs w:val="21"/>
                <w:highlight w:val="none"/>
              </w:rPr>
            </w:pPr>
            <w:r>
              <w:rPr>
                <w:color w:val="auto"/>
                <w:szCs w:val="21"/>
                <w:highlight w:val="none"/>
              </w:rPr>
              <w:t>m</w:t>
            </w:r>
            <w:r>
              <w:rPr>
                <w:color w:val="auto"/>
                <w:szCs w:val="21"/>
                <w:highlight w:val="none"/>
                <w:vertAlign w:val="superscript"/>
              </w:rPr>
              <w:t>2</w:t>
            </w:r>
          </w:p>
        </w:tc>
        <w:tc>
          <w:tcPr>
            <w:tcW w:w="1080" w:type="dxa"/>
            <w:tcBorders>
              <w:top w:val="single" w:color="auto" w:sz="4" w:space="0"/>
              <w:left w:val="nil"/>
              <w:bottom w:val="single" w:color="auto" w:sz="4" w:space="0"/>
              <w:right w:val="single" w:color="auto" w:sz="4" w:space="0"/>
            </w:tcBorders>
            <w:shd w:val="clear" w:color="auto" w:fill="FFFFFF"/>
            <w:noWrap w:val="0"/>
            <w:vAlign w:val="top"/>
          </w:tcPr>
          <w:p>
            <w:pPr>
              <w:spacing w:line="360" w:lineRule="auto"/>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top"/>
          </w:tcPr>
          <w:p>
            <w:pPr>
              <w:spacing w:line="360" w:lineRule="auto"/>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top"/>
          </w:tcPr>
          <w:p>
            <w:pPr>
              <w:spacing w:line="360" w:lineRule="auto"/>
              <w:ind w:left="-288" w:leftChars="-137"/>
              <w:jc w:val="center"/>
              <w:rPr>
                <w:color w:val="auto"/>
                <w:szCs w:val="21"/>
                <w:highlight w:val="none"/>
              </w:rPr>
            </w:pPr>
          </w:p>
        </w:tc>
        <w:tc>
          <w:tcPr>
            <w:tcW w:w="1980" w:type="dxa"/>
            <w:tcBorders>
              <w:top w:val="single" w:color="auto" w:sz="4" w:space="0"/>
              <w:left w:val="nil"/>
              <w:bottom w:val="single" w:color="auto" w:sz="4" w:space="0"/>
              <w:right w:val="single" w:color="auto" w:sz="4" w:space="0"/>
            </w:tcBorders>
            <w:shd w:val="clear" w:color="auto" w:fill="FFFFFF"/>
            <w:noWrap w:val="0"/>
            <w:vAlign w:val="center"/>
          </w:tcPr>
          <w:p>
            <w:pPr>
              <w:spacing w:line="360" w:lineRule="auto"/>
              <w:rPr>
                <w:color w:val="auto"/>
                <w:szCs w:val="21"/>
                <w:highlight w:val="none"/>
              </w:rPr>
            </w:pP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jc w:val="center"/>
              <w:rPr>
                <w:b/>
                <w:bCs/>
                <w:color w:val="auto"/>
                <w:szCs w:val="21"/>
                <w:highlight w:val="none"/>
              </w:rPr>
            </w:pPr>
            <w:r>
              <w:rPr>
                <w:rFonts w:hint="eastAsia"/>
                <w:b/>
                <w:bCs/>
                <w:color w:val="auto"/>
                <w:szCs w:val="21"/>
                <w:highlight w:val="none"/>
              </w:rPr>
              <w:t>（二）</w:t>
            </w:r>
          </w:p>
        </w:tc>
        <w:tc>
          <w:tcPr>
            <w:tcW w:w="3004" w:type="dxa"/>
            <w:tcBorders>
              <w:top w:val="single" w:color="auto" w:sz="4" w:space="0"/>
              <w:left w:val="nil"/>
              <w:bottom w:val="single" w:color="auto" w:sz="4" w:space="0"/>
              <w:right w:val="single" w:color="auto" w:sz="4" w:space="0"/>
            </w:tcBorders>
            <w:shd w:val="clear" w:color="auto" w:fill="FFFFFF"/>
            <w:noWrap w:val="0"/>
            <w:vAlign w:val="center"/>
          </w:tcPr>
          <w:p>
            <w:pPr>
              <w:spacing w:line="360" w:lineRule="auto"/>
              <w:rPr>
                <w:b/>
                <w:bCs/>
                <w:color w:val="auto"/>
                <w:szCs w:val="21"/>
                <w:highlight w:val="none"/>
              </w:rPr>
            </w:pPr>
            <w:r>
              <w:rPr>
                <w:rFonts w:hint="eastAsia"/>
                <w:b/>
                <w:bCs/>
                <w:color w:val="auto"/>
                <w:szCs w:val="21"/>
                <w:highlight w:val="none"/>
              </w:rPr>
              <w:t>生活用房</w:t>
            </w:r>
          </w:p>
        </w:tc>
        <w:tc>
          <w:tcPr>
            <w:tcW w:w="776" w:type="dxa"/>
            <w:tcBorders>
              <w:top w:val="single" w:color="auto" w:sz="4" w:space="0"/>
              <w:left w:val="nil"/>
              <w:bottom w:val="single" w:color="auto" w:sz="4" w:space="0"/>
              <w:right w:val="single" w:color="auto" w:sz="4" w:space="0"/>
            </w:tcBorders>
            <w:shd w:val="clear" w:color="auto" w:fill="FFFFFF"/>
            <w:noWrap w:val="0"/>
            <w:vAlign w:val="center"/>
          </w:tcPr>
          <w:p>
            <w:pPr>
              <w:spacing w:line="360" w:lineRule="auto"/>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top"/>
          </w:tcPr>
          <w:p>
            <w:pPr>
              <w:spacing w:line="360" w:lineRule="auto"/>
              <w:ind w:left="-288" w:leftChars="-137"/>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top"/>
          </w:tcPr>
          <w:p>
            <w:pPr>
              <w:spacing w:line="360" w:lineRule="auto"/>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top"/>
          </w:tcPr>
          <w:p>
            <w:pPr>
              <w:ind w:left="-288" w:leftChars="-137"/>
              <w:jc w:val="center"/>
              <w:rPr>
                <w:color w:val="auto"/>
                <w:szCs w:val="21"/>
                <w:highlight w:val="none"/>
              </w:rPr>
            </w:pPr>
          </w:p>
        </w:tc>
        <w:tc>
          <w:tcPr>
            <w:tcW w:w="1980" w:type="dxa"/>
            <w:tcBorders>
              <w:top w:val="single" w:color="auto" w:sz="4" w:space="0"/>
              <w:left w:val="nil"/>
              <w:bottom w:val="single" w:color="auto" w:sz="4" w:space="0"/>
              <w:right w:val="single" w:color="auto" w:sz="4" w:space="0"/>
            </w:tcBorders>
            <w:shd w:val="clear" w:color="auto" w:fill="FFFFFF"/>
            <w:noWrap w:val="0"/>
            <w:vAlign w:val="center"/>
          </w:tcPr>
          <w:p>
            <w:pPr>
              <w:rPr>
                <w:color w:val="auto"/>
                <w:szCs w:val="21"/>
                <w:highlight w:val="none"/>
              </w:rPr>
            </w:pP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jc w:val="center"/>
              <w:rPr>
                <w:color w:val="auto"/>
                <w:szCs w:val="21"/>
                <w:highlight w:val="none"/>
              </w:rPr>
            </w:pPr>
            <w:r>
              <w:rPr>
                <w:color w:val="auto"/>
                <w:szCs w:val="21"/>
                <w:highlight w:val="none"/>
              </w:rPr>
              <w:t>1</w:t>
            </w:r>
          </w:p>
        </w:tc>
        <w:tc>
          <w:tcPr>
            <w:tcW w:w="3004" w:type="dxa"/>
            <w:tcBorders>
              <w:top w:val="single" w:color="auto" w:sz="4" w:space="0"/>
              <w:left w:val="nil"/>
              <w:bottom w:val="single" w:color="auto" w:sz="4" w:space="0"/>
              <w:right w:val="single" w:color="auto" w:sz="4" w:space="0"/>
            </w:tcBorders>
            <w:shd w:val="clear" w:color="auto" w:fill="FFFFFF"/>
            <w:noWrap w:val="0"/>
            <w:vAlign w:val="center"/>
          </w:tcPr>
          <w:p>
            <w:pPr>
              <w:spacing w:line="360" w:lineRule="auto"/>
              <w:rPr>
                <w:color w:val="auto"/>
                <w:szCs w:val="21"/>
                <w:highlight w:val="none"/>
              </w:rPr>
            </w:pPr>
            <w:r>
              <w:rPr>
                <w:rFonts w:hint="eastAsia"/>
                <w:color w:val="auto"/>
                <w:szCs w:val="21"/>
                <w:highlight w:val="none"/>
              </w:rPr>
              <w:t>宿舍</w:t>
            </w:r>
          </w:p>
        </w:tc>
        <w:tc>
          <w:tcPr>
            <w:tcW w:w="776" w:type="dxa"/>
            <w:tcBorders>
              <w:top w:val="single" w:color="auto" w:sz="4" w:space="0"/>
              <w:left w:val="nil"/>
              <w:bottom w:val="single" w:color="auto" w:sz="4" w:space="0"/>
              <w:right w:val="single" w:color="auto" w:sz="4" w:space="0"/>
            </w:tcBorders>
            <w:shd w:val="clear" w:color="auto" w:fill="FFFFFF"/>
            <w:noWrap w:val="0"/>
            <w:vAlign w:val="center"/>
          </w:tcPr>
          <w:p>
            <w:pPr>
              <w:spacing w:line="360" w:lineRule="auto"/>
              <w:jc w:val="center"/>
              <w:rPr>
                <w:color w:val="auto"/>
                <w:szCs w:val="21"/>
                <w:highlight w:val="none"/>
              </w:rPr>
            </w:pPr>
            <w:r>
              <w:rPr>
                <w:color w:val="auto"/>
                <w:szCs w:val="21"/>
                <w:highlight w:val="none"/>
              </w:rPr>
              <w:t>m</w:t>
            </w:r>
            <w:r>
              <w:rPr>
                <w:color w:val="auto"/>
                <w:szCs w:val="21"/>
                <w:highlight w:val="none"/>
                <w:vertAlign w:val="superscript"/>
              </w:rPr>
              <w:t>2</w:t>
            </w:r>
          </w:p>
        </w:tc>
        <w:tc>
          <w:tcPr>
            <w:tcW w:w="1080" w:type="dxa"/>
            <w:tcBorders>
              <w:top w:val="single" w:color="auto" w:sz="4" w:space="0"/>
              <w:left w:val="nil"/>
              <w:bottom w:val="single" w:color="auto" w:sz="4" w:space="0"/>
              <w:right w:val="single" w:color="auto" w:sz="4" w:space="0"/>
            </w:tcBorders>
            <w:shd w:val="clear" w:color="auto" w:fill="FFFFFF"/>
            <w:noWrap w:val="0"/>
            <w:vAlign w:val="top"/>
          </w:tcPr>
          <w:p>
            <w:pPr>
              <w:spacing w:line="360" w:lineRule="auto"/>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top"/>
          </w:tcPr>
          <w:p>
            <w:pPr>
              <w:spacing w:line="360" w:lineRule="auto"/>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top"/>
          </w:tcPr>
          <w:p>
            <w:pPr>
              <w:spacing w:line="360" w:lineRule="auto"/>
              <w:ind w:left="-288" w:leftChars="-137"/>
              <w:jc w:val="center"/>
              <w:rPr>
                <w:color w:val="auto"/>
                <w:szCs w:val="21"/>
                <w:highlight w:val="none"/>
              </w:rPr>
            </w:pPr>
          </w:p>
        </w:tc>
        <w:tc>
          <w:tcPr>
            <w:tcW w:w="1980" w:type="dxa"/>
            <w:tcBorders>
              <w:top w:val="single" w:color="auto" w:sz="4" w:space="0"/>
              <w:left w:val="nil"/>
              <w:bottom w:val="single" w:color="auto" w:sz="4" w:space="0"/>
              <w:right w:val="single" w:color="auto" w:sz="4" w:space="0"/>
            </w:tcBorders>
            <w:shd w:val="clear" w:color="auto" w:fill="FFFFFF"/>
            <w:noWrap w:val="0"/>
            <w:vAlign w:val="center"/>
          </w:tcPr>
          <w:p>
            <w:pPr>
              <w:spacing w:line="360" w:lineRule="auto"/>
              <w:rPr>
                <w:color w:val="auto"/>
                <w:szCs w:val="21"/>
                <w:highlight w:val="none"/>
              </w:rPr>
            </w:pP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jc w:val="center"/>
              <w:rPr>
                <w:color w:val="auto"/>
                <w:szCs w:val="21"/>
                <w:highlight w:val="none"/>
              </w:rPr>
            </w:pPr>
            <w:r>
              <w:rPr>
                <w:color w:val="auto"/>
                <w:szCs w:val="21"/>
                <w:highlight w:val="none"/>
              </w:rPr>
              <w:t>2</w:t>
            </w:r>
          </w:p>
        </w:tc>
        <w:tc>
          <w:tcPr>
            <w:tcW w:w="3004" w:type="dxa"/>
            <w:tcBorders>
              <w:top w:val="single" w:color="auto" w:sz="4" w:space="0"/>
              <w:left w:val="nil"/>
              <w:bottom w:val="single" w:color="auto" w:sz="4" w:space="0"/>
              <w:right w:val="single" w:color="auto" w:sz="4" w:space="0"/>
            </w:tcBorders>
            <w:shd w:val="clear" w:color="auto" w:fill="FFFFFF"/>
            <w:noWrap w:val="0"/>
            <w:vAlign w:val="center"/>
          </w:tcPr>
          <w:p>
            <w:pPr>
              <w:spacing w:line="360" w:lineRule="auto"/>
              <w:rPr>
                <w:color w:val="auto"/>
                <w:szCs w:val="21"/>
                <w:highlight w:val="none"/>
              </w:rPr>
            </w:pPr>
            <w:r>
              <w:rPr>
                <w:rFonts w:hint="eastAsia"/>
                <w:color w:val="auto"/>
                <w:szCs w:val="21"/>
                <w:highlight w:val="none"/>
              </w:rPr>
              <w:t>食堂</w:t>
            </w:r>
          </w:p>
        </w:tc>
        <w:tc>
          <w:tcPr>
            <w:tcW w:w="776" w:type="dxa"/>
            <w:tcBorders>
              <w:top w:val="single" w:color="auto" w:sz="4" w:space="0"/>
              <w:left w:val="nil"/>
              <w:bottom w:val="single" w:color="auto" w:sz="4" w:space="0"/>
              <w:right w:val="single" w:color="auto" w:sz="4" w:space="0"/>
            </w:tcBorders>
            <w:shd w:val="clear" w:color="auto" w:fill="FFFFFF"/>
            <w:noWrap w:val="0"/>
            <w:vAlign w:val="center"/>
          </w:tcPr>
          <w:p>
            <w:pPr>
              <w:spacing w:line="360" w:lineRule="auto"/>
              <w:jc w:val="center"/>
              <w:rPr>
                <w:color w:val="auto"/>
                <w:szCs w:val="21"/>
                <w:highlight w:val="none"/>
              </w:rPr>
            </w:pPr>
            <w:r>
              <w:rPr>
                <w:color w:val="auto"/>
                <w:szCs w:val="21"/>
                <w:highlight w:val="none"/>
              </w:rPr>
              <w:t>m</w:t>
            </w:r>
            <w:r>
              <w:rPr>
                <w:color w:val="auto"/>
                <w:szCs w:val="21"/>
                <w:highlight w:val="none"/>
                <w:vertAlign w:val="superscript"/>
              </w:rPr>
              <w:t>2</w:t>
            </w:r>
          </w:p>
        </w:tc>
        <w:tc>
          <w:tcPr>
            <w:tcW w:w="1080" w:type="dxa"/>
            <w:tcBorders>
              <w:top w:val="single" w:color="auto" w:sz="4" w:space="0"/>
              <w:left w:val="nil"/>
              <w:bottom w:val="single" w:color="auto" w:sz="4" w:space="0"/>
              <w:right w:val="single" w:color="auto" w:sz="4" w:space="0"/>
            </w:tcBorders>
            <w:shd w:val="clear" w:color="auto" w:fill="FFFFFF"/>
            <w:noWrap w:val="0"/>
            <w:vAlign w:val="top"/>
          </w:tcPr>
          <w:p>
            <w:pPr>
              <w:spacing w:line="360" w:lineRule="auto"/>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top"/>
          </w:tcPr>
          <w:p>
            <w:pPr>
              <w:spacing w:line="360" w:lineRule="auto"/>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top"/>
          </w:tcPr>
          <w:p>
            <w:pPr>
              <w:spacing w:line="360" w:lineRule="auto"/>
              <w:ind w:left="-288" w:leftChars="-137"/>
              <w:jc w:val="center"/>
              <w:rPr>
                <w:color w:val="auto"/>
                <w:szCs w:val="21"/>
                <w:highlight w:val="none"/>
              </w:rPr>
            </w:pPr>
          </w:p>
        </w:tc>
        <w:tc>
          <w:tcPr>
            <w:tcW w:w="1980" w:type="dxa"/>
            <w:tcBorders>
              <w:top w:val="single" w:color="auto" w:sz="4" w:space="0"/>
              <w:left w:val="nil"/>
              <w:bottom w:val="single" w:color="auto" w:sz="4" w:space="0"/>
              <w:right w:val="single" w:color="auto" w:sz="4" w:space="0"/>
            </w:tcBorders>
            <w:shd w:val="clear" w:color="auto" w:fill="FFFFFF"/>
            <w:noWrap w:val="0"/>
            <w:vAlign w:val="center"/>
          </w:tcPr>
          <w:p>
            <w:pPr>
              <w:spacing w:line="360" w:lineRule="auto"/>
              <w:rPr>
                <w:color w:val="auto"/>
                <w:szCs w:val="21"/>
                <w:highlight w:val="none"/>
              </w:rPr>
            </w:pP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jc w:val="center"/>
              <w:rPr>
                <w:color w:val="auto"/>
                <w:szCs w:val="21"/>
                <w:highlight w:val="none"/>
              </w:rPr>
            </w:pPr>
            <w:r>
              <w:rPr>
                <w:color w:val="auto"/>
                <w:szCs w:val="21"/>
                <w:highlight w:val="none"/>
              </w:rPr>
              <w:t>3</w:t>
            </w:r>
          </w:p>
        </w:tc>
        <w:tc>
          <w:tcPr>
            <w:tcW w:w="3004" w:type="dxa"/>
            <w:tcBorders>
              <w:top w:val="single" w:color="auto" w:sz="4" w:space="0"/>
              <w:left w:val="nil"/>
              <w:bottom w:val="single" w:color="auto" w:sz="4" w:space="0"/>
              <w:right w:val="single" w:color="auto" w:sz="4" w:space="0"/>
            </w:tcBorders>
            <w:shd w:val="clear" w:color="auto" w:fill="FFFFFF"/>
            <w:noWrap w:val="0"/>
            <w:vAlign w:val="center"/>
          </w:tcPr>
          <w:p>
            <w:pPr>
              <w:spacing w:line="360" w:lineRule="auto"/>
              <w:rPr>
                <w:color w:val="auto"/>
                <w:szCs w:val="21"/>
                <w:highlight w:val="none"/>
              </w:rPr>
            </w:pPr>
            <w:r>
              <w:rPr>
                <w:rFonts w:hint="eastAsia"/>
                <w:color w:val="auto"/>
                <w:szCs w:val="21"/>
                <w:highlight w:val="none"/>
              </w:rPr>
              <w:t>厕所</w:t>
            </w:r>
          </w:p>
        </w:tc>
        <w:tc>
          <w:tcPr>
            <w:tcW w:w="776" w:type="dxa"/>
            <w:tcBorders>
              <w:top w:val="single" w:color="auto" w:sz="4" w:space="0"/>
              <w:left w:val="nil"/>
              <w:bottom w:val="single" w:color="auto" w:sz="4" w:space="0"/>
              <w:right w:val="single" w:color="auto" w:sz="4" w:space="0"/>
            </w:tcBorders>
            <w:shd w:val="clear" w:color="auto" w:fill="FFFFFF"/>
            <w:noWrap w:val="0"/>
            <w:vAlign w:val="center"/>
          </w:tcPr>
          <w:p>
            <w:pPr>
              <w:spacing w:line="360" w:lineRule="auto"/>
              <w:jc w:val="center"/>
              <w:rPr>
                <w:color w:val="auto"/>
                <w:szCs w:val="21"/>
                <w:highlight w:val="none"/>
              </w:rPr>
            </w:pPr>
            <w:r>
              <w:rPr>
                <w:color w:val="auto"/>
                <w:szCs w:val="21"/>
                <w:highlight w:val="none"/>
              </w:rPr>
              <w:t>m</w:t>
            </w:r>
            <w:r>
              <w:rPr>
                <w:color w:val="auto"/>
                <w:szCs w:val="21"/>
                <w:highlight w:val="none"/>
                <w:vertAlign w:val="superscript"/>
              </w:rPr>
              <w:t>2</w:t>
            </w:r>
          </w:p>
        </w:tc>
        <w:tc>
          <w:tcPr>
            <w:tcW w:w="1080" w:type="dxa"/>
            <w:tcBorders>
              <w:top w:val="single" w:color="auto" w:sz="4" w:space="0"/>
              <w:left w:val="nil"/>
              <w:bottom w:val="single" w:color="auto" w:sz="4" w:space="0"/>
              <w:right w:val="single" w:color="auto" w:sz="4" w:space="0"/>
            </w:tcBorders>
            <w:shd w:val="clear" w:color="auto" w:fill="FFFFFF"/>
            <w:noWrap w:val="0"/>
            <w:vAlign w:val="top"/>
          </w:tcPr>
          <w:p>
            <w:pPr>
              <w:spacing w:line="360" w:lineRule="auto"/>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top"/>
          </w:tcPr>
          <w:p>
            <w:pPr>
              <w:spacing w:line="360" w:lineRule="auto"/>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top"/>
          </w:tcPr>
          <w:p>
            <w:pPr>
              <w:spacing w:line="360" w:lineRule="auto"/>
              <w:ind w:left="-288" w:leftChars="-137"/>
              <w:jc w:val="center"/>
              <w:rPr>
                <w:color w:val="auto"/>
                <w:szCs w:val="21"/>
                <w:highlight w:val="none"/>
              </w:rPr>
            </w:pPr>
          </w:p>
        </w:tc>
        <w:tc>
          <w:tcPr>
            <w:tcW w:w="1980" w:type="dxa"/>
            <w:tcBorders>
              <w:top w:val="single" w:color="auto" w:sz="4" w:space="0"/>
              <w:left w:val="nil"/>
              <w:bottom w:val="single" w:color="auto" w:sz="4" w:space="0"/>
              <w:right w:val="single" w:color="auto" w:sz="4" w:space="0"/>
            </w:tcBorders>
            <w:shd w:val="clear" w:color="auto" w:fill="FFFFFF"/>
            <w:noWrap w:val="0"/>
            <w:vAlign w:val="center"/>
          </w:tcPr>
          <w:p>
            <w:pPr>
              <w:spacing w:line="360" w:lineRule="auto"/>
              <w:rPr>
                <w:color w:val="auto"/>
                <w:szCs w:val="21"/>
                <w:highlight w:val="none"/>
              </w:rPr>
            </w:pP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jc w:val="center"/>
              <w:rPr>
                <w:color w:val="auto"/>
                <w:szCs w:val="21"/>
                <w:highlight w:val="none"/>
              </w:rPr>
            </w:pPr>
            <w:r>
              <w:rPr>
                <w:color w:val="auto"/>
                <w:szCs w:val="21"/>
                <w:highlight w:val="none"/>
              </w:rPr>
              <w:t>4</w:t>
            </w:r>
          </w:p>
        </w:tc>
        <w:tc>
          <w:tcPr>
            <w:tcW w:w="3004" w:type="dxa"/>
            <w:tcBorders>
              <w:top w:val="single" w:color="auto" w:sz="4" w:space="0"/>
              <w:left w:val="nil"/>
              <w:bottom w:val="single" w:color="auto" w:sz="4" w:space="0"/>
              <w:right w:val="single" w:color="auto" w:sz="4" w:space="0"/>
            </w:tcBorders>
            <w:shd w:val="clear" w:color="auto" w:fill="FFFFFF"/>
            <w:noWrap w:val="0"/>
            <w:vAlign w:val="center"/>
          </w:tcPr>
          <w:p>
            <w:pPr>
              <w:spacing w:line="360" w:lineRule="auto"/>
              <w:rPr>
                <w:color w:val="auto"/>
                <w:szCs w:val="21"/>
                <w:highlight w:val="none"/>
              </w:rPr>
            </w:pPr>
            <w:r>
              <w:rPr>
                <w:rFonts w:hint="eastAsia"/>
                <w:color w:val="auto"/>
                <w:szCs w:val="21"/>
                <w:highlight w:val="none"/>
              </w:rPr>
              <w:t>浴室</w:t>
            </w:r>
          </w:p>
        </w:tc>
        <w:tc>
          <w:tcPr>
            <w:tcW w:w="776" w:type="dxa"/>
            <w:tcBorders>
              <w:top w:val="single" w:color="auto" w:sz="4" w:space="0"/>
              <w:left w:val="nil"/>
              <w:bottom w:val="single" w:color="auto" w:sz="4" w:space="0"/>
              <w:right w:val="single" w:color="auto" w:sz="4" w:space="0"/>
            </w:tcBorders>
            <w:shd w:val="clear" w:color="auto" w:fill="FFFFFF"/>
            <w:noWrap w:val="0"/>
            <w:vAlign w:val="center"/>
          </w:tcPr>
          <w:p>
            <w:pPr>
              <w:spacing w:line="360" w:lineRule="auto"/>
              <w:jc w:val="center"/>
              <w:rPr>
                <w:color w:val="auto"/>
                <w:szCs w:val="21"/>
                <w:highlight w:val="none"/>
              </w:rPr>
            </w:pPr>
            <w:r>
              <w:rPr>
                <w:color w:val="auto"/>
                <w:szCs w:val="21"/>
                <w:highlight w:val="none"/>
              </w:rPr>
              <w:t>m</w:t>
            </w:r>
            <w:r>
              <w:rPr>
                <w:color w:val="auto"/>
                <w:szCs w:val="21"/>
                <w:highlight w:val="none"/>
                <w:vertAlign w:val="superscript"/>
              </w:rPr>
              <w:t>2</w:t>
            </w:r>
          </w:p>
        </w:tc>
        <w:tc>
          <w:tcPr>
            <w:tcW w:w="1080" w:type="dxa"/>
            <w:tcBorders>
              <w:top w:val="single" w:color="auto" w:sz="4" w:space="0"/>
              <w:left w:val="nil"/>
              <w:bottom w:val="single" w:color="auto" w:sz="4" w:space="0"/>
              <w:right w:val="single" w:color="auto" w:sz="4" w:space="0"/>
            </w:tcBorders>
            <w:shd w:val="clear" w:color="auto" w:fill="FFFFFF"/>
            <w:noWrap w:val="0"/>
            <w:vAlign w:val="top"/>
          </w:tcPr>
          <w:p>
            <w:pPr>
              <w:spacing w:line="360" w:lineRule="auto"/>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top"/>
          </w:tcPr>
          <w:p>
            <w:pPr>
              <w:spacing w:line="360" w:lineRule="auto"/>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top"/>
          </w:tcPr>
          <w:p>
            <w:pPr>
              <w:spacing w:line="360" w:lineRule="auto"/>
              <w:ind w:left="-288" w:leftChars="-137"/>
              <w:jc w:val="center"/>
              <w:rPr>
                <w:color w:val="auto"/>
                <w:szCs w:val="21"/>
                <w:highlight w:val="none"/>
              </w:rPr>
            </w:pPr>
          </w:p>
        </w:tc>
        <w:tc>
          <w:tcPr>
            <w:tcW w:w="1980" w:type="dxa"/>
            <w:tcBorders>
              <w:top w:val="single" w:color="auto" w:sz="4" w:space="0"/>
              <w:left w:val="nil"/>
              <w:bottom w:val="single" w:color="auto" w:sz="4" w:space="0"/>
              <w:right w:val="single" w:color="auto" w:sz="4" w:space="0"/>
            </w:tcBorders>
            <w:shd w:val="clear" w:color="auto" w:fill="FFFFFF"/>
            <w:noWrap w:val="0"/>
            <w:vAlign w:val="center"/>
          </w:tcPr>
          <w:p>
            <w:pPr>
              <w:spacing w:line="360" w:lineRule="auto"/>
              <w:rPr>
                <w:color w:val="auto"/>
                <w:szCs w:val="21"/>
                <w:highlight w:val="none"/>
              </w:rPr>
            </w:pP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jc w:val="center"/>
              <w:rPr>
                <w:color w:val="auto"/>
                <w:szCs w:val="21"/>
                <w:highlight w:val="none"/>
              </w:rPr>
            </w:pPr>
            <w:r>
              <w:rPr>
                <w:color w:val="auto"/>
                <w:szCs w:val="21"/>
                <w:highlight w:val="none"/>
              </w:rPr>
              <w:t>5</w:t>
            </w:r>
          </w:p>
        </w:tc>
        <w:tc>
          <w:tcPr>
            <w:tcW w:w="3004" w:type="dxa"/>
            <w:tcBorders>
              <w:top w:val="single" w:color="auto" w:sz="4" w:space="0"/>
              <w:left w:val="nil"/>
              <w:bottom w:val="single" w:color="auto" w:sz="4" w:space="0"/>
              <w:right w:val="single" w:color="auto" w:sz="4" w:space="0"/>
            </w:tcBorders>
            <w:shd w:val="clear" w:color="auto" w:fill="FFFFFF"/>
            <w:noWrap w:val="0"/>
            <w:vAlign w:val="center"/>
          </w:tcPr>
          <w:p>
            <w:pPr>
              <w:spacing w:line="360" w:lineRule="auto"/>
              <w:rPr>
                <w:color w:val="auto"/>
                <w:szCs w:val="21"/>
                <w:highlight w:val="none"/>
              </w:rPr>
            </w:pPr>
            <w:r>
              <w:rPr>
                <w:rFonts w:hint="eastAsia"/>
                <w:color w:val="auto"/>
                <w:szCs w:val="21"/>
                <w:highlight w:val="none"/>
              </w:rPr>
              <w:t>其他生活设施</w:t>
            </w:r>
          </w:p>
        </w:tc>
        <w:tc>
          <w:tcPr>
            <w:tcW w:w="776" w:type="dxa"/>
            <w:tcBorders>
              <w:top w:val="single" w:color="auto" w:sz="4" w:space="0"/>
              <w:left w:val="nil"/>
              <w:bottom w:val="single" w:color="auto" w:sz="4" w:space="0"/>
              <w:right w:val="single" w:color="auto" w:sz="4" w:space="0"/>
            </w:tcBorders>
            <w:shd w:val="clear" w:color="auto" w:fill="FFFFFF"/>
            <w:noWrap w:val="0"/>
            <w:vAlign w:val="center"/>
          </w:tcPr>
          <w:p>
            <w:pPr>
              <w:spacing w:line="360" w:lineRule="auto"/>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top"/>
          </w:tcPr>
          <w:p>
            <w:pPr>
              <w:spacing w:line="360" w:lineRule="auto"/>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top"/>
          </w:tcPr>
          <w:p>
            <w:pPr>
              <w:spacing w:line="360" w:lineRule="auto"/>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top"/>
          </w:tcPr>
          <w:p>
            <w:pPr>
              <w:spacing w:line="360" w:lineRule="auto"/>
              <w:ind w:left="-288" w:leftChars="-137"/>
              <w:jc w:val="center"/>
              <w:rPr>
                <w:color w:val="auto"/>
                <w:szCs w:val="21"/>
                <w:highlight w:val="none"/>
              </w:rPr>
            </w:pPr>
          </w:p>
        </w:tc>
        <w:tc>
          <w:tcPr>
            <w:tcW w:w="1980" w:type="dxa"/>
            <w:tcBorders>
              <w:top w:val="single" w:color="auto" w:sz="4" w:space="0"/>
              <w:left w:val="nil"/>
              <w:bottom w:val="single" w:color="auto" w:sz="4" w:space="0"/>
              <w:right w:val="single" w:color="auto" w:sz="4" w:space="0"/>
            </w:tcBorders>
            <w:shd w:val="clear" w:color="auto" w:fill="FFFFFF"/>
            <w:noWrap w:val="0"/>
            <w:vAlign w:val="center"/>
          </w:tcPr>
          <w:p>
            <w:pPr>
              <w:rPr>
                <w:color w:val="auto"/>
                <w:szCs w:val="21"/>
                <w:highlight w:val="none"/>
              </w:rPr>
            </w:pPr>
            <w:r>
              <w:rPr>
                <w:rFonts w:hint="eastAsia"/>
                <w:color w:val="auto"/>
                <w:szCs w:val="21"/>
                <w:highlight w:val="none"/>
              </w:rPr>
              <w:t>休息场所、文化娱乐设施等</w:t>
            </w: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jc w:val="center"/>
              <w:rPr>
                <w:b/>
                <w:bCs/>
                <w:color w:val="auto"/>
                <w:szCs w:val="21"/>
                <w:highlight w:val="none"/>
              </w:rPr>
            </w:pPr>
            <w:r>
              <w:rPr>
                <w:rFonts w:hint="eastAsia"/>
                <w:b/>
                <w:bCs/>
                <w:color w:val="auto"/>
                <w:szCs w:val="21"/>
                <w:highlight w:val="none"/>
              </w:rPr>
              <w:t>（三）</w:t>
            </w:r>
          </w:p>
        </w:tc>
        <w:tc>
          <w:tcPr>
            <w:tcW w:w="3004" w:type="dxa"/>
            <w:tcBorders>
              <w:top w:val="single" w:color="auto" w:sz="4" w:space="0"/>
              <w:left w:val="nil"/>
              <w:bottom w:val="single" w:color="auto" w:sz="4" w:space="0"/>
              <w:right w:val="single" w:color="auto" w:sz="4" w:space="0"/>
            </w:tcBorders>
            <w:shd w:val="clear" w:color="auto" w:fill="FFFFFF"/>
            <w:noWrap w:val="0"/>
            <w:vAlign w:val="center"/>
          </w:tcPr>
          <w:p>
            <w:pPr>
              <w:spacing w:line="360" w:lineRule="auto"/>
              <w:rPr>
                <w:b/>
                <w:bCs/>
                <w:color w:val="auto"/>
                <w:szCs w:val="21"/>
                <w:highlight w:val="none"/>
              </w:rPr>
            </w:pPr>
            <w:r>
              <w:rPr>
                <w:rFonts w:hint="eastAsia"/>
                <w:b/>
                <w:bCs/>
                <w:color w:val="auto"/>
                <w:szCs w:val="21"/>
                <w:highlight w:val="none"/>
              </w:rPr>
              <w:t>生产用房（仓库）</w:t>
            </w:r>
          </w:p>
        </w:tc>
        <w:tc>
          <w:tcPr>
            <w:tcW w:w="776" w:type="dxa"/>
            <w:tcBorders>
              <w:top w:val="single" w:color="auto" w:sz="4" w:space="0"/>
              <w:left w:val="nil"/>
              <w:bottom w:val="single" w:color="auto" w:sz="4" w:space="0"/>
              <w:right w:val="single" w:color="auto" w:sz="4" w:space="0"/>
            </w:tcBorders>
            <w:shd w:val="clear" w:color="auto" w:fill="FFFFFF"/>
            <w:noWrap w:val="0"/>
            <w:vAlign w:val="center"/>
          </w:tcPr>
          <w:p>
            <w:pPr>
              <w:spacing w:line="360" w:lineRule="auto"/>
              <w:jc w:val="center"/>
              <w:rPr>
                <w:color w:val="auto"/>
                <w:szCs w:val="21"/>
                <w:highlight w:val="none"/>
              </w:rPr>
            </w:pPr>
            <w:r>
              <w:rPr>
                <w:color w:val="auto"/>
                <w:szCs w:val="21"/>
                <w:highlight w:val="none"/>
              </w:rPr>
              <w:t>m</w:t>
            </w:r>
            <w:r>
              <w:rPr>
                <w:color w:val="auto"/>
                <w:szCs w:val="21"/>
                <w:highlight w:val="none"/>
                <w:vertAlign w:val="superscript"/>
              </w:rPr>
              <w:t>2</w:t>
            </w:r>
          </w:p>
        </w:tc>
        <w:tc>
          <w:tcPr>
            <w:tcW w:w="1080" w:type="dxa"/>
            <w:tcBorders>
              <w:top w:val="single" w:color="auto" w:sz="4" w:space="0"/>
              <w:left w:val="nil"/>
              <w:bottom w:val="single" w:color="auto" w:sz="4" w:space="0"/>
              <w:right w:val="single" w:color="auto" w:sz="4" w:space="0"/>
            </w:tcBorders>
            <w:shd w:val="clear" w:color="auto" w:fill="FFFFFF"/>
            <w:noWrap w:val="0"/>
            <w:vAlign w:val="top"/>
          </w:tcPr>
          <w:p>
            <w:pPr>
              <w:spacing w:line="360" w:lineRule="auto"/>
              <w:ind w:left="-288" w:leftChars="-137"/>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top"/>
          </w:tcPr>
          <w:p>
            <w:pPr>
              <w:spacing w:line="360" w:lineRule="auto"/>
              <w:ind w:left="-288" w:leftChars="-137"/>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top"/>
          </w:tcPr>
          <w:p>
            <w:pPr>
              <w:spacing w:line="360" w:lineRule="auto"/>
              <w:ind w:left="-288" w:leftChars="-137"/>
              <w:jc w:val="center"/>
              <w:rPr>
                <w:color w:val="auto"/>
                <w:szCs w:val="21"/>
                <w:highlight w:val="none"/>
              </w:rPr>
            </w:pPr>
          </w:p>
        </w:tc>
        <w:tc>
          <w:tcPr>
            <w:tcW w:w="1980" w:type="dxa"/>
            <w:tcBorders>
              <w:top w:val="single" w:color="auto" w:sz="4" w:space="0"/>
              <w:left w:val="nil"/>
              <w:bottom w:val="single" w:color="auto" w:sz="4" w:space="0"/>
              <w:right w:val="single" w:color="auto" w:sz="4" w:space="0"/>
            </w:tcBorders>
            <w:shd w:val="clear" w:color="auto" w:fill="FFFFFF"/>
            <w:noWrap w:val="0"/>
            <w:vAlign w:val="center"/>
          </w:tcPr>
          <w:p>
            <w:pPr>
              <w:spacing w:line="360" w:lineRule="auto"/>
              <w:rPr>
                <w:color w:val="auto"/>
                <w:szCs w:val="21"/>
                <w:highlight w:val="none"/>
              </w:rPr>
            </w:pP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jc w:val="center"/>
              <w:rPr>
                <w:b/>
                <w:bCs/>
                <w:color w:val="auto"/>
                <w:szCs w:val="21"/>
                <w:highlight w:val="none"/>
              </w:rPr>
            </w:pPr>
            <w:r>
              <w:rPr>
                <w:rFonts w:hint="eastAsia" w:hAnsi="宋体"/>
                <w:b/>
                <w:bCs/>
                <w:color w:val="auto"/>
                <w:szCs w:val="21"/>
                <w:highlight w:val="none"/>
              </w:rPr>
              <w:t>（四）</w:t>
            </w:r>
          </w:p>
        </w:tc>
        <w:tc>
          <w:tcPr>
            <w:tcW w:w="3004" w:type="dxa"/>
            <w:tcBorders>
              <w:top w:val="single" w:color="auto" w:sz="4" w:space="0"/>
              <w:left w:val="nil"/>
              <w:bottom w:val="single" w:color="auto" w:sz="4" w:space="0"/>
              <w:right w:val="single" w:color="auto" w:sz="4" w:space="0"/>
            </w:tcBorders>
            <w:shd w:val="clear" w:color="auto" w:fill="FFFFFF"/>
            <w:noWrap w:val="0"/>
            <w:vAlign w:val="center"/>
          </w:tcPr>
          <w:p>
            <w:pPr>
              <w:spacing w:line="360" w:lineRule="auto"/>
              <w:rPr>
                <w:b/>
                <w:bCs/>
                <w:color w:val="auto"/>
                <w:szCs w:val="21"/>
                <w:highlight w:val="none"/>
              </w:rPr>
            </w:pPr>
            <w:r>
              <w:rPr>
                <w:rFonts w:hint="eastAsia" w:hAnsi="宋体"/>
                <w:b/>
                <w:bCs/>
                <w:color w:val="auto"/>
                <w:szCs w:val="21"/>
                <w:highlight w:val="none"/>
              </w:rPr>
              <w:t>临时用电设施</w:t>
            </w:r>
          </w:p>
        </w:tc>
        <w:tc>
          <w:tcPr>
            <w:tcW w:w="776" w:type="dxa"/>
            <w:tcBorders>
              <w:top w:val="single" w:color="auto" w:sz="4" w:space="0"/>
              <w:left w:val="nil"/>
              <w:bottom w:val="single" w:color="auto" w:sz="4" w:space="0"/>
              <w:right w:val="single" w:color="auto" w:sz="4" w:space="0"/>
            </w:tcBorders>
            <w:shd w:val="clear" w:color="auto" w:fill="FFFFFF"/>
            <w:noWrap w:val="0"/>
            <w:vAlign w:val="center"/>
          </w:tcPr>
          <w:p>
            <w:pPr>
              <w:spacing w:line="360" w:lineRule="auto"/>
              <w:jc w:val="center"/>
              <w:rPr>
                <w:rFonts w:ascii="黑体" w:eastAsia="黑体"/>
                <w:b/>
                <w:bCs/>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top"/>
          </w:tcPr>
          <w:p>
            <w:pPr>
              <w:spacing w:line="360" w:lineRule="auto"/>
              <w:ind w:left="-288" w:leftChars="-137"/>
              <w:jc w:val="center"/>
              <w:rPr>
                <w:rFonts w:ascii="黑体" w:eastAsia="黑体"/>
                <w:b/>
                <w:bCs/>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top"/>
          </w:tcPr>
          <w:p>
            <w:pPr>
              <w:spacing w:line="360" w:lineRule="auto"/>
              <w:jc w:val="center"/>
              <w:rPr>
                <w:rFonts w:ascii="黑体" w:eastAsia="黑体"/>
                <w:b/>
                <w:bCs/>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top"/>
          </w:tcPr>
          <w:p>
            <w:pPr>
              <w:ind w:left="-288" w:leftChars="-137"/>
              <w:jc w:val="center"/>
              <w:rPr>
                <w:color w:val="auto"/>
                <w:szCs w:val="21"/>
                <w:highlight w:val="none"/>
              </w:rPr>
            </w:pPr>
          </w:p>
        </w:tc>
        <w:tc>
          <w:tcPr>
            <w:tcW w:w="1980" w:type="dxa"/>
            <w:tcBorders>
              <w:top w:val="single" w:color="auto" w:sz="4" w:space="0"/>
              <w:left w:val="nil"/>
              <w:bottom w:val="single" w:color="auto" w:sz="4" w:space="0"/>
              <w:right w:val="single" w:color="auto" w:sz="4" w:space="0"/>
            </w:tcBorders>
            <w:shd w:val="clear" w:color="auto" w:fill="FFFFFF"/>
            <w:noWrap w:val="0"/>
            <w:vAlign w:val="center"/>
          </w:tcPr>
          <w:p>
            <w:pPr>
              <w:rPr>
                <w:color w:val="auto"/>
                <w:szCs w:val="21"/>
                <w:highlight w:val="none"/>
              </w:rPr>
            </w:pP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jc w:val="center"/>
              <w:rPr>
                <w:color w:val="auto"/>
                <w:szCs w:val="21"/>
                <w:highlight w:val="none"/>
              </w:rPr>
            </w:pPr>
            <w:r>
              <w:rPr>
                <w:color w:val="auto"/>
                <w:szCs w:val="21"/>
                <w:highlight w:val="none"/>
              </w:rPr>
              <w:t>1</w:t>
            </w:r>
          </w:p>
        </w:tc>
        <w:tc>
          <w:tcPr>
            <w:tcW w:w="3004" w:type="dxa"/>
            <w:tcBorders>
              <w:top w:val="single" w:color="auto" w:sz="4" w:space="0"/>
              <w:left w:val="nil"/>
              <w:bottom w:val="single" w:color="auto" w:sz="4" w:space="0"/>
              <w:right w:val="single" w:color="auto" w:sz="4" w:space="0"/>
            </w:tcBorders>
            <w:shd w:val="clear" w:color="auto" w:fill="FFFFFF"/>
            <w:noWrap w:val="0"/>
            <w:vAlign w:val="center"/>
          </w:tcPr>
          <w:p>
            <w:pPr>
              <w:spacing w:line="360" w:lineRule="auto"/>
              <w:rPr>
                <w:color w:val="auto"/>
                <w:szCs w:val="21"/>
                <w:highlight w:val="none"/>
              </w:rPr>
            </w:pPr>
            <w:r>
              <w:rPr>
                <w:rFonts w:hint="eastAsia"/>
                <w:color w:val="auto"/>
                <w:szCs w:val="21"/>
                <w:highlight w:val="none"/>
              </w:rPr>
              <w:t>总配电箱</w:t>
            </w:r>
          </w:p>
        </w:tc>
        <w:tc>
          <w:tcPr>
            <w:tcW w:w="776" w:type="dxa"/>
            <w:tcBorders>
              <w:top w:val="single" w:color="auto" w:sz="4" w:space="0"/>
              <w:left w:val="nil"/>
              <w:bottom w:val="single" w:color="auto" w:sz="4" w:space="0"/>
              <w:right w:val="single" w:color="auto" w:sz="4" w:space="0"/>
            </w:tcBorders>
            <w:shd w:val="clear" w:color="auto" w:fill="FFFFFF"/>
            <w:noWrap w:val="0"/>
            <w:vAlign w:val="center"/>
          </w:tcPr>
          <w:p>
            <w:pPr>
              <w:spacing w:line="360" w:lineRule="auto"/>
              <w:jc w:val="center"/>
              <w:rPr>
                <w:color w:val="auto"/>
                <w:szCs w:val="21"/>
                <w:highlight w:val="none"/>
              </w:rPr>
            </w:pPr>
            <w:r>
              <w:rPr>
                <w:rFonts w:hint="eastAsia"/>
                <w:color w:val="auto"/>
                <w:szCs w:val="21"/>
                <w:highlight w:val="none"/>
              </w:rPr>
              <w:t>只</w:t>
            </w:r>
          </w:p>
        </w:tc>
        <w:tc>
          <w:tcPr>
            <w:tcW w:w="1080" w:type="dxa"/>
            <w:tcBorders>
              <w:top w:val="single" w:color="auto" w:sz="4" w:space="0"/>
              <w:left w:val="nil"/>
              <w:bottom w:val="single" w:color="auto" w:sz="4" w:space="0"/>
              <w:right w:val="single" w:color="auto" w:sz="4" w:space="0"/>
            </w:tcBorders>
            <w:shd w:val="clear" w:color="auto" w:fill="FFFFFF"/>
            <w:noWrap w:val="0"/>
            <w:vAlign w:val="top"/>
          </w:tcPr>
          <w:p>
            <w:pPr>
              <w:spacing w:line="360" w:lineRule="auto"/>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top"/>
          </w:tcPr>
          <w:p>
            <w:pPr>
              <w:spacing w:line="360" w:lineRule="auto"/>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top"/>
          </w:tcPr>
          <w:p>
            <w:pPr>
              <w:spacing w:line="360" w:lineRule="auto"/>
              <w:jc w:val="center"/>
              <w:rPr>
                <w:color w:val="auto"/>
                <w:szCs w:val="21"/>
                <w:highlight w:val="none"/>
              </w:rPr>
            </w:pPr>
          </w:p>
        </w:tc>
        <w:tc>
          <w:tcPr>
            <w:tcW w:w="1980" w:type="dxa"/>
            <w:tcBorders>
              <w:top w:val="single" w:color="auto" w:sz="4" w:space="0"/>
              <w:left w:val="nil"/>
              <w:bottom w:val="single" w:color="auto" w:sz="4" w:space="0"/>
              <w:right w:val="single" w:color="auto" w:sz="4" w:space="0"/>
            </w:tcBorders>
            <w:shd w:val="clear" w:color="auto" w:fill="FFFFFF"/>
            <w:noWrap w:val="0"/>
            <w:vAlign w:val="center"/>
          </w:tcPr>
          <w:p>
            <w:pPr>
              <w:spacing w:line="360" w:lineRule="auto"/>
              <w:rPr>
                <w:color w:val="auto"/>
                <w:szCs w:val="21"/>
                <w:highlight w:val="none"/>
              </w:rPr>
            </w:pP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auto"/>
                <w:szCs w:val="21"/>
                <w:highlight w:val="none"/>
              </w:rPr>
            </w:pPr>
            <w:r>
              <w:rPr>
                <w:color w:val="auto"/>
                <w:szCs w:val="21"/>
                <w:highlight w:val="none"/>
              </w:rPr>
              <w:t>2</w:t>
            </w:r>
          </w:p>
        </w:tc>
        <w:tc>
          <w:tcPr>
            <w:tcW w:w="3004" w:type="dxa"/>
            <w:tcBorders>
              <w:top w:val="single" w:color="auto" w:sz="4" w:space="0"/>
              <w:left w:val="nil"/>
              <w:bottom w:val="single" w:color="auto" w:sz="4" w:space="0"/>
              <w:right w:val="single" w:color="auto" w:sz="4" w:space="0"/>
            </w:tcBorders>
            <w:shd w:val="clear" w:color="auto" w:fill="FFFFFF"/>
            <w:noWrap w:val="0"/>
            <w:vAlign w:val="center"/>
          </w:tcPr>
          <w:p>
            <w:pPr>
              <w:rPr>
                <w:color w:val="auto"/>
                <w:szCs w:val="21"/>
                <w:highlight w:val="none"/>
              </w:rPr>
            </w:pPr>
            <w:r>
              <w:rPr>
                <w:rFonts w:hint="eastAsia"/>
                <w:color w:val="auto"/>
                <w:szCs w:val="21"/>
                <w:highlight w:val="none"/>
              </w:rPr>
              <w:t>分配电箱</w:t>
            </w:r>
          </w:p>
        </w:tc>
        <w:tc>
          <w:tcPr>
            <w:tcW w:w="776"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r>
              <w:rPr>
                <w:rFonts w:hint="eastAsia"/>
                <w:color w:val="auto"/>
                <w:szCs w:val="21"/>
                <w:highlight w:val="none"/>
              </w:rPr>
              <w:t>只</w:t>
            </w:r>
          </w:p>
        </w:tc>
        <w:tc>
          <w:tcPr>
            <w:tcW w:w="1080" w:type="dxa"/>
            <w:tcBorders>
              <w:top w:val="single" w:color="auto" w:sz="4" w:space="0"/>
              <w:left w:val="nil"/>
              <w:bottom w:val="single" w:color="auto" w:sz="4" w:space="0"/>
              <w:right w:val="single" w:color="auto" w:sz="4" w:space="0"/>
            </w:tcBorders>
            <w:shd w:val="clear" w:color="auto" w:fill="FFFFFF"/>
            <w:noWrap w:val="0"/>
            <w:vAlign w:val="top"/>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top"/>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top"/>
          </w:tcPr>
          <w:p>
            <w:pPr>
              <w:ind w:left="-288" w:leftChars="-137"/>
              <w:jc w:val="center"/>
              <w:rPr>
                <w:color w:val="auto"/>
                <w:szCs w:val="21"/>
                <w:highlight w:val="none"/>
              </w:rPr>
            </w:pPr>
          </w:p>
        </w:tc>
        <w:tc>
          <w:tcPr>
            <w:tcW w:w="1980" w:type="dxa"/>
            <w:tcBorders>
              <w:top w:val="single" w:color="auto" w:sz="4" w:space="0"/>
              <w:left w:val="nil"/>
              <w:bottom w:val="single" w:color="auto" w:sz="4" w:space="0"/>
              <w:right w:val="single" w:color="auto" w:sz="4" w:space="0"/>
            </w:tcBorders>
            <w:shd w:val="clear" w:color="auto" w:fill="FFFFFF"/>
            <w:noWrap w:val="0"/>
            <w:vAlign w:val="center"/>
          </w:tcPr>
          <w:p>
            <w:pPr>
              <w:rPr>
                <w:color w:val="auto"/>
                <w:szCs w:val="21"/>
                <w:highlight w:val="none"/>
              </w:rPr>
            </w:pP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auto"/>
                <w:szCs w:val="21"/>
                <w:highlight w:val="none"/>
              </w:rPr>
            </w:pPr>
            <w:r>
              <w:rPr>
                <w:color w:val="auto"/>
                <w:szCs w:val="21"/>
                <w:highlight w:val="none"/>
              </w:rPr>
              <w:t>3</w:t>
            </w:r>
          </w:p>
        </w:tc>
        <w:tc>
          <w:tcPr>
            <w:tcW w:w="3004" w:type="dxa"/>
            <w:tcBorders>
              <w:top w:val="single" w:color="auto" w:sz="4" w:space="0"/>
              <w:left w:val="nil"/>
              <w:bottom w:val="single" w:color="auto" w:sz="4" w:space="0"/>
              <w:right w:val="single" w:color="auto" w:sz="4" w:space="0"/>
            </w:tcBorders>
            <w:shd w:val="clear" w:color="auto" w:fill="FFFFFF"/>
            <w:noWrap w:val="0"/>
            <w:vAlign w:val="center"/>
          </w:tcPr>
          <w:p>
            <w:pPr>
              <w:rPr>
                <w:color w:val="auto"/>
                <w:szCs w:val="21"/>
                <w:highlight w:val="none"/>
              </w:rPr>
            </w:pPr>
            <w:r>
              <w:rPr>
                <w:rFonts w:hint="eastAsia"/>
                <w:color w:val="auto"/>
                <w:szCs w:val="21"/>
                <w:highlight w:val="none"/>
              </w:rPr>
              <w:t>开关箱</w:t>
            </w:r>
          </w:p>
        </w:tc>
        <w:tc>
          <w:tcPr>
            <w:tcW w:w="776"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r>
              <w:rPr>
                <w:rFonts w:hint="eastAsia"/>
                <w:color w:val="auto"/>
                <w:szCs w:val="21"/>
                <w:highlight w:val="none"/>
              </w:rPr>
              <w:t>只</w:t>
            </w:r>
          </w:p>
        </w:tc>
        <w:tc>
          <w:tcPr>
            <w:tcW w:w="1080" w:type="dxa"/>
            <w:tcBorders>
              <w:top w:val="single" w:color="auto" w:sz="4" w:space="0"/>
              <w:left w:val="nil"/>
              <w:bottom w:val="single" w:color="auto" w:sz="4" w:space="0"/>
              <w:right w:val="single" w:color="auto" w:sz="4" w:space="0"/>
            </w:tcBorders>
            <w:shd w:val="clear" w:color="auto" w:fill="FFFFFF"/>
            <w:noWrap w:val="0"/>
            <w:vAlign w:val="top"/>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top"/>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top"/>
          </w:tcPr>
          <w:p>
            <w:pPr>
              <w:jc w:val="center"/>
              <w:rPr>
                <w:color w:val="auto"/>
                <w:szCs w:val="21"/>
                <w:highlight w:val="none"/>
              </w:rPr>
            </w:pPr>
          </w:p>
        </w:tc>
        <w:tc>
          <w:tcPr>
            <w:tcW w:w="1980" w:type="dxa"/>
            <w:tcBorders>
              <w:top w:val="single" w:color="auto" w:sz="4" w:space="0"/>
              <w:left w:val="nil"/>
              <w:bottom w:val="single" w:color="auto" w:sz="4" w:space="0"/>
              <w:right w:val="single" w:color="auto" w:sz="4" w:space="0"/>
            </w:tcBorders>
            <w:shd w:val="clear" w:color="auto" w:fill="FFFFFF"/>
            <w:noWrap w:val="0"/>
            <w:vAlign w:val="center"/>
          </w:tcPr>
          <w:p>
            <w:pPr>
              <w:rPr>
                <w:color w:val="auto"/>
                <w:szCs w:val="21"/>
                <w:highlight w:val="none"/>
              </w:rPr>
            </w:pP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auto"/>
                <w:szCs w:val="21"/>
                <w:highlight w:val="none"/>
              </w:rPr>
            </w:pPr>
            <w:r>
              <w:rPr>
                <w:color w:val="auto"/>
                <w:szCs w:val="21"/>
                <w:highlight w:val="none"/>
              </w:rPr>
              <w:t>4</w:t>
            </w:r>
          </w:p>
        </w:tc>
        <w:tc>
          <w:tcPr>
            <w:tcW w:w="3004" w:type="dxa"/>
            <w:tcBorders>
              <w:top w:val="single" w:color="auto" w:sz="4" w:space="0"/>
              <w:left w:val="nil"/>
              <w:bottom w:val="single" w:color="auto" w:sz="4" w:space="0"/>
              <w:right w:val="single" w:color="auto" w:sz="4" w:space="0"/>
            </w:tcBorders>
            <w:shd w:val="clear" w:color="auto" w:fill="FFFFFF"/>
            <w:noWrap w:val="0"/>
            <w:vAlign w:val="center"/>
          </w:tcPr>
          <w:p>
            <w:pPr>
              <w:rPr>
                <w:color w:val="auto"/>
                <w:szCs w:val="21"/>
                <w:highlight w:val="none"/>
              </w:rPr>
            </w:pPr>
            <w:r>
              <w:rPr>
                <w:rFonts w:hint="eastAsia"/>
                <w:color w:val="auto"/>
                <w:szCs w:val="21"/>
                <w:highlight w:val="none"/>
              </w:rPr>
              <w:t>临时用电线路</w:t>
            </w:r>
          </w:p>
        </w:tc>
        <w:tc>
          <w:tcPr>
            <w:tcW w:w="776"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r>
              <w:rPr>
                <w:color w:val="auto"/>
                <w:szCs w:val="21"/>
                <w:highlight w:val="none"/>
              </w:rPr>
              <w:t>m</w:t>
            </w:r>
          </w:p>
        </w:tc>
        <w:tc>
          <w:tcPr>
            <w:tcW w:w="1080" w:type="dxa"/>
            <w:tcBorders>
              <w:top w:val="single" w:color="auto" w:sz="4" w:space="0"/>
              <w:left w:val="nil"/>
              <w:bottom w:val="single" w:color="auto" w:sz="4" w:space="0"/>
              <w:right w:val="single" w:color="auto" w:sz="4" w:space="0"/>
            </w:tcBorders>
            <w:shd w:val="clear" w:color="auto" w:fill="FFFFFF"/>
            <w:noWrap w:val="0"/>
            <w:vAlign w:val="top"/>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top"/>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top"/>
          </w:tcPr>
          <w:p>
            <w:pPr>
              <w:jc w:val="center"/>
              <w:rPr>
                <w:color w:val="auto"/>
                <w:szCs w:val="21"/>
                <w:highlight w:val="none"/>
              </w:rPr>
            </w:pPr>
          </w:p>
        </w:tc>
        <w:tc>
          <w:tcPr>
            <w:tcW w:w="1980" w:type="dxa"/>
            <w:tcBorders>
              <w:top w:val="single" w:color="auto" w:sz="4" w:space="0"/>
              <w:left w:val="nil"/>
              <w:bottom w:val="single" w:color="auto" w:sz="4" w:space="0"/>
              <w:right w:val="single" w:color="auto" w:sz="4" w:space="0"/>
            </w:tcBorders>
            <w:shd w:val="clear" w:color="auto" w:fill="FFFFFF"/>
            <w:noWrap w:val="0"/>
            <w:vAlign w:val="center"/>
          </w:tcPr>
          <w:p>
            <w:pPr>
              <w:rPr>
                <w:color w:val="auto"/>
                <w:szCs w:val="21"/>
                <w:highlight w:val="none"/>
              </w:rPr>
            </w:pP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auto"/>
                <w:szCs w:val="21"/>
                <w:highlight w:val="none"/>
              </w:rPr>
            </w:pPr>
            <w:r>
              <w:rPr>
                <w:color w:val="auto"/>
                <w:szCs w:val="21"/>
                <w:highlight w:val="none"/>
              </w:rPr>
              <w:t>5</w:t>
            </w:r>
          </w:p>
        </w:tc>
        <w:tc>
          <w:tcPr>
            <w:tcW w:w="3004" w:type="dxa"/>
            <w:tcBorders>
              <w:top w:val="single" w:color="auto" w:sz="4" w:space="0"/>
              <w:left w:val="nil"/>
              <w:bottom w:val="single" w:color="auto" w:sz="4" w:space="0"/>
              <w:right w:val="single" w:color="auto" w:sz="4" w:space="0"/>
            </w:tcBorders>
            <w:shd w:val="clear" w:color="auto" w:fill="FFFFFF"/>
            <w:noWrap w:val="0"/>
            <w:vAlign w:val="center"/>
          </w:tcPr>
          <w:p>
            <w:pPr>
              <w:rPr>
                <w:color w:val="auto"/>
                <w:szCs w:val="21"/>
                <w:highlight w:val="none"/>
              </w:rPr>
            </w:pPr>
            <w:r>
              <w:rPr>
                <w:rFonts w:hint="eastAsia"/>
                <w:color w:val="auto"/>
                <w:szCs w:val="21"/>
                <w:highlight w:val="none"/>
              </w:rPr>
              <w:t>用电保护装置</w:t>
            </w:r>
          </w:p>
        </w:tc>
        <w:tc>
          <w:tcPr>
            <w:tcW w:w="776"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r>
              <w:rPr>
                <w:rFonts w:hint="eastAsia"/>
                <w:color w:val="auto"/>
                <w:szCs w:val="21"/>
                <w:highlight w:val="none"/>
              </w:rPr>
              <w:t>处</w:t>
            </w:r>
          </w:p>
        </w:tc>
        <w:tc>
          <w:tcPr>
            <w:tcW w:w="1080" w:type="dxa"/>
            <w:tcBorders>
              <w:top w:val="single" w:color="auto" w:sz="4" w:space="0"/>
              <w:left w:val="nil"/>
              <w:bottom w:val="single" w:color="auto" w:sz="4" w:space="0"/>
              <w:right w:val="single" w:color="auto" w:sz="4" w:space="0"/>
            </w:tcBorders>
            <w:shd w:val="clear" w:color="auto" w:fill="FFFFFF"/>
            <w:noWrap w:val="0"/>
            <w:vAlign w:val="top"/>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top"/>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top"/>
          </w:tcPr>
          <w:p>
            <w:pPr>
              <w:jc w:val="center"/>
              <w:rPr>
                <w:color w:val="auto"/>
                <w:szCs w:val="21"/>
                <w:highlight w:val="none"/>
              </w:rPr>
            </w:pPr>
          </w:p>
        </w:tc>
        <w:tc>
          <w:tcPr>
            <w:tcW w:w="1980" w:type="dxa"/>
            <w:tcBorders>
              <w:top w:val="single" w:color="auto" w:sz="4" w:space="0"/>
              <w:left w:val="nil"/>
              <w:bottom w:val="single" w:color="auto" w:sz="4" w:space="0"/>
              <w:right w:val="single" w:color="auto" w:sz="4" w:space="0"/>
            </w:tcBorders>
            <w:shd w:val="clear" w:color="auto" w:fill="FFFFFF"/>
            <w:noWrap w:val="0"/>
            <w:vAlign w:val="center"/>
          </w:tcPr>
          <w:p>
            <w:pPr>
              <w:rPr>
                <w:color w:val="auto"/>
                <w:szCs w:val="21"/>
                <w:highlight w:val="none"/>
              </w:rPr>
            </w:pP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auto"/>
                <w:szCs w:val="21"/>
                <w:highlight w:val="none"/>
              </w:rPr>
            </w:pPr>
            <w:r>
              <w:rPr>
                <w:color w:val="auto"/>
                <w:szCs w:val="21"/>
                <w:highlight w:val="none"/>
              </w:rPr>
              <w:t>6</w:t>
            </w:r>
          </w:p>
        </w:tc>
        <w:tc>
          <w:tcPr>
            <w:tcW w:w="3004" w:type="dxa"/>
            <w:tcBorders>
              <w:top w:val="single" w:color="auto" w:sz="4" w:space="0"/>
              <w:left w:val="nil"/>
              <w:bottom w:val="single" w:color="auto" w:sz="4" w:space="0"/>
              <w:right w:val="single" w:color="auto" w:sz="4" w:space="0"/>
            </w:tcBorders>
            <w:shd w:val="clear" w:color="auto" w:fill="FFFFFF"/>
            <w:noWrap w:val="0"/>
            <w:vAlign w:val="center"/>
          </w:tcPr>
          <w:p>
            <w:pPr>
              <w:rPr>
                <w:color w:val="auto"/>
                <w:szCs w:val="21"/>
                <w:highlight w:val="none"/>
              </w:rPr>
            </w:pPr>
            <w:r>
              <w:rPr>
                <w:rFonts w:hint="eastAsia"/>
                <w:color w:val="auto"/>
                <w:szCs w:val="21"/>
                <w:highlight w:val="none"/>
              </w:rPr>
              <w:t>发电机</w:t>
            </w:r>
          </w:p>
        </w:tc>
        <w:tc>
          <w:tcPr>
            <w:tcW w:w="776"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r>
              <w:rPr>
                <w:rFonts w:hint="eastAsia"/>
                <w:color w:val="auto"/>
                <w:szCs w:val="21"/>
                <w:highlight w:val="none"/>
              </w:rPr>
              <w:t>台</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p>
        </w:tc>
        <w:tc>
          <w:tcPr>
            <w:tcW w:w="1980" w:type="dxa"/>
            <w:tcBorders>
              <w:top w:val="single" w:color="auto" w:sz="4" w:space="0"/>
              <w:left w:val="nil"/>
              <w:bottom w:val="single" w:color="auto" w:sz="4" w:space="0"/>
              <w:right w:val="single" w:color="auto" w:sz="4" w:space="0"/>
            </w:tcBorders>
            <w:shd w:val="clear" w:color="auto" w:fill="FFFFFF"/>
            <w:noWrap w:val="0"/>
            <w:vAlign w:val="center"/>
          </w:tcPr>
          <w:p>
            <w:pPr>
              <w:rPr>
                <w:color w:val="auto"/>
                <w:szCs w:val="21"/>
                <w:highlight w:val="none"/>
              </w:rPr>
            </w:pP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auto"/>
                <w:szCs w:val="21"/>
                <w:highlight w:val="none"/>
              </w:rPr>
            </w:pPr>
            <w:r>
              <w:rPr>
                <w:color w:val="auto"/>
                <w:szCs w:val="21"/>
                <w:highlight w:val="none"/>
              </w:rPr>
              <w:t>7</w:t>
            </w:r>
          </w:p>
        </w:tc>
        <w:tc>
          <w:tcPr>
            <w:tcW w:w="3004" w:type="dxa"/>
            <w:tcBorders>
              <w:top w:val="single" w:color="auto" w:sz="4" w:space="0"/>
              <w:left w:val="nil"/>
              <w:bottom w:val="single" w:color="auto" w:sz="4" w:space="0"/>
              <w:right w:val="single" w:color="auto" w:sz="4" w:space="0"/>
            </w:tcBorders>
            <w:shd w:val="clear" w:color="auto" w:fill="FFFFFF"/>
            <w:noWrap w:val="0"/>
            <w:vAlign w:val="center"/>
          </w:tcPr>
          <w:p>
            <w:pPr>
              <w:rPr>
                <w:color w:val="auto"/>
                <w:szCs w:val="21"/>
                <w:highlight w:val="none"/>
              </w:rPr>
            </w:pPr>
            <w:r>
              <w:rPr>
                <w:rFonts w:hint="eastAsia"/>
                <w:color w:val="auto"/>
                <w:szCs w:val="21"/>
                <w:highlight w:val="none"/>
              </w:rPr>
              <w:t>其他临时用电设施</w:t>
            </w:r>
          </w:p>
        </w:tc>
        <w:tc>
          <w:tcPr>
            <w:tcW w:w="776"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p>
        </w:tc>
        <w:tc>
          <w:tcPr>
            <w:tcW w:w="1980" w:type="dxa"/>
            <w:tcBorders>
              <w:top w:val="single" w:color="auto" w:sz="4" w:space="0"/>
              <w:left w:val="nil"/>
              <w:bottom w:val="single" w:color="auto" w:sz="4" w:space="0"/>
              <w:right w:val="single" w:color="auto" w:sz="4" w:space="0"/>
            </w:tcBorders>
            <w:shd w:val="clear" w:color="auto" w:fill="FFFFFF"/>
            <w:noWrap w:val="0"/>
            <w:vAlign w:val="center"/>
          </w:tcPr>
          <w:p>
            <w:pPr>
              <w:rPr>
                <w:color w:val="auto"/>
                <w:szCs w:val="21"/>
                <w:highlight w:val="none"/>
              </w:rPr>
            </w:pPr>
            <w:r>
              <w:rPr>
                <w:rFonts w:hint="eastAsia"/>
                <w:color w:val="auto"/>
                <w:szCs w:val="21"/>
                <w:highlight w:val="none"/>
              </w:rPr>
              <w:t>附近外电线路防护设施等</w:t>
            </w: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b/>
                <w:bCs/>
                <w:color w:val="auto"/>
                <w:szCs w:val="21"/>
                <w:highlight w:val="none"/>
              </w:rPr>
            </w:pPr>
            <w:r>
              <w:rPr>
                <w:rFonts w:hint="eastAsia"/>
                <w:b/>
                <w:bCs/>
                <w:color w:val="auto"/>
                <w:szCs w:val="21"/>
                <w:highlight w:val="none"/>
              </w:rPr>
              <w:t>（五）</w:t>
            </w:r>
          </w:p>
        </w:tc>
        <w:tc>
          <w:tcPr>
            <w:tcW w:w="3004" w:type="dxa"/>
            <w:tcBorders>
              <w:top w:val="single" w:color="auto" w:sz="4" w:space="0"/>
              <w:left w:val="nil"/>
              <w:bottom w:val="single" w:color="auto" w:sz="4" w:space="0"/>
              <w:right w:val="single" w:color="auto" w:sz="4" w:space="0"/>
            </w:tcBorders>
            <w:shd w:val="clear" w:color="auto" w:fill="FFFFFF"/>
            <w:noWrap w:val="0"/>
            <w:vAlign w:val="center"/>
          </w:tcPr>
          <w:p>
            <w:pPr>
              <w:rPr>
                <w:b/>
                <w:bCs/>
                <w:color w:val="auto"/>
                <w:szCs w:val="21"/>
                <w:highlight w:val="none"/>
              </w:rPr>
            </w:pPr>
            <w:r>
              <w:rPr>
                <w:rFonts w:hint="eastAsia"/>
                <w:b/>
                <w:bCs/>
                <w:color w:val="auto"/>
                <w:szCs w:val="21"/>
                <w:highlight w:val="none"/>
              </w:rPr>
              <w:t>临时供水</w:t>
            </w:r>
          </w:p>
        </w:tc>
        <w:tc>
          <w:tcPr>
            <w:tcW w:w="776"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r>
              <w:rPr>
                <w:color w:val="auto"/>
                <w:szCs w:val="21"/>
                <w:highlight w:val="none"/>
              </w:rPr>
              <w:t>m</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p>
        </w:tc>
        <w:tc>
          <w:tcPr>
            <w:tcW w:w="1980" w:type="dxa"/>
            <w:tcBorders>
              <w:top w:val="single" w:color="auto" w:sz="4" w:space="0"/>
              <w:left w:val="nil"/>
              <w:bottom w:val="single" w:color="auto" w:sz="4" w:space="0"/>
              <w:right w:val="single" w:color="auto" w:sz="4" w:space="0"/>
            </w:tcBorders>
            <w:shd w:val="clear" w:color="auto" w:fill="FFFFFF"/>
            <w:noWrap w:val="0"/>
            <w:vAlign w:val="center"/>
          </w:tcPr>
          <w:p>
            <w:pPr>
              <w:rPr>
                <w:color w:val="auto"/>
                <w:szCs w:val="21"/>
                <w:highlight w:val="none"/>
              </w:rPr>
            </w:pPr>
            <w:r>
              <w:rPr>
                <w:rFonts w:hint="eastAsia"/>
                <w:color w:val="auto"/>
                <w:szCs w:val="21"/>
                <w:highlight w:val="none"/>
              </w:rPr>
              <w:t>按管道长度</w:t>
            </w: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b/>
                <w:bCs/>
                <w:color w:val="auto"/>
                <w:szCs w:val="21"/>
                <w:highlight w:val="none"/>
              </w:rPr>
            </w:pPr>
            <w:r>
              <w:rPr>
                <w:rFonts w:hint="eastAsia"/>
                <w:b/>
                <w:bCs/>
                <w:color w:val="auto"/>
                <w:szCs w:val="21"/>
                <w:highlight w:val="none"/>
              </w:rPr>
              <w:t>（六）</w:t>
            </w:r>
          </w:p>
        </w:tc>
        <w:tc>
          <w:tcPr>
            <w:tcW w:w="3004" w:type="dxa"/>
            <w:tcBorders>
              <w:top w:val="single" w:color="auto" w:sz="4" w:space="0"/>
              <w:left w:val="nil"/>
              <w:bottom w:val="single" w:color="auto" w:sz="4" w:space="0"/>
              <w:right w:val="single" w:color="auto" w:sz="4" w:space="0"/>
            </w:tcBorders>
            <w:shd w:val="clear" w:color="auto" w:fill="FFFFFF"/>
            <w:noWrap w:val="0"/>
            <w:vAlign w:val="center"/>
          </w:tcPr>
          <w:p>
            <w:pPr>
              <w:rPr>
                <w:b/>
                <w:bCs/>
                <w:color w:val="auto"/>
                <w:szCs w:val="21"/>
                <w:highlight w:val="none"/>
              </w:rPr>
            </w:pPr>
            <w:r>
              <w:rPr>
                <w:rFonts w:hint="eastAsia"/>
                <w:b/>
                <w:bCs/>
                <w:color w:val="auto"/>
                <w:szCs w:val="21"/>
                <w:highlight w:val="none"/>
              </w:rPr>
              <w:t>临时排水</w:t>
            </w:r>
          </w:p>
        </w:tc>
        <w:tc>
          <w:tcPr>
            <w:tcW w:w="776"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r>
              <w:rPr>
                <w:color w:val="auto"/>
                <w:szCs w:val="21"/>
                <w:highlight w:val="none"/>
              </w:rPr>
              <w:t>m</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p>
        </w:tc>
        <w:tc>
          <w:tcPr>
            <w:tcW w:w="1980" w:type="dxa"/>
            <w:tcBorders>
              <w:top w:val="single" w:color="auto" w:sz="4" w:space="0"/>
              <w:left w:val="nil"/>
              <w:bottom w:val="single" w:color="auto" w:sz="4" w:space="0"/>
              <w:right w:val="single" w:color="auto" w:sz="4" w:space="0"/>
            </w:tcBorders>
            <w:shd w:val="clear" w:color="auto" w:fill="FFFFFF"/>
            <w:noWrap w:val="0"/>
            <w:vAlign w:val="center"/>
          </w:tcPr>
          <w:p>
            <w:pPr>
              <w:rPr>
                <w:color w:val="auto"/>
                <w:szCs w:val="21"/>
                <w:highlight w:val="none"/>
              </w:rPr>
            </w:pPr>
            <w:r>
              <w:rPr>
                <w:rFonts w:hint="eastAsia"/>
                <w:color w:val="auto"/>
                <w:szCs w:val="21"/>
                <w:highlight w:val="none"/>
              </w:rPr>
              <w:t>按管道长度</w:t>
            </w: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b/>
                <w:bCs/>
                <w:color w:val="auto"/>
                <w:szCs w:val="21"/>
                <w:highlight w:val="none"/>
              </w:rPr>
            </w:pPr>
            <w:r>
              <w:rPr>
                <w:rFonts w:hint="eastAsia"/>
                <w:b/>
                <w:bCs/>
                <w:color w:val="auto"/>
                <w:szCs w:val="21"/>
                <w:highlight w:val="none"/>
              </w:rPr>
              <w:t>（七）</w:t>
            </w:r>
          </w:p>
        </w:tc>
        <w:tc>
          <w:tcPr>
            <w:tcW w:w="3004" w:type="dxa"/>
            <w:tcBorders>
              <w:top w:val="single" w:color="auto" w:sz="4" w:space="0"/>
              <w:left w:val="nil"/>
              <w:bottom w:val="single" w:color="auto" w:sz="4" w:space="0"/>
              <w:right w:val="single" w:color="auto" w:sz="4" w:space="0"/>
            </w:tcBorders>
            <w:shd w:val="clear" w:color="auto" w:fill="FFFFFF"/>
            <w:noWrap w:val="0"/>
            <w:vAlign w:val="center"/>
          </w:tcPr>
          <w:p>
            <w:pPr>
              <w:rPr>
                <w:b/>
                <w:bCs/>
                <w:color w:val="auto"/>
                <w:szCs w:val="21"/>
                <w:highlight w:val="none"/>
              </w:rPr>
            </w:pPr>
            <w:r>
              <w:rPr>
                <w:rFonts w:hint="eastAsia"/>
                <w:b/>
                <w:bCs/>
                <w:color w:val="auto"/>
                <w:szCs w:val="21"/>
                <w:highlight w:val="none"/>
              </w:rPr>
              <w:t>其他临时设施</w:t>
            </w:r>
          </w:p>
        </w:tc>
        <w:tc>
          <w:tcPr>
            <w:tcW w:w="776"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jc w:val="center"/>
              <w:rPr>
                <w:color w:val="auto"/>
                <w:szCs w:val="21"/>
                <w:highlight w:val="none"/>
              </w:rPr>
            </w:pPr>
          </w:p>
        </w:tc>
        <w:tc>
          <w:tcPr>
            <w:tcW w:w="1980" w:type="dxa"/>
            <w:tcBorders>
              <w:top w:val="single" w:color="auto" w:sz="4" w:space="0"/>
              <w:left w:val="nil"/>
              <w:bottom w:val="single" w:color="auto" w:sz="4" w:space="0"/>
              <w:right w:val="single" w:color="auto" w:sz="4" w:space="0"/>
            </w:tcBorders>
            <w:shd w:val="clear" w:color="auto" w:fill="FFFFFF"/>
            <w:noWrap w:val="0"/>
            <w:vAlign w:val="center"/>
          </w:tcPr>
          <w:p>
            <w:pPr>
              <w:rPr>
                <w:color w:val="auto"/>
                <w:szCs w:val="21"/>
                <w:highlight w:val="none"/>
              </w:rPr>
            </w:pPr>
          </w:p>
        </w:tc>
      </w:tr>
      <w:tr>
        <w:tblPrEx>
          <w:tblCellMar>
            <w:top w:w="0" w:type="dxa"/>
            <w:left w:w="108" w:type="dxa"/>
            <w:bottom w:w="0" w:type="dxa"/>
            <w:right w:w="108" w:type="dxa"/>
          </w:tblCellMar>
        </w:tblPrEx>
        <w:trPr>
          <w:trHeight w:val="454" w:hRule="atLeast"/>
        </w:trPr>
        <w:tc>
          <w:tcPr>
            <w:tcW w:w="7047" w:type="dxa"/>
            <w:gridSpan w:val="5"/>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auto"/>
                <w:szCs w:val="21"/>
                <w:highlight w:val="none"/>
              </w:rPr>
            </w:pPr>
            <w:r>
              <w:rPr>
                <w:rFonts w:hint="eastAsia"/>
                <w:color w:val="auto"/>
                <w:szCs w:val="21"/>
                <w:highlight w:val="none"/>
              </w:rPr>
              <w:t>合计</w:t>
            </w:r>
          </w:p>
        </w:tc>
        <w:tc>
          <w:tcPr>
            <w:tcW w:w="1080" w:type="dxa"/>
            <w:tcBorders>
              <w:top w:val="single" w:color="auto" w:sz="4" w:space="0"/>
              <w:left w:val="nil"/>
              <w:bottom w:val="single" w:color="auto" w:sz="4" w:space="0"/>
              <w:right w:val="single" w:color="auto" w:sz="4" w:space="0"/>
            </w:tcBorders>
            <w:shd w:val="clear" w:color="auto" w:fill="FFFFFF"/>
            <w:noWrap w:val="0"/>
            <w:vAlign w:val="top"/>
          </w:tcPr>
          <w:p>
            <w:pPr>
              <w:ind w:left="-288" w:leftChars="-137"/>
              <w:jc w:val="center"/>
              <w:rPr>
                <w:color w:val="auto"/>
                <w:szCs w:val="21"/>
                <w:highlight w:val="none"/>
              </w:rPr>
            </w:pPr>
          </w:p>
        </w:tc>
        <w:tc>
          <w:tcPr>
            <w:tcW w:w="1980" w:type="dxa"/>
            <w:tcBorders>
              <w:top w:val="single" w:color="auto" w:sz="4" w:space="0"/>
              <w:left w:val="nil"/>
              <w:bottom w:val="single" w:color="auto" w:sz="4" w:space="0"/>
              <w:right w:val="single" w:color="auto" w:sz="4" w:space="0"/>
            </w:tcBorders>
            <w:shd w:val="clear" w:color="auto" w:fill="FFFFFF"/>
            <w:noWrap w:val="0"/>
            <w:vAlign w:val="center"/>
          </w:tcPr>
          <w:p>
            <w:pPr>
              <w:rPr>
                <w:color w:val="auto"/>
                <w:szCs w:val="21"/>
                <w:highlight w:val="none"/>
              </w:rPr>
            </w:pPr>
          </w:p>
        </w:tc>
      </w:tr>
    </w:tbl>
    <w:p>
      <w:pPr>
        <w:widowControl/>
        <w:jc w:val="left"/>
        <w:rPr>
          <w:color w:val="auto"/>
          <w:szCs w:val="21"/>
          <w:highlight w:val="none"/>
        </w:rPr>
      </w:pPr>
      <w:r>
        <w:rPr>
          <w:rFonts w:hint="eastAsia" w:hAnsi="宋体"/>
          <w:color w:val="auto"/>
          <w:szCs w:val="21"/>
          <w:highlight w:val="none"/>
        </w:rPr>
        <w:t>注：表中（</w:t>
      </w:r>
      <w:r>
        <w:rPr>
          <w:rFonts w:hAnsi="宋体"/>
          <w:color w:val="auto"/>
          <w:szCs w:val="21"/>
          <w:highlight w:val="none"/>
        </w:rPr>
        <w:t>1</w:t>
      </w:r>
      <w:r>
        <w:rPr>
          <w:rFonts w:hint="eastAsia" w:hAnsi="宋体"/>
          <w:color w:val="auto"/>
          <w:szCs w:val="21"/>
          <w:highlight w:val="none"/>
        </w:rPr>
        <w:t>）～（</w:t>
      </w:r>
      <w:r>
        <w:rPr>
          <w:rFonts w:hAnsi="宋体"/>
          <w:color w:val="auto"/>
          <w:szCs w:val="21"/>
          <w:highlight w:val="none"/>
        </w:rPr>
        <w:t>3</w:t>
      </w:r>
      <w:r>
        <w:rPr>
          <w:rFonts w:hint="eastAsia" w:hAnsi="宋体"/>
          <w:color w:val="auto"/>
          <w:szCs w:val="21"/>
          <w:highlight w:val="none"/>
        </w:rPr>
        <w:t>）栏由招标人根据具体工程特点提供，</w:t>
      </w:r>
      <w:r>
        <w:rPr>
          <w:rFonts w:hint="eastAsia" w:hAnsi="宋体"/>
          <w:color w:val="auto"/>
          <w:szCs w:val="21"/>
          <w:highlight w:val="none"/>
          <w:lang w:val="en-US" w:eastAsia="zh-CN"/>
        </w:rPr>
        <w:t>响应</w:t>
      </w:r>
      <w:r>
        <w:rPr>
          <w:rFonts w:hint="eastAsia" w:hAnsi="宋体"/>
          <w:color w:val="auto"/>
          <w:szCs w:val="21"/>
          <w:highlight w:val="none"/>
        </w:rPr>
        <w:t>人可补充。安全文明施工措施项目及费用应按招标项目整体报价。</w:t>
      </w:r>
    </w:p>
    <w:p>
      <w:pPr>
        <w:spacing w:line="500" w:lineRule="exact"/>
        <w:rPr>
          <w:rFonts w:hint="eastAsia" w:hAnsi="宋体"/>
          <w:color w:val="auto"/>
          <w:kern w:val="0"/>
          <w:sz w:val="24"/>
          <w:highlight w:val="none"/>
          <w:lang w:val="en-US" w:eastAsia="zh-CN"/>
        </w:rPr>
      </w:pPr>
    </w:p>
    <w:p>
      <w:pPr>
        <w:spacing w:line="500" w:lineRule="exact"/>
        <w:rPr>
          <w:rFonts w:hint="eastAsia" w:hAnsi="宋体"/>
          <w:color w:val="auto"/>
          <w:kern w:val="0"/>
          <w:sz w:val="24"/>
          <w:highlight w:val="none"/>
          <w:lang w:val="en-US" w:eastAsia="zh-CN"/>
        </w:rPr>
      </w:pPr>
    </w:p>
    <w:p>
      <w:pPr>
        <w:spacing w:line="500" w:lineRule="exact"/>
        <w:rPr>
          <w:rFonts w:hint="eastAsia" w:hAnsi="宋体"/>
          <w:color w:val="auto"/>
          <w:sz w:val="24"/>
          <w:highlight w:val="none"/>
        </w:rPr>
      </w:pPr>
      <w:r>
        <w:rPr>
          <w:rFonts w:hint="eastAsia" w:hAnsi="宋体"/>
          <w:color w:val="auto"/>
          <w:kern w:val="0"/>
          <w:sz w:val="24"/>
          <w:highlight w:val="none"/>
          <w:lang w:val="en-US" w:eastAsia="zh-CN"/>
        </w:rPr>
        <w:t>响应</w:t>
      </w:r>
      <w:r>
        <w:rPr>
          <w:rFonts w:hint="eastAsia" w:hAnsi="宋体"/>
          <w:color w:val="auto"/>
          <w:kern w:val="0"/>
          <w:sz w:val="24"/>
          <w:highlight w:val="none"/>
        </w:rPr>
        <w:t>人：（ 盖章）</w:t>
      </w:r>
      <w:r>
        <w:rPr>
          <w:rFonts w:hint="eastAsia" w:hAnsi="宋体"/>
          <w:color w:val="auto"/>
          <w:sz w:val="24"/>
          <w:highlight w:val="none"/>
        </w:rPr>
        <w:t xml:space="preserve">            </w:t>
      </w:r>
    </w:p>
    <w:p>
      <w:pPr>
        <w:pStyle w:val="797"/>
        <w:rPr>
          <w:rFonts w:hint="eastAsia" w:hAnsi="宋体"/>
          <w:color w:val="auto"/>
          <w:sz w:val="24"/>
          <w:highlight w:val="none"/>
        </w:rPr>
      </w:pPr>
    </w:p>
    <w:p>
      <w:pPr>
        <w:pStyle w:val="797"/>
        <w:rPr>
          <w:rFonts w:hint="eastAsia" w:hAnsi="宋体"/>
          <w:color w:val="auto"/>
          <w:sz w:val="24"/>
          <w:highlight w:val="none"/>
        </w:rPr>
      </w:pPr>
      <w:r>
        <w:rPr>
          <w:rFonts w:hint="eastAsia" w:hAnsi="宋体"/>
          <w:color w:val="auto"/>
          <w:sz w:val="24"/>
          <w:highlight w:val="none"/>
        </w:rPr>
        <w:br w:type="page"/>
      </w:r>
    </w:p>
    <w:p>
      <w:pPr>
        <w:widowControl/>
        <w:tabs>
          <w:tab w:val="center" w:pos="4755"/>
          <w:tab w:val="right" w:pos="9070"/>
        </w:tabs>
        <w:spacing w:before="100" w:beforeAutospacing="1" w:after="100" w:afterAutospacing="1"/>
        <w:ind w:firstLine="281" w:firstLineChars="100"/>
        <w:jc w:val="center"/>
        <w:rPr>
          <w:rFonts w:hAnsi="宋体"/>
          <w:b/>
          <w:color w:val="auto"/>
          <w:kern w:val="0"/>
          <w:sz w:val="28"/>
          <w:szCs w:val="28"/>
          <w:highlight w:val="none"/>
        </w:rPr>
      </w:pPr>
      <w:r>
        <w:rPr>
          <w:rFonts w:hint="eastAsia" w:hAnsi="宋体"/>
          <w:b/>
          <w:color w:val="auto"/>
          <w:kern w:val="0"/>
          <w:sz w:val="28"/>
          <w:szCs w:val="28"/>
          <w:highlight w:val="none"/>
        </w:rPr>
        <w:t>表1-4  其他项目清单及计价表</w:t>
      </w:r>
    </w:p>
    <w:p>
      <w:pPr>
        <w:keepNext w:val="0"/>
        <w:keepLines w:val="0"/>
        <w:pageBreakBefore w:val="0"/>
        <w:widowControl/>
        <w:tabs>
          <w:tab w:val="center" w:pos="4755"/>
          <w:tab w:val="right" w:pos="9070"/>
        </w:tabs>
        <w:kinsoku/>
        <w:wordWrap/>
        <w:overflowPunct/>
        <w:topLinePunct w:val="0"/>
        <w:autoSpaceDE/>
        <w:autoSpaceDN/>
        <w:bidi w:val="0"/>
        <w:adjustRightInd w:val="0"/>
        <w:snapToGrid/>
        <w:spacing w:line="400" w:lineRule="exact"/>
        <w:ind w:firstLine="240" w:firstLineChars="100"/>
        <w:textAlignment w:val="auto"/>
        <w:rPr>
          <w:rFonts w:hAnsi="宋体"/>
          <w:color w:val="auto"/>
          <w:kern w:val="0"/>
          <w:sz w:val="24"/>
          <w:highlight w:val="none"/>
        </w:rPr>
      </w:pPr>
      <w:r>
        <w:rPr>
          <w:rFonts w:hint="eastAsia" w:hAnsi="宋体"/>
          <w:color w:val="auto"/>
          <w:kern w:val="0"/>
          <w:sz w:val="24"/>
          <w:highlight w:val="none"/>
        </w:rPr>
        <w:t xml:space="preserve">工程名称: </w:t>
      </w:r>
    </w:p>
    <w:p>
      <w:pPr>
        <w:keepNext w:val="0"/>
        <w:keepLines w:val="0"/>
        <w:pageBreakBefore w:val="0"/>
        <w:widowControl/>
        <w:tabs>
          <w:tab w:val="center" w:pos="4755"/>
          <w:tab w:val="right" w:pos="9070"/>
        </w:tabs>
        <w:kinsoku/>
        <w:wordWrap/>
        <w:overflowPunct/>
        <w:topLinePunct w:val="0"/>
        <w:autoSpaceDE/>
        <w:autoSpaceDN/>
        <w:bidi w:val="0"/>
        <w:adjustRightInd w:val="0"/>
        <w:snapToGrid/>
        <w:spacing w:line="400" w:lineRule="exact"/>
        <w:ind w:firstLine="240" w:firstLineChars="100"/>
        <w:textAlignment w:val="auto"/>
        <w:rPr>
          <w:rFonts w:hAnsi="宋体"/>
          <w:color w:val="auto"/>
          <w:kern w:val="0"/>
          <w:sz w:val="24"/>
          <w:highlight w:val="none"/>
        </w:rPr>
      </w:pPr>
      <w:r>
        <w:rPr>
          <w:rFonts w:hint="eastAsia" w:hAnsi="宋体"/>
          <w:color w:val="auto"/>
          <w:kern w:val="0"/>
          <w:sz w:val="24"/>
          <w:highlight w:val="none"/>
        </w:rPr>
        <w:t>单位工程名称：                                     第  页共  页</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1"/>
        <w:gridCol w:w="3178"/>
        <w:gridCol w:w="2566"/>
        <w:gridCol w:w="2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41" w:type="dxa"/>
            <w:noWrap w:val="0"/>
            <w:vAlign w:val="center"/>
          </w:tcPr>
          <w:p>
            <w:pPr>
              <w:widowControl/>
              <w:tabs>
                <w:tab w:val="center" w:pos="4755"/>
                <w:tab w:val="right" w:pos="9070"/>
              </w:tabs>
              <w:spacing w:before="100" w:beforeAutospacing="1" w:after="100" w:afterAutospacing="1"/>
              <w:jc w:val="center"/>
              <w:rPr>
                <w:color w:val="auto"/>
                <w:szCs w:val="21"/>
                <w:highlight w:val="none"/>
              </w:rPr>
            </w:pPr>
            <w:r>
              <w:rPr>
                <w:rFonts w:hint="eastAsia" w:hAnsi="宋体"/>
                <w:color w:val="auto"/>
                <w:szCs w:val="21"/>
                <w:highlight w:val="none"/>
              </w:rPr>
              <w:t>序号</w:t>
            </w:r>
          </w:p>
        </w:tc>
        <w:tc>
          <w:tcPr>
            <w:tcW w:w="3178" w:type="dxa"/>
            <w:noWrap w:val="0"/>
            <w:vAlign w:val="center"/>
          </w:tcPr>
          <w:p>
            <w:pPr>
              <w:widowControl/>
              <w:tabs>
                <w:tab w:val="center" w:pos="4755"/>
                <w:tab w:val="right" w:pos="9070"/>
              </w:tabs>
              <w:spacing w:before="100" w:beforeAutospacing="1" w:after="100" w:afterAutospacing="1"/>
              <w:jc w:val="center"/>
              <w:rPr>
                <w:color w:val="auto"/>
                <w:szCs w:val="21"/>
                <w:highlight w:val="none"/>
              </w:rPr>
            </w:pPr>
            <w:r>
              <w:rPr>
                <w:rFonts w:hint="eastAsia" w:hAnsi="宋体"/>
                <w:color w:val="auto"/>
                <w:szCs w:val="21"/>
                <w:highlight w:val="none"/>
              </w:rPr>
              <w:t>项目名称</w:t>
            </w:r>
          </w:p>
        </w:tc>
        <w:tc>
          <w:tcPr>
            <w:tcW w:w="2566" w:type="dxa"/>
            <w:noWrap w:val="0"/>
            <w:vAlign w:val="center"/>
          </w:tcPr>
          <w:p>
            <w:pPr>
              <w:widowControl/>
              <w:tabs>
                <w:tab w:val="center" w:pos="4755"/>
                <w:tab w:val="right" w:pos="9070"/>
              </w:tabs>
              <w:spacing w:before="100" w:beforeAutospacing="1" w:after="100" w:afterAutospacing="1"/>
              <w:jc w:val="center"/>
              <w:rPr>
                <w:rFonts w:hAnsi="宋体"/>
                <w:color w:val="auto"/>
                <w:szCs w:val="21"/>
                <w:highlight w:val="none"/>
              </w:rPr>
            </w:pPr>
            <w:r>
              <w:rPr>
                <w:rFonts w:hint="eastAsia" w:hAnsi="宋体"/>
                <w:color w:val="auto"/>
                <w:szCs w:val="21"/>
                <w:highlight w:val="none"/>
              </w:rPr>
              <w:t>金额</w:t>
            </w:r>
            <w:r>
              <w:rPr>
                <w:rFonts w:hAnsi="宋体"/>
                <w:color w:val="auto"/>
                <w:szCs w:val="21"/>
                <w:highlight w:val="none"/>
              </w:rPr>
              <w:t>(</w:t>
            </w:r>
            <w:r>
              <w:rPr>
                <w:rFonts w:hint="eastAsia" w:hAnsi="宋体"/>
                <w:color w:val="auto"/>
                <w:szCs w:val="21"/>
                <w:highlight w:val="none"/>
              </w:rPr>
              <w:t>元</w:t>
            </w:r>
            <w:r>
              <w:rPr>
                <w:rFonts w:hAnsi="宋体"/>
                <w:color w:val="auto"/>
                <w:szCs w:val="21"/>
                <w:highlight w:val="none"/>
              </w:rPr>
              <w:t>)</w:t>
            </w:r>
          </w:p>
        </w:tc>
        <w:tc>
          <w:tcPr>
            <w:tcW w:w="2501" w:type="dxa"/>
            <w:noWrap w:val="0"/>
            <w:vAlign w:val="center"/>
          </w:tcPr>
          <w:p>
            <w:pPr>
              <w:widowControl/>
              <w:tabs>
                <w:tab w:val="center" w:pos="4755"/>
                <w:tab w:val="right" w:pos="9070"/>
              </w:tabs>
              <w:spacing w:before="100" w:beforeAutospacing="1" w:after="100" w:afterAutospacing="1"/>
              <w:jc w:val="center"/>
              <w:rPr>
                <w:color w:val="auto"/>
                <w:szCs w:val="21"/>
                <w:highlight w:val="none"/>
              </w:rPr>
            </w:pPr>
            <w:r>
              <w:rPr>
                <w:rFonts w:hint="eastAsia" w:hAnsi="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041" w:type="dxa"/>
            <w:noWrap w:val="0"/>
            <w:vAlign w:val="center"/>
          </w:tcPr>
          <w:p>
            <w:pPr>
              <w:widowControl/>
              <w:tabs>
                <w:tab w:val="center" w:pos="4755"/>
                <w:tab w:val="right" w:pos="9070"/>
              </w:tabs>
              <w:spacing w:before="100" w:beforeAutospacing="1" w:after="100" w:afterAutospacing="1"/>
              <w:jc w:val="center"/>
              <w:rPr>
                <w:rFonts w:hAnsi="宋体"/>
                <w:color w:val="auto"/>
                <w:szCs w:val="21"/>
                <w:highlight w:val="none"/>
              </w:rPr>
            </w:pPr>
            <w:r>
              <w:rPr>
                <w:rFonts w:hAnsi="宋体"/>
                <w:color w:val="auto"/>
                <w:szCs w:val="21"/>
                <w:highlight w:val="none"/>
              </w:rPr>
              <w:t>1</w:t>
            </w:r>
          </w:p>
        </w:tc>
        <w:tc>
          <w:tcPr>
            <w:tcW w:w="3178" w:type="dxa"/>
            <w:noWrap w:val="0"/>
            <w:vAlign w:val="center"/>
          </w:tcPr>
          <w:p>
            <w:pPr>
              <w:tabs>
                <w:tab w:val="center" w:pos="4755"/>
                <w:tab w:val="right" w:pos="9070"/>
              </w:tabs>
              <w:spacing w:before="100" w:beforeAutospacing="1" w:after="100" w:afterAutospacing="1"/>
              <w:jc w:val="center"/>
              <w:rPr>
                <w:color w:val="auto"/>
                <w:szCs w:val="21"/>
                <w:highlight w:val="none"/>
              </w:rPr>
            </w:pPr>
            <w:r>
              <w:rPr>
                <w:rFonts w:hint="eastAsia" w:hAnsi="宋体"/>
                <w:color w:val="auto"/>
                <w:szCs w:val="21"/>
                <w:highlight w:val="none"/>
              </w:rPr>
              <w:t>暂列金额</w:t>
            </w:r>
          </w:p>
        </w:tc>
        <w:tc>
          <w:tcPr>
            <w:tcW w:w="2566" w:type="dxa"/>
            <w:noWrap w:val="0"/>
            <w:vAlign w:val="center"/>
          </w:tcPr>
          <w:p>
            <w:pPr>
              <w:widowControl/>
              <w:tabs>
                <w:tab w:val="left" w:pos="1000"/>
              </w:tabs>
              <w:spacing w:before="100" w:beforeAutospacing="1" w:after="100" w:afterAutospacing="1"/>
              <w:jc w:val="center"/>
              <w:rPr>
                <w:color w:val="auto"/>
                <w:szCs w:val="21"/>
                <w:highlight w:val="none"/>
              </w:rPr>
            </w:pPr>
          </w:p>
        </w:tc>
        <w:tc>
          <w:tcPr>
            <w:tcW w:w="2501" w:type="dxa"/>
            <w:noWrap w:val="0"/>
            <w:vAlign w:val="center"/>
          </w:tcPr>
          <w:p>
            <w:pPr>
              <w:widowControl/>
              <w:tabs>
                <w:tab w:val="left" w:pos="1000"/>
              </w:tabs>
              <w:spacing w:before="100" w:beforeAutospacing="1" w:after="100" w:afterAutospacing="1"/>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41" w:type="dxa"/>
            <w:noWrap w:val="0"/>
            <w:vAlign w:val="center"/>
          </w:tcPr>
          <w:p>
            <w:pPr>
              <w:widowControl/>
              <w:tabs>
                <w:tab w:val="center" w:pos="4755"/>
                <w:tab w:val="right" w:pos="9070"/>
              </w:tabs>
              <w:spacing w:before="100" w:beforeAutospacing="1" w:after="100" w:afterAutospacing="1"/>
              <w:jc w:val="center"/>
              <w:rPr>
                <w:rFonts w:hAnsi="宋体"/>
                <w:color w:val="auto"/>
                <w:szCs w:val="21"/>
                <w:highlight w:val="none"/>
              </w:rPr>
            </w:pPr>
            <w:r>
              <w:rPr>
                <w:rFonts w:hAnsi="宋体"/>
                <w:color w:val="auto"/>
                <w:szCs w:val="21"/>
                <w:highlight w:val="none"/>
              </w:rPr>
              <w:t>2</w:t>
            </w:r>
          </w:p>
        </w:tc>
        <w:tc>
          <w:tcPr>
            <w:tcW w:w="3178" w:type="dxa"/>
            <w:noWrap w:val="0"/>
            <w:vAlign w:val="center"/>
          </w:tcPr>
          <w:p>
            <w:pPr>
              <w:widowControl/>
              <w:tabs>
                <w:tab w:val="center" w:pos="4755"/>
                <w:tab w:val="right" w:pos="9070"/>
              </w:tabs>
              <w:spacing w:before="100" w:beforeAutospacing="1" w:after="100" w:afterAutospacing="1"/>
              <w:jc w:val="center"/>
              <w:rPr>
                <w:color w:val="auto"/>
                <w:szCs w:val="21"/>
                <w:highlight w:val="none"/>
              </w:rPr>
            </w:pPr>
            <w:r>
              <w:rPr>
                <w:rFonts w:hint="eastAsia" w:hAnsi="宋体"/>
                <w:color w:val="auto"/>
                <w:szCs w:val="21"/>
                <w:highlight w:val="none"/>
              </w:rPr>
              <w:t>计日工</w:t>
            </w:r>
          </w:p>
        </w:tc>
        <w:tc>
          <w:tcPr>
            <w:tcW w:w="2566" w:type="dxa"/>
            <w:noWrap w:val="0"/>
            <w:vAlign w:val="center"/>
          </w:tcPr>
          <w:p>
            <w:pPr>
              <w:widowControl/>
              <w:tabs>
                <w:tab w:val="center" w:pos="4755"/>
                <w:tab w:val="right" w:pos="9070"/>
              </w:tabs>
              <w:spacing w:before="100" w:beforeAutospacing="1" w:after="100" w:afterAutospacing="1"/>
              <w:jc w:val="center"/>
              <w:rPr>
                <w:color w:val="auto"/>
                <w:szCs w:val="21"/>
                <w:highlight w:val="none"/>
              </w:rPr>
            </w:pPr>
          </w:p>
        </w:tc>
        <w:tc>
          <w:tcPr>
            <w:tcW w:w="2501" w:type="dxa"/>
            <w:noWrap w:val="0"/>
            <w:vAlign w:val="center"/>
          </w:tcPr>
          <w:p>
            <w:pPr>
              <w:widowControl/>
              <w:tabs>
                <w:tab w:val="center" w:pos="4755"/>
                <w:tab w:val="right" w:pos="9070"/>
              </w:tabs>
              <w:spacing w:before="100" w:beforeAutospacing="1" w:after="100" w:afterAutospacing="1"/>
              <w:jc w:val="center"/>
              <w:rPr>
                <w:rFonts w:hAnsi="宋体"/>
                <w:color w:val="auto"/>
                <w:szCs w:val="21"/>
                <w:highlight w:val="none"/>
              </w:rPr>
            </w:pPr>
            <w:r>
              <w:rPr>
                <w:rFonts w:hint="eastAsia" w:hAnsi="宋体"/>
                <w:color w:val="auto"/>
                <w:szCs w:val="21"/>
                <w:highlight w:val="none"/>
              </w:rPr>
              <w:t>明细表详见</w:t>
            </w:r>
            <w:r>
              <w:rPr>
                <w:rFonts w:hAnsi="宋体"/>
                <w:color w:val="auto"/>
                <w:szCs w:val="21"/>
                <w:highlight w:val="none"/>
              </w:rPr>
              <w:t>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41" w:type="dxa"/>
            <w:noWrap w:val="0"/>
            <w:vAlign w:val="center"/>
          </w:tcPr>
          <w:p>
            <w:pPr>
              <w:widowControl/>
              <w:tabs>
                <w:tab w:val="center" w:pos="4755"/>
                <w:tab w:val="right" w:pos="9070"/>
              </w:tabs>
              <w:spacing w:before="100" w:beforeAutospacing="1" w:after="100" w:afterAutospacing="1"/>
              <w:jc w:val="center"/>
              <w:rPr>
                <w:rFonts w:hAnsi="宋体"/>
                <w:color w:val="auto"/>
                <w:szCs w:val="21"/>
                <w:highlight w:val="none"/>
              </w:rPr>
            </w:pPr>
            <w:r>
              <w:rPr>
                <w:rFonts w:hAnsi="宋体"/>
                <w:color w:val="auto"/>
                <w:szCs w:val="21"/>
                <w:highlight w:val="none"/>
              </w:rPr>
              <w:t>3</w:t>
            </w:r>
          </w:p>
        </w:tc>
        <w:tc>
          <w:tcPr>
            <w:tcW w:w="3178" w:type="dxa"/>
            <w:noWrap w:val="0"/>
            <w:vAlign w:val="center"/>
          </w:tcPr>
          <w:p>
            <w:pPr>
              <w:widowControl/>
              <w:tabs>
                <w:tab w:val="center" w:pos="4755"/>
                <w:tab w:val="right" w:pos="9070"/>
              </w:tabs>
              <w:spacing w:before="100" w:beforeAutospacing="1" w:after="100" w:afterAutospacing="1"/>
              <w:jc w:val="center"/>
              <w:rPr>
                <w:color w:val="auto"/>
                <w:szCs w:val="21"/>
                <w:highlight w:val="none"/>
              </w:rPr>
            </w:pPr>
            <w:r>
              <w:rPr>
                <w:rFonts w:hint="eastAsia" w:hAnsi="宋体"/>
                <w:color w:val="auto"/>
                <w:szCs w:val="21"/>
                <w:highlight w:val="none"/>
              </w:rPr>
              <w:t>总承包服务费</w:t>
            </w:r>
          </w:p>
        </w:tc>
        <w:tc>
          <w:tcPr>
            <w:tcW w:w="2566" w:type="dxa"/>
            <w:noWrap w:val="0"/>
            <w:vAlign w:val="center"/>
          </w:tcPr>
          <w:p>
            <w:pPr>
              <w:widowControl/>
              <w:tabs>
                <w:tab w:val="center" w:pos="4755"/>
                <w:tab w:val="right" w:pos="9070"/>
              </w:tabs>
              <w:spacing w:before="100" w:beforeAutospacing="1" w:after="100" w:afterAutospacing="1"/>
              <w:jc w:val="center"/>
              <w:rPr>
                <w:color w:val="auto"/>
                <w:szCs w:val="21"/>
                <w:highlight w:val="none"/>
              </w:rPr>
            </w:pPr>
          </w:p>
        </w:tc>
        <w:tc>
          <w:tcPr>
            <w:tcW w:w="2501" w:type="dxa"/>
            <w:noWrap w:val="0"/>
            <w:vAlign w:val="center"/>
          </w:tcPr>
          <w:p>
            <w:pPr>
              <w:widowControl/>
              <w:tabs>
                <w:tab w:val="center" w:pos="4755"/>
                <w:tab w:val="right" w:pos="9070"/>
              </w:tabs>
              <w:spacing w:before="100" w:beforeAutospacing="1" w:after="100" w:afterAutospacing="1"/>
              <w:jc w:val="center"/>
              <w:rPr>
                <w:rFonts w:hAnsi="宋体"/>
                <w:color w:val="auto"/>
                <w:szCs w:val="21"/>
                <w:highlight w:val="none"/>
              </w:rPr>
            </w:pPr>
            <w:r>
              <w:rPr>
                <w:rFonts w:hint="eastAsia" w:hAnsi="宋体"/>
                <w:color w:val="auto"/>
                <w:szCs w:val="21"/>
                <w:highlight w:val="none"/>
              </w:rPr>
              <w:t>明细表详见</w:t>
            </w:r>
            <w:r>
              <w:rPr>
                <w:rFonts w:hAnsi="宋体"/>
                <w:color w:val="auto"/>
                <w:szCs w:val="21"/>
                <w:highlight w:val="none"/>
              </w:rPr>
              <w:t>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41" w:type="dxa"/>
            <w:noWrap w:val="0"/>
            <w:vAlign w:val="center"/>
          </w:tcPr>
          <w:p>
            <w:pPr>
              <w:widowControl/>
              <w:tabs>
                <w:tab w:val="center" w:pos="4755"/>
                <w:tab w:val="right" w:pos="9070"/>
              </w:tabs>
              <w:spacing w:before="100" w:beforeAutospacing="1" w:after="100" w:afterAutospacing="1"/>
              <w:jc w:val="center"/>
              <w:rPr>
                <w:rFonts w:hAnsi="宋体"/>
                <w:color w:val="auto"/>
                <w:szCs w:val="21"/>
                <w:highlight w:val="none"/>
              </w:rPr>
            </w:pPr>
            <w:r>
              <w:rPr>
                <w:rFonts w:hint="eastAsia" w:hAnsi="宋体"/>
                <w:color w:val="auto"/>
                <w:szCs w:val="21"/>
                <w:highlight w:val="none"/>
              </w:rPr>
              <w:t>4</w:t>
            </w:r>
          </w:p>
        </w:tc>
        <w:tc>
          <w:tcPr>
            <w:tcW w:w="3178" w:type="dxa"/>
            <w:noWrap w:val="0"/>
            <w:vAlign w:val="center"/>
          </w:tcPr>
          <w:p>
            <w:pPr>
              <w:widowControl/>
              <w:tabs>
                <w:tab w:val="center" w:pos="4755"/>
                <w:tab w:val="right" w:pos="9070"/>
              </w:tabs>
              <w:spacing w:before="100" w:beforeAutospacing="1" w:after="100" w:afterAutospacing="1"/>
              <w:jc w:val="center"/>
              <w:rPr>
                <w:color w:val="auto"/>
                <w:szCs w:val="21"/>
                <w:highlight w:val="none"/>
              </w:rPr>
            </w:pPr>
            <w:r>
              <w:rPr>
                <w:rFonts w:hint="eastAsia"/>
                <w:color w:val="auto"/>
                <w:szCs w:val="21"/>
                <w:highlight w:val="none"/>
              </w:rPr>
              <w:t>标化工地增加费</w:t>
            </w:r>
          </w:p>
        </w:tc>
        <w:tc>
          <w:tcPr>
            <w:tcW w:w="2566" w:type="dxa"/>
            <w:noWrap w:val="0"/>
            <w:vAlign w:val="center"/>
          </w:tcPr>
          <w:p>
            <w:pPr>
              <w:widowControl/>
              <w:tabs>
                <w:tab w:val="center" w:pos="4755"/>
                <w:tab w:val="right" w:pos="9070"/>
              </w:tabs>
              <w:spacing w:before="100" w:beforeAutospacing="1" w:after="100" w:afterAutospacing="1"/>
              <w:jc w:val="center"/>
              <w:rPr>
                <w:color w:val="auto"/>
                <w:szCs w:val="21"/>
                <w:highlight w:val="none"/>
              </w:rPr>
            </w:pPr>
          </w:p>
        </w:tc>
        <w:tc>
          <w:tcPr>
            <w:tcW w:w="2501" w:type="dxa"/>
            <w:noWrap w:val="0"/>
            <w:vAlign w:val="center"/>
          </w:tcPr>
          <w:p>
            <w:pPr>
              <w:widowControl/>
              <w:tabs>
                <w:tab w:val="center" w:pos="4755"/>
                <w:tab w:val="right" w:pos="9070"/>
              </w:tabs>
              <w:spacing w:before="100" w:beforeAutospacing="1" w:after="100" w:afterAutospacing="1"/>
              <w:jc w:val="center"/>
              <w:rPr>
                <w:color w:val="auto"/>
                <w:szCs w:val="21"/>
                <w:highlight w:val="none"/>
              </w:rPr>
            </w:pPr>
            <w:r>
              <w:rPr>
                <w:color w:val="auto"/>
                <w:szCs w:val="21"/>
                <w:highlight w:val="none"/>
              </w:rPr>
              <w:t>暂列费用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41" w:type="dxa"/>
            <w:noWrap w:val="0"/>
            <w:vAlign w:val="center"/>
          </w:tcPr>
          <w:p>
            <w:pPr>
              <w:widowControl/>
              <w:tabs>
                <w:tab w:val="center" w:pos="4755"/>
                <w:tab w:val="right" w:pos="9070"/>
              </w:tabs>
              <w:spacing w:before="100" w:beforeAutospacing="1" w:after="100" w:afterAutospacing="1"/>
              <w:jc w:val="center"/>
              <w:rPr>
                <w:color w:val="auto"/>
                <w:szCs w:val="21"/>
                <w:highlight w:val="none"/>
              </w:rPr>
            </w:pPr>
            <w:r>
              <w:rPr>
                <w:rFonts w:hint="eastAsia"/>
                <w:color w:val="auto"/>
                <w:szCs w:val="21"/>
                <w:highlight w:val="none"/>
              </w:rPr>
              <w:t>5</w:t>
            </w:r>
          </w:p>
        </w:tc>
        <w:tc>
          <w:tcPr>
            <w:tcW w:w="3178" w:type="dxa"/>
            <w:noWrap w:val="0"/>
            <w:vAlign w:val="center"/>
          </w:tcPr>
          <w:p>
            <w:pPr>
              <w:widowControl/>
              <w:tabs>
                <w:tab w:val="center" w:pos="4755"/>
                <w:tab w:val="right" w:pos="9070"/>
              </w:tabs>
              <w:spacing w:before="100" w:beforeAutospacing="1" w:after="100" w:afterAutospacing="1"/>
              <w:jc w:val="center"/>
              <w:rPr>
                <w:color w:val="auto"/>
                <w:szCs w:val="21"/>
                <w:highlight w:val="none"/>
              </w:rPr>
            </w:pPr>
            <w:r>
              <w:rPr>
                <w:rFonts w:hint="eastAsia"/>
                <w:color w:val="auto"/>
                <w:szCs w:val="21"/>
                <w:highlight w:val="none"/>
              </w:rPr>
              <w:t>优质工程增加费</w:t>
            </w:r>
          </w:p>
        </w:tc>
        <w:tc>
          <w:tcPr>
            <w:tcW w:w="2566" w:type="dxa"/>
            <w:noWrap w:val="0"/>
            <w:vAlign w:val="center"/>
          </w:tcPr>
          <w:p>
            <w:pPr>
              <w:widowControl/>
              <w:tabs>
                <w:tab w:val="center" w:pos="4755"/>
                <w:tab w:val="right" w:pos="9070"/>
              </w:tabs>
              <w:spacing w:before="100" w:beforeAutospacing="1" w:after="100" w:afterAutospacing="1"/>
              <w:jc w:val="center"/>
              <w:rPr>
                <w:color w:val="auto"/>
                <w:szCs w:val="21"/>
                <w:highlight w:val="none"/>
              </w:rPr>
            </w:pPr>
          </w:p>
        </w:tc>
        <w:tc>
          <w:tcPr>
            <w:tcW w:w="2501" w:type="dxa"/>
            <w:noWrap w:val="0"/>
            <w:vAlign w:val="center"/>
          </w:tcPr>
          <w:p>
            <w:pPr>
              <w:widowControl/>
              <w:tabs>
                <w:tab w:val="center" w:pos="4755"/>
                <w:tab w:val="right" w:pos="9070"/>
              </w:tabs>
              <w:spacing w:before="100" w:beforeAutospacing="1" w:after="100" w:afterAutospacing="1"/>
              <w:jc w:val="center"/>
              <w:rPr>
                <w:color w:val="auto"/>
                <w:szCs w:val="21"/>
                <w:highlight w:val="none"/>
              </w:rPr>
            </w:pPr>
            <w:r>
              <w:rPr>
                <w:color w:val="auto"/>
                <w:szCs w:val="21"/>
                <w:highlight w:val="none"/>
              </w:rPr>
              <w:t>暂列费用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41" w:type="dxa"/>
            <w:noWrap w:val="0"/>
            <w:vAlign w:val="center"/>
          </w:tcPr>
          <w:p>
            <w:pPr>
              <w:widowControl/>
              <w:tabs>
                <w:tab w:val="center" w:pos="4755"/>
                <w:tab w:val="right" w:pos="9070"/>
              </w:tabs>
              <w:spacing w:before="100" w:beforeAutospacing="1" w:after="100" w:afterAutospacing="1"/>
              <w:jc w:val="center"/>
              <w:rPr>
                <w:color w:val="auto"/>
                <w:szCs w:val="21"/>
                <w:highlight w:val="none"/>
              </w:rPr>
            </w:pPr>
          </w:p>
        </w:tc>
        <w:tc>
          <w:tcPr>
            <w:tcW w:w="3178" w:type="dxa"/>
            <w:noWrap w:val="0"/>
            <w:vAlign w:val="center"/>
          </w:tcPr>
          <w:p>
            <w:pPr>
              <w:widowControl/>
              <w:tabs>
                <w:tab w:val="center" w:pos="4755"/>
                <w:tab w:val="right" w:pos="9070"/>
              </w:tabs>
              <w:spacing w:before="100" w:beforeAutospacing="1" w:after="100" w:afterAutospacing="1"/>
              <w:jc w:val="center"/>
              <w:rPr>
                <w:color w:val="auto"/>
                <w:szCs w:val="21"/>
                <w:highlight w:val="none"/>
              </w:rPr>
            </w:pPr>
          </w:p>
        </w:tc>
        <w:tc>
          <w:tcPr>
            <w:tcW w:w="2566" w:type="dxa"/>
            <w:noWrap w:val="0"/>
            <w:vAlign w:val="center"/>
          </w:tcPr>
          <w:p>
            <w:pPr>
              <w:widowControl/>
              <w:tabs>
                <w:tab w:val="center" w:pos="4755"/>
                <w:tab w:val="right" w:pos="9070"/>
              </w:tabs>
              <w:spacing w:before="100" w:beforeAutospacing="1" w:after="100" w:afterAutospacing="1"/>
              <w:jc w:val="center"/>
              <w:rPr>
                <w:color w:val="auto"/>
                <w:szCs w:val="21"/>
                <w:highlight w:val="none"/>
              </w:rPr>
            </w:pPr>
          </w:p>
        </w:tc>
        <w:tc>
          <w:tcPr>
            <w:tcW w:w="2501" w:type="dxa"/>
            <w:noWrap w:val="0"/>
            <w:vAlign w:val="center"/>
          </w:tcPr>
          <w:p>
            <w:pPr>
              <w:widowControl/>
              <w:tabs>
                <w:tab w:val="center" w:pos="4755"/>
                <w:tab w:val="right" w:pos="9070"/>
              </w:tabs>
              <w:spacing w:before="100" w:beforeAutospacing="1" w:after="100" w:afterAutospacing="1"/>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41" w:type="dxa"/>
            <w:noWrap w:val="0"/>
            <w:vAlign w:val="center"/>
          </w:tcPr>
          <w:p>
            <w:pPr>
              <w:widowControl/>
              <w:tabs>
                <w:tab w:val="center" w:pos="4755"/>
                <w:tab w:val="right" w:pos="9070"/>
              </w:tabs>
              <w:spacing w:before="100" w:beforeAutospacing="1" w:after="100" w:afterAutospacing="1"/>
              <w:jc w:val="center"/>
              <w:rPr>
                <w:color w:val="auto"/>
                <w:szCs w:val="21"/>
                <w:highlight w:val="none"/>
              </w:rPr>
            </w:pPr>
          </w:p>
        </w:tc>
        <w:tc>
          <w:tcPr>
            <w:tcW w:w="3178" w:type="dxa"/>
            <w:noWrap w:val="0"/>
            <w:vAlign w:val="center"/>
          </w:tcPr>
          <w:p>
            <w:pPr>
              <w:widowControl/>
              <w:tabs>
                <w:tab w:val="center" w:pos="4755"/>
                <w:tab w:val="right" w:pos="9070"/>
              </w:tabs>
              <w:spacing w:before="100" w:beforeAutospacing="1" w:after="100" w:afterAutospacing="1"/>
              <w:jc w:val="center"/>
              <w:rPr>
                <w:color w:val="auto"/>
                <w:szCs w:val="21"/>
                <w:highlight w:val="none"/>
              </w:rPr>
            </w:pPr>
          </w:p>
        </w:tc>
        <w:tc>
          <w:tcPr>
            <w:tcW w:w="2566" w:type="dxa"/>
            <w:noWrap w:val="0"/>
            <w:vAlign w:val="center"/>
          </w:tcPr>
          <w:p>
            <w:pPr>
              <w:widowControl/>
              <w:tabs>
                <w:tab w:val="center" w:pos="4755"/>
                <w:tab w:val="right" w:pos="9070"/>
              </w:tabs>
              <w:spacing w:before="100" w:beforeAutospacing="1" w:after="100" w:afterAutospacing="1"/>
              <w:jc w:val="center"/>
              <w:rPr>
                <w:color w:val="auto"/>
                <w:szCs w:val="21"/>
                <w:highlight w:val="none"/>
              </w:rPr>
            </w:pPr>
          </w:p>
        </w:tc>
        <w:tc>
          <w:tcPr>
            <w:tcW w:w="2501" w:type="dxa"/>
            <w:noWrap w:val="0"/>
            <w:vAlign w:val="center"/>
          </w:tcPr>
          <w:p>
            <w:pPr>
              <w:widowControl/>
              <w:tabs>
                <w:tab w:val="center" w:pos="4755"/>
                <w:tab w:val="right" w:pos="9070"/>
              </w:tabs>
              <w:spacing w:before="100" w:beforeAutospacing="1" w:after="100" w:afterAutospacing="1"/>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41" w:type="dxa"/>
            <w:noWrap w:val="0"/>
            <w:vAlign w:val="center"/>
          </w:tcPr>
          <w:p>
            <w:pPr>
              <w:widowControl/>
              <w:tabs>
                <w:tab w:val="center" w:pos="4755"/>
                <w:tab w:val="right" w:pos="9070"/>
              </w:tabs>
              <w:spacing w:before="100" w:beforeAutospacing="1" w:after="100" w:afterAutospacing="1"/>
              <w:jc w:val="center"/>
              <w:rPr>
                <w:color w:val="auto"/>
                <w:szCs w:val="21"/>
                <w:highlight w:val="none"/>
              </w:rPr>
            </w:pPr>
          </w:p>
        </w:tc>
        <w:tc>
          <w:tcPr>
            <w:tcW w:w="3178" w:type="dxa"/>
            <w:noWrap w:val="0"/>
            <w:vAlign w:val="center"/>
          </w:tcPr>
          <w:p>
            <w:pPr>
              <w:widowControl/>
              <w:tabs>
                <w:tab w:val="center" w:pos="4755"/>
                <w:tab w:val="right" w:pos="9070"/>
              </w:tabs>
              <w:spacing w:before="100" w:beforeAutospacing="1" w:after="100" w:afterAutospacing="1"/>
              <w:jc w:val="center"/>
              <w:rPr>
                <w:color w:val="auto"/>
                <w:szCs w:val="21"/>
                <w:highlight w:val="none"/>
              </w:rPr>
            </w:pPr>
            <w:r>
              <w:rPr>
                <w:rFonts w:hint="eastAsia" w:hAnsi="宋体"/>
                <w:color w:val="auto"/>
                <w:szCs w:val="21"/>
                <w:highlight w:val="none"/>
              </w:rPr>
              <w:t>合计</w:t>
            </w:r>
          </w:p>
        </w:tc>
        <w:tc>
          <w:tcPr>
            <w:tcW w:w="2566" w:type="dxa"/>
            <w:noWrap w:val="0"/>
            <w:vAlign w:val="center"/>
          </w:tcPr>
          <w:p>
            <w:pPr>
              <w:widowControl/>
              <w:tabs>
                <w:tab w:val="center" w:pos="4755"/>
                <w:tab w:val="right" w:pos="9070"/>
              </w:tabs>
              <w:spacing w:before="100" w:beforeAutospacing="1" w:after="100" w:afterAutospacing="1"/>
              <w:jc w:val="center"/>
              <w:rPr>
                <w:color w:val="auto"/>
                <w:szCs w:val="21"/>
                <w:highlight w:val="none"/>
              </w:rPr>
            </w:pPr>
          </w:p>
        </w:tc>
        <w:tc>
          <w:tcPr>
            <w:tcW w:w="2501" w:type="dxa"/>
            <w:noWrap w:val="0"/>
            <w:vAlign w:val="center"/>
          </w:tcPr>
          <w:p>
            <w:pPr>
              <w:widowControl/>
              <w:tabs>
                <w:tab w:val="center" w:pos="4755"/>
                <w:tab w:val="right" w:pos="9070"/>
              </w:tabs>
              <w:spacing w:before="100" w:beforeAutospacing="1" w:after="100" w:afterAutospacing="1"/>
              <w:jc w:val="center"/>
              <w:rPr>
                <w:color w:val="auto"/>
                <w:szCs w:val="21"/>
                <w:highlight w:val="none"/>
              </w:rPr>
            </w:pPr>
          </w:p>
        </w:tc>
      </w:tr>
    </w:tbl>
    <w:p>
      <w:pPr>
        <w:spacing w:line="500" w:lineRule="exact"/>
        <w:rPr>
          <w:rFonts w:hAnsi="宋体"/>
          <w:color w:val="auto"/>
          <w:sz w:val="24"/>
          <w:highlight w:val="none"/>
        </w:rPr>
      </w:pPr>
    </w:p>
    <w:p>
      <w:pPr>
        <w:spacing w:line="500" w:lineRule="exact"/>
        <w:rPr>
          <w:rFonts w:hAnsi="宋体"/>
          <w:color w:val="auto"/>
          <w:sz w:val="24"/>
          <w:highlight w:val="none"/>
        </w:rPr>
      </w:pPr>
      <w:r>
        <w:rPr>
          <w:rFonts w:hint="eastAsia" w:hAnsi="宋体"/>
          <w:color w:val="auto"/>
          <w:kern w:val="0"/>
          <w:sz w:val="24"/>
          <w:highlight w:val="none"/>
          <w:lang w:val="en-US" w:eastAsia="zh-CN"/>
        </w:rPr>
        <w:t>响应</w:t>
      </w:r>
      <w:r>
        <w:rPr>
          <w:rFonts w:hint="eastAsia" w:hAnsi="宋体"/>
          <w:color w:val="auto"/>
          <w:kern w:val="0"/>
          <w:sz w:val="24"/>
          <w:highlight w:val="none"/>
        </w:rPr>
        <w:t>人：（ 盖章）</w:t>
      </w:r>
      <w:r>
        <w:rPr>
          <w:rFonts w:hint="eastAsia" w:hAnsi="宋体"/>
          <w:color w:val="auto"/>
          <w:sz w:val="24"/>
          <w:highlight w:val="none"/>
        </w:rPr>
        <w:t xml:space="preserve">            </w:t>
      </w:r>
    </w:p>
    <w:p>
      <w:pPr>
        <w:widowControl/>
        <w:tabs>
          <w:tab w:val="center" w:pos="4755"/>
          <w:tab w:val="right" w:pos="9070"/>
        </w:tabs>
        <w:spacing w:before="100" w:beforeAutospacing="1" w:after="100" w:afterAutospacing="1"/>
        <w:ind w:firstLine="241" w:firstLineChars="100"/>
        <w:rPr>
          <w:rFonts w:hAnsi="宋体"/>
          <w:b/>
          <w:color w:val="auto"/>
          <w:kern w:val="0"/>
          <w:sz w:val="24"/>
          <w:highlight w:val="none"/>
        </w:rPr>
      </w:pPr>
      <w:r>
        <w:rPr>
          <w:rFonts w:hAnsi="宋体"/>
          <w:b/>
          <w:color w:val="auto"/>
          <w:kern w:val="0"/>
          <w:sz w:val="24"/>
          <w:highlight w:val="none"/>
        </w:rPr>
        <w:br w:type="page"/>
      </w:r>
    </w:p>
    <w:p>
      <w:pPr>
        <w:widowControl/>
        <w:tabs>
          <w:tab w:val="center" w:pos="4755"/>
          <w:tab w:val="right" w:pos="9070"/>
        </w:tabs>
        <w:ind w:firstLine="281" w:firstLineChars="100"/>
        <w:jc w:val="center"/>
        <w:rPr>
          <w:rFonts w:hint="eastAsia" w:hAnsi="宋体"/>
          <w:b/>
          <w:color w:val="auto"/>
          <w:kern w:val="0"/>
          <w:sz w:val="28"/>
          <w:szCs w:val="28"/>
          <w:highlight w:val="none"/>
        </w:rPr>
      </w:pPr>
      <w:r>
        <w:rPr>
          <w:rFonts w:hint="eastAsia" w:hAnsi="宋体"/>
          <w:b/>
          <w:color w:val="auto"/>
          <w:kern w:val="0"/>
          <w:sz w:val="28"/>
          <w:szCs w:val="28"/>
          <w:highlight w:val="none"/>
        </w:rPr>
        <w:t>表1-4-1  计日工表</w:t>
      </w:r>
    </w:p>
    <w:p>
      <w:pPr>
        <w:pStyle w:val="2"/>
      </w:pPr>
    </w:p>
    <w:p>
      <w:pPr>
        <w:widowControl/>
        <w:tabs>
          <w:tab w:val="center" w:pos="4755"/>
          <w:tab w:val="right" w:pos="9070"/>
        </w:tabs>
        <w:spacing w:line="360" w:lineRule="auto"/>
        <w:rPr>
          <w:rFonts w:hAnsi="宋体"/>
          <w:color w:val="auto"/>
          <w:kern w:val="0"/>
          <w:sz w:val="24"/>
          <w:highlight w:val="none"/>
        </w:rPr>
      </w:pPr>
      <w:r>
        <w:rPr>
          <w:rFonts w:hint="eastAsia" w:hAnsi="宋体"/>
          <w:color w:val="auto"/>
          <w:kern w:val="0"/>
          <w:sz w:val="24"/>
          <w:highlight w:val="none"/>
        </w:rPr>
        <w:t xml:space="preserve">工程名称:                                   </w:t>
      </w:r>
    </w:p>
    <w:p>
      <w:pPr>
        <w:widowControl/>
        <w:tabs>
          <w:tab w:val="center" w:pos="4755"/>
          <w:tab w:val="right" w:pos="9070"/>
        </w:tabs>
        <w:spacing w:line="360" w:lineRule="auto"/>
        <w:rPr>
          <w:rFonts w:hAnsi="宋体"/>
          <w:color w:val="auto"/>
          <w:kern w:val="0"/>
          <w:sz w:val="24"/>
          <w:highlight w:val="none"/>
        </w:rPr>
      </w:pPr>
      <w:r>
        <w:rPr>
          <w:rFonts w:hint="eastAsia" w:hAnsi="宋体"/>
          <w:color w:val="auto"/>
          <w:kern w:val="0"/>
          <w:sz w:val="24"/>
          <w:highlight w:val="none"/>
        </w:rPr>
        <w:t>单位工程名称：                                            第  页共  页</w:t>
      </w:r>
    </w:p>
    <w:tbl>
      <w:tblPr>
        <w:tblStyle w:val="62"/>
        <w:tblW w:w="0" w:type="auto"/>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28"/>
        <w:gridCol w:w="2880"/>
        <w:gridCol w:w="816"/>
        <w:gridCol w:w="1506"/>
        <w:gridCol w:w="1506"/>
        <w:gridCol w:w="1506"/>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28" w:type="dxa"/>
            <w:noWrap w:val="0"/>
            <w:vAlign w:val="center"/>
          </w:tcPr>
          <w:p>
            <w:pPr>
              <w:tabs>
                <w:tab w:val="left" w:pos="3780"/>
              </w:tabs>
              <w:jc w:val="center"/>
              <w:rPr>
                <w:rFonts w:hAnsi="宋体"/>
                <w:color w:val="auto"/>
                <w:sz w:val="24"/>
                <w:highlight w:val="none"/>
              </w:rPr>
            </w:pPr>
            <w:r>
              <w:rPr>
                <w:rFonts w:hint="eastAsia" w:hAnsi="宋体"/>
                <w:color w:val="auto"/>
                <w:sz w:val="24"/>
                <w:highlight w:val="none"/>
              </w:rPr>
              <w:t>编号</w:t>
            </w:r>
          </w:p>
        </w:tc>
        <w:tc>
          <w:tcPr>
            <w:tcW w:w="2880" w:type="dxa"/>
            <w:noWrap w:val="0"/>
            <w:vAlign w:val="center"/>
          </w:tcPr>
          <w:p>
            <w:pPr>
              <w:tabs>
                <w:tab w:val="left" w:pos="3780"/>
              </w:tabs>
              <w:jc w:val="center"/>
              <w:rPr>
                <w:rFonts w:hAnsi="宋体"/>
                <w:color w:val="auto"/>
                <w:sz w:val="24"/>
                <w:highlight w:val="none"/>
              </w:rPr>
            </w:pPr>
            <w:r>
              <w:rPr>
                <w:rFonts w:hint="eastAsia" w:hAnsi="宋体"/>
                <w:color w:val="auto"/>
                <w:sz w:val="24"/>
                <w:highlight w:val="none"/>
              </w:rPr>
              <w:t>项 目 名 称</w:t>
            </w:r>
          </w:p>
        </w:tc>
        <w:tc>
          <w:tcPr>
            <w:tcW w:w="816" w:type="dxa"/>
            <w:noWrap w:val="0"/>
            <w:vAlign w:val="center"/>
          </w:tcPr>
          <w:p>
            <w:pPr>
              <w:tabs>
                <w:tab w:val="left" w:pos="3780"/>
              </w:tabs>
              <w:jc w:val="center"/>
              <w:rPr>
                <w:rFonts w:hAnsi="宋体"/>
                <w:color w:val="auto"/>
                <w:sz w:val="24"/>
                <w:highlight w:val="none"/>
              </w:rPr>
            </w:pPr>
            <w:r>
              <w:rPr>
                <w:rFonts w:hint="eastAsia" w:hAnsi="宋体"/>
                <w:color w:val="auto"/>
                <w:sz w:val="24"/>
                <w:highlight w:val="none"/>
              </w:rPr>
              <w:t>单位</w:t>
            </w:r>
          </w:p>
        </w:tc>
        <w:tc>
          <w:tcPr>
            <w:tcW w:w="1506" w:type="dxa"/>
            <w:noWrap w:val="0"/>
            <w:vAlign w:val="center"/>
          </w:tcPr>
          <w:p>
            <w:pPr>
              <w:tabs>
                <w:tab w:val="left" w:pos="3780"/>
              </w:tabs>
              <w:jc w:val="center"/>
              <w:rPr>
                <w:rFonts w:hAnsi="宋体"/>
                <w:color w:val="auto"/>
                <w:sz w:val="24"/>
                <w:highlight w:val="none"/>
              </w:rPr>
            </w:pPr>
            <w:r>
              <w:rPr>
                <w:rFonts w:hint="eastAsia" w:hAnsi="宋体"/>
                <w:color w:val="auto"/>
                <w:sz w:val="24"/>
                <w:highlight w:val="none"/>
              </w:rPr>
              <w:t>数量</w:t>
            </w:r>
          </w:p>
        </w:tc>
        <w:tc>
          <w:tcPr>
            <w:tcW w:w="1506" w:type="dxa"/>
            <w:noWrap w:val="0"/>
            <w:vAlign w:val="center"/>
          </w:tcPr>
          <w:p>
            <w:pPr>
              <w:tabs>
                <w:tab w:val="left" w:pos="3780"/>
              </w:tabs>
              <w:jc w:val="center"/>
              <w:rPr>
                <w:rFonts w:hAnsi="宋体"/>
                <w:color w:val="auto"/>
                <w:sz w:val="24"/>
                <w:highlight w:val="none"/>
              </w:rPr>
            </w:pPr>
            <w:r>
              <w:rPr>
                <w:rFonts w:hint="eastAsia" w:hAnsi="宋体"/>
                <w:color w:val="auto"/>
                <w:sz w:val="24"/>
                <w:highlight w:val="none"/>
              </w:rPr>
              <w:t>综合单价（元）</w:t>
            </w:r>
          </w:p>
        </w:tc>
        <w:tc>
          <w:tcPr>
            <w:tcW w:w="1506" w:type="dxa"/>
            <w:noWrap w:val="0"/>
            <w:vAlign w:val="center"/>
          </w:tcPr>
          <w:p>
            <w:pPr>
              <w:tabs>
                <w:tab w:val="left" w:pos="3780"/>
              </w:tabs>
              <w:jc w:val="center"/>
              <w:rPr>
                <w:rFonts w:hAnsi="宋体"/>
                <w:color w:val="auto"/>
                <w:sz w:val="24"/>
                <w:highlight w:val="none"/>
              </w:rPr>
            </w:pPr>
            <w:r>
              <w:rPr>
                <w:rFonts w:hint="eastAsia" w:hAnsi="宋体"/>
                <w:color w:val="auto"/>
                <w:sz w:val="24"/>
                <w:highlight w:val="none"/>
              </w:rPr>
              <w:t>合价（元）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28" w:type="dxa"/>
            <w:noWrap w:val="0"/>
            <w:vAlign w:val="center"/>
          </w:tcPr>
          <w:p>
            <w:pPr>
              <w:tabs>
                <w:tab w:val="left" w:pos="3780"/>
              </w:tabs>
              <w:jc w:val="center"/>
              <w:rPr>
                <w:rFonts w:hAnsi="宋体"/>
                <w:color w:val="auto"/>
                <w:sz w:val="24"/>
                <w:highlight w:val="none"/>
              </w:rPr>
            </w:pPr>
            <w:r>
              <w:rPr>
                <w:rFonts w:hint="eastAsia" w:hAnsi="宋体"/>
                <w:color w:val="auto"/>
                <w:sz w:val="24"/>
                <w:highlight w:val="none"/>
              </w:rPr>
              <w:t>（1）</w:t>
            </w:r>
          </w:p>
        </w:tc>
        <w:tc>
          <w:tcPr>
            <w:tcW w:w="2880" w:type="dxa"/>
            <w:noWrap w:val="0"/>
            <w:vAlign w:val="center"/>
          </w:tcPr>
          <w:p>
            <w:pPr>
              <w:tabs>
                <w:tab w:val="left" w:pos="3780"/>
              </w:tabs>
              <w:jc w:val="center"/>
              <w:rPr>
                <w:rFonts w:hAnsi="宋体"/>
                <w:color w:val="auto"/>
                <w:sz w:val="24"/>
                <w:highlight w:val="none"/>
              </w:rPr>
            </w:pPr>
            <w:r>
              <w:rPr>
                <w:rFonts w:hint="eastAsia" w:hAnsi="宋体"/>
                <w:color w:val="auto"/>
                <w:sz w:val="24"/>
                <w:highlight w:val="none"/>
              </w:rPr>
              <w:t>（2）</w:t>
            </w:r>
          </w:p>
        </w:tc>
        <w:tc>
          <w:tcPr>
            <w:tcW w:w="816" w:type="dxa"/>
            <w:noWrap w:val="0"/>
            <w:vAlign w:val="center"/>
          </w:tcPr>
          <w:p>
            <w:pPr>
              <w:tabs>
                <w:tab w:val="left" w:pos="3780"/>
              </w:tabs>
              <w:jc w:val="center"/>
              <w:rPr>
                <w:rFonts w:hAnsi="宋体"/>
                <w:color w:val="auto"/>
                <w:sz w:val="24"/>
                <w:highlight w:val="none"/>
              </w:rPr>
            </w:pPr>
            <w:r>
              <w:rPr>
                <w:rFonts w:hint="eastAsia" w:hAnsi="宋体"/>
                <w:color w:val="auto"/>
                <w:sz w:val="24"/>
                <w:highlight w:val="none"/>
              </w:rPr>
              <w:t>（3）</w:t>
            </w:r>
          </w:p>
        </w:tc>
        <w:tc>
          <w:tcPr>
            <w:tcW w:w="1506" w:type="dxa"/>
            <w:noWrap w:val="0"/>
            <w:vAlign w:val="center"/>
          </w:tcPr>
          <w:p>
            <w:pPr>
              <w:tabs>
                <w:tab w:val="left" w:pos="3780"/>
              </w:tabs>
              <w:jc w:val="center"/>
              <w:rPr>
                <w:rFonts w:hAnsi="宋体"/>
                <w:color w:val="auto"/>
                <w:sz w:val="24"/>
                <w:highlight w:val="none"/>
              </w:rPr>
            </w:pPr>
            <w:r>
              <w:rPr>
                <w:rFonts w:hint="eastAsia" w:hAnsi="宋体"/>
                <w:color w:val="auto"/>
                <w:sz w:val="24"/>
                <w:highlight w:val="none"/>
              </w:rPr>
              <w:t>（4）</w:t>
            </w:r>
          </w:p>
        </w:tc>
        <w:tc>
          <w:tcPr>
            <w:tcW w:w="1506" w:type="dxa"/>
            <w:noWrap w:val="0"/>
            <w:vAlign w:val="center"/>
          </w:tcPr>
          <w:p>
            <w:pPr>
              <w:tabs>
                <w:tab w:val="left" w:pos="3780"/>
              </w:tabs>
              <w:jc w:val="center"/>
              <w:rPr>
                <w:rFonts w:hAnsi="宋体"/>
                <w:color w:val="auto"/>
                <w:sz w:val="24"/>
                <w:highlight w:val="none"/>
              </w:rPr>
            </w:pPr>
          </w:p>
        </w:tc>
        <w:tc>
          <w:tcPr>
            <w:tcW w:w="1506" w:type="dxa"/>
            <w:noWrap w:val="0"/>
            <w:vAlign w:val="center"/>
          </w:tcPr>
          <w:p>
            <w:pPr>
              <w:tabs>
                <w:tab w:val="left" w:pos="3780"/>
              </w:tabs>
              <w:jc w:val="center"/>
              <w:rPr>
                <w:rFonts w:hAnsi="宋体"/>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28" w:type="dxa"/>
            <w:noWrap w:val="0"/>
            <w:vAlign w:val="center"/>
          </w:tcPr>
          <w:p>
            <w:pPr>
              <w:tabs>
                <w:tab w:val="left" w:pos="3780"/>
              </w:tabs>
              <w:jc w:val="center"/>
              <w:rPr>
                <w:rFonts w:hAnsi="宋体"/>
                <w:color w:val="auto"/>
                <w:sz w:val="24"/>
                <w:highlight w:val="none"/>
              </w:rPr>
            </w:pPr>
            <w:r>
              <w:rPr>
                <w:rFonts w:hint="eastAsia" w:hAnsi="宋体"/>
                <w:color w:val="auto"/>
                <w:sz w:val="24"/>
                <w:highlight w:val="none"/>
              </w:rPr>
              <w:t>一</w:t>
            </w:r>
          </w:p>
        </w:tc>
        <w:tc>
          <w:tcPr>
            <w:tcW w:w="2880" w:type="dxa"/>
            <w:noWrap w:val="0"/>
            <w:vAlign w:val="center"/>
          </w:tcPr>
          <w:p>
            <w:pPr>
              <w:tabs>
                <w:tab w:val="left" w:pos="3780"/>
              </w:tabs>
              <w:jc w:val="center"/>
              <w:rPr>
                <w:rFonts w:hAnsi="宋体"/>
                <w:color w:val="auto"/>
                <w:sz w:val="24"/>
                <w:highlight w:val="none"/>
              </w:rPr>
            </w:pPr>
            <w:r>
              <w:rPr>
                <w:rFonts w:hint="eastAsia" w:hAnsi="宋体"/>
                <w:color w:val="auto"/>
                <w:sz w:val="24"/>
                <w:highlight w:val="none"/>
              </w:rPr>
              <w:t>人    工</w:t>
            </w:r>
          </w:p>
        </w:tc>
        <w:tc>
          <w:tcPr>
            <w:tcW w:w="816" w:type="dxa"/>
            <w:noWrap w:val="0"/>
            <w:vAlign w:val="center"/>
          </w:tcPr>
          <w:p>
            <w:pPr>
              <w:tabs>
                <w:tab w:val="left" w:pos="3780"/>
              </w:tabs>
              <w:jc w:val="center"/>
              <w:rPr>
                <w:rFonts w:hAnsi="宋体"/>
                <w:color w:val="auto"/>
                <w:sz w:val="24"/>
                <w:highlight w:val="none"/>
              </w:rPr>
            </w:pPr>
          </w:p>
        </w:tc>
        <w:tc>
          <w:tcPr>
            <w:tcW w:w="1506" w:type="dxa"/>
            <w:noWrap w:val="0"/>
            <w:vAlign w:val="center"/>
          </w:tcPr>
          <w:p>
            <w:pPr>
              <w:tabs>
                <w:tab w:val="left" w:pos="3780"/>
              </w:tabs>
              <w:jc w:val="center"/>
              <w:rPr>
                <w:rFonts w:hAnsi="宋体"/>
                <w:color w:val="auto"/>
                <w:sz w:val="24"/>
                <w:highlight w:val="none"/>
              </w:rPr>
            </w:pPr>
          </w:p>
        </w:tc>
        <w:tc>
          <w:tcPr>
            <w:tcW w:w="1506" w:type="dxa"/>
            <w:noWrap w:val="0"/>
            <w:vAlign w:val="center"/>
          </w:tcPr>
          <w:p>
            <w:pPr>
              <w:tabs>
                <w:tab w:val="left" w:pos="3780"/>
              </w:tabs>
              <w:jc w:val="center"/>
              <w:rPr>
                <w:rFonts w:hAnsi="宋体"/>
                <w:color w:val="auto"/>
                <w:sz w:val="24"/>
                <w:highlight w:val="none"/>
              </w:rPr>
            </w:pPr>
          </w:p>
        </w:tc>
        <w:tc>
          <w:tcPr>
            <w:tcW w:w="1506" w:type="dxa"/>
            <w:noWrap w:val="0"/>
            <w:vAlign w:val="center"/>
          </w:tcPr>
          <w:p>
            <w:pPr>
              <w:tabs>
                <w:tab w:val="left" w:pos="3780"/>
              </w:tabs>
              <w:jc w:val="center"/>
              <w:rPr>
                <w:rFonts w:hAnsi="宋体"/>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28" w:type="dxa"/>
            <w:noWrap w:val="0"/>
            <w:vAlign w:val="center"/>
          </w:tcPr>
          <w:p>
            <w:pPr>
              <w:tabs>
                <w:tab w:val="left" w:pos="3780"/>
              </w:tabs>
              <w:jc w:val="center"/>
              <w:rPr>
                <w:rFonts w:hAnsi="宋体"/>
                <w:color w:val="auto"/>
                <w:sz w:val="24"/>
                <w:highlight w:val="none"/>
              </w:rPr>
            </w:pPr>
            <w:r>
              <w:rPr>
                <w:rFonts w:hint="eastAsia" w:hAnsi="宋体"/>
                <w:color w:val="auto"/>
                <w:sz w:val="24"/>
                <w:highlight w:val="none"/>
              </w:rPr>
              <w:t>1</w:t>
            </w:r>
          </w:p>
        </w:tc>
        <w:tc>
          <w:tcPr>
            <w:tcW w:w="2880" w:type="dxa"/>
            <w:noWrap w:val="0"/>
            <w:vAlign w:val="center"/>
          </w:tcPr>
          <w:p>
            <w:pPr>
              <w:tabs>
                <w:tab w:val="left" w:pos="3780"/>
              </w:tabs>
              <w:jc w:val="center"/>
              <w:rPr>
                <w:rFonts w:hAnsi="宋体"/>
                <w:color w:val="auto"/>
                <w:sz w:val="24"/>
                <w:highlight w:val="none"/>
              </w:rPr>
            </w:pPr>
          </w:p>
        </w:tc>
        <w:tc>
          <w:tcPr>
            <w:tcW w:w="816" w:type="dxa"/>
            <w:noWrap w:val="0"/>
            <w:vAlign w:val="center"/>
          </w:tcPr>
          <w:p>
            <w:pPr>
              <w:tabs>
                <w:tab w:val="left" w:pos="3780"/>
              </w:tabs>
              <w:jc w:val="center"/>
              <w:rPr>
                <w:rFonts w:hAnsi="宋体"/>
                <w:color w:val="auto"/>
                <w:sz w:val="24"/>
                <w:highlight w:val="none"/>
              </w:rPr>
            </w:pPr>
          </w:p>
        </w:tc>
        <w:tc>
          <w:tcPr>
            <w:tcW w:w="1506" w:type="dxa"/>
            <w:noWrap w:val="0"/>
            <w:vAlign w:val="center"/>
          </w:tcPr>
          <w:p>
            <w:pPr>
              <w:tabs>
                <w:tab w:val="left" w:pos="3780"/>
              </w:tabs>
              <w:jc w:val="center"/>
              <w:rPr>
                <w:rFonts w:hAnsi="宋体"/>
                <w:color w:val="auto"/>
                <w:sz w:val="24"/>
                <w:highlight w:val="none"/>
              </w:rPr>
            </w:pPr>
          </w:p>
        </w:tc>
        <w:tc>
          <w:tcPr>
            <w:tcW w:w="1506" w:type="dxa"/>
            <w:noWrap w:val="0"/>
            <w:vAlign w:val="center"/>
          </w:tcPr>
          <w:p>
            <w:pPr>
              <w:tabs>
                <w:tab w:val="left" w:pos="3780"/>
              </w:tabs>
              <w:jc w:val="center"/>
              <w:rPr>
                <w:rFonts w:hAnsi="宋体"/>
                <w:color w:val="auto"/>
                <w:sz w:val="24"/>
                <w:highlight w:val="none"/>
              </w:rPr>
            </w:pPr>
          </w:p>
        </w:tc>
        <w:tc>
          <w:tcPr>
            <w:tcW w:w="1506" w:type="dxa"/>
            <w:noWrap w:val="0"/>
            <w:vAlign w:val="center"/>
          </w:tcPr>
          <w:p>
            <w:pPr>
              <w:tabs>
                <w:tab w:val="left" w:pos="3780"/>
              </w:tabs>
              <w:jc w:val="center"/>
              <w:rPr>
                <w:rFonts w:hAnsi="宋体"/>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28" w:type="dxa"/>
            <w:noWrap w:val="0"/>
            <w:vAlign w:val="center"/>
          </w:tcPr>
          <w:p>
            <w:pPr>
              <w:tabs>
                <w:tab w:val="left" w:pos="3780"/>
              </w:tabs>
              <w:jc w:val="center"/>
              <w:rPr>
                <w:rFonts w:hAnsi="宋体"/>
                <w:color w:val="auto"/>
                <w:sz w:val="24"/>
                <w:highlight w:val="none"/>
              </w:rPr>
            </w:pPr>
            <w:r>
              <w:rPr>
                <w:rFonts w:hint="eastAsia" w:hAnsi="宋体"/>
                <w:color w:val="auto"/>
                <w:sz w:val="24"/>
                <w:highlight w:val="none"/>
              </w:rPr>
              <w:t>2</w:t>
            </w:r>
          </w:p>
        </w:tc>
        <w:tc>
          <w:tcPr>
            <w:tcW w:w="2880" w:type="dxa"/>
            <w:noWrap w:val="0"/>
            <w:vAlign w:val="center"/>
          </w:tcPr>
          <w:p>
            <w:pPr>
              <w:tabs>
                <w:tab w:val="left" w:pos="3780"/>
              </w:tabs>
              <w:jc w:val="center"/>
              <w:rPr>
                <w:rFonts w:hAnsi="宋体"/>
                <w:color w:val="auto"/>
                <w:sz w:val="24"/>
                <w:highlight w:val="none"/>
              </w:rPr>
            </w:pPr>
          </w:p>
        </w:tc>
        <w:tc>
          <w:tcPr>
            <w:tcW w:w="816" w:type="dxa"/>
            <w:noWrap w:val="0"/>
            <w:vAlign w:val="center"/>
          </w:tcPr>
          <w:p>
            <w:pPr>
              <w:tabs>
                <w:tab w:val="left" w:pos="3780"/>
              </w:tabs>
              <w:jc w:val="center"/>
              <w:rPr>
                <w:rFonts w:hAnsi="宋体"/>
                <w:color w:val="auto"/>
                <w:sz w:val="24"/>
                <w:highlight w:val="none"/>
              </w:rPr>
            </w:pPr>
          </w:p>
        </w:tc>
        <w:tc>
          <w:tcPr>
            <w:tcW w:w="1506" w:type="dxa"/>
            <w:noWrap w:val="0"/>
            <w:vAlign w:val="center"/>
          </w:tcPr>
          <w:p>
            <w:pPr>
              <w:tabs>
                <w:tab w:val="left" w:pos="3780"/>
              </w:tabs>
              <w:jc w:val="center"/>
              <w:rPr>
                <w:rFonts w:hAnsi="宋体"/>
                <w:color w:val="auto"/>
                <w:sz w:val="24"/>
                <w:highlight w:val="none"/>
              </w:rPr>
            </w:pPr>
          </w:p>
        </w:tc>
        <w:tc>
          <w:tcPr>
            <w:tcW w:w="1506" w:type="dxa"/>
            <w:noWrap w:val="0"/>
            <w:vAlign w:val="center"/>
          </w:tcPr>
          <w:p>
            <w:pPr>
              <w:tabs>
                <w:tab w:val="left" w:pos="3780"/>
              </w:tabs>
              <w:jc w:val="center"/>
              <w:rPr>
                <w:rFonts w:hAnsi="宋体"/>
                <w:color w:val="auto"/>
                <w:sz w:val="24"/>
                <w:highlight w:val="none"/>
              </w:rPr>
            </w:pPr>
          </w:p>
        </w:tc>
        <w:tc>
          <w:tcPr>
            <w:tcW w:w="1506" w:type="dxa"/>
            <w:noWrap w:val="0"/>
            <w:vAlign w:val="center"/>
          </w:tcPr>
          <w:p>
            <w:pPr>
              <w:tabs>
                <w:tab w:val="left" w:pos="3780"/>
              </w:tabs>
              <w:jc w:val="center"/>
              <w:rPr>
                <w:rFonts w:hAnsi="宋体"/>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28" w:type="dxa"/>
            <w:noWrap w:val="0"/>
            <w:vAlign w:val="center"/>
          </w:tcPr>
          <w:p>
            <w:pPr>
              <w:tabs>
                <w:tab w:val="left" w:pos="3780"/>
              </w:tabs>
              <w:jc w:val="center"/>
              <w:rPr>
                <w:rFonts w:hAnsi="宋体"/>
                <w:color w:val="auto"/>
                <w:sz w:val="24"/>
                <w:highlight w:val="none"/>
              </w:rPr>
            </w:pPr>
            <w:r>
              <w:rPr>
                <w:rFonts w:hint="eastAsia" w:hAnsi="宋体"/>
                <w:color w:val="auto"/>
                <w:sz w:val="24"/>
                <w:highlight w:val="none"/>
              </w:rPr>
              <w:t>3</w:t>
            </w:r>
          </w:p>
        </w:tc>
        <w:tc>
          <w:tcPr>
            <w:tcW w:w="2880" w:type="dxa"/>
            <w:noWrap w:val="0"/>
            <w:vAlign w:val="center"/>
          </w:tcPr>
          <w:p>
            <w:pPr>
              <w:tabs>
                <w:tab w:val="left" w:pos="3780"/>
              </w:tabs>
              <w:jc w:val="center"/>
              <w:rPr>
                <w:rFonts w:hAnsi="宋体"/>
                <w:color w:val="auto"/>
                <w:sz w:val="24"/>
                <w:highlight w:val="none"/>
              </w:rPr>
            </w:pPr>
          </w:p>
        </w:tc>
        <w:tc>
          <w:tcPr>
            <w:tcW w:w="816" w:type="dxa"/>
            <w:noWrap w:val="0"/>
            <w:vAlign w:val="center"/>
          </w:tcPr>
          <w:p>
            <w:pPr>
              <w:tabs>
                <w:tab w:val="left" w:pos="3780"/>
              </w:tabs>
              <w:jc w:val="center"/>
              <w:rPr>
                <w:rFonts w:hAnsi="宋体"/>
                <w:color w:val="auto"/>
                <w:sz w:val="24"/>
                <w:highlight w:val="none"/>
              </w:rPr>
            </w:pPr>
          </w:p>
        </w:tc>
        <w:tc>
          <w:tcPr>
            <w:tcW w:w="1506" w:type="dxa"/>
            <w:noWrap w:val="0"/>
            <w:vAlign w:val="center"/>
          </w:tcPr>
          <w:p>
            <w:pPr>
              <w:tabs>
                <w:tab w:val="left" w:pos="3780"/>
              </w:tabs>
              <w:jc w:val="center"/>
              <w:rPr>
                <w:rFonts w:hAnsi="宋体"/>
                <w:color w:val="auto"/>
                <w:sz w:val="24"/>
                <w:highlight w:val="none"/>
              </w:rPr>
            </w:pPr>
          </w:p>
        </w:tc>
        <w:tc>
          <w:tcPr>
            <w:tcW w:w="1506" w:type="dxa"/>
            <w:noWrap w:val="0"/>
            <w:vAlign w:val="center"/>
          </w:tcPr>
          <w:p>
            <w:pPr>
              <w:tabs>
                <w:tab w:val="left" w:pos="3780"/>
              </w:tabs>
              <w:jc w:val="center"/>
              <w:rPr>
                <w:rFonts w:hAnsi="宋体"/>
                <w:color w:val="auto"/>
                <w:sz w:val="24"/>
                <w:highlight w:val="none"/>
              </w:rPr>
            </w:pPr>
          </w:p>
        </w:tc>
        <w:tc>
          <w:tcPr>
            <w:tcW w:w="1506" w:type="dxa"/>
            <w:noWrap w:val="0"/>
            <w:vAlign w:val="center"/>
          </w:tcPr>
          <w:p>
            <w:pPr>
              <w:tabs>
                <w:tab w:val="left" w:pos="3780"/>
              </w:tabs>
              <w:jc w:val="center"/>
              <w:rPr>
                <w:rFonts w:hAnsi="宋体"/>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28" w:type="dxa"/>
            <w:noWrap w:val="0"/>
            <w:vAlign w:val="center"/>
          </w:tcPr>
          <w:p>
            <w:pPr>
              <w:tabs>
                <w:tab w:val="left" w:pos="3780"/>
              </w:tabs>
              <w:jc w:val="center"/>
              <w:rPr>
                <w:rFonts w:hAnsi="宋体"/>
                <w:color w:val="auto"/>
                <w:sz w:val="24"/>
                <w:highlight w:val="none"/>
              </w:rPr>
            </w:pPr>
            <w:r>
              <w:rPr>
                <w:rFonts w:hint="eastAsia" w:hAnsi="宋体"/>
                <w:color w:val="auto"/>
                <w:sz w:val="24"/>
                <w:highlight w:val="none"/>
              </w:rPr>
              <w:t>4</w:t>
            </w:r>
          </w:p>
        </w:tc>
        <w:tc>
          <w:tcPr>
            <w:tcW w:w="2880" w:type="dxa"/>
            <w:noWrap w:val="0"/>
            <w:vAlign w:val="center"/>
          </w:tcPr>
          <w:p>
            <w:pPr>
              <w:tabs>
                <w:tab w:val="left" w:pos="3780"/>
              </w:tabs>
              <w:jc w:val="center"/>
              <w:rPr>
                <w:rFonts w:hAnsi="宋体"/>
                <w:color w:val="auto"/>
                <w:sz w:val="24"/>
                <w:highlight w:val="none"/>
              </w:rPr>
            </w:pPr>
          </w:p>
        </w:tc>
        <w:tc>
          <w:tcPr>
            <w:tcW w:w="816" w:type="dxa"/>
            <w:noWrap w:val="0"/>
            <w:vAlign w:val="center"/>
          </w:tcPr>
          <w:p>
            <w:pPr>
              <w:tabs>
                <w:tab w:val="left" w:pos="3780"/>
              </w:tabs>
              <w:jc w:val="center"/>
              <w:rPr>
                <w:rFonts w:hAnsi="宋体"/>
                <w:color w:val="auto"/>
                <w:sz w:val="24"/>
                <w:highlight w:val="none"/>
              </w:rPr>
            </w:pPr>
          </w:p>
        </w:tc>
        <w:tc>
          <w:tcPr>
            <w:tcW w:w="1506" w:type="dxa"/>
            <w:noWrap w:val="0"/>
            <w:vAlign w:val="center"/>
          </w:tcPr>
          <w:p>
            <w:pPr>
              <w:tabs>
                <w:tab w:val="left" w:pos="3780"/>
              </w:tabs>
              <w:jc w:val="center"/>
              <w:rPr>
                <w:rFonts w:hAnsi="宋体"/>
                <w:color w:val="auto"/>
                <w:sz w:val="24"/>
                <w:highlight w:val="none"/>
              </w:rPr>
            </w:pPr>
          </w:p>
        </w:tc>
        <w:tc>
          <w:tcPr>
            <w:tcW w:w="1506" w:type="dxa"/>
            <w:noWrap w:val="0"/>
            <w:vAlign w:val="center"/>
          </w:tcPr>
          <w:p>
            <w:pPr>
              <w:tabs>
                <w:tab w:val="left" w:pos="3780"/>
              </w:tabs>
              <w:jc w:val="center"/>
              <w:rPr>
                <w:rFonts w:hAnsi="宋体"/>
                <w:color w:val="auto"/>
                <w:sz w:val="24"/>
                <w:highlight w:val="none"/>
              </w:rPr>
            </w:pPr>
          </w:p>
        </w:tc>
        <w:tc>
          <w:tcPr>
            <w:tcW w:w="1506" w:type="dxa"/>
            <w:noWrap w:val="0"/>
            <w:vAlign w:val="center"/>
          </w:tcPr>
          <w:p>
            <w:pPr>
              <w:tabs>
                <w:tab w:val="left" w:pos="3780"/>
              </w:tabs>
              <w:jc w:val="center"/>
              <w:rPr>
                <w:rFonts w:hAnsi="宋体"/>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536" w:type="dxa"/>
            <w:gridSpan w:val="5"/>
            <w:noWrap w:val="0"/>
            <w:vAlign w:val="center"/>
          </w:tcPr>
          <w:p>
            <w:pPr>
              <w:tabs>
                <w:tab w:val="left" w:pos="3780"/>
              </w:tabs>
              <w:jc w:val="center"/>
              <w:rPr>
                <w:rFonts w:hAnsi="宋体"/>
                <w:color w:val="auto"/>
                <w:sz w:val="24"/>
                <w:highlight w:val="none"/>
              </w:rPr>
            </w:pPr>
            <w:r>
              <w:rPr>
                <w:rFonts w:hint="eastAsia" w:hAnsi="宋体"/>
                <w:color w:val="auto"/>
                <w:sz w:val="24"/>
                <w:highlight w:val="none"/>
              </w:rPr>
              <w:t>人 工 小 计</w:t>
            </w:r>
          </w:p>
        </w:tc>
        <w:tc>
          <w:tcPr>
            <w:tcW w:w="1506" w:type="dxa"/>
            <w:noWrap w:val="0"/>
            <w:vAlign w:val="center"/>
          </w:tcPr>
          <w:p>
            <w:pPr>
              <w:tabs>
                <w:tab w:val="left" w:pos="3780"/>
              </w:tabs>
              <w:jc w:val="center"/>
              <w:rPr>
                <w:rFonts w:hAnsi="宋体"/>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28" w:type="dxa"/>
            <w:noWrap w:val="0"/>
            <w:vAlign w:val="center"/>
          </w:tcPr>
          <w:p>
            <w:pPr>
              <w:tabs>
                <w:tab w:val="left" w:pos="3780"/>
              </w:tabs>
              <w:jc w:val="center"/>
              <w:rPr>
                <w:rFonts w:hAnsi="宋体"/>
                <w:color w:val="auto"/>
                <w:sz w:val="24"/>
                <w:highlight w:val="none"/>
              </w:rPr>
            </w:pPr>
            <w:r>
              <w:rPr>
                <w:rFonts w:hint="eastAsia" w:hAnsi="宋体"/>
                <w:color w:val="auto"/>
                <w:sz w:val="24"/>
                <w:highlight w:val="none"/>
              </w:rPr>
              <w:t>二</w:t>
            </w:r>
          </w:p>
        </w:tc>
        <w:tc>
          <w:tcPr>
            <w:tcW w:w="2880" w:type="dxa"/>
            <w:noWrap w:val="0"/>
            <w:vAlign w:val="center"/>
          </w:tcPr>
          <w:p>
            <w:pPr>
              <w:tabs>
                <w:tab w:val="left" w:pos="3780"/>
              </w:tabs>
              <w:jc w:val="center"/>
              <w:rPr>
                <w:rFonts w:hAnsi="宋体"/>
                <w:color w:val="auto"/>
                <w:sz w:val="24"/>
                <w:highlight w:val="none"/>
              </w:rPr>
            </w:pPr>
            <w:r>
              <w:rPr>
                <w:rFonts w:hint="eastAsia" w:hAnsi="宋体"/>
                <w:color w:val="auto"/>
                <w:sz w:val="24"/>
                <w:highlight w:val="none"/>
              </w:rPr>
              <w:t>材    料</w:t>
            </w:r>
          </w:p>
        </w:tc>
        <w:tc>
          <w:tcPr>
            <w:tcW w:w="816" w:type="dxa"/>
            <w:noWrap w:val="0"/>
            <w:vAlign w:val="center"/>
          </w:tcPr>
          <w:p>
            <w:pPr>
              <w:tabs>
                <w:tab w:val="left" w:pos="3780"/>
              </w:tabs>
              <w:jc w:val="center"/>
              <w:rPr>
                <w:rFonts w:hAnsi="宋体"/>
                <w:color w:val="auto"/>
                <w:sz w:val="24"/>
                <w:highlight w:val="none"/>
              </w:rPr>
            </w:pPr>
          </w:p>
        </w:tc>
        <w:tc>
          <w:tcPr>
            <w:tcW w:w="1506" w:type="dxa"/>
            <w:noWrap w:val="0"/>
            <w:vAlign w:val="center"/>
          </w:tcPr>
          <w:p>
            <w:pPr>
              <w:tabs>
                <w:tab w:val="left" w:pos="3780"/>
              </w:tabs>
              <w:jc w:val="center"/>
              <w:rPr>
                <w:rFonts w:hAnsi="宋体"/>
                <w:color w:val="auto"/>
                <w:sz w:val="24"/>
                <w:highlight w:val="none"/>
              </w:rPr>
            </w:pPr>
          </w:p>
        </w:tc>
        <w:tc>
          <w:tcPr>
            <w:tcW w:w="1506" w:type="dxa"/>
            <w:noWrap w:val="0"/>
            <w:vAlign w:val="center"/>
          </w:tcPr>
          <w:p>
            <w:pPr>
              <w:tabs>
                <w:tab w:val="left" w:pos="3780"/>
              </w:tabs>
              <w:jc w:val="center"/>
              <w:rPr>
                <w:rFonts w:hAnsi="宋体"/>
                <w:color w:val="auto"/>
                <w:sz w:val="24"/>
                <w:highlight w:val="none"/>
              </w:rPr>
            </w:pPr>
          </w:p>
        </w:tc>
        <w:tc>
          <w:tcPr>
            <w:tcW w:w="1506" w:type="dxa"/>
            <w:noWrap w:val="0"/>
            <w:vAlign w:val="center"/>
          </w:tcPr>
          <w:p>
            <w:pPr>
              <w:tabs>
                <w:tab w:val="left" w:pos="3780"/>
              </w:tabs>
              <w:jc w:val="center"/>
              <w:rPr>
                <w:rFonts w:hAnsi="宋体"/>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28" w:type="dxa"/>
            <w:noWrap w:val="0"/>
            <w:vAlign w:val="center"/>
          </w:tcPr>
          <w:p>
            <w:pPr>
              <w:tabs>
                <w:tab w:val="left" w:pos="3780"/>
              </w:tabs>
              <w:jc w:val="center"/>
              <w:rPr>
                <w:rFonts w:hAnsi="宋体"/>
                <w:color w:val="auto"/>
                <w:sz w:val="24"/>
                <w:highlight w:val="none"/>
              </w:rPr>
            </w:pPr>
            <w:r>
              <w:rPr>
                <w:rFonts w:hint="eastAsia" w:hAnsi="宋体"/>
                <w:color w:val="auto"/>
                <w:sz w:val="24"/>
                <w:highlight w:val="none"/>
              </w:rPr>
              <w:t>1</w:t>
            </w:r>
          </w:p>
        </w:tc>
        <w:tc>
          <w:tcPr>
            <w:tcW w:w="2880" w:type="dxa"/>
            <w:noWrap w:val="0"/>
            <w:vAlign w:val="center"/>
          </w:tcPr>
          <w:p>
            <w:pPr>
              <w:tabs>
                <w:tab w:val="left" w:pos="3780"/>
              </w:tabs>
              <w:jc w:val="center"/>
              <w:rPr>
                <w:rFonts w:hAnsi="宋体"/>
                <w:color w:val="auto"/>
                <w:sz w:val="24"/>
                <w:highlight w:val="none"/>
              </w:rPr>
            </w:pPr>
          </w:p>
        </w:tc>
        <w:tc>
          <w:tcPr>
            <w:tcW w:w="816" w:type="dxa"/>
            <w:noWrap w:val="0"/>
            <w:vAlign w:val="center"/>
          </w:tcPr>
          <w:p>
            <w:pPr>
              <w:tabs>
                <w:tab w:val="left" w:pos="3780"/>
              </w:tabs>
              <w:jc w:val="center"/>
              <w:rPr>
                <w:rFonts w:hAnsi="宋体"/>
                <w:color w:val="auto"/>
                <w:sz w:val="24"/>
                <w:highlight w:val="none"/>
              </w:rPr>
            </w:pPr>
          </w:p>
        </w:tc>
        <w:tc>
          <w:tcPr>
            <w:tcW w:w="1506" w:type="dxa"/>
            <w:noWrap w:val="0"/>
            <w:vAlign w:val="center"/>
          </w:tcPr>
          <w:p>
            <w:pPr>
              <w:tabs>
                <w:tab w:val="left" w:pos="3780"/>
              </w:tabs>
              <w:jc w:val="center"/>
              <w:rPr>
                <w:rFonts w:hAnsi="宋体"/>
                <w:color w:val="auto"/>
                <w:sz w:val="24"/>
                <w:highlight w:val="none"/>
              </w:rPr>
            </w:pPr>
          </w:p>
        </w:tc>
        <w:tc>
          <w:tcPr>
            <w:tcW w:w="1506" w:type="dxa"/>
            <w:noWrap w:val="0"/>
            <w:vAlign w:val="center"/>
          </w:tcPr>
          <w:p>
            <w:pPr>
              <w:tabs>
                <w:tab w:val="left" w:pos="3780"/>
              </w:tabs>
              <w:jc w:val="center"/>
              <w:rPr>
                <w:rFonts w:hAnsi="宋体"/>
                <w:color w:val="auto"/>
                <w:sz w:val="24"/>
                <w:highlight w:val="none"/>
              </w:rPr>
            </w:pPr>
          </w:p>
        </w:tc>
        <w:tc>
          <w:tcPr>
            <w:tcW w:w="1506" w:type="dxa"/>
            <w:noWrap w:val="0"/>
            <w:vAlign w:val="center"/>
          </w:tcPr>
          <w:p>
            <w:pPr>
              <w:tabs>
                <w:tab w:val="left" w:pos="3780"/>
              </w:tabs>
              <w:jc w:val="center"/>
              <w:rPr>
                <w:rFonts w:hAnsi="宋体"/>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28" w:type="dxa"/>
            <w:noWrap w:val="0"/>
            <w:vAlign w:val="center"/>
          </w:tcPr>
          <w:p>
            <w:pPr>
              <w:tabs>
                <w:tab w:val="left" w:pos="3780"/>
              </w:tabs>
              <w:jc w:val="center"/>
              <w:rPr>
                <w:rFonts w:hAnsi="宋体"/>
                <w:color w:val="auto"/>
                <w:sz w:val="24"/>
                <w:highlight w:val="none"/>
              </w:rPr>
            </w:pPr>
            <w:r>
              <w:rPr>
                <w:rFonts w:hint="eastAsia" w:hAnsi="宋体"/>
                <w:color w:val="auto"/>
                <w:sz w:val="24"/>
                <w:highlight w:val="none"/>
              </w:rPr>
              <w:t>2</w:t>
            </w:r>
          </w:p>
        </w:tc>
        <w:tc>
          <w:tcPr>
            <w:tcW w:w="2880" w:type="dxa"/>
            <w:noWrap w:val="0"/>
            <w:vAlign w:val="center"/>
          </w:tcPr>
          <w:p>
            <w:pPr>
              <w:tabs>
                <w:tab w:val="left" w:pos="3780"/>
              </w:tabs>
              <w:jc w:val="center"/>
              <w:rPr>
                <w:rFonts w:hAnsi="宋体"/>
                <w:color w:val="auto"/>
                <w:sz w:val="24"/>
                <w:highlight w:val="none"/>
              </w:rPr>
            </w:pPr>
          </w:p>
        </w:tc>
        <w:tc>
          <w:tcPr>
            <w:tcW w:w="816" w:type="dxa"/>
            <w:noWrap w:val="0"/>
            <w:vAlign w:val="center"/>
          </w:tcPr>
          <w:p>
            <w:pPr>
              <w:tabs>
                <w:tab w:val="left" w:pos="3780"/>
              </w:tabs>
              <w:jc w:val="center"/>
              <w:rPr>
                <w:rFonts w:hAnsi="宋体"/>
                <w:color w:val="auto"/>
                <w:sz w:val="24"/>
                <w:highlight w:val="none"/>
              </w:rPr>
            </w:pPr>
          </w:p>
        </w:tc>
        <w:tc>
          <w:tcPr>
            <w:tcW w:w="1506" w:type="dxa"/>
            <w:noWrap w:val="0"/>
            <w:vAlign w:val="center"/>
          </w:tcPr>
          <w:p>
            <w:pPr>
              <w:tabs>
                <w:tab w:val="left" w:pos="3780"/>
              </w:tabs>
              <w:jc w:val="center"/>
              <w:rPr>
                <w:rFonts w:hAnsi="宋体"/>
                <w:color w:val="auto"/>
                <w:sz w:val="24"/>
                <w:highlight w:val="none"/>
              </w:rPr>
            </w:pPr>
          </w:p>
        </w:tc>
        <w:tc>
          <w:tcPr>
            <w:tcW w:w="1506" w:type="dxa"/>
            <w:noWrap w:val="0"/>
            <w:vAlign w:val="center"/>
          </w:tcPr>
          <w:p>
            <w:pPr>
              <w:tabs>
                <w:tab w:val="left" w:pos="3780"/>
              </w:tabs>
              <w:jc w:val="center"/>
              <w:rPr>
                <w:rFonts w:hAnsi="宋体"/>
                <w:color w:val="auto"/>
                <w:sz w:val="24"/>
                <w:highlight w:val="none"/>
              </w:rPr>
            </w:pPr>
          </w:p>
        </w:tc>
        <w:tc>
          <w:tcPr>
            <w:tcW w:w="1506" w:type="dxa"/>
            <w:noWrap w:val="0"/>
            <w:vAlign w:val="center"/>
          </w:tcPr>
          <w:p>
            <w:pPr>
              <w:tabs>
                <w:tab w:val="left" w:pos="3780"/>
              </w:tabs>
              <w:jc w:val="center"/>
              <w:rPr>
                <w:rFonts w:hAnsi="宋体"/>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28" w:type="dxa"/>
            <w:noWrap w:val="0"/>
            <w:vAlign w:val="center"/>
          </w:tcPr>
          <w:p>
            <w:pPr>
              <w:tabs>
                <w:tab w:val="left" w:pos="3780"/>
              </w:tabs>
              <w:jc w:val="center"/>
              <w:rPr>
                <w:rFonts w:hAnsi="宋体"/>
                <w:color w:val="auto"/>
                <w:sz w:val="24"/>
                <w:highlight w:val="none"/>
              </w:rPr>
            </w:pPr>
            <w:r>
              <w:rPr>
                <w:rFonts w:hint="eastAsia" w:hAnsi="宋体"/>
                <w:color w:val="auto"/>
                <w:sz w:val="24"/>
                <w:highlight w:val="none"/>
              </w:rPr>
              <w:t>3</w:t>
            </w:r>
          </w:p>
        </w:tc>
        <w:tc>
          <w:tcPr>
            <w:tcW w:w="2880" w:type="dxa"/>
            <w:noWrap w:val="0"/>
            <w:vAlign w:val="center"/>
          </w:tcPr>
          <w:p>
            <w:pPr>
              <w:tabs>
                <w:tab w:val="left" w:pos="3780"/>
              </w:tabs>
              <w:jc w:val="center"/>
              <w:rPr>
                <w:rFonts w:hAnsi="宋体"/>
                <w:color w:val="auto"/>
                <w:sz w:val="24"/>
                <w:highlight w:val="none"/>
              </w:rPr>
            </w:pPr>
          </w:p>
        </w:tc>
        <w:tc>
          <w:tcPr>
            <w:tcW w:w="816" w:type="dxa"/>
            <w:noWrap w:val="0"/>
            <w:vAlign w:val="center"/>
          </w:tcPr>
          <w:p>
            <w:pPr>
              <w:tabs>
                <w:tab w:val="left" w:pos="3780"/>
              </w:tabs>
              <w:jc w:val="center"/>
              <w:rPr>
                <w:rFonts w:hAnsi="宋体"/>
                <w:color w:val="auto"/>
                <w:sz w:val="24"/>
                <w:highlight w:val="none"/>
              </w:rPr>
            </w:pPr>
          </w:p>
        </w:tc>
        <w:tc>
          <w:tcPr>
            <w:tcW w:w="1506" w:type="dxa"/>
            <w:noWrap w:val="0"/>
            <w:vAlign w:val="center"/>
          </w:tcPr>
          <w:p>
            <w:pPr>
              <w:tabs>
                <w:tab w:val="left" w:pos="3780"/>
              </w:tabs>
              <w:jc w:val="center"/>
              <w:rPr>
                <w:rFonts w:hAnsi="宋体"/>
                <w:color w:val="auto"/>
                <w:sz w:val="24"/>
                <w:highlight w:val="none"/>
              </w:rPr>
            </w:pPr>
          </w:p>
        </w:tc>
        <w:tc>
          <w:tcPr>
            <w:tcW w:w="1506" w:type="dxa"/>
            <w:noWrap w:val="0"/>
            <w:vAlign w:val="center"/>
          </w:tcPr>
          <w:p>
            <w:pPr>
              <w:tabs>
                <w:tab w:val="left" w:pos="3780"/>
              </w:tabs>
              <w:jc w:val="center"/>
              <w:rPr>
                <w:rFonts w:hAnsi="宋体"/>
                <w:color w:val="auto"/>
                <w:sz w:val="24"/>
                <w:highlight w:val="none"/>
              </w:rPr>
            </w:pPr>
          </w:p>
        </w:tc>
        <w:tc>
          <w:tcPr>
            <w:tcW w:w="1506" w:type="dxa"/>
            <w:noWrap w:val="0"/>
            <w:vAlign w:val="center"/>
          </w:tcPr>
          <w:p>
            <w:pPr>
              <w:tabs>
                <w:tab w:val="left" w:pos="3780"/>
              </w:tabs>
              <w:jc w:val="center"/>
              <w:rPr>
                <w:rFonts w:hAnsi="宋体"/>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28" w:type="dxa"/>
            <w:noWrap w:val="0"/>
            <w:vAlign w:val="center"/>
          </w:tcPr>
          <w:p>
            <w:pPr>
              <w:tabs>
                <w:tab w:val="left" w:pos="3780"/>
              </w:tabs>
              <w:jc w:val="center"/>
              <w:rPr>
                <w:rFonts w:hAnsi="宋体"/>
                <w:color w:val="auto"/>
                <w:sz w:val="24"/>
                <w:highlight w:val="none"/>
              </w:rPr>
            </w:pPr>
            <w:r>
              <w:rPr>
                <w:rFonts w:hint="eastAsia" w:hAnsi="宋体"/>
                <w:color w:val="auto"/>
                <w:sz w:val="24"/>
                <w:highlight w:val="none"/>
              </w:rPr>
              <w:t>4</w:t>
            </w:r>
          </w:p>
        </w:tc>
        <w:tc>
          <w:tcPr>
            <w:tcW w:w="2880" w:type="dxa"/>
            <w:noWrap w:val="0"/>
            <w:vAlign w:val="center"/>
          </w:tcPr>
          <w:p>
            <w:pPr>
              <w:tabs>
                <w:tab w:val="left" w:pos="3780"/>
              </w:tabs>
              <w:jc w:val="center"/>
              <w:rPr>
                <w:rFonts w:hAnsi="宋体"/>
                <w:color w:val="auto"/>
                <w:sz w:val="24"/>
                <w:highlight w:val="none"/>
              </w:rPr>
            </w:pPr>
          </w:p>
        </w:tc>
        <w:tc>
          <w:tcPr>
            <w:tcW w:w="816" w:type="dxa"/>
            <w:noWrap w:val="0"/>
            <w:vAlign w:val="center"/>
          </w:tcPr>
          <w:p>
            <w:pPr>
              <w:tabs>
                <w:tab w:val="left" w:pos="3780"/>
              </w:tabs>
              <w:jc w:val="center"/>
              <w:rPr>
                <w:rFonts w:hAnsi="宋体"/>
                <w:color w:val="auto"/>
                <w:sz w:val="24"/>
                <w:highlight w:val="none"/>
              </w:rPr>
            </w:pPr>
          </w:p>
        </w:tc>
        <w:tc>
          <w:tcPr>
            <w:tcW w:w="1506" w:type="dxa"/>
            <w:noWrap w:val="0"/>
            <w:vAlign w:val="center"/>
          </w:tcPr>
          <w:p>
            <w:pPr>
              <w:tabs>
                <w:tab w:val="left" w:pos="3780"/>
              </w:tabs>
              <w:jc w:val="center"/>
              <w:rPr>
                <w:rFonts w:hAnsi="宋体"/>
                <w:color w:val="auto"/>
                <w:sz w:val="24"/>
                <w:highlight w:val="none"/>
              </w:rPr>
            </w:pPr>
          </w:p>
        </w:tc>
        <w:tc>
          <w:tcPr>
            <w:tcW w:w="1506" w:type="dxa"/>
            <w:noWrap w:val="0"/>
            <w:vAlign w:val="center"/>
          </w:tcPr>
          <w:p>
            <w:pPr>
              <w:tabs>
                <w:tab w:val="left" w:pos="3780"/>
              </w:tabs>
              <w:jc w:val="center"/>
              <w:rPr>
                <w:rFonts w:hAnsi="宋体"/>
                <w:color w:val="auto"/>
                <w:sz w:val="24"/>
                <w:highlight w:val="none"/>
              </w:rPr>
            </w:pPr>
          </w:p>
        </w:tc>
        <w:tc>
          <w:tcPr>
            <w:tcW w:w="1506" w:type="dxa"/>
            <w:noWrap w:val="0"/>
            <w:vAlign w:val="center"/>
          </w:tcPr>
          <w:p>
            <w:pPr>
              <w:tabs>
                <w:tab w:val="left" w:pos="3780"/>
              </w:tabs>
              <w:jc w:val="center"/>
              <w:rPr>
                <w:rFonts w:hAnsi="宋体"/>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536" w:type="dxa"/>
            <w:gridSpan w:val="5"/>
            <w:noWrap w:val="0"/>
            <w:vAlign w:val="center"/>
          </w:tcPr>
          <w:p>
            <w:pPr>
              <w:tabs>
                <w:tab w:val="left" w:pos="3780"/>
              </w:tabs>
              <w:jc w:val="center"/>
              <w:rPr>
                <w:rFonts w:hAnsi="宋体"/>
                <w:color w:val="auto"/>
                <w:sz w:val="24"/>
                <w:highlight w:val="none"/>
              </w:rPr>
            </w:pPr>
            <w:r>
              <w:rPr>
                <w:rFonts w:hint="eastAsia" w:hAnsi="宋体"/>
                <w:color w:val="auto"/>
                <w:sz w:val="24"/>
                <w:highlight w:val="none"/>
              </w:rPr>
              <w:t>材 料 小 计</w:t>
            </w:r>
          </w:p>
        </w:tc>
        <w:tc>
          <w:tcPr>
            <w:tcW w:w="1506" w:type="dxa"/>
            <w:noWrap w:val="0"/>
            <w:vAlign w:val="center"/>
          </w:tcPr>
          <w:p>
            <w:pPr>
              <w:tabs>
                <w:tab w:val="left" w:pos="3780"/>
              </w:tabs>
              <w:jc w:val="center"/>
              <w:rPr>
                <w:rFonts w:hAnsi="宋体"/>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28" w:type="dxa"/>
            <w:noWrap w:val="0"/>
            <w:vAlign w:val="center"/>
          </w:tcPr>
          <w:p>
            <w:pPr>
              <w:tabs>
                <w:tab w:val="left" w:pos="3780"/>
              </w:tabs>
              <w:jc w:val="center"/>
              <w:rPr>
                <w:rFonts w:hAnsi="宋体"/>
                <w:color w:val="auto"/>
                <w:sz w:val="24"/>
                <w:highlight w:val="none"/>
              </w:rPr>
            </w:pPr>
            <w:r>
              <w:rPr>
                <w:rFonts w:hint="eastAsia" w:hAnsi="宋体"/>
                <w:color w:val="auto"/>
                <w:sz w:val="24"/>
                <w:highlight w:val="none"/>
              </w:rPr>
              <w:t>三</w:t>
            </w:r>
          </w:p>
        </w:tc>
        <w:tc>
          <w:tcPr>
            <w:tcW w:w="2880" w:type="dxa"/>
            <w:noWrap w:val="0"/>
            <w:vAlign w:val="center"/>
          </w:tcPr>
          <w:p>
            <w:pPr>
              <w:tabs>
                <w:tab w:val="left" w:pos="3780"/>
              </w:tabs>
              <w:jc w:val="center"/>
              <w:rPr>
                <w:rFonts w:hAnsi="宋体"/>
                <w:color w:val="auto"/>
                <w:sz w:val="24"/>
                <w:highlight w:val="none"/>
              </w:rPr>
            </w:pPr>
            <w:r>
              <w:rPr>
                <w:rFonts w:hint="eastAsia" w:hAnsi="宋体"/>
                <w:color w:val="auto"/>
                <w:sz w:val="24"/>
                <w:highlight w:val="none"/>
              </w:rPr>
              <w:t>施工机械</w:t>
            </w:r>
          </w:p>
        </w:tc>
        <w:tc>
          <w:tcPr>
            <w:tcW w:w="816" w:type="dxa"/>
            <w:noWrap w:val="0"/>
            <w:vAlign w:val="center"/>
          </w:tcPr>
          <w:p>
            <w:pPr>
              <w:tabs>
                <w:tab w:val="left" w:pos="3780"/>
              </w:tabs>
              <w:jc w:val="center"/>
              <w:rPr>
                <w:rFonts w:hAnsi="宋体"/>
                <w:color w:val="auto"/>
                <w:sz w:val="24"/>
                <w:highlight w:val="none"/>
              </w:rPr>
            </w:pPr>
          </w:p>
        </w:tc>
        <w:tc>
          <w:tcPr>
            <w:tcW w:w="1506" w:type="dxa"/>
            <w:noWrap w:val="0"/>
            <w:vAlign w:val="center"/>
          </w:tcPr>
          <w:p>
            <w:pPr>
              <w:tabs>
                <w:tab w:val="left" w:pos="3780"/>
              </w:tabs>
              <w:jc w:val="center"/>
              <w:rPr>
                <w:rFonts w:hAnsi="宋体"/>
                <w:color w:val="auto"/>
                <w:sz w:val="24"/>
                <w:highlight w:val="none"/>
              </w:rPr>
            </w:pPr>
          </w:p>
        </w:tc>
        <w:tc>
          <w:tcPr>
            <w:tcW w:w="1506" w:type="dxa"/>
            <w:noWrap w:val="0"/>
            <w:vAlign w:val="center"/>
          </w:tcPr>
          <w:p>
            <w:pPr>
              <w:tabs>
                <w:tab w:val="left" w:pos="3780"/>
              </w:tabs>
              <w:jc w:val="center"/>
              <w:rPr>
                <w:rFonts w:hAnsi="宋体"/>
                <w:color w:val="auto"/>
                <w:sz w:val="24"/>
                <w:highlight w:val="none"/>
              </w:rPr>
            </w:pPr>
          </w:p>
        </w:tc>
        <w:tc>
          <w:tcPr>
            <w:tcW w:w="1506" w:type="dxa"/>
            <w:noWrap w:val="0"/>
            <w:vAlign w:val="center"/>
          </w:tcPr>
          <w:p>
            <w:pPr>
              <w:tabs>
                <w:tab w:val="left" w:pos="3780"/>
              </w:tabs>
              <w:jc w:val="center"/>
              <w:rPr>
                <w:rFonts w:hAnsi="宋体"/>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28" w:type="dxa"/>
            <w:noWrap w:val="0"/>
            <w:vAlign w:val="center"/>
          </w:tcPr>
          <w:p>
            <w:pPr>
              <w:tabs>
                <w:tab w:val="left" w:pos="3780"/>
              </w:tabs>
              <w:jc w:val="center"/>
              <w:rPr>
                <w:rFonts w:hAnsi="宋体"/>
                <w:color w:val="auto"/>
                <w:sz w:val="24"/>
                <w:highlight w:val="none"/>
              </w:rPr>
            </w:pPr>
            <w:r>
              <w:rPr>
                <w:rFonts w:hint="eastAsia" w:hAnsi="宋体"/>
                <w:color w:val="auto"/>
                <w:sz w:val="24"/>
                <w:highlight w:val="none"/>
              </w:rPr>
              <w:t>1</w:t>
            </w:r>
          </w:p>
        </w:tc>
        <w:tc>
          <w:tcPr>
            <w:tcW w:w="2880" w:type="dxa"/>
            <w:noWrap w:val="0"/>
            <w:vAlign w:val="center"/>
          </w:tcPr>
          <w:p>
            <w:pPr>
              <w:tabs>
                <w:tab w:val="left" w:pos="3780"/>
              </w:tabs>
              <w:jc w:val="center"/>
              <w:rPr>
                <w:rFonts w:hAnsi="宋体"/>
                <w:color w:val="auto"/>
                <w:sz w:val="24"/>
                <w:highlight w:val="none"/>
              </w:rPr>
            </w:pPr>
          </w:p>
        </w:tc>
        <w:tc>
          <w:tcPr>
            <w:tcW w:w="816" w:type="dxa"/>
            <w:noWrap w:val="0"/>
            <w:vAlign w:val="center"/>
          </w:tcPr>
          <w:p>
            <w:pPr>
              <w:tabs>
                <w:tab w:val="left" w:pos="3780"/>
              </w:tabs>
              <w:jc w:val="center"/>
              <w:rPr>
                <w:rFonts w:hAnsi="宋体"/>
                <w:color w:val="auto"/>
                <w:sz w:val="24"/>
                <w:highlight w:val="none"/>
              </w:rPr>
            </w:pPr>
          </w:p>
        </w:tc>
        <w:tc>
          <w:tcPr>
            <w:tcW w:w="1506" w:type="dxa"/>
            <w:noWrap w:val="0"/>
            <w:vAlign w:val="center"/>
          </w:tcPr>
          <w:p>
            <w:pPr>
              <w:tabs>
                <w:tab w:val="left" w:pos="3780"/>
              </w:tabs>
              <w:jc w:val="center"/>
              <w:rPr>
                <w:rFonts w:hAnsi="宋体"/>
                <w:color w:val="auto"/>
                <w:sz w:val="24"/>
                <w:highlight w:val="none"/>
              </w:rPr>
            </w:pPr>
          </w:p>
        </w:tc>
        <w:tc>
          <w:tcPr>
            <w:tcW w:w="1506" w:type="dxa"/>
            <w:noWrap w:val="0"/>
            <w:vAlign w:val="center"/>
          </w:tcPr>
          <w:p>
            <w:pPr>
              <w:tabs>
                <w:tab w:val="left" w:pos="3780"/>
              </w:tabs>
              <w:jc w:val="center"/>
              <w:rPr>
                <w:rFonts w:hAnsi="宋体"/>
                <w:color w:val="auto"/>
                <w:sz w:val="24"/>
                <w:highlight w:val="none"/>
              </w:rPr>
            </w:pPr>
          </w:p>
        </w:tc>
        <w:tc>
          <w:tcPr>
            <w:tcW w:w="1506" w:type="dxa"/>
            <w:noWrap w:val="0"/>
            <w:vAlign w:val="center"/>
          </w:tcPr>
          <w:p>
            <w:pPr>
              <w:tabs>
                <w:tab w:val="left" w:pos="3780"/>
              </w:tabs>
              <w:jc w:val="center"/>
              <w:rPr>
                <w:rFonts w:hAnsi="宋体"/>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28" w:type="dxa"/>
            <w:noWrap w:val="0"/>
            <w:vAlign w:val="center"/>
          </w:tcPr>
          <w:p>
            <w:pPr>
              <w:tabs>
                <w:tab w:val="left" w:pos="3780"/>
              </w:tabs>
              <w:jc w:val="center"/>
              <w:rPr>
                <w:rFonts w:hAnsi="宋体"/>
                <w:color w:val="auto"/>
                <w:sz w:val="24"/>
                <w:highlight w:val="none"/>
              </w:rPr>
            </w:pPr>
            <w:r>
              <w:rPr>
                <w:rFonts w:hint="eastAsia" w:hAnsi="宋体"/>
                <w:color w:val="auto"/>
                <w:sz w:val="24"/>
                <w:highlight w:val="none"/>
              </w:rPr>
              <w:t>2</w:t>
            </w:r>
          </w:p>
        </w:tc>
        <w:tc>
          <w:tcPr>
            <w:tcW w:w="2880" w:type="dxa"/>
            <w:noWrap w:val="0"/>
            <w:vAlign w:val="center"/>
          </w:tcPr>
          <w:p>
            <w:pPr>
              <w:tabs>
                <w:tab w:val="left" w:pos="3780"/>
              </w:tabs>
              <w:jc w:val="center"/>
              <w:rPr>
                <w:rFonts w:hAnsi="宋体"/>
                <w:color w:val="auto"/>
                <w:sz w:val="24"/>
                <w:highlight w:val="none"/>
              </w:rPr>
            </w:pPr>
          </w:p>
        </w:tc>
        <w:tc>
          <w:tcPr>
            <w:tcW w:w="816" w:type="dxa"/>
            <w:noWrap w:val="0"/>
            <w:vAlign w:val="center"/>
          </w:tcPr>
          <w:p>
            <w:pPr>
              <w:tabs>
                <w:tab w:val="left" w:pos="3780"/>
              </w:tabs>
              <w:jc w:val="center"/>
              <w:rPr>
                <w:rFonts w:hAnsi="宋体"/>
                <w:color w:val="auto"/>
                <w:sz w:val="24"/>
                <w:highlight w:val="none"/>
              </w:rPr>
            </w:pPr>
          </w:p>
        </w:tc>
        <w:tc>
          <w:tcPr>
            <w:tcW w:w="1506" w:type="dxa"/>
            <w:noWrap w:val="0"/>
            <w:vAlign w:val="center"/>
          </w:tcPr>
          <w:p>
            <w:pPr>
              <w:tabs>
                <w:tab w:val="left" w:pos="3780"/>
              </w:tabs>
              <w:jc w:val="center"/>
              <w:rPr>
                <w:rFonts w:hAnsi="宋体"/>
                <w:color w:val="auto"/>
                <w:sz w:val="24"/>
                <w:highlight w:val="none"/>
              </w:rPr>
            </w:pPr>
          </w:p>
        </w:tc>
        <w:tc>
          <w:tcPr>
            <w:tcW w:w="1506" w:type="dxa"/>
            <w:noWrap w:val="0"/>
            <w:vAlign w:val="center"/>
          </w:tcPr>
          <w:p>
            <w:pPr>
              <w:tabs>
                <w:tab w:val="left" w:pos="3780"/>
              </w:tabs>
              <w:jc w:val="center"/>
              <w:rPr>
                <w:rFonts w:hAnsi="宋体"/>
                <w:color w:val="auto"/>
                <w:sz w:val="24"/>
                <w:highlight w:val="none"/>
              </w:rPr>
            </w:pPr>
          </w:p>
        </w:tc>
        <w:tc>
          <w:tcPr>
            <w:tcW w:w="1506" w:type="dxa"/>
            <w:noWrap w:val="0"/>
            <w:vAlign w:val="center"/>
          </w:tcPr>
          <w:p>
            <w:pPr>
              <w:tabs>
                <w:tab w:val="left" w:pos="3780"/>
              </w:tabs>
              <w:jc w:val="center"/>
              <w:rPr>
                <w:rFonts w:hAnsi="宋体"/>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28" w:type="dxa"/>
            <w:noWrap w:val="0"/>
            <w:vAlign w:val="center"/>
          </w:tcPr>
          <w:p>
            <w:pPr>
              <w:tabs>
                <w:tab w:val="left" w:pos="3780"/>
              </w:tabs>
              <w:jc w:val="center"/>
              <w:rPr>
                <w:rFonts w:hAnsi="宋体"/>
                <w:color w:val="auto"/>
                <w:sz w:val="24"/>
                <w:highlight w:val="none"/>
              </w:rPr>
            </w:pPr>
            <w:r>
              <w:rPr>
                <w:rFonts w:hint="eastAsia" w:hAnsi="宋体"/>
                <w:color w:val="auto"/>
                <w:sz w:val="24"/>
                <w:highlight w:val="none"/>
              </w:rPr>
              <w:t>3</w:t>
            </w:r>
          </w:p>
        </w:tc>
        <w:tc>
          <w:tcPr>
            <w:tcW w:w="2880" w:type="dxa"/>
            <w:noWrap w:val="0"/>
            <w:vAlign w:val="center"/>
          </w:tcPr>
          <w:p>
            <w:pPr>
              <w:tabs>
                <w:tab w:val="left" w:pos="3780"/>
              </w:tabs>
              <w:jc w:val="center"/>
              <w:rPr>
                <w:rFonts w:hAnsi="宋体"/>
                <w:color w:val="auto"/>
                <w:sz w:val="24"/>
                <w:highlight w:val="none"/>
              </w:rPr>
            </w:pPr>
          </w:p>
        </w:tc>
        <w:tc>
          <w:tcPr>
            <w:tcW w:w="816" w:type="dxa"/>
            <w:noWrap w:val="0"/>
            <w:vAlign w:val="center"/>
          </w:tcPr>
          <w:p>
            <w:pPr>
              <w:tabs>
                <w:tab w:val="left" w:pos="3780"/>
              </w:tabs>
              <w:jc w:val="center"/>
              <w:rPr>
                <w:rFonts w:hAnsi="宋体"/>
                <w:color w:val="auto"/>
                <w:sz w:val="24"/>
                <w:highlight w:val="none"/>
              </w:rPr>
            </w:pPr>
          </w:p>
        </w:tc>
        <w:tc>
          <w:tcPr>
            <w:tcW w:w="1506" w:type="dxa"/>
            <w:noWrap w:val="0"/>
            <w:vAlign w:val="center"/>
          </w:tcPr>
          <w:p>
            <w:pPr>
              <w:tabs>
                <w:tab w:val="left" w:pos="3780"/>
              </w:tabs>
              <w:jc w:val="center"/>
              <w:rPr>
                <w:rFonts w:hAnsi="宋体"/>
                <w:color w:val="auto"/>
                <w:sz w:val="24"/>
                <w:highlight w:val="none"/>
              </w:rPr>
            </w:pPr>
          </w:p>
        </w:tc>
        <w:tc>
          <w:tcPr>
            <w:tcW w:w="1506" w:type="dxa"/>
            <w:noWrap w:val="0"/>
            <w:vAlign w:val="center"/>
          </w:tcPr>
          <w:p>
            <w:pPr>
              <w:tabs>
                <w:tab w:val="left" w:pos="3780"/>
              </w:tabs>
              <w:jc w:val="center"/>
              <w:rPr>
                <w:rFonts w:hAnsi="宋体"/>
                <w:color w:val="auto"/>
                <w:sz w:val="24"/>
                <w:highlight w:val="none"/>
              </w:rPr>
            </w:pPr>
          </w:p>
        </w:tc>
        <w:tc>
          <w:tcPr>
            <w:tcW w:w="1506" w:type="dxa"/>
            <w:noWrap w:val="0"/>
            <w:vAlign w:val="center"/>
          </w:tcPr>
          <w:p>
            <w:pPr>
              <w:tabs>
                <w:tab w:val="left" w:pos="3780"/>
              </w:tabs>
              <w:jc w:val="center"/>
              <w:rPr>
                <w:rFonts w:hAnsi="宋体"/>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28" w:type="dxa"/>
            <w:noWrap w:val="0"/>
            <w:vAlign w:val="center"/>
          </w:tcPr>
          <w:p>
            <w:pPr>
              <w:tabs>
                <w:tab w:val="left" w:pos="3780"/>
              </w:tabs>
              <w:jc w:val="center"/>
              <w:rPr>
                <w:rFonts w:hAnsi="宋体"/>
                <w:color w:val="auto"/>
                <w:sz w:val="24"/>
                <w:highlight w:val="none"/>
              </w:rPr>
            </w:pPr>
            <w:r>
              <w:rPr>
                <w:rFonts w:hint="eastAsia" w:hAnsi="宋体"/>
                <w:color w:val="auto"/>
                <w:sz w:val="24"/>
                <w:highlight w:val="none"/>
              </w:rPr>
              <w:t>4</w:t>
            </w:r>
          </w:p>
        </w:tc>
        <w:tc>
          <w:tcPr>
            <w:tcW w:w="2880" w:type="dxa"/>
            <w:noWrap w:val="0"/>
            <w:vAlign w:val="center"/>
          </w:tcPr>
          <w:p>
            <w:pPr>
              <w:tabs>
                <w:tab w:val="left" w:pos="3780"/>
              </w:tabs>
              <w:jc w:val="center"/>
              <w:rPr>
                <w:rFonts w:hAnsi="宋体"/>
                <w:color w:val="auto"/>
                <w:sz w:val="24"/>
                <w:highlight w:val="none"/>
              </w:rPr>
            </w:pPr>
          </w:p>
        </w:tc>
        <w:tc>
          <w:tcPr>
            <w:tcW w:w="816" w:type="dxa"/>
            <w:noWrap w:val="0"/>
            <w:vAlign w:val="center"/>
          </w:tcPr>
          <w:p>
            <w:pPr>
              <w:tabs>
                <w:tab w:val="left" w:pos="3780"/>
              </w:tabs>
              <w:jc w:val="center"/>
              <w:rPr>
                <w:rFonts w:hAnsi="宋体"/>
                <w:color w:val="auto"/>
                <w:sz w:val="24"/>
                <w:highlight w:val="none"/>
              </w:rPr>
            </w:pPr>
          </w:p>
        </w:tc>
        <w:tc>
          <w:tcPr>
            <w:tcW w:w="1506" w:type="dxa"/>
            <w:noWrap w:val="0"/>
            <w:vAlign w:val="center"/>
          </w:tcPr>
          <w:p>
            <w:pPr>
              <w:tabs>
                <w:tab w:val="left" w:pos="3780"/>
              </w:tabs>
              <w:jc w:val="center"/>
              <w:rPr>
                <w:rFonts w:hAnsi="宋体"/>
                <w:color w:val="auto"/>
                <w:sz w:val="24"/>
                <w:highlight w:val="none"/>
              </w:rPr>
            </w:pPr>
          </w:p>
        </w:tc>
        <w:tc>
          <w:tcPr>
            <w:tcW w:w="1506" w:type="dxa"/>
            <w:noWrap w:val="0"/>
            <w:vAlign w:val="center"/>
          </w:tcPr>
          <w:p>
            <w:pPr>
              <w:tabs>
                <w:tab w:val="left" w:pos="3780"/>
              </w:tabs>
              <w:jc w:val="center"/>
              <w:rPr>
                <w:rFonts w:hAnsi="宋体"/>
                <w:color w:val="auto"/>
                <w:sz w:val="24"/>
                <w:highlight w:val="none"/>
              </w:rPr>
            </w:pPr>
          </w:p>
        </w:tc>
        <w:tc>
          <w:tcPr>
            <w:tcW w:w="1506" w:type="dxa"/>
            <w:noWrap w:val="0"/>
            <w:vAlign w:val="center"/>
          </w:tcPr>
          <w:p>
            <w:pPr>
              <w:tabs>
                <w:tab w:val="left" w:pos="3780"/>
              </w:tabs>
              <w:jc w:val="center"/>
              <w:rPr>
                <w:rFonts w:hAnsi="宋体"/>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536" w:type="dxa"/>
            <w:gridSpan w:val="5"/>
            <w:noWrap w:val="0"/>
            <w:vAlign w:val="center"/>
          </w:tcPr>
          <w:p>
            <w:pPr>
              <w:tabs>
                <w:tab w:val="left" w:pos="3780"/>
              </w:tabs>
              <w:jc w:val="center"/>
              <w:rPr>
                <w:rFonts w:hAnsi="宋体"/>
                <w:color w:val="auto"/>
                <w:sz w:val="24"/>
                <w:highlight w:val="none"/>
              </w:rPr>
            </w:pPr>
            <w:r>
              <w:rPr>
                <w:rFonts w:hint="eastAsia" w:hAnsi="宋体"/>
                <w:color w:val="auto"/>
                <w:sz w:val="24"/>
                <w:highlight w:val="none"/>
              </w:rPr>
              <w:t>施工机械小计</w:t>
            </w:r>
          </w:p>
        </w:tc>
        <w:tc>
          <w:tcPr>
            <w:tcW w:w="1506" w:type="dxa"/>
            <w:noWrap w:val="0"/>
            <w:vAlign w:val="center"/>
          </w:tcPr>
          <w:p>
            <w:pPr>
              <w:tabs>
                <w:tab w:val="left" w:pos="3780"/>
              </w:tabs>
              <w:jc w:val="center"/>
              <w:rPr>
                <w:rFonts w:hAnsi="宋体"/>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536" w:type="dxa"/>
            <w:gridSpan w:val="5"/>
            <w:noWrap w:val="0"/>
            <w:vAlign w:val="center"/>
          </w:tcPr>
          <w:p>
            <w:pPr>
              <w:tabs>
                <w:tab w:val="left" w:pos="3780"/>
              </w:tabs>
              <w:jc w:val="center"/>
              <w:rPr>
                <w:rFonts w:hAnsi="宋体"/>
                <w:color w:val="auto"/>
                <w:sz w:val="24"/>
                <w:highlight w:val="none"/>
              </w:rPr>
            </w:pPr>
            <w:r>
              <w:rPr>
                <w:rFonts w:hint="eastAsia" w:hAnsi="宋体"/>
                <w:color w:val="auto"/>
                <w:sz w:val="24"/>
                <w:highlight w:val="none"/>
              </w:rPr>
              <w:t>合    计</w:t>
            </w:r>
          </w:p>
        </w:tc>
        <w:tc>
          <w:tcPr>
            <w:tcW w:w="1506" w:type="dxa"/>
            <w:noWrap w:val="0"/>
            <w:vAlign w:val="center"/>
          </w:tcPr>
          <w:p>
            <w:pPr>
              <w:tabs>
                <w:tab w:val="left" w:pos="3780"/>
              </w:tabs>
              <w:jc w:val="center"/>
              <w:rPr>
                <w:rFonts w:hAnsi="宋体"/>
                <w:color w:val="auto"/>
                <w:sz w:val="24"/>
                <w:highlight w:val="none"/>
              </w:rPr>
            </w:pPr>
          </w:p>
        </w:tc>
      </w:tr>
    </w:tbl>
    <w:p>
      <w:pPr>
        <w:widowControl/>
        <w:tabs>
          <w:tab w:val="center" w:pos="4755"/>
          <w:tab w:val="right" w:pos="9070"/>
        </w:tabs>
        <w:jc w:val="left"/>
        <w:rPr>
          <w:rFonts w:hAnsi="宋体"/>
          <w:color w:val="auto"/>
          <w:kern w:val="0"/>
          <w:sz w:val="24"/>
          <w:highlight w:val="none"/>
        </w:rPr>
      </w:pPr>
      <w:r>
        <w:rPr>
          <w:rFonts w:hint="eastAsia" w:hAnsi="宋体"/>
          <w:color w:val="auto"/>
          <w:kern w:val="0"/>
          <w:sz w:val="24"/>
          <w:highlight w:val="none"/>
        </w:rPr>
        <w:t>注：表中（1）（2）（3）（4）由招标人按需要提出，其中第（4</w:t>
      </w:r>
      <w:r>
        <w:rPr>
          <w:rFonts w:hAnsi="宋体"/>
          <w:color w:val="auto"/>
          <w:kern w:val="0"/>
          <w:sz w:val="24"/>
          <w:highlight w:val="none"/>
        </w:rPr>
        <w:t>）</w:t>
      </w:r>
      <w:r>
        <w:rPr>
          <w:rFonts w:hint="eastAsia" w:hAnsi="宋体"/>
          <w:color w:val="auto"/>
          <w:kern w:val="0"/>
          <w:sz w:val="24"/>
          <w:highlight w:val="none"/>
        </w:rPr>
        <w:t>栏数量为暂定。</w:t>
      </w:r>
    </w:p>
    <w:p>
      <w:pPr>
        <w:widowControl/>
        <w:tabs>
          <w:tab w:val="center" w:pos="4755"/>
          <w:tab w:val="right" w:pos="9070"/>
        </w:tabs>
        <w:ind w:firstLine="240" w:firstLineChars="100"/>
        <w:jc w:val="left"/>
        <w:rPr>
          <w:rFonts w:hAnsi="宋体"/>
          <w:color w:val="auto"/>
          <w:kern w:val="0"/>
          <w:sz w:val="24"/>
          <w:highlight w:val="none"/>
        </w:rPr>
      </w:pPr>
    </w:p>
    <w:p>
      <w:pPr>
        <w:spacing w:line="500" w:lineRule="exact"/>
        <w:rPr>
          <w:rFonts w:hAnsi="宋体"/>
          <w:color w:val="auto"/>
          <w:sz w:val="24"/>
          <w:highlight w:val="none"/>
        </w:rPr>
      </w:pPr>
      <w:r>
        <w:rPr>
          <w:rFonts w:hint="eastAsia" w:hAnsi="宋体"/>
          <w:color w:val="auto"/>
          <w:kern w:val="0"/>
          <w:sz w:val="24"/>
          <w:highlight w:val="none"/>
          <w:lang w:val="en-US" w:eastAsia="zh-CN"/>
        </w:rPr>
        <w:t>响应</w:t>
      </w:r>
      <w:r>
        <w:rPr>
          <w:rFonts w:hint="eastAsia" w:hAnsi="宋体"/>
          <w:color w:val="auto"/>
          <w:kern w:val="0"/>
          <w:sz w:val="24"/>
          <w:highlight w:val="none"/>
        </w:rPr>
        <w:t>人：（ 盖章）</w:t>
      </w:r>
      <w:r>
        <w:rPr>
          <w:rFonts w:hint="eastAsia" w:hAnsi="宋体"/>
          <w:color w:val="auto"/>
          <w:sz w:val="24"/>
          <w:highlight w:val="none"/>
        </w:rPr>
        <w:t xml:space="preserve">           </w:t>
      </w:r>
    </w:p>
    <w:p>
      <w:pPr>
        <w:widowControl/>
        <w:tabs>
          <w:tab w:val="center" w:pos="4755"/>
          <w:tab w:val="right" w:pos="9070"/>
        </w:tabs>
        <w:ind w:firstLine="240" w:firstLineChars="100"/>
        <w:jc w:val="left"/>
        <w:rPr>
          <w:rFonts w:hAnsi="宋体"/>
          <w:b/>
          <w:color w:val="auto"/>
          <w:kern w:val="0"/>
          <w:sz w:val="32"/>
          <w:highlight w:val="none"/>
        </w:rPr>
      </w:pPr>
      <w:r>
        <w:rPr>
          <w:rFonts w:hAnsi="宋体"/>
          <w:color w:val="auto"/>
          <w:kern w:val="0"/>
          <w:sz w:val="24"/>
          <w:highlight w:val="none"/>
        </w:rPr>
        <w:br w:type="page"/>
      </w:r>
    </w:p>
    <w:p>
      <w:pPr>
        <w:tabs>
          <w:tab w:val="left" w:pos="3780"/>
        </w:tabs>
        <w:jc w:val="center"/>
        <w:rPr>
          <w:rFonts w:hint="eastAsia" w:hAnsi="宋体"/>
          <w:b/>
          <w:color w:val="auto"/>
          <w:sz w:val="28"/>
          <w:szCs w:val="28"/>
          <w:highlight w:val="none"/>
        </w:rPr>
      </w:pPr>
      <w:r>
        <w:rPr>
          <w:rFonts w:hint="eastAsia" w:hAnsi="宋体"/>
          <w:b/>
          <w:color w:val="auto"/>
          <w:kern w:val="0"/>
          <w:sz w:val="28"/>
          <w:szCs w:val="28"/>
          <w:highlight w:val="none"/>
        </w:rPr>
        <w:t>表1-4-2</w:t>
      </w:r>
      <w:r>
        <w:rPr>
          <w:rFonts w:hint="eastAsia" w:hAnsi="宋体"/>
          <w:b/>
          <w:color w:val="auto"/>
          <w:sz w:val="28"/>
          <w:szCs w:val="28"/>
          <w:highlight w:val="none"/>
        </w:rPr>
        <w:t>总承包服务费项目及计价表</w:t>
      </w:r>
    </w:p>
    <w:p>
      <w:pPr>
        <w:pStyle w:val="2"/>
      </w:pPr>
    </w:p>
    <w:p>
      <w:pPr>
        <w:tabs>
          <w:tab w:val="left" w:pos="3780"/>
        </w:tabs>
        <w:spacing w:after="78" w:afterLines="25"/>
        <w:rPr>
          <w:rFonts w:hAnsi="宋体"/>
          <w:color w:val="auto"/>
          <w:sz w:val="24"/>
          <w:highlight w:val="none"/>
        </w:rPr>
      </w:pPr>
      <w:r>
        <w:rPr>
          <w:rFonts w:hint="eastAsia" w:hAnsi="宋体"/>
          <w:color w:val="auto"/>
          <w:sz w:val="24"/>
          <w:highlight w:val="none"/>
        </w:rPr>
        <w:t>工程名称：                                                  第   页 共   页</w:t>
      </w:r>
    </w:p>
    <w:tbl>
      <w:tblPr>
        <w:tblStyle w:val="62"/>
        <w:tblW w:w="0" w:type="auto"/>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19"/>
        <w:gridCol w:w="2709"/>
        <w:gridCol w:w="1620"/>
        <w:gridCol w:w="1440"/>
        <w:gridCol w:w="1440"/>
        <w:gridCol w:w="144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0" w:hRule="atLeast"/>
        </w:trPr>
        <w:tc>
          <w:tcPr>
            <w:tcW w:w="819" w:type="dxa"/>
            <w:tcBorders>
              <w:top w:val="single" w:color="auto" w:sz="8" w:space="0"/>
              <w:bottom w:val="single" w:color="auto" w:sz="6" w:space="0"/>
            </w:tcBorders>
            <w:noWrap w:val="0"/>
            <w:vAlign w:val="center"/>
          </w:tcPr>
          <w:p>
            <w:pPr>
              <w:tabs>
                <w:tab w:val="left" w:pos="3780"/>
              </w:tabs>
              <w:rPr>
                <w:rFonts w:hAnsi="宋体"/>
                <w:color w:val="auto"/>
                <w:sz w:val="24"/>
                <w:highlight w:val="none"/>
              </w:rPr>
            </w:pPr>
            <w:r>
              <w:rPr>
                <w:rFonts w:hint="eastAsia" w:hAnsi="宋体"/>
                <w:color w:val="auto"/>
                <w:sz w:val="24"/>
                <w:highlight w:val="none"/>
              </w:rPr>
              <w:t>序号</w:t>
            </w:r>
          </w:p>
        </w:tc>
        <w:tc>
          <w:tcPr>
            <w:tcW w:w="2709" w:type="dxa"/>
            <w:tcBorders>
              <w:top w:val="single" w:color="auto" w:sz="8" w:space="0"/>
            </w:tcBorders>
            <w:noWrap w:val="0"/>
            <w:vAlign w:val="center"/>
          </w:tcPr>
          <w:p>
            <w:pPr>
              <w:tabs>
                <w:tab w:val="left" w:pos="3780"/>
              </w:tabs>
              <w:ind w:firstLine="420"/>
              <w:rPr>
                <w:rFonts w:hAnsi="宋体"/>
                <w:color w:val="auto"/>
                <w:sz w:val="24"/>
                <w:highlight w:val="none"/>
              </w:rPr>
            </w:pPr>
            <w:r>
              <w:rPr>
                <w:rFonts w:hint="eastAsia" w:hAnsi="宋体"/>
                <w:color w:val="auto"/>
                <w:sz w:val="24"/>
                <w:highlight w:val="none"/>
              </w:rPr>
              <w:t>项 目 名 称</w:t>
            </w:r>
          </w:p>
        </w:tc>
        <w:tc>
          <w:tcPr>
            <w:tcW w:w="1620" w:type="dxa"/>
            <w:tcBorders>
              <w:top w:val="single" w:color="auto" w:sz="8" w:space="0"/>
            </w:tcBorders>
            <w:noWrap w:val="0"/>
            <w:vAlign w:val="center"/>
          </w:tcPr>
          <w:p>
            <w:pPr>
              <w:tabs>
                <w:tab w:val="left" w:pos="3780"/>
              </w:tabs>
              <w:jc w:val="center"/>
              <w:rPr>
                <w:rFonts w:hAnsi="宋体"/>
                <w:color w:val="auto"/>
                <w:sz w:val="24"/>
                <w:highlight w:val="none"/>
              </w:rPr>
            </w:pPr>
            <w:r>
              <w:rPr>
                <w:rFonts w:hint="eastAsia" w:hAnsi="宋体"/>
                <w:color w:val="auto"/>
                <w:sz w:val="24"/>
                <w:highlight w:val="none"/>
              </w:rPr>
              <w:t>项目价值</w:t>
            </w:r>
          </w:p>
          <w:p>
            <w:pPr>
              <w:tabs>
                <w:tab w:val="left" w:pos="3780"/>
              </w:tabs>
              <w:jc w:val="center"/>
              <w:rPr>
                <w:rFonts w:hAnsi="宋体"/>
                <w:color w:val="auto"/>
                <w:sz w:val="24"/>
                <w:highlight w:val="none"/>
              </w:rPr>
            </w:pPr>
            <w:r>
              <w:rPr>
                <w:rFonts w:hint="eastAsia" w:hAnsi="宋体"/>
                <w:color w:val="auto"/>
                <w:sz w:val="24"/>
                <w:highlight w:val="none"/>
              </w:rPr>
              <w:t>（元）</w:t>
            </w:r>
          </w:p>
        </w:tc>
        <w:tc>
          <w:tcPr>
            <w:tcW w:w="1440" w:type="dxa"/>
            <w:tcBorders>
              <w:top w:val="single" w:color="auto" w:sz="8" w:space="0"/>
              <w:bottom w:val="single" w:color="auto" w:sz="6" w:space="0"/>
            </w:tcBorders>
            <w:noWrap w:val="0"/>
            <w:vAlign w:val="center"/>
          </w:tcPr>
          <w:p>
            <w:pPr>
              <w:tabs>
                <w:tab w:val="left" w:pos="3780"/>
              </w:tabs>
              <w:rPr>
                <w:rFonts w:hAnsi="宋体"/>
                <w:color w:val="auto"/>
                <w:sz w:val="24"/>
                <w:highlight w:val="none"/>
              </w:rPr>
            </w:pPr>
            <w:r>
              <w:rPr>
                <w:rFonts w:hint="eastAsia" w:hAnsi="宋体"/>
                <w:color w:val="auto"/>
                <w:sz w:val="24"/>
                <w:highlight w:val="none"/>
              </w:rPr>
              <w:t>服务内容</w:t>
            </w:r>
          </w:p>
        </w:tc>
        <w:tc>
          <w:tcPr>
            <w:tcW w:w="1440" w:type="dxa"/>
            <w:tcBorders>
              <w:top w:val="single" w:color="auto" w:sz="8" w:space="0"/>
              <w:bottom w:val="single" w:color="auto" w:sz="6" w:space="0"/>
            </w:tcBorders>
            <w:noWrap w:val="0"/>
            <w:vAlign w:val="center"/>
          </w:tcPr>
          <w:p>
            <w:pPr>
              <w:tabs>
                <w:tab w:val="left" w:pos="3780"/>
              </w:tabs>
              <w:rPr>
                <w:rFonts w:hAnsi="宋体"/>
                <w:color w:val="auto"/>
                <w:sz w:val="24"/>
                <w:highlight w:val="none"/>
              </w:rPr>
            </w:pPr>
            <w:r>
              <w:rPr>
                <w:rFonts w:hint="eastAsia" w:hAnsi="宋体"/>
                <w:color w:val="auto"/>
                <w:sz w:val="24"/>
                <w:highlight w:val="none"/>
              </w:rPr>
              <w:t>费率（%）</w:t>
            </w:r>
          </w:p>
        </w:tc>
        <w:tc>
          <w:tcPr>
            <w:tcW w:w="1440" w:type="dxa"/>
            <w:tcBorders>
              <w:top w:val="single" w:color="auto" w:sz="8" w:space="0"/>
              <w:bottom w:val="single" w:color="auto" w:sz="6" w:space="0"/>
            </w:tcBorders>
            <w:noWrap w:val="0"/>
            <w:vAlign w:val="center"/>
          </w:tcPr>
          <w:p>
            <w:pPr>
              <w:tabs>
                <w:tab w:val="left" w:pos="3780"/>
              </w:tabs>
              <w:rPr>
                <w:rFonts w:hAnsi="宋体"/>
                <w:color w:val="auto"/>
                <w:sz w:val="24"/>
                <w:highlight w:val="none"/>
              </w:rPr>
            </w:pPr>
            <w:r>
              <w:rPr>
                <w:rFonts w:hint="eastAsia" w:hAnsi="宋体"/>
                <w:color w:val="auto"/>
                <w:sz w:val="24"/>
                <w:highlight w:val="none"/>
              </w:rPr>
              <w:t>金额（元）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0" w:hRule="atLeast"/>
        </w:trPr>
        <w:tc>
          <w:tcPr>
            <w:tcW w:w="819" w:type="dxa"/>
            <w:tcBorders>
              <w:top w:val="single" w:color="auto" w:sz="6" w:space="0"/>
              <w:bottom w:val="single" w:color="auto" w:sz="6" w:space="0"/>
            </w:tcBorders>
            <w:noWrap w:val="0"/>
            <w:vAlign w:val="center"/>
          </w:tcPr>
          <w:p>
            <w:pPr>
              <w:tabs>
                <w:tab w:val="left" w:pos="3780"/>
              </w:tabs>
              <w:rPr>
                <w:rFonts w:hAnsi="宋体"/>
                <w:color w:val="auto"/>
                <w:sz w:val="24"/>
                <w:highlight w:val="none"/>
              </w:rPr>
            </w:pPr>
            <w:r>
              <w:rPr>
                <w:rFonts w:hint="eastAsia" w:hAnsi="宋体"/>
                <w:color w:val="auto"/>
                <w:sz w:val="24"/>
                <w:highlight w:val="none"/>
              </w:rPr>
              <w:t>（1）</w:t>
            </w:r>
          </w:p>
        </w:tc>
        <w:tc>
          <w:tcPr>
            <w:tcW w:w="2709" w:type="dxa"/>
            <w:noWrap w:val="0"/>
            <w:vAlign w:val="center"/>
          </w:tcPr>
          <w:p>
            <w:pPr>
              <w:tabs>
                <w:tab w:val="left" w:pos="3780"/>
              </w:tabs>
              <w:jc w:val="center"/>
              <w:rPr>
                <w:rFonts w:hAnsi="宋体"/>
                <w:color w:val="auto"/>
                <w:sz w:val="24"/>
                <w:highlight w:val="none"/>
              </w:rPr>
            </w:pPr>
            <w:r>
              <w:rPr>
                <w:rFonts w:hint="eastAsia" w:hAnsi="宋体"/>
                <w:color w:val="auto"/>
                <w:sz w:val="24"/>
                <w:highlight w:val="none"/>
              </w:rPr>
              <w:t>（2）</w:t>
            </w:r>
          </w:p>
        </w:tc>
        <w:tc>
          <w:tcPr>
            <w:tcW w:w="1620" w:type="dxa"/>
            <w:noWrap w:val="0"/>
            <w:vAlign w:val="center"/>
          </w:tcPr>
          <w:p>
            <w:pPr>
              <w:tabs>
                <w:tab w:val="left" w:pos="3780"/>
              </w:tabs>
              <w:ind w:firstLine="420"/>
              <w:rPr>
                <w:rFonts w:hAnsi="宋体"/>
                <w:color w:val="auto"/>
                <w:sz w:val="24"/>
                <w:highlight w:val="none"/>
              </w:rPr>
            </w:pPr>
            <w:r>
              <w:rPr>
                <w:rFonts w:hint="eastAsia" w:hAnsi="宋体"/>
                <w:color w:val="auto"/>
                <w:sz w:val="24"/>
                <w:highlight w:val="none"/>
              </w:rPr>
              <w:t>（3）</w:t>
            </w:r>
          </w:p>
        </w:tc>
        <w:tc>
          <w:tcPr>
            <w:tcW w:w="1440" w:type="dxa"/>
            <w:tcBorders>
              <w:top w:val="single" w:color="auto" w:sz="6" w:space="0"/>
              <w:bottom w:val="single" w:color="auto" w:sz="6" w:space="0"/>
            </w:tcBorders>
            <w:noWrap w:val="0"/>
            <w:vAlign w:val="center"/>
          </w:tcPr>
          <w:p>
            <w:pPr>
              <w:tabs>
                <w:tab w:val="left" w:pos="3780"/>
              </w:tabs>
              <w:ind w:firstLine="240" w:firstLineChars="100"/>
              <w:rPr>
                <w:rFonts w:hAnsi="宋体"/>
                <w:color w:val="auto"/>
                <w:sz w:val="24"/>
                <w:highlight w:val="none"/>
              </w:rPr>
            </w:pPr>
            <w:r>
              <w:rPr>
                <w:rFonts w:hint="eastAsia" w:hAnsi="宋体"/>
                <w:color w:val="auto"/>
                <w:sz w:val="24"/>
                <w:highlight w:val="none"/>
              </w:rPr>
              <w:t>（4）</w:t>
            </w:r>
          </w:p>
        </w:tc>
        <w:tc>
          <w:tcPr>
            <w:tcW w:w="1440" w:type="dxa"/>
            <w:tcBorders>
              <w:top w:val="single" w:color="auto" w:sz="6" w:space="0"/>
              <w:bottom w:val="single" w:color="auto" w:sz="6" w:space="0"/>
            </w:tcBorders>
            <w:noWrap w:val="0"/>
            <w:vAlign w:val="center"/>
          </w:tcPr>
          <w:p>
            <w:pPr>
              <w:tabs>
                <w:tab w:val="left" w:pos="3780"/>
              </w:tabs>
              <w:ind w:firstLine="420"/>
              <w:jc w:val="center"/>
              <w:rPr>
                <w:rFonts w:hAnsi="宋体"/>
                <w:color w:val="auto"/>
                <w:sz w:val="24"/>
                <w:highlight w:val="none"/>
              </w:rPr>
            </w:pPr>
          </w:p>
        </w:tc>
        <w:tc>
          <w:tcPr>
            <w:tcW w:w="1440" w:type="dxa"/>
            <w:tcBorders>
              <w:top w:val="single" w:color="auto" w:sz="6" w:space="0"/>
              <w:bottom w:val="single" w:color="auto" w:sz="6" w:space="0"/>
            </w:tcBorders>
            <w:noWrap w:val="0"/>
            <w:vAlign w:val="center"/>
          </w:tcPr>
          <w:p>
            <w:pPr>
              <w:tabs>
                <w:tab w:val="left" w:pos="3780"/>
              </w:tabs>
              <w:ind w:firstLine="420"/>
              <w:jc w:val="center"/>
              <w:rPr>
                <w:rFonts w:hAnsi="宋体"/>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0" w:hRule="atLeast"/>
        </w:trPr>
        <w:tc>
          <w:tcPr>
            <w:tcW w:w="819" w:type="dxa"/>
            <w:tcBorders>
              <w:top w:val="single" w:color="auto" w:sz="6" w:space="0"/>
              <w:bottom w:val="single" w:color="auto" w:sz="6" w:space="0"/>
            </w:tcBorders>
            <w:noWrap w:val="0"/>
            <w:vAlign w:val="center"/>
          </w:tcPr>
          <w:p>
            <w:pPr>
              <w:tabs>
                <w:tab w:val="left" w:pos="3780"/>
              </w:tabs>
              <w:ind w:firstLine="240" w:firstLineChars="100"/>
              <w:rPr>
                <w:rFonts w:hAnsi="宋体"/>
                <w:color w:val="auto"/>
                <w:sz w:val="24"/>
                <w:highlight w:val="none"/>
              </w:rPr>
            </w:pPr>
            <w:r>
              <w:rPr>
                <w:rFonts w:hint="eastAsia" w:hAnsi="宋体"/>
                <w:color w:val="auto"/>
                <w:sz w:val="24"/>
                <w:highlight w:val="none"/>
              </w:rPr>
              <w:t>1</w:t>
            </w:r>
          </w:p>
        </w:tc>
        <w:tc>
          <w:tcPr>
            <w:tcW w:w="2709" w:type="dxa"/>
            <w:noWrap w:val="0"/>
            <w:vAlign w:val="center"/>
          </w:tcPr>
          <w:p>
            <w:pPr>
              <w:tabs>
                <w:tab w:val="left" w:pos="3780"/>
              </w:tabs>
              <w:rPr>
                <w:rFonts w:hAnsi="宋体"/>
                <w:color w:val="auto"/>
                <w:sz w:val="24"/>
                <w:highlight w:val="none"/>
              </w:rPr>
            </w:pPr>
            <w:r>
              <w:rPr>
                <w:rFonts w:hint="eastAsia" w:hAnsi="宋体"/>
                <w:color w:val="auto"/>
                <w:sz w:val="24"/>
                <w:highlight w:val="none"/>
              </w:rPr>
              <w:t>发包人分包专业工程</w:t>
            </w:r>
          </w:p>
        </w:tc>
        <w:tc>
          <w:tcPr>
            <w:tcW w:w="1620" w:type="dxa"/>
            <w:noWrap w:val="0"/>
            <w:vAlign w:val="center"/>
          </w:tcPr>
          <w:p>
            <w:pPr>
              <w:tabs>
                <w:tab w:val="left" w:pos="3780"/>
              </w:tabs>
              <w:ind w:firstLine="420"/>
              <w:rPr>
                <w:rFonts w:hAnsi="宋体"/>
                <w:color w:val="auto"/>
                <w:sz w:val="24"/>
                <w:highlight w:val="none"/>
              </w:rPr>
            </w:pPr>
          </w:p>
        </w:tc>
        <w:tc>
          <w:tcPr>
            <w:tcW w:w="1440" w:type="dxa"/>
            <w:tcBorders>
              <w:top w:val="single" w:color="auto" w:sz="6" w:space="0"/>
              <w:bottom w:val="single" w:color="auto" w:sz="6" w:space="0"/>
            </w:tcBorders>
            <w:noWrap w:val="0"/>
            <w:vAlign w:val="center"/>
          </w:tcPr>
          <w:p>
            <w:pPr>
              <w:tabs>
                <w:tab w:val="left" w:pos="3780"/>
              </w:tabs>
              <w:ind w:firstLine="420"/>
              <w:jc w:val="center"/>
              <w:rPr>
                <w:rFonts w:hAnsi="宋体"/>
                <w:color w:val="auto"/>
                <w:sz w:val="24"/>
                <w:highlight w:val="none"/>
              </w:rPr>
            </w:pPr>
          </w:p>
        </w:tc>
        <w:tc>
          <w:tcPr>
            <w:tcW w:w="1440" w:type="dxa"/>
            <w:tcBorders>
              <w:top w:val="single" w:color="auto" w:sz="6" w:space="0"/>
              <w:bottom w:val="single" w:color="auto" w:sz="6" w:space="0"/>
            </w:tcBorders>
            <w:noWrap w:val="0"/>
            <w:vAlign w:val="center"/>
          </w:tcPr>
          <w:p>
            <w:pPr>
              <w:tabs>
                <w:tab w:val="left" w:pos="3780"/>
              </w:tabs>
              <w:ind w:firstLine="420"/>
              <w:jc w:val="center"/>
              <w:rPr>
                <w:rFonts w:hAnsi="宋体"/>
                <w:color w:val="auto"/>
                <w:sz w:val="24"/>
                <w:highlight w:val="none"/>
              </w:rPr>
            </w:pPr>
          </w:p>
        </w:tc>
        <w:tc>
          <w:tcPr>
            <w:tcW w:w="1440" w:type="dxa"/>
            <w:tcBorders>
              <w:top w:val="single" w:color="auto" w:sz="6" w:space="0"/>
              <w:bottom w:val="single" w:color="auto" w:sz="6" w:space="0"/>
            </w:tcBorders>
            <w:noWrap w:val="0"/>
            <w:vAlign w:val="center"/>
          </w:tcPr>
          <w:p>
            <w:pPr>
              <w:tabs>
                <w:tab w:val="left" w:pos="3780"/>
              </w:tabs>
              <w:ind w:firstLine="420"/>
              <w:jc w:val="center"/>
              <w:rPr>
                <w:rFonts w:hAnsi="宋体"/>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0" w:hRule="atLeast"/>
        </w:trPr>
        <w:tc>
          <w:tcPr>
            <w:tcW w:w="819" w:type="dxa"/>
            <w:tcBorders>
              <w:top w:val="single" w:color="auto" w:sz="6" w:space="0"/>
              <w:bottom w:val="single" w:color="auto" w:sz="6" w:space="0"/>
            </w:tcBorders>
            <w:noWrap w:val="0"/>
            <w:vAlign w:val="center"/>
          </w:tcPr>
          <w:p>
            <w:pPr>
              <w:tabs>
                <w:tab w:val="left" w:pos="3780"/>
              </w:tabs>
              <w:ind w:firstLine="240" w:firstLineChars="100"/>
              <w:rPr>
                <w:rFonts w:hAnsi="宋体"/>
                <w:color w:val="auto"/>
                <w:sz w:val="24"/>
                <w:highlight w:val="none"/>
              </w:rPr>
            </w:pPr>
            <w:r>
              <w:rPr>
                <w:rFonts w:hint="eastAsia" w:hAnsi="宋体"/>
                <w:color w:val="auto"/>
                <w:sz w:val="24"/>
                <w:highlight w:val="none"/>
              </w:rPr>
              <w:t>2</w:t>
            </w:r>
          </w:p>
        </w:tc>
        <w:tc>
          <w:tcPr>
            <w:tcW w:w="2709" w:type="dxa"/>
            <w:noWrap w:val="0"/>
            <w:vAlign w:val="center"/>
          </w:tcPr>
          <w:p>
            <w:pPr>
              <w:tabs>
                <w:tab w:val="left" w:pos="3780"/>
              </w:tabs>
              <w:rPr>
                <w:rFonts w:hAnsi="宋体"/>
                <w:color w:val="auto"/>
                <w:sz w:val="24"/>
                <w:highlight w:val="none"/>
              </w:rPr>
            </w:pPr>
            <w:r>
              <w:rPr>
                <w:rFonts w:hint="eastAsia" w:hAnsi="宋体"/>
                <w:color w:val="auto"/>
                <w:sz w:val="24"/>
                <w:highlight w:val="none"/>
              </w:rPr>
              <w:t>发包人供应材料</w:t>
            </w:r>
          </w:p>
        </w:tc>
        <w:tc>
          <w:tcPr>
            <w:tcW w:w="1620" w:type="dxa"/>
            <w:noWrap w:val="0"/>
            <w:vAlign w:val="center"/>
          </w:tcPr>
          <w:p>
            <w:pPr>
              <w:tabs>
                <w:tab w:val="left" w:pos="3780"/>
              </w:tabs>
              <w:ind w:left="210" w:leftChars="100" w:firstLine="420"/>
              <w:rPr>
                <w:rFonts w:hAnsi="宋体"/>
                <w:color w:val="auto"/>
                <w:sz w:val="24"/>
                <w:highlight w:val="none"/>
              </w:rPr>
            </w:pPr>
          </w:p>
        </w:tc>
        <w:tc>
          <w:tcPr>
            <w:tcW w:w="1440" w:type="dxa"/>
            <w:tcBorders>
              <w:top w:val="single" w:color="auto" w:sz="6" w:space="0"/>
              <w:bottom w:val="single" w:color="auto" w:sz="6" w:space="0"/>
            </w:tcBorders>
            <w:noWrap w:val="0"/>
            <w:vAlign w:val="center"/>
          </w:tcPr>
          <w:p>
            <w:pPr>
              <w:tabs>
                <w:tab w:val="left" w:pos="3780"/>
              </w:tabs>
              <w:ind w:firstLine="420"/>
              <w:jc w:val="center"/>
              <w:rPr>
                <w:rFonts w:hAnsi="宋体"/>
                <w:color w:val="auto"/>
                <w:sz w:val="24"/>
                <w:highlight w:val="none"/>
              </w:rPr>
            </w:pPr>
          </w:p>
        </w:tc>
        <w:tc>
          <w:tcPr>
            <w:tcW w:w="1440" w:type="dxa"/>
            <w:tcBorders>
              <w:top w:val="single" w:color="auto" w:sz="6" w:space="0"/>
              <w:bottom w:val="single" w:color="auto" w:sz="6" w:space="0"/>
            </w:tcBorders>
            <w:noWrap w:val="0"/>
            <w:vAlign w:val="center"/>
          </w:tcPr>
          <w:p>
            <w:pPr>
              <w:tabs>
                <w:tab w:val="left" w:pos="3780"/>
              </w:tabs>
              <w:ind w:firstLine="420"/>
              <w:jc w:val="center"/>
              <w:rPr>
                <w:rFonts w:hAnsi="宋体"/>
                <w:color w:val="auto"/>
                <w:sz w:val="24"/>
                <w:highlight w:val="none"/>
              </w:rPr>
            </w:pPr>
          </w:p>
        </w:tc>
        <w:tc>
          <w:tcPr>
            <w:tcW w:w="1440" w:type="dxa"/>
            <w:tcBorders>
              <w:top w:val="single" w:color="auto" w:sz="6" w:space="0"/>
              <w:bottom w:val="single" w:color="auto" w:sz="6" w:space="0"/>
            </w:tcBorders>
            <w:noWrap w:val="0"/>
            <w:vAlign w:val="center"/>
          </w:tcPr>
          <w:p>
            <w:pPr>
              <w:tabs>
                <w:tab w:val="left" w:pos="3780"/>
              </w:tabs>
              <w:ind w:firstLine="420"/>
              <w:jc w:val="center"/>
              <w:rPr>
                <w:rFonts w:hAnsi="宋体"/>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0" w:hRule="atLeast"/>
        </w:trPr>
        <w:tc>
          <w:tcPr>
            <w:tcW w:w="819" w:type="dxa"/>
            <w:tcBorders>
              <w:top w:val="single" w:color="auto" w:sz="6" w:space="0"/>
              <w:bottom w:val="single" w:color="auto" w:sz="6" w:space="0"/>
            </w:tcBorders>
            <w:noWrap w:val="0"/>
            <w:vAlign w:val="center"/>
          </w:tcPr>
          <w:p>
            <w:pPr>
              <w:tabs>
                <w:tab w:val="left" w:pos="3780"/>
              </w:tabs>
              <w:ind w:firstLine="560"/>
              <w:jc w:val="center"/>
              <w:rPr>
                <w:rFonts w:hAnsi="宋体"/>
                <w:color w:val="auto"/>
                <w:sz w:val="24"/>
                <w:highlight w:val="none"/>
              </w:rPr>
            </w:pPr>
          </w:p>
        </w:tc>
        <w:tc>
          <w:tcPr>
            <w:tcW w:w="2709" w:type="dxa"/>
            <w:noWrap w:val="0"/>
            <w:vAlign w:val="center"/>
          </w:tcPr>
          <w:p>
            <w:pPr>
              <w:tabs>
                <w:tab w:val="left" w:pos="3780"/>
              </w:tabs>
              <w:ind w:left="210" w:leftChars="100" w:firstLine="420"/>
              <w:rPr>
                <w:rFonts w:hAnsi="宋体"/>
                <w:color w:val="auto"/>
                <w:sz w:val="24"/>
                <w:highlight w:val="none"/>
              </w:rPr>
            </w:pPr>
          </w:p>
        </w:tc>
        <w:tc>
          <w:tcPr>
            <w:tcW w:w="1620" w:type="dxa"/>
            <w:noWrap w:val="0"/>
            <w:vAlign w:val="center"/>
          </w:tcPr>
          <w:p>
            <w:pPr>
              <w:tabs>
                <w:tab w:val="left" w:pos="3780"/>
              </w:tabs>
              <w:ind w:left="210" w:leftChars="100" w:firstLine="420"/>
              <w:rPr>
                <w:rFonts w:hAnsi="宋体"/>
                <w:color w:val="auto"/>
                <w:sz w:val="24"/>
                <w:highlight w:val="none"/>
              </w:rPr>
            </w:pPr>
          </w:p>
        </w:tc>
        <w:tc>
          <w:tcPr>
            <w:tcW w:w="1440" w:type="dxa"/>
            <w:tcBorders>
              <w:top w:val="single" w:color="auto" w:sz="6" w:space="0"/>
              <w:bottom w:val="single" w:color="auto" w:sz="6" w:space="0"/>
            </w:tcBorders>
            <w:noWrap w:val="0"/>
            <w:vAlign w:val="center"/>
          </w:tcPr>
          <w:p>
            <w:pPr>
              <w:tabs>
                <w:tab w:val="left" w:pos="3780"/>
              </w:tabs>
              <w:ind w:firstLine="420"/>
              <w:jc w:val="center"/>
              <w:rPr>
                <w:rFonts w:hAnsi="宋体"/>
                <w:color w:val="auto"/>
                <w:sz w:val="24"/>
                <w:highlight w:val="none"/>
              </w:rPr>
            </w:pPr>
          </w:p>
        </w:tc>
        <w:tc>
          <w:tcPr>
            <w:tcW w:w="1440" w:type="dxa"/>
            <w:tcBorders>
              <w:top w:val="single" w:color="auto" w:sz="6" w:space="0"/>
              <w:bottom w:val="single" w:color="auto" w:sz="6" w:space="0"/>
            </w:tcBorders>
            <w:noWrap w:val="0"/>
            <w:vAlign w:val="center"/>
          </w:tcPr>
          <w:p>
            <w:pPr>
              <w:tabs>
                <w:tab w:val="left" w:pos="3780"/>
              </w:tabs>
              <w:ind w:firstLine="420"/>
              <w:jc w:val="center"/>
              <w:rPr>
                <w:rFonts w:hAnsi="宋体"/>
                <w:color w:val="auto"/>
                <w:sz w:val="24"/>
                <w:highlight w:val="none"/>
              </w:rPr>
            </w:pPr>
          </w:p>
        </w:tc>
        <w:tc>
          <w:tcPr>
            <w:tcW w:w="1440" w:type="dxa"/>
            <w:tcBorders>
              <w:top w:val="single" w:color="auto" w:sz="6" w:space="0"/>
              <w:bottom w:val="single" w:color="auto" w:sz="6" w:space="0"/>
            </w:tcBorders>
            <w:noWrap w:val="0"/>
            <w:vAlign w:val="center"/>
          </w:tcPr>
          <w:p>
            <w:pPr>
              <w:tabs>
                <w:tab w:val="left" w:pos="3780"/>
              </w:tabs>
              <w:ind w:firstLine="420"/>
              <w:jc w:val="center"/>
              <w:rPr>
                <w:rFonts w:hAnsi="宋体"/>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0" w:hRule="atLeast"/>
        </w:trPr>
        <w:tc>
          <w:tcPr>
            <w:tcW w:w="819" w:type="dxa"/>
            <w:tcBorders>
              <w:top w:val="single" w:color="auto" w:sz="6" w:space="0"/>
              <w:bottom w:val="single" w:color="auto" w:sz="6" w:space="0"/>
            </w:tcBorders>
            <w:noWrap w:val="0"/>
            <w:vAlign w:val="center"/>
          </w:tcPr>
          <w:p>
            <w:pPr>
              <w:tabs>
                <w:tab w:val="left" w:pos="3780"/>
              </w:tabs>
              <w:ind w:firstLine="560"/>
              <w:jc w:val="center"/>
              <w:rPr>
                <w:rFonts w:hAnsi="宋体"/>
                <w:color w:val="auto"/>
                <w:sz w:val="24"/>
                <w:highlight w:val="none"/>
              </w:rPr>
            </w:pPr>
          </w:p>
        </w:tc>
        <w:tc>
          <w:tcPr>
            <w:tcW w:w="2709" w:type="dxa"/>
            <w:noWrap w:val="0"/>
            <w:vAlign w:val="center"/>
          </w:tcPr>
          <w:p>
            <w:pPr>
              <w:tabs>
                <w:tab w:val="left" w:pos="3780"/>
              </w:tabs>
              <w:ind w:firstLine="420"/>
              <w:rPr>
                <w:rFonts w:hAnsi="宋体"/>
                <w:color w:val="auto"/>
                <w:sz w:val="24"/>
                <w:highlight w:val="none"/>
              </w:rPr>
            </w:pPr>
          </w:p>
        </w:tc>
        <w:tc>
          <w:tcPr>
            <w:tcW w:w="1620" w:type="dxa"/>
            <w:noWrap w:val="0"/>
            <w:vAlign w:val="center"/>
          </w:tcPr>
          <w:p>
            <w:pPr>
              <w:tabs>
                <w:tab w:val="left" w:pos="3780"/>
              </w:tabs>
              <w:ind w:firstLine="420"/>
              <w:rPr>
                <w:rFonts w:hAnsi="宋体"/>
                <w:color w:val="auto"/>
                <w:sz w:val="24"/>
                <w:highlight w:val="none"/>
              </w:rPr>
            </w:pPr>
          </w:p>
        </w:tc>
        <w:tc>
          <w:tcPr>
            <w:tcW w:w="1440" w:type="dxa"/>
            <w:tcBorders>
              <w:top w:val="single" w:color="auto" w:sz="6" w:space="0"/>
              <w:bottom w:val="single" w:color="auto" w:sz="6" w:space="0"/>
            </w:tcBorders>
            <w:noWrap w:val="0"/>
            <w:vAlign w:val="center"/>
          </w:tcPr>
          <w:p>
            <w:pPr>
              <w:tabs>
                <w:tab w:val="left" w:pos="3780"/>
              </w:tabs>
              <w:ind w:firstLine="420"/>
              <w:jc w:val="center"/>
              <w:rPr>
                <w:rFonts w:hAnsi="宋体"/>
                <w:color w:val="auto"/>
                <w:sz w:val="24"/>
                <w:highlight w:val="none"/>
              </w:rPr>
            </w:pPr>
          </w:p>
        </w:tc>
        <w:tc>
          <w:tcPr>
            <w:tcW w:w="1440" w:type="dxa"/>
            <w:tcBorders>
              <w:top w:val="single" w:color="auto" w:sz="6" w:space="0"/>
              <w:bottom w:val="single" w:color="auto" w:sz="6" w:space="0"/>
            </w:tcBorders>
            <w:noWrap w:val="0"/>
            <w:vAlign w:val="center"/>
          </w:tcPr>
          <w:p>
            <w:pPr>
              <w:tabs>
                <w:tab w:val="left" w:pos="3780"/>
              </w:tabs>
              <w:ind w:firstLine="420"/>
              <w:jc w:val="center"/>
              <w:rPr>
                <w:rFonts w:hAnsi="宋体"/>
                <w:color w:val="auto"/>
                <w:sz w:val="24"/>
                <w:highlight w:val="none"/>
              </w:rPr>
            </w:pPr>
          </w:p>
        </w:tc>
        <w:tc>
          <w:tcPr>
            <w:tcW w:w="1440" w:type="dxa"/>
            <w:tcBorders>
              <w:top w:val="single" w:color="auto" w:sz="6" w:space="0"/>
              <w:bottom w:val="single" w:color="auto" w:sz="6" w:space="0"/>
            </w:tcBorders>
            <w:noWrap w:val="0"/>
            <w:vAlign w:val="center"/>
          </w:tcPr>
          <w:p>
            <w:pPr>
              <w:tabs>
                <w:tab w:val="left" w:pos="3780"/>
              </w:tabs>
              <w:ind w:firstLine="420"/>
              <w:jc w:val="center"/>
              <w:rPr>
                <w:rFonts w:hAnsi="宋体"/>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0" w:hRule="atLeast"/>
        </w:trPr>
        <w:tc>
          <w:tcPr>
            <w:tcW w:w="819" w:type="dxa"/>
            <w:tcBorders>
              <w:top w:val="single" w:color="auto" w:sz="6" w:space="0"/>
              <w:bottom w:val="single" w:color="auto" w:sz="6" w:space="0"/>
            </w:tcBorders>
            <w:noWrap w:val="0"/>
            <w:vAlign w:val="center"/>
          </w:tcPr>
          <w:p>
            <w:pPr>
              <w:tabs>
                <w:tab w:val="left" w:pos="3780"/>
              </w:tabs>
              <w:ind w:firstLine="560"/>
              <w:jc w:val="center"/>
              <w:rPr>
                <w:rFonts w:hAnsi="宋体"/>
                <w:color w:val="auto"/>
                <w:sz w:val="24"/>
                <w:highlight w:val="none"/>
              </w:rPr>
            </w:pPr>
          </w:p>
        </w:tc>
        <w:tc>
          <w:tcPr>
            <w:tcW w:w="2709" w:type="dxa"/>
            <w:noWrap w:val="0"/>
            <w:vAlign w:val="center"/>
          </w:tcPr>
          <w:p>
            <w:pPr>
              <w:tabs>
                <w:tab w:val="left" w:pos="3780"/>
              </w:tabs>
              <w:ind w:firstLine="420"/>
              <w:rPr>
                <w:rFonts w:hAnsi="宋体"/>
                <w:color w:val="auto"/>
                <w:sz w:val="24"/>
                <w:highlight w:val="none"/>
              </w:rPr>
            </w:pPr>
          </w:p>
        </w:tc>
        <w:tc>
          <w:tcPr>
            <w:tcW w:w="1620" w:type="dxa"/>
            <w:noWrap w:val="0"/>
            <w:vAlign w:val="center"/>
          </w:tcPr>
          <w:p>
            <w:pPr>
              <w:tabs>
                <w:tab w:val="left" w:pos="3780"/>
              </w:tabs>
              <w:ind w:firstLine="420"/>
              <w:rPr>
                <w:rFonts w:hAnsi="宋体"/>
                <w:color w:val="auto"/>
                <w:sz w:val="24"/>
                <w:highlight w:val="none"/>
              </w:rPr>
            </w:pPr>
          </w:p>
        </w:tc>
        <w:tc>
          <w:tcPr>
            <w:tcW w:w="1440" w:type="dxa"/>
            <w:tcBorders>
              <w:top w:val="single" w:color="auto" w:sz="6" w:space="0"/>
              <w:bottom w:val="single" w:color="auto" w:sz="6" w:space="0"/>
            </w:tcBorders>
            <w:noWrap w:val="0"/>
            <w:vAlign w:val="center"/>
          </w:tcPr>
          <w:p>
            <w:pPr>
              <w:tabs>
                <w:tab w:val="left" w:pos="3780"/>
              </w:tabs>
              <w:ind w:firstLine="420"/>
              <w:jc w:val="center"/>
              <w:rPr>
                <w:rFonts w:hAnsi="宋体"/>
                <w:color w:val="auto"/>
                <w:sz w:val="24"/>
                <w:highlight w:val="none"/>
              </w:rPr>
            </w:pPr>
          </w:p>
        </w:tc>
        <w:tc>
          <w:tcPr>
            <w:tcW w:w="1440" w:type="dxa"/>
            <w:tcBorders>
              <w:top w:val="single" w:color="auto" w:sz="6" w:space="0"/>
              <w:bottom w:val="single" w:color="auto" w:sz="6" w:space="0"/>
            </w:tcBorders>
            <w:noWrap w:val="0"/>
            <w:vAlign w:val="center"/>
          </w:tcPr>
          <w:p>
            <w:pPr>
              <w:tabs>
                <w:tab w:val="left" w:pos="3780"/>
              </w:tabs>
              <w:ind w:firstLine="420"/>
              <w:jc w:val="center"/>
              <w:rPr>
                <w:rFonts w:hAnsi="宋体"/>
                <w:color w:val="auto"/>
                <w:sz w:val="24"/>
                <w:highlight w:val="none"/>
              </w:rPr>
            </w:pPr>
          </w:p>
        </w:tc>
        <w:tc>
          <w:tcPr>
            <w:tcW w:w="1440" w:type="dxa"/>
            <w:tcBorders>
              <w:top w:val="single" w:color="auto" w:sz="6" w:space="0"/>
              <w:bottom w:val="single" w:color="auto" w:sz="6" w:space="0"/>
            </w:tcBorders>
            <w:noWrap w:val="0"/>
            <w:vAlign w:val="center"/>
          </w:tcPr>
          <w:p>
            <w:pPr>
              <w:tabs>
                <w:tab w:val="left" w:pos="3780"/>
              </w:tabs>
              <w:ind w:firstLine="420"/>
              <w:jc w:val="center"/>
              <w:rPr>
                <w:rFonts w:hAnsi="宋体"/>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0" w:hRule="atLeast"/>
        </w:trPr>
        <w:tc>
          <w:tcPr>
            <w:tcW w:w="819" w:type="dxa"/>
            <w:tcBorders>
              <w:top w:val="single" w:color="auto" w:sz="6" w:space="0"/>
              <w:bottom w:val="single" w:color="auto" w:sz="6" w:space="0"/>
            </w:tcBorders>
            <w:noWrap w:val="0"/>
            <w:vAlign w:val="center"/>
          </w:tcPr>
          <w:p>
            <w:pPr>
              <w:tabs>
                <w:tab w:val="left" w:pos="3780"/>
              </w:tabs>
              <w:ind w:firstLine="560"/>
              <w:jc w:val="center"/>
              <w:rPr>
                <w:rFonts w:hAnsi="宋体"/>
                <w:color w:val="auto"/>
                <w:sz w:val="24"/>
                <w:highlight w:val="none"/>
              </w:rPr>
            </w:pPr>
          </w:p>
        </w:tc>
        <w:tc>
          <w:tcPr>
            <w:tcW w:w="2709" w:type="dxa"/>
            <w:noWrap w:val="0"/>
            <w:vAlign w:val="center"/>
          </w:tcPr>
          <w:p>
            <w:pPr>
              <w:tabs>
                <w:tab w:val="left" w:pos="3780"/>
              </w:tabs>
              <w:ind w:firstLine="420"/>
              <w:rPr>
                <w:rFonts w:hAnsi="宋体"/>
                <w:color w:val="auto"/>
                <w:sz w:val="24"/>
                <w:highlight w:val="none"/>
              </w:rPr>
            </w:pPr>
          </w:p>
        </w:tc>
        <w:tc>
          <w:tcPr>
            <w:tcW w:w="1620" w:type="dxa"/>
            <w:noWrap w:val="0"/>
            <w:vAlign w:val="center"/>
          </w:tcPr>
          <w:p>
            <w:pPr>
              <w:tabs>
                <w:tab w:val="left" w:pos="3780"/>
              </w:tabs>
              <w:ind w:firstLine="420"/>
              <w:rPr>
                <w:rFonts w:hAnsi="宋体"/>
                <w:color w:val="auto"/>
                <w:sz w:val="24"/>
                <w:highlight w:val="none"/>
              </w:rPr>
            </w:pPr>
          </w:p>
        </w:tc>
        <w:tc>
          <w:tcPr>
            <w:tcW w:w="1440" w:type="dxa"/>
            <w:tcBorders>
              <w:top w:val="single" w:color="auto" w:sz="6" w:space="0"/>
              <w:bottom w:val="single" w:color="auto" w:sz="6" w:space="0"/>
            </w:tcBorders>
            <w:noWrap w:val="0"/>
            <w:vAlign w:val="center"/>
          </w:tcPr>
          <w:p>
            <w:pPr>
              <w:tabs>
                <w:tab w:val="left" w:pos="3780"/>
              </w:tabs>
              <w:ind w:firstLine="420"/>
              <w:jc w:val="center"/>
              <w:rPr>
                <w:rFonts w:hAnsi="宋体"/>
                <w:color w:val="auto"/>
                <w:sz w:val="24"/>
                <w:highlight w:val="none"/>
              </w:rPr>
            </w:pPr>
          </w:p>
        </w:tc>
        <w:tc>
          <w:tcPr>
            <w:tcW w:w="1440" w:type="dxa"/>
            <w:tcBorders>
              <w:top w:val="single" w:color="auto" w:sz="6" w:space="0"/>
              <w:bottom w:val="single" w:color="auto" w:sz="6" w:space="0"/>
            </w:tcBorders>
            <w:noWrap w:val="0"/>
            <w:vAlign w:val="center"/>
          </w:tcPr>
          <w:p>
            <w:pPr>
              <w:tabs>
                <w:tab w:val="left" w:pos="3780"/>
              </w:tabs>
              <w:ind w:firstLine="420"/>
              <w:jc w:val="center"/>
              <w:rPr>
                <w:rFonts w:hAnsi="宋体"/>
                <w:color w:val="auto"/>
                <w:sz w:val="24"/>
                <w:highlight w:val="none"/>
              </w:rPr>
            </w:pPr>
          </w:p>
        </w:tc>
        <w:tc>
          <w:tcPr>
            <w:tcW w:w="1440" w:type="dxa"/>
            <w:tcBorders>
              <w:top w:val="single" w:color="auto" w:sz="6" w:space="0"/>
              <w:bottom w:val="single" w:color="auto" w:sz="6" w:space="0"/>
            </w:tcBorders>
            <w:noWrap w:val="0"/>
            <w:vAlign w:val="center"/>
          </w:tcPr>
          <w:p>
            <w:pPr>
              <w:tabs>
                <w:tab w:val="left" w:pos="3780"/>
              </w:tabs>
              <w:ind w:firstLine="420"/>
              <w:jc w:val="center"/>
              <w:rPr>
                <w:rFonts w:hAnsi="宋体"/>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0" w:hRule="atLeast"/>
        </w:trPr>
        <w:tc>
          <w:tcPr>
            <w:tcW w:w="819" w:type="dxa"/>
            <w:tcBorders>
              <w:top w:val="single" w:color="auto" w:sz="6" w:space="0"/>
              <w:bottom w:val="single" w:color="auto" w:sz="6" w:space="0"/>
            </w:tcBorders>
            <w:noWrap w:val="0"/>
            <w:vAlign w:val="center"/>
          </w:tcPr>
          <w:p>
            <w:pPr>
              <w:tabs>
                <w:tab w:val="left" w:pos="3780"/>
              </w:tabs>
              <w:ind w:firstLine="560"/>
              <w:jc w:val="center"/>
              <w:rPr>
                <w:rFonts w:hAnsi="宋体"/>
                <w:color w:val="auto"/>
                <w:sz w:val="24"/>
                <w:highlight w:val="none"/>
              </w:rPr>
            </w:pPr>
          </w:p>
        </w:tc>
        <w:tc>
          <w:tcPr>
            <w:tcW w:w="2709" w:type="dxa"/>
            <w:noWrap w:val="0"/>
            <w:vAlign w:val="center"/>
          </w:tcPr>
          <w:p>
            <w:pPr>
              <w:tabs>
                <w:tab w:val="left" w:pos="3780"/>
              </w:tabs>
              <w:ind w:firstLine="420"/>
              <w:rPr>
                <w:rFonts w:hAnsi="宋体"/>
                <w:color w:val="auto"/>
                <w:sz w:val="24"/>
                <w:highlight w:val="none"/>
              </w:rPr>
            </w:pPr>
          </w:p>
        </w:tc>
        <w:tc>
          <w:tcPr>
            <w:tcW w:w="1620" w:type="dxa"/>
            <w:noWrap w:val="0"/>
            <w:vAlign w:val="center"/>
          </w:tcPr>
          <w:p>
            <w:pPr>
              <w:tabs>
                <w:tab w:val="left" w:pos="3780"/>
              </w:tabs>
              <w:ind w:firstLine="420"/>
              <w:rPr>
                <w:rFonts w:hAnsi="宋体"/>
                <w:color w:val="auto"/>
                <w:sz w:val="24"/>
                <w:highlight w:val="none"/>
              </w:rPr>
            </w:pPr>
          </w:p>
        </w:tc>
        <w:tc>
          <w:tcPr>
            <w:tcW w:w="1440" w:type="dxa"/>
            <w:tcBorders>
              <w:top w:val="single" w:color="auto" w:sz="6" w:space="0"/>
              <w:bottom w:val="single" w:color="auto" w:sz="6" w:space="0"/>
            </w:tcBorders>
            <w:noWrap w:val="0"/>
            <w:vAlign w:val="center"/>
          </w:tcPr>
          <w:p>
            <w:pPr>
              <w:tabs>
                <w:tab w:val="left" w:pos="3780"/>
              </w:tabs>
              <w:ind w:firstLine="420"/>
              <w:jc w:val="center"/>
              <w:rPr>
                <w:rFonts w:hAnsi="宋体"/>
                <w:color w:val="auto"/>
                <w:sz w:val="24"/>
                <w:highlight w:val="none"/>
              </w:rPr>
            </w:pPr>
          </w:p>
        </w:tc>
        <w:tc>
          <w:tcPr>
            <w:tcW w:w="1440" w:type="dxa"/>
            <w:tcBorders>
              <w:top w:val="single" w:color="auto" w:sz="6" w:space="0"/>
              <w:bottom w:val="single" w:color="auto" w:sz="6" w:space="0"/>
            </w:tcBorders>
            <w:noWrap w:val="0"/>
            <w:vAlign w:val="center"/>
          </w:tcPr>
          <w:p>
            <w:pPr>
              <w:tabs>
                <w:tab w:val="left" w:pos="3780"/>
              </w:tabs>
              <w:ind w:firstLine="420"/>
              <w:jc w:val="center"/>
              <w:rPr>
                <w:rFonts w:hAnsi="宋体"/>
                <w:color w:val="auto"/>
                <w:sz w:val="24"/>
                <w:highlight w:val="none"/>
              </w:rPr>
            </w:pPr>
          </w:p>
        </w:tc>
        <w:tc>
          <w:tcPr>
            <w:tcW w:w="1440" w:type="dxa"/>
            <w:tcBorders>
              <w:top w:val="single" w:color="auto" w:sz="6" w:space="0"/>
              <w:bottom w:val="single" w:color="auto" w:sz="6" w:space="0"/>
            </w:tcBorders>
            <w:noWrap w:val="0"/>
            <w:vAlign w:val="center"/>
          </w:tcPr>
          <w:p>
            <w:pPr>
              <w:tabs>
                <w:tab w:val="left" w:pos="3780"/>
              </w:tabs>
              <w:ind w:firstLine="420"/>
              <w:jc w:val="center"/>
              <w:rPr>
                <w:rFonts w:hAnsi="宋体"/>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0" w:hRule="atLeast"/>
        </w:trPr>
        <w:tc>
          <w:tcPr>
            <w:tcW w:w="819" w:type="dxa"/>
            <w:tcBorders>
              <w:top w:val="single" w:color="auto" w:sz="6" w:space="0"/>
              <w:bottom w:val="single" w:color="auto" w:sz="6" w:space="0"/>
            </w:tcBorders>
            <w:noWrap w:val="0"/>
            <w:vAlign w:val="center"/>
          </w:tcPr>
          <w:p>
            <w:pPr>
              <w:tabs>
                <w:tab w:val="left" w:pos="3780"/>
              </w:tabs>
              <w:ind w:firstLine="560"/>
              <w:jc w:val="center"/>
              <w:rPr>
                <w:rFonts w:hAnsi="宋体"/>
                <w:color w:val="auto"/>
                <w:sz w:val="24"/>
                <w:highlight w:val="none"/>
              </w:rPr>
            </w:pPr>
          </w:p>
        </w:tc>
        <w:tc>
          <w:tcPr>
            <w:tcW w:w="2709" w:type="dxa"/>
            <w:noWrap w:val="0"/>
            <w:vAlign w:val="center"/>
          </w:tcPr>
          <w:p>
            <w:pPr>
              <w:tabs>
                <w:tab w:val="left" w:pos="3780"/>
              </w:tabs>
              <w:ind w:firstLine="420"/>
              <w:rPr>
                <w:rFonts w:hAnsi="宋体"/>
                <w:color w:val="auto"/>
                <w:sz w:val="24"/>
                <w:highlight w:val="none"/>
              </w:rPr>
            </w:pPr>
          </w:p>
        </w:tc>
        <w:tc>
          <w:tcPr>
            <w:tcW w:w="1620" w:type="dxa"/>
            <w:noWrap w:val="0"/>
            <w:vAlign w:val="center"/>
          </w:tcPr>
          <w:p>
            <w:pPr>
              <w:tabs>
                <w:tab w:val="left" w:pos="3780"/>
              </w:tabs>
              <w:ind w:firstLine="420"/>
              <w:rPr>
                <w:rFonts w:hAnsi="宋体"/>
                <w:color w:val="auto"/>
                <w:sz w:val="24"/>
                <w:highlight w:val="none"/>
              </w:rPr>
            </w:pPr>
          </w:p>
        </w:tc>
        <w:tc>
          <w:tcPr>
            <w:tcW w:w="1440" w:type="dxa"/>
            <w:tcBorders>
              <w:top w:val="single" w:color="auto" w:sz="6" w:space="0"/>
              <w:bottom w:val="single" w:color="auto" w:sz="6" w:space="0"/>
            </w:tcBorders>
            <w:noWrap w:val="0"/>
            <w:vAlign w:val="center"/>
          </w:tcPr>
          <w:p>
            <w:pPr>
              <w:tabs>
                <w:tab w:val="left" w:pos="3780"/>
              </w:tabs>
              <w:ind w:firstLine="420"/>
              <w:jc w:val="center"/>
              <w:rPr>
                <w:rFonts w:hAnsi="宋体"/>
                <w:color w:val="auto"/>
                <w:sz w:val="24"/>
                <w:highlight w:val="none"/>
              </w:rPr>
            </w:pPr>
          </w:p>
        </w:tc>
        <w:tc>
          <w:tcPr>
            <w:tcW w:w="1440" w:type="dxa"/>
            <w:tcBorders>
              <w:top w:val="single" w:color="auto" w:sz="6" w:space="0"/>
              <w:bottom w:val="single" w:color="auto" w:sz="6" w:space="0"/>
            </w:tcBorders>
            <w:noWrap w:val="0"/>
            <w:vAlign w:val="center"/>
          </w:tcPr>
          <w:p>
            <w:pPr>
              <w:tabs>
                <w:tab w:val="left" w:pos="3780"/>
              </w:tabs>
              <w:ind w:firstLine="420"/>
              <w:jc w:val="center"/>
              <w:rPr>
                <w:rFonts w:hAnsi="宋体"/>
                <w:color w:val="auto"/>
                <w:sz w:val="24"/>
                <w:highlight w:val="none"/>
              </w:rPr>
            </w:pPr>
          </w:p>
        </w:tc>
        <w:tc>
          <w:tcPr>
            <w:tcW w:w="1440" w:type="dxa"/>
            <w:tcBorders>
              <w:top w:val="single" w:color="auto" w:sz="6" w:space="0"/>
              <w:bottom w:val="single" w:color="auto" w:sz="6" w:space="0"/>
            </w:tcBorders>
            <w:noWrap w:val="0"/>
            <w:vAlign w:val="center"/>
          </w:tcPr>
          <w:p>
            <w:pPr>
              <w:tabs>
                <w:tab w:val="left" w:pos="3780"/>
              </w:tabs>
              <w:ind w:firstLine="420"/>
              <w:jc w:val="center"/>
              <w:rPr>
                <w:rFonts w:hAnsi="宋体"/>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0" w:hRule="atLeast"/>
        </w:trPr>
        <w:tc>
          <w:tcPr>
            <w:tcW w:w="819" w:type="dxa"/>
            <w:tcBorders>
              <w:top w:val="single" w:color="auto" w:sz="6" w:space="0"/>
              <w:bottom w:val="single" w:color="auto" w:sz="6" w:space="0"/>
            </w:tcBorders>
            <w:noWrap w:val="0"/>
            <w:vAlign w:val="center"/>
          </w:tcPr>
          <w:p>
            <w:pPr>
              <w:tabs>
                <w:tab w:val="left" w:pos="3780"/>
              </w:tabs>
              <w:ind w:firstLine="560"/>
              <w:jc w:val="center"/>
              <w:rPr>
                <w:rFonts w:hAnsi="宋体"/>
                <w:color w:val="auto"/>
                <w:sz w:val="24"/>
                <w:highlight w:val="none"/>
              </w:rPr>
            </w:pPr>
          </w:p>
        </w:tc>
        <w:tc>
          <w:tcPr>
            <w:tcW w:w="2709" w:type="dxa"/>
            <w:noWrap w:val="0"/>
            <w:vAlign w:val="center"/>
          </w:tcPr>
          <w:p>
            <w:pPr>
              <w:tabs>
                <w:tab w:val="left" w:pos="3780"/>
              </w:tabs>
              <w:ind w:firstLine="420"/>
              <w:rPr>
                <w:rFonts w:hAnsi="宋体"/>
                <w:color w:val="auto"/>
                <w:sz w:val="24"/>
                <w:highlight w:val="none"/>
              </w:rPr>
            </w:pPr>
          </w:p>
        </w:tc>
        <w:tc>
          <w:tcPr>
            <w:tcW w:w="1620" w:type="dxa"/>
            <w:noWrap w:val="0"/>
            <w:vAlign w:val="center"/>
          </w:tcPr>
          <w:p>
            <w:pPr>
              <w:tabs>
                <w:tab w:val="left" w:pos="3780"/>
              </w:tabs>
              <w:ind w:firstLine="420"/>
              <w:rPr>
                <w:rFonts w:hAnsi="宋体"/>
                <w:color w:val="auto"/>
                <w:sz w:val="24"/>
                <w:highlight w:val="none"/>
              </w:rPr>
            </w:pPr>
          </w:p>
        </w:tc>
        <w:tc>
          <w:tcPr>
            <w:tcW w:w="1440" w:type="dxa"/>
            <w:tcBorders>
              <w:top w:val="single" w:color="auto" w:sz="6" w:space="0"/>
              <w:bottom w:val="single" w:color="auto" w:sz="6" w:space="0"/>
            </w:tcBorders>
            <w:noWrap w:val="0"/>
            <w:vAlign w:val="center"/>
          </w:tcPr>
          <w:p>
            <w:pPr>
              <w:tabs>
                <w:tab w:val="left" w:pos="3780"/>
              </w:tabs>
              <w:ind w:firstLine="420"/>
              <w:jc w:val="center"/>
              <w:rPr>
                <w:rFonts w:hAnsi="宋体"/>
                <w:color w:val="auto"/>
                <w:sz w:val="24"/>
                <w:highlight w:val="none"/>
              </w:rPr>
            </w:pPr>
          </w:p>
        </w:tc>
        <w:tc>
          <w:tcPr>
            <w:tcW w:w="1440" w:type="dxa"/>
            <w:tcBorders>
              <w:top w:val="single" w:color="auto" w:sz="6" w:space="0"/>
              <w:bottom w:val="single" w:color="auto" w:sz="6" w:space="0"/>
            </w:tcBorders>
            <w:noWrap w:val="0"/>
            <w:vAlign w:val="center"/>
          </w:tcPr>
          <w:p>
            <w:pPr>
              <w:tabs>
                <w:tab w:val="left" w:pos="3780"/>
              </w:tabs>
              <w:ind w:firstLine="420"/>
              <w:jc w:val="center"/>
              <w:rPr>
                <w:rFonts w:hAnsi="宋体"/>
                <w:color w:val="auto"/>
                <w:sz w:val="24"/>
                <w:highlight w:val="none"/>
              </w:rPr>
            </w:pPr>
          </w:p>
        </w:tc>
        <w:tc>
          <w:tcPr>
            <w:tcW w:w="1440" w:type="dxa"/>
            <w:tcBorders>
              <w:top w:val="single" w:color="auto" w:sz="6" w:space="0"/>
              <w:bottom w:val="single" w:color="auto" w:sz="6" w:space="0"/>
            </w:tcBorders>
            <w:noWrap w:val="0"/>
            <w:vAlign w:val="center"/>
          </w:tcPr>
          <w:p>
            <w:pPr>
              <w:tabs>
                <w:tab w:val="left" w:pos="3780"/>
              </w:tabs>
              <w:ind w:firstLine="420"/>
              <w:jc w:val="center"/>
              <w:rPr>
                <w:rFonts w:hAnsi="宋体"/>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0" w:hRule="atLeast"/>
        </w:trPr>
        <w:tc>
          <w:tcPr>
            <w:tcW w:w="819" w:type="dxa"/>
            <w:tcBorders>
              <w:top w:val="single" w:color="auto" w:sz="6" w:space="0"/>
              <w:bottom w:val="single" w:color="auto" w:sz="6" w:space="0"/>
            </w:tcBorders>
            <w:noWrap w:val="0"/>
            <w:vAlign w:val="center"/>
          </w:tcPr>
          <w:p>
            <w:pPr>
              <w:tabs>
                <w:tab w:val="left" w:pos="3780"/>
              </w:tabs>
              <w:ind w:firstLine="560"/>
              <w:jc w:val="center"/>
              <w:rPr>
                <w:rFonts w:hAnsi="宋体"/>
                <w:color w:val="auto"/>
                <w:sz w:val="24"/>
                <w:highlight w:val="none"/>
              </w:rPr>
            </w:pPr>
          </w:p>
        </w:tc>
        <w:tc>
          <w:tcPr>
            <w:tcW w:w="2709" w:type="dxa"/>
            <w:noWrap w:val="0"/>
            <w:vAlign w:val="center"/>
          </w:tcPr>
          <w:p>
            <w:pPr>
              <w:tabs>
                <w:tab w:val="left" w:pos="3780"/>
              </w:tabs>
              <w:ind w:firstLine="420"/>
              <w:rPr>
                <w:rFonts w:hAnsi="宋体"/>
                <w:color w:val="auto"/>
                <w:sz w:val="24"/>
                <w:highlight w:val="none"/>
              </w:rPr>
            </w:pPr>
          </w:p>
        </w:tc>
        <w:tc>
          <w:tcPr>
            <w:tcW w:w="1620" w:type="dxa"/>
            <w:noWrap w:val="0"/>
            <w:vAlign w:val="center"/>
          </w:tcPr>
          <w:p>
            <w:pPr>
              <w:tabs>
                <w:tab w:val="left" w:pos="3780"/>
              </w:tabs>
              <w:ind w:firstLine="420"/>
              <w:rPr>
                <w:rFonts w:hAnsi="宋体"/>
                <w:color w:val="auto"/>
                <w:sz w:val="24"/>
                <w:highlight w:val="none"/>
              </w:rPr>
            </w:pPr>
          </w:p>
        </w:tc>
        <w:tc>
          <w:tcPr>
            <w:tcW w:w="1440" w:type="dxa"/>
            <w:tcBorders>
              <w:top w:val="single" w:color="auto" w:sz="6" w:space="0"/>
              <w:bottom w:val="single" w:color="auto" w:sz="6" w:space="0"/>
            </w:tcBorders>
            <w:noWrap w:val="0"/>
            <w:vAlign w:val="center"/>
          </w:tcPr>
          <w:p>
            <w:pPr>
              <w:tabs>
                <w:tab w:val="left" w:pos="3780"/>
              </w:tabs>
              <w:ind w:firstLine="420"/>
              <w:jc w:val="center"/>
              <w:rPr>
                <w:rFonts w:hAnsi="宋体"/>
                <w:color w:val="auto"/>
                <w:sz w:val="24"/>
                <w:highlight w:val="none"/>
              </w:rPr>
            </w:pPr>
          </w:p>
        </w:tc>
        <w:tc>
          <w:tcPr>
            <w:tcW w:w="1440" w:type="dxa"/>
            <w:tcBorders>
              <w:top w:val="single" w:color="auto" w:sz="6" w:space="0"/>
              <w:bottom w:val="single" w:color="auto" w:sz="6" w:space="0"/>
            </w:tcBorders>
            <w:noWrap w:val="0"/>
            <w:vAlign w:val="center"/>
          </w:tcPr>
          <w:p>
            <w:pPr>
              <w:tabs>
                <w:tab w:val="left" w:pos="3780"/>
              </w:tabs>
              <w:ind w:firstLine="420"/>
              <w:jc w:val="center"/>
              <w:rPr>
                <w:rFonts w:hAnsi="宋体"/>
                <w:color w:val="auto"/>
                <w:sz w:val="24"/>
                <w:highlight w:val="none"/>
              </w:rPr>
            </w:pPr>
          </w:p>
        </w:tc>
        <w:tc>
          <w:tcPr>
            <w:tcW w:w="1440" w:type="dxa"/>
            <w:tcBorders>
              <w:top w:val="single" w:color="auto" w:sz="6" w:space="0"/>
              <w:bottom w:val="single" w:color="auto" w:sz="6" w:space="0"/>
            </w:tcBorders>
            <w:noWrap w:val="0"/>
            <w:vAlign w:val="center"/>
          </w:tcPr>
          <w:p>
            <w:pPr>
              <w:tabs>
                <w:tab w:val="left" w:pos="3780"/>
              </w:tabs>
              <w:ind w:firstLine="420"/>
              <w:jc w:val="center"/>
              <w:rPr>
                <w:rFonts w:hAnsi="宋体"/>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0" w:hRule="atLeast"/>
        </w:trPr>
        <w:tc>
          <w:tcPr>
            <w:tcW w:w="8028" w:type="dxa"/>
            <w:gridSpan w:val="5"/>
            <w:tcBorders>
              <w:top w:val="single" w:color="auto" w:sz="6" w:space="0"/>
              <w:bottom w:val="single" w:color="auto" w:sz="8" w:space="0"/>
              <w:right w:val="single" w:color="auto" w:sz="6" w:space="0"/>
            </w:tcBorders>
            <w:noWrap w:val="0"/>
            <w:vAlign w:val="center"/>
          </w:tcPr>
          <w:p>
            <w:pPr>
              <w:tabs>
                <w:tab w:val="left" w:pos="3780"/>
              </w:tabs>
              <w:ind w:firstLine="560"/>
              <w:jc w:val="center"/>
              <w:rPr>
                <w:rFonts w:hAnsi="宋体"/>
                <w:color w:val="auto"/>
                <w:sz w:val="24"/>
                <w:highlight w:val="none"/>
              </w:rPr>
            </w:pPr>
            <w:r>
              <w:rPr>
                <w:rFonts w:hint="eastAsia" w:hAnsi="宋体"/>
                <w:color w:val="auto"/>
                <w:sz w:val="24"/>
                <w:highlight w:val="none"/>
              </w:rPr>
              <w:t>合    计</w:t>
            </w:r>
          </w:p>
        </w:tc>
        <w:tc>
          <w:tcPr>
            <w:tcW w:w="1440" w:type="dxa"/>
            <w:tcBorders>
              <w:top w:val="single" w:color="auto" w:sz="6" w:space="0"/>
              <w:left w:val="single" w:color="auto" w:sz="6" w:space="0"/>
              <w:bottom w:val="single" w:color="auto" w:sz="8" w:space="0"/>
            </w:tcBorders>
            <w:noWrap w:val="0"/>
            <w:vAlign w:val="center"/>
          </w:tcPr>
          <w:p>
            <w:pPr>
              <w:tabs>
                <w:tab w:val="left" w:pos="3780"/>
              </w:tabs>
              <w:ind w:firstLine="420"/>
              <w:jc w:val="center"/>
              <w:rPr>
                <w:rFonts w:hAnsi="宋体"/>
                <w:color w:val="auto"/>
                <w:sz w:val="24"/>
                <w:highlight w:val="none"/>
              </w:rPr>
            </w:pPr>
          </w:p>
        </w:tc>
      </w:tr>
    </w:tbl>
    <w:p>
      <w:pPr>
        <w:widowControl/>
        <w:tabs>
          <w:tab w:val="center" w:pos="4755"/>
          <w:tab w:val="right" w:pos="9070"/>
        </w:tabs>
        <w:jc w:val="left"/>
        <w:rPr>
          <w:rFonts w:hAnsi="宋体"/>
          <w:color w:val="auto"/>
          <w:kern w:val="0"/>
          <w:sz w:val="24"/>
          <w:highlight w:val="none"/>
        </w:rPr>
      </w:pPr>
      <w:r>
        <w:rPr>
          <w:rFonts w:hint="eastAsia" w:hAnsi="宋体"/>
          <w:color w:val="auto"/>
          <w:kern w:val="0"/>
          <w:sz w:val="24"/>
          <w:highlight w:val="none"/>
        </w:rPr>
        <w:t>注：表中（1）（2）（3）（4）由招标人按需要提出。</w:t>
      </w:r>
    </w:p>
    <w:p>
      <w:pPr>
        <w:widowControl/>
        <w:tabs>
          <w:tab w:val="center" w:pos="4755"/>
          <w:tab w:val="right" w:pos="9070"/>
        </w:tabs>
        <w:jc w:val="left"/>
        <w:rPr>
          <w:rFonts w:hAnsi="宋体"/>
          <w:color w:val="auto"/>
          <w:kern w:val="0"/>
          <w:sz w:val="24"/>
          <w:highlight w:val="none"/>
        </w:rPr>
      </w:pPr>
    </w:p>
    <w:p>
      <w:pPr>
        <w:spacing w:line="500" w:lineRule="exact"/>
        <w:rPr>
          <w:rFonts w:hint="eastAsia" w:hAnsi="宋体"/>
          <w:color w:val="auto"/>
          <w:sz w:val="24"/>
          <w:highlight w:val="none"/>
        </w:rPr>
      </w:pPr>
      <w:r>
        <w:rPr>
          <w:rFonts w:hint="eastAsia" w:hAnsi="宋体"/>
          <w:color w:val="auto"/>
          <w:kern w:val="0"/>
          <w:sz w:val="24"/>
          <w:highlight w:val="none"/>
          <w:lang w:val="en-US" w:eastAsia="zh-CN"/>
        </w:rPr>
        <w:t>响应</w:t>
      </w:r>
      <w:r>
        <w:rPr>
          <w:rFonts w:hint="eastAsia" w:hAnsi="宋体"/>
          <w:color w:val="auto"/>
          <w:kern w:val="0"/>
          <w:sz w:val="24"/>
          <w:highlight w:val="none"/>
        </w:rPr>
        <w:t>人：（ 盖章）</w:t>
      </w:r>
      <w:r>
        <w:rPr>
          <w:rFonts w:hint="eastAsia" w:hAnsi="宋体"/>
          <w:color w:val="auto"/>
          <w:sz w:val="24"/>
          <w:highlight w:val="none"/>
        </w:rPr>
        <w:t xml:space="preserve">          </w:t>
      </w:r>
    </w:p>
    <w:p>
      <w:pPr>
        <w:pStyle w:val="797"/>
        <w:rPr>
          <w:rFonts w:hint="eastAsia" w:hAnsi="宋体"/>
          <w:color w:val="auto"/>
          <w:sz w:val="24"/>
          <w:highlight w:val="none"/>
        </w:rPr>
      </w:pPr>
    </w:p>
    <w:p>
      <w:pPr>
        <w:pStyle w:val="797"/>
        <w:jc w:val="center"/>
        <w:rPr>
          <w:rFonts w:hAnsi="宋体"/>
          <w:b/>
          <w:color w:val="auto"/>
          <w:kern w:val="0"/>
          <w:sz w:val="32"/>
          <w:highlight w:val="none"/>
        </w:rPr>
      </w:pPr>
      <w:r>
        <w:rPr>
          <w:rFonts w:hint="eastAsia" w:hAnsi="宋体"/>
          <w:color w:val="auto"/>
          <w:sz w:val="24"/>
          <w:highlight w:val="none"/>
        </w:rPr>
        <w:br w:type="page"/>
      </w:r>
      <w:r>
        <w:rPr>
          <w:rFonts w:hint="eastAsia" w:hAnsi="宋体"/>
          <w:b/>
          <w:color w:val="auto"/>
          <w:kern w:val="0"/>
          <w:sz w:val="28"/>
          <w:szCs w:val="28"/>
          <w:highlight w:val="none"/>
        </w:rPr>
        <w:t>表1-5  主要工日价格表</w:t>
      </w:r>
    </w:p>
    <w:p>
      <w:pPr>
        <w:widowControl/>
        <w:tabs>
          <w:tab w:val="center" w:pos="4755"/>
          <w:tab w:val="right" w:pos="9070"/>
        </w:tabs>
        <w:ind w:firstLine="480" w:firstLineChars="200"/>
        <w:rPr>
          <w:rFonts w:hAnsi="宋体"/>
          <w:color w:val="auto"/>
          <w:kern w:val="0"/>
          <w:sz w:val="24"/>
          <w:highlight w:val="none"/>
        </w:rPr>
      </w:pPr>
      <w:r>
        <w:rPr>
          <w:rFonts w:hint="eastAsia" w:hAnsi="宋体"/>
          <w:color w:val="auto"/>
          <w:kern w:val="0"/>
          <w:sz w:val="24"/>
          <w:highlight w:val="none"/>
        </w:rPr>
        <w:t xml:space="preserve">工程名称：                       </w:t>
      </w:r>
      <w:r>
        <w:rPr>
          <w:rFonts w:hint="eastAsia" w:hAnsi="宋体"/>
          <w:color w:val="auto"/>
          <w:kern w:val="0"/>
          <w:sz w:val="24"/>
          <w:highlight w:val="none"/>
          <w:lang w:val="en-US" w:eastAsia="zh-CN"/>
        </w:rPr>
        <w:t xml:space="preserve">          </w:t>
      </w:r>
      <w:r>
        <w:rPr>
          <w:rFonts w:hint="eastAsia" w:hAnsi="宋体"/>
          <w:color w:val="auto"/>
          <w:kern w:val="0"/>
          <w:sz w:val="24"/>
          <w:highlight w:val="none"/>
        </w:rPr>
        <w:t xml:space="preserve">           第  页 共  页</w:t>
      </w:r>
    </w:p>
    <w:tbl>
      <w:tblPr>
        <w:tblStyle w:val="6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2138"/>
        <w:gridCol w:w="1723"/>
        <w:gridCol w:w="1550"/>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8" w:hRule="atLeast"/>
        </w:trPr>
        <w:tc>
          <w:tcPr>
            <w:tcW w:w="1436" w:type="dxa"/>
            <w:tcBorders>
              <w:bottom w:val="single" w:color="auto" w:sz="4" w:space="0"/>
            </w:tcBorders>
            <w:noWrap w:val="0"/>
            <w:vAlign w:val="center"/>
          </w:tcPr>
          <w:p>
            <w:pPr>
              <w:widowControl/>
              <w:tabs>
                <w:tab w:val="center" w:pos="4755"/>
                <w:tab w:val="right" w:pos="9070"/>
              </w:tabs>
              <w:spacing w:before="100" w:beforeAutospacing="1" w:after="100" w:afterAutospacing="1"/>
              <w:jc w:val="center"/>
              <w:rPr>
                <w:rFonts w:hAnsi="宋体"/>
                <w:color w:val="auto"/>
                <w:kern w:val="0"/>
                <w:sz w:val="24"/>
                <w:highlight w:val="none"/>
              </w:rPr>
            </w:pPr>
            <w:r>
              <w:rPr>
                <w:rFonts w:hint="eastAsia" w:hAnsi="宋体"/>
                <w:color w:val="auto"/>
                <w:kern w:val="0"/>
                <w:sz w:val="24"/>
                <w:highlight w:val="none"/>
              </w:rPr>
              <w:t>序号</w:t>
            </w:r>
          </w:p>
        </w:tc>
        <w:tc>
          <w:tcPr>
            <w:tcW w:w="2138" w:type="dxa"/>
            <w:tcBorders>
              <w:bottom w:val="single" w:color="auto" w:sz="4" w:space="0"/>
            </w:tcBorders>
            <w:noWrap w:val="0"/>
            <w:vAlign w:val="center"/>
          </w:tcPr>
          <w:p>
            <w:pPr>
              <w:widowControl/>
              <w:tabs>
                <w:tab w:val="center" w:pos="4755"/>
                <w:tab w:val="right" w:pos="9070"/>
              </w:tabs>
              <w:spacing w:before="100" w:beforeAutospacing="1" w:after="100" w:afterAutospacing="1"/>
              <w:jc w:val="center"/>
              <w:rPr>
                <w:rFonts w:hAnsi="宋体"/>
                <w:color w:val="auto"/>
                <w:kern w:val="0"/>
                <w:sz w:val="24"/>
                <w:highlight w:val="none"/>
              </w:rPr>
            </w:pPr>
            <w:r>
              <w:rPr>
                <w:rFonts w:hint="eastAsia" w:hAnsi="宋体"/>
                <w:color w:val="auto"/>
                <w:kern w:val="0"/>
                <w:sz w:val="24"/>
                <w:highlight w:val="none"/>
              </w:rPr>
              <w:t>工  种</w:t>
            </w:r>
          </w:p>
        </w:tc>
        <w:tc>
          <w:tcPr>
            <w:tcW w:w="1723" w:type="dxa"/>
            <w:tcBorders>
              <w:bottom w:val="single" w:color="auto" w:sz="4" w:space="0"/>
            </w:tcBorders>
            <w:noWrap w:val="0"/>
            <w:vAlign w:val="center"/>
          </w:tcPr>
          <w:p>
            <w:pPr>
              <w:widowControl/>
              <w:tabs>
                <w:tab w:val="center" w:pos="4755"/>
                <w:tab w:val="right" w:pos="9070"/>
              </w:tabs>
              <w:spacing w:before="100" w:beforeAutospacing="1" w:after="100" w:afterAutospacing="1"/>
              <w:jc w:val="center"/>
              <w:rPr>
                <w:rFonts w:hAnsi="宋体"/>
                <w:color w:val="auto"/>
                <w:kern w:val="0"/>
                <w:sz w:val="24"/>
                <w:highlight w:val="none"/>
              </w:rPr>
            </w:pPr>
            <w:r>
              <w:rPr>
                <w:rFonts w:hint="eastAsia" w:hAnsi="宋体"/>
                <w:color w:val="auto"/>
                <w:kern w:val="0"/>
                <w:sz w:val="24"/>
                <w:highlight w:val="none"/>
              </w:rPr>
              <w:t>单位</w:t>
            </w:r>
          </w:p>
        </w:tc>
        <w:tc>
          <w:tcPr>
            <w:tcW w:w="1550" w:type="dxa"/>
            <w:tcBorders>
              <w:bottom w:val="single" w:color="auto" w:sz="4" w:space="0"/>
            </w:tcBorders>
            <w:noWrap w:val="0"/>
            <w:vAlign w:val="center"/>
          </w:tcPr>
          <w:p>
            <w:pPr>
              <w:widowControl/>
              <w:tabs>
                <w:tab w:val="center" w:pos="4755"/>
                <w:tab w:val="right" w:pos="9070"/>
              </w:tabs>
              <w:spacing w:before="100" w:beforeAutospacing="1" w:after="100" w:afterAutospacing="1"/>
              <w:jc w:val="center"/>
              <w:rPr>
                <w:rFonts w:hAnsi="宋体"/>
                <w:color w:val="auto"/>
                <w:kern w:val="0"/>
                <w:sz w:val="24"/>
                <w:highlight w:val="none"/>
              </w:rPr>
            </w:pPr>
            <w:r>
              <w:rPr>
                <w:rFonts w:hint="eastAsia" w:hAnsi="宋体"/>
                <w:color w:val="auto"/>
                <w:kern w:val="0"/>
                <w:sz w:val="24"/>
                <w:highlight w:val="none"/>
              </w:rPr>
              <w:t>数 量</w:t>
            </w:r>
          </w:p>
        </w:tc>
        <w:tc>
          <w:tcPr>
            <w:tcW w:w="2333" w:type="dxa"/>
            <w:tcBorders>
              <w:bottom w:val="single" w:color="auto" w:sz="4" w:space="0"/>
            </w:tcBorders>
            <w:noWrap w:val="0"/>
            <w:vAlign w:val="center"/>
          </w:tcPr>
          <w:p>
            <w:pPr>
              <w:tabs>
                <w:tab w:val="center" w:pos="4755"/>
                <w:tab w:val="right" w:pos="9070"/>
              </w:tabs>
              <w:spacing w:before="100" w:beforeAutospacing="1" w:after="100" w:afterAutospacing="1"/>
              <w:jc w:val="center"/>
              <w:rPr>
                <w:rFonts w:hAnsi="宋体"/>
                <w:color w:val="auto"/>
                <w:kern w:val="0"/>
                <w:sz w:val="24"/>
                <w:highlight w:val="none"/>
              </w:rPr>
            </w:pPr>
            <w:r>
              <w:rPr>
                <w:rFonts w:hint="eastAsia" w:hAnsi="宋体"/>
                <w:color w:val="auto"/>
                <w:kern w:val="0"/>
                <w:sz w:val="24"/>
                <w:highlight w:val="none"/>
              </w:rPr>
              <w:t>单 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436"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r>
              <w:rPr>
                <w:rFonts w:hint="eastAsia" w:hAnsi="宋体"/>
                <w:color w:val="auto"/>
                <w:kern w:val="0"/>
                <w:sz w:val="24"/>
                <w:highlight w:val="none"/>
              </w:rPr>
              <w:t>（1）</w:t>
            </w:r>
          </w:p>
        </w:tc>
        <w:tc>
          <w:tcPr>
            <w:tcW w:w="2138" w:type="dxa"/>
            <w:noWrap w:val="0"/>
            <w:vAlign w:val="top"/>
          </w:tcPr>
          <w:p>
            <w:pPr>
              <w:widowControl/>
              <w:tabs>
                <w:tab w:val="center" w:pos="4755"/>
                <w:tab w:val="right" w:pos="9070"/>
              </w:tabs>
              <w:spacing w:before="100" w:beforeAutospacing="1" w:after="100" w:afterAutospacing="1"/>
              <w:ind w:firstLine="360" w:firstLineChars="150"/>
              <w:rPr>
                <w:rFonts w:hAnsi="宋体"/>
                <w:color w:val="auto"/>
                <w:kern w:val="0"/>
                <w:sz w:val="24"/>
                <w:highlight w:val="none"/>
              </w:rPr>
            </w:pPr>
            <w:r>
              <w:rPr>
                <w:rFonts w:hint="eastAsia" w:hAnsi="宋体"/>
                <w:color w:val="auto"/>
                <w:kern w:val="0"/>
                <w:sz w:val="24"/>
                <w:highlight w:val="none"/>
              </w:rPr>
              <w:t>（2）</w:t>
            </w:r>
          </w:p>
        </w:tc>
        <w:tc>
          <w:tcPr>
            <w:tcW w:w="1723" w:type="dxa"/>
            <w:noWrap w:val="0"/>
            <w:vAlign w:val="top"/>
          </w:tcPr>
          <w:p>
            <w:pPr>
              <w:widowControl/>
              <w:tabs>
                <w:tab w:val="center" w:pos="4755"/>
                <w:tab w:val="right" w:pos="9070"/>
              </w:tabs>
              <w:spacing w:before="100" w:beforeAutospacing="1" w:after="100" w:afterAutospacing="1"/>
              <w:jc w:val="center"/>
              <w:rPr>
                <w:rFonts w:hAnsi="宋体"/>
                <w:color w:val="auto"/>
                <w:kern w:val="0"/>
                <w:sz w:val="24"/>
                <w:highlight w:val="none"/>
              </w:rPr>
            </w:pPr>
            <w:r>
              <w:rPr>
                <w:rFonts w:hint="eastAsia" w:hAnsi="宋体"/>
                <w:color w:val="auto"/>
                <w:kern w:val="0"/>
                <w:sz w:val="24"/>
                <w:highlight w:val="none"/>
              </w:rPr>
              <w:t>工日</w:t>
            </w:r>
          </w:p>
        </w:tc>
        <w:tc>
          <w:tcPr>
            <w:tcW w:w="1550"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2333"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436"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2138"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1723"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1550"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2333"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436"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2138"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1723"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1550"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2333"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436"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2138"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1723"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1550"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2333"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436"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2138"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1723"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1550"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2333"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436"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2138"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1723"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1550"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2333"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436"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2138"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1723"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1550"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2333"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436"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2138"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1723"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1550"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2333"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436"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2138"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1723"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1550"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2333"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436"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2138"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1723"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1550"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2333"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436"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2138"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1723"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1550"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2333"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436"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2138"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1723"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1550"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2333"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436"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2138"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1723"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1550"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2333"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436"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2138"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1723"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1550"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2333"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436"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2138"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1723"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1550"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2333"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436"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2138"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1723"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1550"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2333"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436"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2138"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1723"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1550"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2333"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436"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2138"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1723"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1550"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2333"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r>
    </w:tbl>
    <w:p>
      <w:pPr>
        <w:widowControl/>
        <w:tabs>
          <w:tab w:val="center" w:pos="4755"/>
          <w:tab w:val="right" w:pos="9070"/>
        </w:tabs>
        <w:ind w:firstLine="600" w:firstLineChars="250"/>
        <w:jc w:val="left"/>
        <w:rPr>
          <w:rFonts w:hAnsi="宋体"/>
          <w:color w:val="auto"/>
          <w:kern w:val="0"/>
          <w:sz w:val="24"/>
          <w:highlight w:val="none"/>
        </w:rPr>
      </w:pPr>
      <w:r>
        <w:rPr>
          <w:rFonts w:hint="eastAsia" w:hAnsi="宋体"/>
          <w:color w:val="auto"/>
          <w:kern w:val="0"/>
          <w:sz w:val="24"/>
          <w:highlight w:val="none"/>
        </w:rPr>
        <w:t>注：本表（1）（2）栏由招标人按需要提出。</w:t>
      </w:r>
    </w:p>
    <w:p>
      <w:pPr>
        <w:widowControl/>
        <w:tabs>
          <w:tab w:val="center" w:pos="4755"/>
          <w:tab w:val="right" w:pos="9070"/>
        </w:tabs>
        <w:ind w:firstLine="600" w:firstLineChars="250"/>
        <w:jc w:val="left"/>
        <w:rPr>
          <w:rFonts w:hAnsi="宋体"/>
          <w:color w:val="auto"/>
          <w:kern w:val="0"/>
          <w:sz w:val="24"/>
          <w:highlight w:val="none"/>
        </w:rPr>
      </w:pPr>
    </w:p>
    <w:p>
      <w:pPr>
        <w:spacing w:line="500" w:lineRule="exact"/>
        <w:ind w:firstLine="600" w:firstLineChars="250"/>
        <w:rPr>
          <w:rFonts w:hint="eastAsia" w:hAnsi="宋体"/>
          <w:color w:val="auto"/>
          <w:sz w:val="24"/>
          <w:highlight w:val="none"/>
        </w:rPr>
      </w:pPr>
      <w:r>
        <w:rPr>
          <w:rFonts w:hint="eastAsia" w:hAnsi="宋体"/>
          <w:color w:val="auto"/>
          <w:kern w:val="0"/>
          <w:sz w:val="24"/>
          <w:highlight w:val="none"/>
          <w:lang w:val="en-US" w:eastAsia="zh-CN"/>
        </w:rPr>
        <w:t>响应</w:t>
      </w:r>
      <w:r>
        <w:rPr>
          <w:rFonts w:hint="eastAsia" w:hAnsi="宋体"/>
          <w:color w:val="auto"/>
          <w:kern w:val="0"/>
          <w:sz w:val="24"/>
          <w:highlight w:val="none"/>
        </w:rPr>
        <w:t>人：（ 盖章）</w:t>
      </w:r>
      <w:r>
        <w:rPr>
          <w:rFonts w:hint="eastAsia" w:hAnsi="宋体"/>
          <w:color w:val="auto"/>
          <w:sz w:val="24"/>
          <w:highlight w:val="none"/>
        </w:rPr>
        <w:t xml:space="preserve">         </w:t>
      </w:r>
    </w:p>
    <w:p>
      <w:pPr>
        <w:pStyle w:val="797"/>
        <w:rPr>
          <w:rFonts w:hint="eastAsia" w:hAnsi="宋体"/>
          <w:color w:val="auto"/>
          <w:sz w:val="24"/>
          <w:highlight w:val="none"/>
        </w:rPr>
      </w:pPr>
    </w:p>
    <w:p>
      <w:pPr>
        <w:pStyle w:val="797"/>
        <w:rPr>
          <w:rFonts w:hAnsi="宋体"/>
          <w:b/>
          <w:color w:val="auto"/>
          <w:kern w:val="0"/>
          <w:sz w:val="32"/>
          <w:highlight w:val="none"/>
        </w:rPr>
      </w:pPr>
      <w:r>
        <w:rPr>
          <w:rFonts w:hint="eastAsia" w:hAnsi="宋体"/>
          <w:color w:val="auto"/>
          <w:sz w:val="24"/>
          <w:highlight w:val="none"/>
        </w:rPr>
        <w:br w:type="page"/>
      </w:r>
    </w:p>
    <w:p>
      <w:pPr>
        <w:spacing w:line="500" w:lineRule="exact"/>
        <w:jc w:val="center"/>
        <w:rPr>
          <w:rFonts w:hint="eastAsia" w:hAnsi="宋体"/>
          <w:b/>
          <w:color w:val="auto"/>
          <w:kern w:val="0"/>
          <w:sz w:val="32"/>
          <w:highlight w:val="none"/>
        </w:rPr>
      </w:pPr>
      <w:r>
        <w:rPr>
          <w:rFonts w:hint="eastAsia" w:hAnsi="宋体"/>
          <w:b/>
          <w:color w:val="auto"/>
          <w:kern w:val="0"/>
          <w:sz w:val="32"/>
          <w:highlight w:val="none"/>
        </w:rPr>
        <w:t>表1-6  主要材料及设备价格表</w:t>
      </w:r>
    </w:p>
    <w:p>
      <w:pPr>
        <w:pStyle w:val="2"/>
      </w:pPr>
    </w:p>
    <w:p>
      <w:pPr>
        <w:widowControl/>
        <w:tabs>
          <w:tab w:val="center" w:pos="4755"/>
          <w:tab w:val="right" w:pos="9070"/>
        </w:tabs>
        <w:spacing w:line="360" w:lineRule="exact"/>
        <w:rPr>
          <w:rFonts w:hAnsi="宋体"/>
          <w:b/>
          <w:color w:val="auto"/>
          <w:kern w:val="0"/>
          <w:sz w:val="24"/>
          <w:highlight w:val="none"/>
        </w:rPr>
      </w:pPr>
      <w:r>
        <w:rPr>
          <w:rFonts w:hint="eastAsia" w:hAnsi="宋体"/>
          <w:color w:val="auto"/>
          <w:kern w:val="0"/>
          <w:sz w:val="24"/>
          <w:highlight w:val="none"/>
        </w:rPr>
        <w:t xml:space="preserve">工程名称：                                        </w:t>
      </w:r>
      <w:r>
        <w:rPr>
          <w:rFonts w:hint="eastAsia" w:hAnsi="宋体"/>
          <w:color w:val="auto"/>
          <w:kern w:val="0"/>
          <w:sz w:val="24"/>
          <w:highlight w:val="none"/>
          <w:lang w:val="en-US" w:eastAsia="zh-CN"/>
        </w:rPr>
        <w:t xml:space="preserve">            </w:t>
      </w:r>
      <w:r>
        <w:rPr>
          <w:rFonts w:hint="eastAsia" w:hAnsi="宋体"/>
          <w:color w:val="auto"/>
          <w:kern w:val="0"/>
          <w:sz w:val="24"/>
          <w:highlight w:val="none"/>
        </w:rPr>
        <w:t xml:space="preserve">  第  页共  页</w:t>
      </w:r>
    </w:p>
    <w:tbl>
      <w:tblPr>
        <w:tblStyle w:val="62"/>
        <w:tblW w:w="0" w:type="auto"/>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1054"/>
        <w:gridCol w:w="1581"/>
        <w:gridCol w:w="1406"/>
        <w:gridCol w:w="1230"/>
        <w:gridCol w:w="1230"/>
        <w:gridCol w:w="1230"/>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8" w:hRule="atLeast"/>
        </w:trPr>
        <w:tc>
          <w:tcPr>
            <w:tcW w:w="879" w:type="dxa"/>
            <w:tcBorders>
              <w:bottom w:val="single" w:color="auto" w:sz="4" w:space="0"/>
            </w:tcBorders>
            <w:noWrap w:val="0"/>
            <w:vAlign w:val="center"/>
          </w:tcPr>
          <w:p>
            <w:pPr>
              <w:widowControl/>
              <w:tabs>
                <w:tab w:val="center" w:pos="4755"/>
                <w:tab w:val="right" w:pos="9070"/>
              </w:tabs>
              <w:spacing w:before="100" w:beforeAutospacing="1" w:after="100" w:afterAutospacing="1" w:line="360" w:lineRule="exact"/>
              <w:jc w:val="center"/>
              <w:rPr>
                <w:rFonts w:hAnsi="宋体"/>
                <w:color w:val="auto"/>
                <w:kern w:val="0"/>
                <w:sz w:val="24"/>
                <w:highlight w:val="none"/>
              </w:rPr>
            </w:pPr>
            <w:r>
              <w:rPr>
                <w:rFonts w:hint="eastAsia" w:hAnsi="宋体"/>
                <w:color w:val="auto"/>
                <w:kern w:val="0"/>
                <w:sz w:val="24"/>
                <w:highlight w:val="none"/>
              </w:rPr>
              <w:t>序号</w:t>
            </w:r>
          </w:p>
        </w:tc>
        <w:tc>
          <w:tcPr>
            <w:tcW w:w="1054" w:type="dxa"/>
            <w:tcBorders>
              <w:bottom w:val="single" w:color="auto" w:sz="4" w:space="0"/>
            </w:tcBorders>
            <w:noWrap w:val="0"/>
            <w:vAlign w:val="center"/>
          </w:tcPr>
          <w:p>
            <w:pPr>
              <w:widowControl/>
              <w:tabs>
                <w:tab w:val="center" w:pos="4755"/>
                <w:tab w:val="right" w:pos="9070"/>
              </w:tabs>
              <w:spacing w:before="100" w:beforeAutospacing="1" w:after="100" w:afterAutospacing="1" w:line="360" w:lineRule="exact"/>
              <w:jc w:val="center"/>
              <w:rPr>
                <w:rFonts w:hAnsi="宋体"/>
                <w:color w:val="auto"/>
                <w:kern w:val="0"/>
                <w:sz w:val="24"/>
                <w:highlight w:val="none"/>
              </w:rPr>
            </w:pPr>
            <w:r>
              <w:rPr>
                <w:rFonts w:hint="eastAsia" w:hAnsi="宋体"/>
                <w:color w:val="auto"/>
                <w:kern w:val="0"/>
                <w:sz w:val="24"/>
                <w:highlight w:val="none"/>
              </w:rPr>
              <w:t>编码</w:t>
            </w:r>
          </w:p>
        </w:tc>
        <w:tc>
          <w:tcPr>
            <w:tcW w:w="1581" w:type="dxa"/>
            <w:tcBorders>
              <w:bottom w:val="single" w:color="auto" w:sz="4" w:space="0"/>
            </w:tcBorders>
            <w:noWrap w:val="0"/>
            <w:vAlign w:val="center"/>
          </w:tcPr>
          <w:p>
            <w:pPr>
              <w:widowControl/>
              <w:tabs>
                <w:tab w:val="center" w:pos="4755"/>
                <w:tab w:val="right" w:pos="9070"/>
              </w:tabs>
              <w:spacing w:before="100" w:beforeAutospacing="1" w:after="100" w:afterAutospacing="1" w:line="360" w:lineRule="exact"/>
              <w:jc w:val="center"/>
              <w:rPr>
                <w:rFonts w:hAnsi="宋体"/>
                <w:color w:val="auto"/>
                <w:kern w:val="0"/>
                <w:sz w:val="24"/>
                <w:highlight w:val="none"/>
              </w:rPr>
            </w:pPr>
            <w:r>
              <w:rPr>
                <w:rFonts w:hint="eastAsia" w:hAnsi="宋体"/>
                <w:color w:val="auto"/>
                <w:kern w:val="0"/>
                <w:sz w:val="24"/>
                <w:highlight w:val="none"/>
              </w:rPr>
              <w:t>材料或设备名称</w:t>
            </w:r>
          </w:p>
        </w:tc>
        <w:tc>
          <w:tcPr>
            <w:tcW w:w="1406" w:type="dxa"/>
            <w:tcBorders>
              <w:bottom w:val="single" w:color="auto" w:sz="4" w:space="0"/>
            </w:tcBorders>
            <w:noWrap w:val="0"/>
            <w:vAlign w:val="center"/>
          </w:tcPr>
          <w:p>
            <w:pPr>
              <w:widowControl/>
              <w:tabs>
                <w:tab w:val="center" w:pos="4755"/>
                <w:tab w:val="right" w:pos="9070"/>
              </w:tabs>
              <w:spacing w:before="100" w:beforeAutospacing="1" w:after="100" w:afterAutospacing="1" w:line="360" w:lineRule="exact"/>
              <w:jc w:val="center"/>
              <w:rPr>
                <w:rFonts w:hAnsi="宋体"/>
                <w:color w:val="auto"/>
                <w:kern w:val="0"/>
                <w:sz w:val="24"/>
                <w:highlight w:val="none"/>
              </w:rPr>
            </w:pPr>
            <w:r>
              <w:rPr>
                <w:rFonts w:hint="eastAsia" w:hAnsi="宋体"/>
                <w:color w:val="auto"/>
                <w:kern w:val="0"/>
                <w:sz w:val="24"/>
                <w:highlight w:val="none"/>
              </w:rPr>
              <w:t>规格、型号</w:t>
            </w:r>
          </w:p>
        </w:tc>
        <w:tc>
          <w:tcPr>
            <w:tcW w:w="1230" w:type="dxa"/>
            <w:tcBorders>
              <w:bottom w:val="single" w:color="auto" w:sz="4" w:space="0"/>
            </w:tcBorders>
            <w:noWrap w:val="0"/>
            <w:vAlign w:val="center"/>
          </w:tcPr>
          <w:p>
            <w:pPr>
              <w:widowControl/>
              <w:tabs>
                <w:tab w:val="center" w:pos="4755"/>
                <w:tab w:val="right" w:pos="9070"/>
              </w:tabs>
              <w:spacing w:before="100" w:beforeAutospacing="1" w:after="100" w:afterAutospacing="1" w:line="360" w:lineRule="exact"/>
              <w:jc w:val="center"/>
              <w:rPr>
                <w:rFonts w:hAnsi="宋体"/>
                <w:color w:val="auto"/>
                <w:kern w:val="0"/>
                <w:sz w:val="24"/>
                <w:highlight w:val="none"/>
              </w:rPr>
            </w:pPr>
            <w:r>
              <w:rPr>
                <w:rFonts w:hint="eastAsia" w:hAnsi="宋体"/>
                <w:color w:val="auto"/>
                <w:kern w:val="0"/>
                <w:sz w:val="24"/>
                <w:highlight w:val="none"/>
              </w:rPr>
              <w:t>单位</w:t>
            </w:r>
          </w:p>
        </w:tc>
        <w:tc>
          <w:tcPr>
            <w:tcW w:w="1230" w:type="dxa"/>
            <w:tcBorders>
              <w:bottom w:val="single" w:color="auto" w:sz="4" w:space="0"/>
            </w:tcBorders>
            <w:noWrap w:val="0"/>
            <w:vAlign w:val="center"/>
          </w:tcPr>
          <w:p>
            <w:pPr>
              <w:widowControl/>
              <w:tabs>
                <w:tab w:val="center" w:pos="4755"/>
                <w:tab w:val="right" w:pos="9070"/>
              </w:tabs>
              <w:spacing w:before="100" w:beforeAutospacing="1" w:after="100" w:afterAutospacing="1" w:line="360" w:lineRule="exact"/>
              <w:jc w:val="center"/>
              <w:rPr>
                <w:rFonts w:hAnsi="宋体"/>
                <w:color w:val="auto"/>
                <w:kern w:val="0"/>
                <w:sz w:val="24"/>
                <w:highlight w:val="none"/>
              </w:rPr>
            </w:pPr>
            <w:r>
              <w:rPr>
                <w:rFonts w:hint="eastAsia" w:hAnsi="宋体"/>
                <w:color w:val="auto"/>
                <w:kern w:val="0"/>
                <w:sz w:val="24"/>
                <w:highlight w:val="none"/>
              </w:rPr>
              <w:t>数量</w:t>
            </w:r>
          </w:p>
        </w:tc>
        <w:tc>
          <w:tcPr>
            <w:tcW w:w="1230" w:type="dxa"/>
            <w:tcBorders>
              <w:bottom w:val="single" w:color="auto" w:sz="4" w:space="0"/>
            </w:tcBorders>
            <w:noWrap w:val="0"/>
            <w:vAlign w:val="center"/>
          </w:tcPr>
          <w:p>
            <w:pPr>
              <w:widowControl/>
              <w:tabs>
                <w:tab w:val="center" w:pos="4755"/>
                <w:tab w:val="right" w:pos="9070"/>
              </w:tabs>
              <w:spacing w:before="100" w:beforeAutospacing="1" w:after="100" w:afterAutospacing="1" w:line="360" w:lineRule="exact"/>
              <w:jc w:val="center"/>
              <w:rPr>
                <w:rFonts w:hAnsi="宋体"/>
                <w:color w:val="auto"/>
                <w:kern w:val="0"/>
                <w:sz w:val="24"/>
                <w:highlight w:val="none"/>
              </w:rPr>
            </w:pPr>
            <w:r>
              <w:rPr>
                <w:rFonts w:hint="eastAsia" w:hAnsi="宋体"/>
                <w:color w:val="auto"/>
                <w:kern w:val="0"/>
                <w:sz w:val="24"/>
                <w:highlight w:val="none"/>
              </w:rPr>
              <w:t>单价（元）</w:t>
            </w:r>
          </w:p>
        </w:tc>
        <w:tc>
          <w:tcPr>
            <w:tcW w:w="1230" w:type="dxa"/>
            <w:tcBorders>
              <w:bottom w:val="single" w:color="auto" w:sz="4" w:space="0"/>
            </w:tcBorders>
            <w:noWrap w:val="0"/>
            <w:vAlign w:val="center"/>
          </w:tcPr>
          <w:p>
            <w:pPr>
              <w:widowControl/>
              <w:tabs>
                <w:tab w:val="center" w:pos="4755"/>
                <w:tab w:val="right" w:pos="9070"/>
              </w:tabs>
              <w:spacing w:before="100" w:beforeAutospacing="1" w:after="100" w:afterAutospacing="1" w:line="360" w:lineRule="exact"/>
              <w:jc w:val="center"/>
              <w:rPr>
                <w:rFonts w:hAnsi="宋体"/>
                <w:color w:val="auto"/>
                <w:kern w:val="0"/>
                <w:sz w:val="24"/>
                <w:highlight w:val="none"/>
              </w:rPr>
            </w:pPr>
            <w:r>
              <w:rPr>
                <w:rFonts w:hint="eastAsia" w:hAnsi="宋体"/>
                <w:color w:val="auto"/>
                <w:kern w:val="0"/>
                <w:sz w:val="24"/>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879" w:type="dxa"/>
            <w:noWrap w:val="0"/>
            <w:vAlign w:val="center"/>
          </w:tcPr>
          <w:p>
            <w:pPr>
              <w:widowControl/>
              <w:tabs>
                <w:tab w:val="center" w:pos="4755"/>
                <w:tab w:val="right" w:pos="9070"/>
              </w:tabs>
              <w:spacing w:before="100" w:beforeAutospacing="1" w:after="100" w:afterAutospacing="1" w:line="360" w:lineRule="exact"/>
              <w:jc w:val="center"/>
              <w:rPr>
                <w:rFonts w:hAnsi="宋体"/>
                <w:color w:val="auto"/>
                <w:kern w:val="0"/>
                <w:sz w:val="24"/>
                <w:highlight w:val="none"/>
              </w:rPr>
            </w:pPr>
            <w:r>
              <w:rPr>
                <w:rFonts w:hint="eastAsia" w:hAnsi="宋体"/>
                <w:color w:val="auto"/>
                <w:kern w:val="0"/>
                <w:sz w:val="24"/>
                <w:highlight w:val="none"/>
              </w:rPr>
              <w:t>（1）</w:t>
            </w:r>
          </w:p>
        </w:tc>
        <w:tc>
          <w:tcPr>
            <w:tcW w:w="1054" w:type="dxa"/>
            <w:noWrap w:val="0"/>
            <w:vAlign w:val="center"/>
          </w:tcPr>
          <w:p>
            <w:pPr>
              <w:widowControl/>
              <w:tabs>
                <w:tab w:val="center" w:pos="4755"/>
                <w:tab w:val="right" w:pos="9070"/>
              </w:tabs>
              <w:spacing w:before="100" w:beforeAutospacing="1" w:after="100" w:afterAutospacing="1" w:line="360" w:lineRule="exact"/>
              <w:jc w:val="center"/>
              <w:rPr>
                <w:rFonts w:hAnsi="宋体"/>
                <w:color w:val="auto"/>
                <w:kern w:val="0"/>
                <w:sz w:val="24"/>
                <w:highlight w:val="none"/>
              </w:rPr>
            </w:pPr>
            <w:r>
              <w:rPr>
                <w:rFonts w:hint="eastAsia" w:hAnsi="宋体"/>
                <w:color w:val="auto"/>
                <w:kern w:val="0"/>
                <w:sz w:val="24"/>
                <w:highlight w:val="none"/>
              </w:rPr>
              <w:t>（2）</w:t>
            </w:r>
          </w:p>
        </w:tc>
        <w:tc>
          <w:tcPr>
            <w:tcW w:w="1581" w:type="dxa"/>
            <w:noWrap w:val="0"/>
            <w:vAlign w:val="center"/>
          </w:tcPr>
          <w:p>
            <w:pPr>
              <w:widowControl/>
              <w:tabs>
                <w:tab w:val="center" w:pos="4755"/>
                <w:tab w:val="right" w:pos="9070"/>
              </w:tabs>
              <w:spacing w:before="100" w:beforeAutospacing="1" w:after="100" w:afterAutospacing="1" w:line="360" w:lineRule="exact"/>
              <w:jc w:val="center"/>
              <w:rPr>
                <w:rFonts w:hAnsi="宋体"/>
                <w:color w:val="auto"/>
                <w:kern w:val="0"/>
                <w:sz w:val="24"/>
                <w:highlight w:val="none"/>
              </w:rPr>
            </w:pPr>
            <w:r>
              <w:rPr>
                <w:rFonts w:hint="eastAsia" w:hAnsi="宋体"/>
                <w:color w:val="auto"/>
                <w:kern w:val="0"/>
                <w:sz w:val="24"/>
                <w:highlight w:val="none"/>
              </w:rPr>
              <w:t>（3）</w:t>
            </w:r>
          </w:p>
        </w:tc>
        <w:tc>
          <w:tcPr>
            <w:tcW w:w="1406" w:type="dxa"/>
            <w:noWrap w:val="0"/>
            <w:vAlign w:val="center"/>
          </w:tcPr>
          <w:p>
            <w:pPr>
              <w:widowControl/>
              <w:tabs>
                <w:tab w:val="center" w:pos="4755"/>
                <w:tab w:val="right" w:pos="9070"/>
              </w:tabs>
              <w:spacing w:before="100" w:beforeAutospacing="1" w:after="100" w:afterAutospacing="1" w:line="360" w:lineRule="exact"/>
              <w:jc w:val="center"/>
              <w:rPr>
                <w:rFonts w:hAnsi="宋体"/>
                <w:color w:val="auto"/>
                <w:kern w:val="0"/>
                <w:sz w:val="24"/>
                <w:highlight w:val="none"/>
              </w:rPr>
            </w:pPr>
            <w:r>
              <w:rPr>
                <w:rFonts w:hint="eastAsia" w:hAnsi="宋体"/>
                <w:color w:val="auto"/>
                <w:kern w:val="0"/>
                <w:sz w:val="24"/>
                <w:highlight w:val="none"/>
              </w:rPr>
              <w:t>（4）</w:t>
            </w:r>
          </w:p>
        </w:tc>
        <w:tc>
          <w:tcPr>
            <w:tcW w:w="1230" w:type="dxa"/>
            <w:noWrap w:val="0"/>
            <w:vAlign w:val="center"/>
          </w:tcPr>
          <w:p>
            <w:pPr>
              <w:widowControl/>
              <w:tabs>
                <w:tab w:val="center" w:pos="4755"/>
                <w:tab w:val="right" w:pos="9070"/>
              </w:tabs>
              <w:spacing w:before="100" w:beforeAutospacing="1" w:after="100" w:afterAutospacing="1" w:line="360" w:lineRule="exact"/>
              <w:jc w:val="center"/>
              <w:rPr>
                <w:rFonts w:hAnsi="宋体"/>
                <w:color w:val="auto"/>
                <w:kern w:val="0"/>
                <w:sz w:val="24"/>
                <w:highlight w:val="none"/>
              </w:rPr>
            </w:pPr>
            <w:r>
              <w:rPr>
                <w:rFonts w:hint="eastAsia" w:hAnsi="宋体"/>
                <w:color w:val="auto"/>
                <w:kern w:val="0"/>
                <w:sz w:val="24"/>
                <w:highlight w:val="none"/>
              </w:rPr>
              <w:t>（5）</w:t>
            </w:r>
          </w:p>
        </w:tc>
        <w:tc>
          <w:tcPr>
            <w:tcW w:w="1230" w:type="dxa"/>
            <w:noWrap w:val="0"/>
            <w:vAlign w:val="center"/>
          </w:tcPr>
          <w:p>
            <w:pPr>
              <w:widowControl/>
              <w:tabs>
                <w:tab w:val="center" w:pos="4755"/>
                <w:tab w:val="right" w:pos="9070"/>
              </w:tabs>
              <w:spacing w:before="100" w:beforeAutospacing="1" w:after="100" w:afterAutospacing="1" w:line="360" w:lineRule="exact"/>
              <w:jc w:val="center"/>
              <w:rPr>
                <w:rFonts w:hAnsi="宋体"/>
                <w:color w:val="auto"/>
                <w:kern w:val="0"/>
                <w:sz w:val="24"/>
                <w:highlight w:val="none"/>
              </w:rPr>
            </w:pPr>
            <w:r>
              <w:rPr>
                <w:rFonts w:hint="eastAsia" w:hAnsi="宋体"/>
                <w:color w:val="auto"/>
                <w:kern w:val="0"/>
                <w:sz w:val="24"/>
                <w:highlight w:val="none"/>
              </w:rPr>
              <w:t>（6）</w:t>
            </w:r>
          </w:p>
        </w:tc>
        <w:tc>
          <w:tcPr>
            <w:tcW w:w="1230" w:type="dxa"/>
            <w:noWrap w:val="0"/>
            <w:vAlign w:val="center"/>
          </w:tcPr>
          <w:p>
            <w:pPr>
              <w:widowControl/>
              <w:tabs>
                <w:tab w:val="center" w:pos="4755"/>
                <w:tab w:val="right" w:pos="9070"/>
              </w:tabs>
              <w:spacing w:before="100" w:beforeAutospacing="1" w:after="100" w:afterAutospacing="1" w:line="360" w:lineRule="exact"/>
              <w:jc w:val="center"/>
              <w:rPr>
                <w:rFonts w:hAnsi="宋体"/>
                <w:color w:val="auto"/>
                <w:kern w:val="0"/>
                <w:sz w:val="24"/>
                <w:highlight w:val="none"/>
              </w:rPr>
            </w:pPr>
            <w:r>
              <w:rPr>
                <w:rFonts w:hint="eastAsia" w:hAnsi="宋体"/>
                <w:color w:val="auto"/>
                <w:kern w:val="0"/>
                <w:sz w:val="24"/>
                <w:highlight w:val="none"/>
              </w:rPr>
              <w:t>（7）</w:t>
            </w:r>
          </w:p>
        </w:tc>
        <w:tc>
          <w:tcPr>
            <w:tcW w:w="1230" w:type="dxa"/>
            <w:noWrap w:val="0"/>
            <w:vAlign w:val="center"/>
          </w:tcPr>
          <w:p>
            <w:pPr>
              <w:widowControl/>
              <w:tabs>
                <w:tab w:val="center" w:pos="4755"/>
                <w:tab w:val="right" w:pos="9070"/>
              </w:tabs>
              <w:spacing w:before="100" w:beforeAutospacing="1" w:after="100" w:afterAutospacing="1" w:line="360" w:lineRule="exact"/>
              <w:jc w:val="center"/>
              <w:rPr>
                <w:rFonts w:hAnsi="宋体"/>
                <w:color w:val="auto"/>
                <w:kern w:val="0"/>
                <w:sz w:val="24"/>
                <w:highlight w:val="none"/>
              </w:rPr>
            </w:pPr>
            <w:r>
              <w:rPr>
                <w:rFonts w:hint="eastAsia" w:hAnsi="宋体"/>
                <w:color w:val="auto"/>
                <w:kern w:val="0"/>
                <w:sz w:val="24"/>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879"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054"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581"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406"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230"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230"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230"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230"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879"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054"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581"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406"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230"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230"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230"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230"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879"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054"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581"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406"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230"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230"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230"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230"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879"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054"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581"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406"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230"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230"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230"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230"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879"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054"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581"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406"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230"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230"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230"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230"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879"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054"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581"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406"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230"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230"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230"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230"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879"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054"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581"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406"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230"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230"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230"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230"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879"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054"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581"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406"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230"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230"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230"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230"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879"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054"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581"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406"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230"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230"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230"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230"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879"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054"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581"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406"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230"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230"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230"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230"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879"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054"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581"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406"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230"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230"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230"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230"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879"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054"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581"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406"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230"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230"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230"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230"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879"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054"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581"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406"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230"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230"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230"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c>
          <w:tcPr>
            <w:tcW w:w="1230" w:type="dxa"/>
            <w:noWrap w:val="0"/>
            <w:vAlign w:val="top"/>
          </w:tcPr>
          <w:p>
            <w:pPr>
              <w:widowControl/>
              <w:tabs>
                <w:tab w:val="center" w:pos="4755"/>
                <w:tab w:val="right" w:pos="9070"/>
              </w:tabs>
              <w:spacing w:before="100" w:beforeAutospacing="1" w:after="100" w:afterAutospacing="1" w:line="360" w:lineRule="exact"/>
              <w:rPr>
                <w:rFonts w:hAnsi="宋体"/>
                <w:color w:val="auto"/>
                <w:kern w:val="0"/>
                <w:sz w:val="24"/>
                <w:highlight w:val="none"/>
              </w:rPr>
            </w:pPr>
          </w:p>
        </w:tc>
      </w:tr>
    </w:tbl>
    <w:p>
      <w:pPr>
        <w:widowControl/>
        <w:tabs>
          <w:tab w:val="left" w:pos="1470"/>
        </w:tabs>
        <w:spacing w:line="360" w:lineRule="exact"/>
        <w:ind w:left="480" w:hanging="480" w:hangingChars="200"/>
        <w:jc w:val="left"/>
        <w:rPr>
          <w:rFonts w:hAnsi="宋体"/>
          <w:color w:val="auto"/>
          <w:kern w:val="0"/>
          <w:sz w:val="24"/>
          <w:highlight w:val="none"/>
        </w:rPr>
      </w:pPr>
      <w:r>
        <w:rPr>
          <w:rFonts w:hint="eastAsia" w:hAnsi="宋体"/>
          <w:color w:val="auto"/>
          <w:kern w:val="0"/>
          <w:sz w:val="24"/>
          <w:highlight w:val="none"/>
        </w:rPr>
        <w:t>注：1、表（1）（2）（3）（5）（8）栏由招标人按需要提出，</w:t>
      </w:r>
      <w:r>
        <w:rPr>
          <w:rFonts w:hint="eastAsia" w:hAnsi="宋体"/>
          <w:color w:val="auto"/>
          <w:kern w:val="0"/>
          <w:sz w:val="24"/>
          <w:highlight w:val="none"/>
          <w:lang w:val="en-US" w:eastAsia="zh-CN"/>
        </w:rPr>
        <w:t>响应</w:t>
      </w:r>
      <w:r>
        <w:rPr>
          <w:rFonts w:hint="eastAsia" w:hAnsi="宋体"/>
          <w:color w:val="auto"/>
          <w:kern w:val="0"/>
          <w:sz w:val="24"/>
          <w:highlight w:val="none"/>
        </w:rPr>
        <w:t>人可补充；（4）（6）（7）栏由</w:t>
      </w:r>
      <w:r>
        <w:rPr>
          <w:rFonts w:hint="eastAsia" w:hAnsi="宋体"/>
          <w:color w:val="auto"/>
          <w:kern w:val="0"/>
          <w:sz w:val="24"/>
          <w:highlight w:val="none"/>
          <w:lang w:val="en-US" w:eastAsia="zh-CN"/>
        </w:rPr>
        <w:t>响应</w:t>
      </w:r>
      <w:r>
        <w:rPr>
          <w:rFonts w:hint="eastAsia" w:hAnsi="宋体"/>
          <w:color w:val="auto"/>
          <w:kern w:val="0"/>
          <w:sz w:val="24"/>
          <w:highlight w:val="none"/>
        </w:rPr>
        <w:t>人填写。</w:t>
      </w:r>
    </w:p>
    <w:p>
      <w:pPr>
        <w:widowControl/>
        <w:tabs>
          <w:tab w:val="center" w:pos="4755"/>
          <w:tab w:val="right" w:pos="9070"/>
        </w:tabs>
        <w:spacing w:line="360" w:lineRule="exact"/>
        <w:ind w:left="227" w:leftChars="108" w:firstLine="240" w:firstLineChars="100"/>
        <w:jc w:val="left"/>
        <w:rPr>
          <w:rFonts w:hAnsi="宋体"/>
          <w:color w:val="auto"/>
          <w:kern w:val="0"/>
          <w:sz w:val="24"/>
          <w:highlight w:val="none"/>
        </w:rPr>
      </w:pPr>
      <w:r>
        <w:rPr>
          <w:rFonts w:hint="eastAsia" w:hAnsi="宋体"/>
          <w:color w:val="auto"/>
          <w:kern w:val="0"/>
          <w:sz w:val="24"/>
          <w:highlight w:val="none"/>
        </w:rPr>
        <w:t>2、本表的材料及设备包括原材料、燃料、构配件以及按规定应计入建筑安装工程造价的设备。</w:t>
      </w:r>
    </w:p>
    <w:p>
      <w:pPr>
        <w:widowControl/>
        <w:tabs>
          <w:tab w:val="center" w:pos="4755"/>
          <w:tab w:val="right" w:pos="9070"/>
        </w:tabs>
        <w:spacing w:line="360" w:lineRule="exact"/>
        <w:ind w:firstLine="360" w:firstLineChars="150"/>
        <w:jc w:val="left"/>
        <w:rPr>
          <w:rFonts w:hAnsi="宋体"/>
          <w:color w:val="auto"/>
          <w:kern w:val="0"/>
          <w:sz w:val="24"/>
          <w:highlight w:val="none"/>
        </w:rPr>
      </w:pPr>
      <w:r>
        <w:rPr>
          <w:rFonts w:hint="eastAsia" w:hAnsi="宋体"/>
          <w:color w:val="auto"/>
          <w:kern w:val="0"/>
          <w:sz w:val="24"/>
          <w:highlight w:val="none"/>
        </w:rPr>
        <w:t xml:space="preserve"> 3、招标人指定、提供或暂定的材料和设备，按杭州市工程量清单计价实施细则的规定填写。</w:t>
      </w:r>
    </w:p>
    <w:p>
      <w:pPr>
        <w:spacing w:line="500" w:lineRule="exact"/>
        <w:rPr>
          <w:rFonts w:hint="eastAsia" w:hAnsi="宋体"/>
          <w:color w:val="auto"/>
          <w:sz w:val="24"/>
          <w:highlight w:val="none"/>
        </w:rPr>
      </w:pPr>
      <w:r>
        <w:rPr>
          <w:rFonts w:hint="eastAsia" w:hAnsi="宋体"/>
          <w:color w:val="auto"/>
          <w:kern w:val="0"/>
          <w:sz w:val="24"/>
          <w:highlight w:val="none"/>
          <w:lang w:val="en-US" w:eastAsia="zh-CN"/>
        </w:rPr>
        <w:t>响应</w:t>
      </w:r>
      <w:r>
        <w:rPr>
          <w:rFonts w:hint="eastAsia" w:hAnsi="宋体"/>
          <w:color w:val="auto"/>
          <w:kern w:val="0"/>
          <w:sz w:val="24"/>
          <w:highlight w:val="none"/>
        </w:rPr>
        <w:t>人：（ 盖章）</w:t>
      </w:r>
      <w:r>
        <w:rPr>
          <w:rFonts w:hint="eastAsia" w:hAnsi="宋体"/>
          <w:color w:val="auto"/>
          <w:sz w:val="24"/>
          <w:highlight w:val="none"/>
        </w:rPr>
        <w:t xml:space="preserve">         </w:t>
      </w:r>
    </w:p>
    <w:p>
      <w:pPr>
        <w:pStyle w:val="797"/>
        <w:rPr>
          <w:rFonts w:hAnsi="宋体"/>
          <w:b/>
          <w:color w:val="auto"/>
          <w:kern w:val="0"/>
          <w:sz w:val="32"/>
          <w:highlight w:val="none"/>
        </w:rPr>
      </w:pPr>
      <w:r>
        <w:rPr>
          <w:rFonts w:hint="eastAsia" w:hAnsi="宋体"/>
          <w:color w:val="auto"/>
          <w:sz w:val="24"/>
          <w:highlight w:val="none"/>
        </w:rPr>
        <w:br w:type="page"/>
      </w:r>
    </w:p>
    <w:p>
      <w:pPr>
        <w:spacing w:line="500" w:lineRule="exact"/>
        <w:jc w:val="center"/>
        <w:rPr>
          <w:rFonts w:hint="eastAsia" w:hAnsi="宋体"/>
          <w:b/>
          <w:color w:val="auto"/>
          <w:kern w:val="0"/>
          <w:sz w:val="32"/>
          <w:highlight w:val="none"/>
        </w:rPr>
      </w:pPr>
      <w:r>
        <w:rPr>
          <w:rFonts w:hint="eastAsia" w:hAnsi="宋体"/>
          <w:b/>
          <w:color w:val="auto"/>
          <w:kern w:val="0"/>
          <w:sz w:val="32"/>
          <w:highlight w:val="none"/>
        </w:rPr>
        <w:t>表1-7  主要机械台班价格表</w:t>
      </w:r>
    </w:p>
    <w:p>
      <w:pPr>
        <w:pStyle w:val="2"/>
      </w:pPr>
    </w:p>
    <w:p>
      <w:pPr>
        <w:widowControl/>
        <w:tabs>
          <w:tab w:val="center" w:pos="4755"/>
          <w:tab w:val="right" w:pos="9070"/>
        </w:tabs>
        <w:ind w:firstLine="240" w:firstLineChars="100"/>
        <w:rPr>
          <w:rFonts w:hAnsi="宋体"/>
          <w:color w:val="auto"/>
          <w:kern w:val="0"/>
          <w:sz w:val="24"/>
          <w:highlight w:val="none"/>
        </w:rPr>
      </w:pPr>
      <w:r>
        <w:rPr>
          <w:rFonts w:hint="eastAsia" w:hAnsi="宋体"/>
          <w:color w:val="auto"/>
          <w:kern w:val="0"/>
          <w:sz w:val="24"/>
          <w:highlight w:val="none"/>
        </w:rPr>
        <w:t xml:space="preserve">工程名称：                           </w:t>
      </w:r>
      <w:r>
        <w:rPr>
          <w:rFonts w:hint="eastAsia" w:hAnsi="宋体"/>
          <w:color w:val="auto"/>
          <w:kern w:val="0"/>
          <w:sz w:val="24"/>
          <w:highlight w:val="none"/>
          <w:lang w:val="en-US" w:eastAsia="zh-CN"/>
        </w:rPr>
        <w:t xml:space="preserve">           </w:t>
      </w:r>
      <w:r>
        <w:rPr>
          <w:rFonts w:hint="eastAsia" w:hAnsi="宋体"/>
          <w:color w:val="auto"/>
          <w:kern w:val="0"/>
          <w:sz w:val="24"/>
          <w:highlight w:val="none"/>
        </w:rPr>
        <w:t xml:space="preserve">        第  页共  页</w:t>
      </w:r>
    </w:p>
    <w:tbl>
      <w:tblPr>
        <w:tblStyle w:val="62"/>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
        <w:gridCol w:w="3060"/>
        <w:gridCol w:w="1244"/>
        <w:gridCol w:w="126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916" w:type="dxa"/>
            <w:noWrap w:val="0"/>
            <w:vAlign w:val="center"/>
          </w:tcPr>
          <w:p>
            <w:pPr>
              <w:widowControl/>
              <w:tabs>
                <w:tab w:val="center" w:pos="4755"/>
                <w:tab w:val="right" w:pos="9070"/>
              </w:tabs>
              <w:spacing w:before="100" w:beforeAutospacing="1" w:after="100" w:afterAutospacing="1"/>
              <w:jc w:val="center"/>
              <w:rPr>
                <w:rFonts w:hAnsi="宋体"/>
                <w:color w:val="auto"/>
                <w:kern w:val="0"/>
                <w:sz w:val="24"/>
                <w:highlight w:val="none"/>
              </w:rPr>
            </w:pPr>
            <w:r>
              <w:rPr>
                <w:rFonts w:hint="eastAsia" w:hAnsi="宋体"/>
                <w:color w:val="auto"/>
                <w:kern w:val="0"/>
                <w:sz w:val="24"/>
                <w:highlight w:val="none"/>
              </w:rPr>
              <w:t>序号</w:t>
            </w:r>
          </w:p>
        </w:tc>
        <w:tc>
          <w:tcPr>
            <w:tcW w:w="3060" w:type="dxa"/>
            <w:noWrap w:val="0"/>
            <w:vAlign w:val="center"/>
          </w:tcPr>
          <w:p>
            <w:pPr>
              <w:widowControl/>
              <w:tabs>
                <w:tab w:val="center" w:pos="4755"/>
                <w:tab w:val="right" w:pos="9070"/>
              </w:tabs>
              <w:spacing w:before="100" w:beforeAutospacing="1" w:after="100" w:afterAutospacing="1"/>
              <w:jc w:val="center"/>
              <w:rPr>
                <w:rFonts w:hAnsi="宋体"/>
                <w:color w:val="auto"/>
                <w:kern w:val="0"/>
                <w:sz w:val="24"/>
                <w:highlight w:val="none"/>
              </w:rPr>
            </w:pPr>
            <w:r>
              <w:rPr>
                <w:rFonts w:hint="eastAsia" w:hAnsi="宋体"/>
                <w:color w:val="auto"/>
                <w:kern w:val="0"/>
                <w:sz w:val="24"/>
                <w:highlight w:val="none"/>
              </w:rPr>
              <w:t>机械设备名称</w:t>
            </w:r>
          </w:p>
        </w:tc>
        <w:tc>
          <w:tcPr>
            <w:tcW w:w="1244" w:type="dxa"/>
            <w:noWrap w:val="0"/>
            <w:vAlign w:val="center"/>
          </w:tcPr>
          <w:p>
            <w:pPr>
              <w:widowControl/>
              <w:tabs>
                <w:tab w:val="center" w:pos="4755"/>
                <w:tab w:val="right" w:pos="9070"/>
              </w:tabs>
              <w:spacing w:before="100" w:beforeAutospacing="1" w:after="100" w:afterAutospacing="1"/>
              <w:jc w:val="center"/>
              <w:rPr>
                <w:rFonts w:hAnsi="宋体"/>
                <w:color w:val="auto"/>
                <w:kern w:val="0"/>
                <w:sz w:val="24"/>
                <w:highlight w:val="none"/>
              </w:rPr>
            </w:pPr>
            <w:r>
              <w:rPr>
                <w:rFonts w:hint="eastAsia" w:hAnsi="宋体"/>
                <w:color w:val="auto"/>
                <w:kern w:val="0"/>
                <w:sz w:val="24"/>
                <w:highlight w:val="none"/>
              </w:rPr>
              <w:t>单位</w:t>
            </w:r>
          </w:p>
        </w:tc>
        <w:tc>
          <w:tcPr>
            <w:tcW w:w="1260" w:type="dxa"/>
            <w:noWrap w:val="0"/>
            <w:vAlign w:val="center"/>
          </w:tcPr>
          <w:p>
            <w:pPr>
              <w:widowControl/>
              <w:tabs>
                <w:tab w:val="center" w:pos="4755"/>
                <w:tab w:val="right" w:pos="9070"/>
              </w:tabs>
              <w:spacing w:before="100" w:beforeAutospacing="1" w:after="100" w:afterAutospacing="1"/>
              <w:jc w:val="center"/>
              <w:rPr>
                <w:rFonts w:hAnsi="宋体"/>
                <w:color w:val="auto"/>
                <w:kern w:val="0"/>
                <w:sz w:val="24"/>
                <w:highlight w:val="none"/>
              </w:rPr>
            </w:pPr>
            <w:r>
              <w:rPr>
                <w:rFonts w:hint="eastAsia" w:hAnsi="宋体"/>
                <w:color w:val="auto"/>
                <w:kern w:val="0"/>
                <w:sz w:val="24"/>
                <w:highlight w:val="none"/>
              </w:rPr>
              <w:t>数量</w:t>
            </w:r>
          </w:p>
        </w:tc>
        <w:tc>
          <w:tcPr>
            <w:tcW w:w="2340" w:type="dxa"/>
            <w:noWrap w:val="0"/>
            <w:vAlign w:val="center"/>
          </w:tcPr>
          <w:p>
            <w:pPr>
              <w:widowControl/>
              <w:tabs>
                <w:tab w:val="center" w:pos="4755"/>
                <w:tab w:val="right" w:pos="9070"/>
              </w:tabs>
              <w:spacing w:before="100" w:beforeAutospacing="1" w:after="100" w:afterAutospacing="1"/>
              <w:jc w:val="center"/>
              <w:rPr>
                <w:rFonts w:hAnsi="宋体"/>
                <w:color w:val="auto"/>
                <w:kern w:val="0"/>
                <w:sz w:val="24"/>
                <w:highlight w:val="none"/>
              </w:rPr>
            </w:pPr>
            <w:r>
              <w:rPr>
                <w:rFonts w:hint="eastAsia" w:hAnsi="宋体"/>
                <w:color w:val="auto"/>
                <w:kern w:val="0"/>
                <w:sz w:val="24"/>
                <w:highlight w:val="none"/>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916" w:type="dxa"/>
            <w:noWrap w:val="0"/>
            <w:vAlign w:val="center"/>
          </w:tcPr>
          <w:p>
            <w:pPr>
              <w:widowControl/>
              <w:tabs>
                <w:tab w:val="center" w:pos="4755"/>
                <w:tab w:val="right" w:pos="9070"/>
              </w:tabs>
              <w:spacing w:before="100" w:beforeAutospacing="1" w:after="100" w:afterAutospacing="1"/>
              <w:jc w:val="center"/>
              <w:rPr>
                <w:rFonts w:hAnsi="宋体"/>
                <w:color w:val="auto"/>
                <w:kern w:val="0"/>
                <w:sz w:val="24"/>
                <w:highlight w:val="none"/>
              </w:rPr>
            </w:pPr>
            <w:r>
              <w:rPr>
                <w:rFonts w:hint="eastAsia" w:hAnsi="宋体"/>
                <w:color w:val="auto"/>
                <w:kern w:val="0"/>
                <w:sz w:val="24"/>
                <w:highlight w:val="none"/>
              </w:rPr>
              <w:t>（1）</w:t>
            </w:r>
          </w:p>
        </w:tc>
        <w:tc>
          <w:tcPr>
            <w:tcW w:w="3060" w:type="dxa"/>
            <w:noWrap w:val="0"/>
            <w:vAlign w:val="center"/>
          </w:tcPr>
          <w:p>
            <w:pPr>
              <w:widowControl/>
              <w:tabs>
                <w:tab w:val="center" w:pos="4755"/>
                <w:tab w:val="right" w:pos="9070"/>
              </w:tabs>
              <w:spacing w:before="100" w:beforeAutospacing="1" w:after="100" w:afterAutospacing="1"/>
              <w:jc w:val="center"/>
              <w:rPr>
                <w:rFonts w:hAnsi="宋体"/>
                <w:color w:val="auto"/>
                <w:kern w:val="0"/>
                <w:sz w:val="24"/>
                <w:highlight w:val="none"/>
              </w:rPr>
            </w:pPr>
            <w:r>
              <w:rPr>
                <w:rFonts w:hint="eastAsia" w:hAnsi="宋体"/>
                <w:color w:val="auto"/>
                <w:kern w:val="0"/>
                <w:sz w:val="24"/>
                <w:highlight w:val="none"/>
              </w:rPr>
              <w:t>（2）</w:t>
            </w:r>
          </w:p>
        </w:tc>
        <w:tc>
          <w:tcPr>
            <w:tcW w:w="1244" w:type="dxa"/>
            <w:noWrap w:val="0"/>
            <w:vAlign w:val="center"/>
          </w:tcPr>
          <w:p>
            <w:pPr>
              <w:widowControl/>
              <w:tabs>
                <w:tab w:val="center" w:pos="4755"/>
                <w:tab w:val="right" w:pos="9070"/>
              </w:tabs>
              <w:spacing w:before="100" w:beforeAutospacing="1" w:after="100" w:afterAutospacing="1"/>
              <w:jc w:val="center"/>
              <w:rPr>
                <w:rFonts w:hAnsi="宋体"/>
                <w:color w:val="auto"/>
                <w:kern w:val="0"/>
                <w:sz w:val="24"/>
                <w:highlight w:val="none"/>
              </w:rPr>
            </w:pPr>
            <w:r>
              <w:rPr>
                <w:rFonts w:hint="eastAsia" w:hAnsi="宋体"/>
                <w:color w:val="auto"/>
                <w:kern w:val="0"/>
                <w:sz w:val="24"/>
                <w:highlight w:val="none"/>
              </w:rPr>
              <w:t>台班</w:t>
            </w:r>
          </w:p>
        </w:tc>
        <w:tc>
          <w:tcPr>
            <w:tcW w:w="1260" w:type="dxa"/>
            <w:noWrap w:val="0"/>
            <w:vAlign w:val="top"/>
          </w:tcPr>
          <w:p>
            <w:pPr>
              <w:widowControl/>
              <w:tabs>
                <w:tab w:val="center" w:pos="4755"/>
                <w:tab w:val="right" w:pos="9070"/>
              </w:tabs>
              <w:spacing w:before="100" w:beforeAutospacing="1" w:after="100" w:afterAutospacing="1"/>
              <w:jc w:val="center"/>
              <w:rPr>
                <w:rFonts w:hAnsi="宋体"/>
                <w:color w:val="auto"/>
                <w:kern w:val="0"/>
                <w:sz w:val="24"/>
                <w:highlight w:val="none"/>
              </w:rPr>
            </w:pPr>
          </w:p>
        </w:tc>
        <w:tc>
          <w:tcPr>
            <w:tcW w:w="2340" w:type="dxa"/>
            <w:noWrap w:val="0"/>
            <w:vAlign w:val="top"/>
          </w:tcPr>
          <w:p>
            <w:pPr>
              <w:widowControl/>
              <w:tabs>
                <w:tab w:val="center" w:pos="4755"/>
                <w:tab w:val="right" w:pos="9070"/>
              </w:tabs>
              <w:spacing w:before="100" w:beforeAutospacing="1" w:after="100" w:afterAutospacing="1"/>
              <w:jc w:val="center"/>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916"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3060"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1244"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1260"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2340"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916"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3060"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1244"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1260"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2340"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916"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3060"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1244"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1260"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2340"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916"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3060"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1244"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1260"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2340"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916"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3060"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1244"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1260"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2340"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916"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3060"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1244"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1260"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2340"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916"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3060"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1244"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1260"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2340"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916"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3060"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1244"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1260"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2340"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916"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3060"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1244"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1260"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2340"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916"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3060"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1244"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1260"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2340"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916"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3060"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1244"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1260"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2340"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916"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3060"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1244"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1260"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2340"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916"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3060"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1244"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1260"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2340"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916"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3060"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1244"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1260"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2340"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916"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3060"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1244"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1260"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2340"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916"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3060"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1244"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1260"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c>
          <w:tcPr>
            <w:tcW w:w="2340" w:type="dxa"/>
            <w:noWrap w:val="0"/>
            <w:vAlign w:val="top"/>
          </w:tcPr>
          <w:p>
            <w:pPr>
              <w:widowControl/>
              <w:tabs>
                <w:tab w:val="center" w:pos="4755"/>
                <w:tab w:val="right" w:pos="9070"/>
              </w:tabs>
              <w:spacing w:before="100" w:beforeAutospacing="1" w:after="100" w:afterAutospacing="1"/>
              <w:rPr>
                <w:rFonts w:hAnsi="宋体"/>
                <w:color w:val="auto"/>
                <w:kern w:val="0"/>
                <w:sz w:val="24"/>
                <w:highlight w:val="none"/>
              </w:rPr>
            </w:pPr>
          </w:p>
        </w:tc>
      </w:tr>
    </w:tbl>
    <w:p>
      <w:pPr>
        <w:widowControl/>
        <w:tabs>
          <w:tab w:val="center" w:pos="4755"/>
          <w:tab w:val="right" w:pos="9070"/>
        </w:tabs>
        <w:ind w:firstLine="240" w:firstLineChars="100"/>
        <w:jc w:val="left"/>
        <w:rPr>
          <w:rFonts w:hAnsi="宋体"/>
          <w:color w:val="auto"/>
          <w:kern w:val="0"/>
          <w:sz w:val="24"/>
          <w:highlight w:val="none"/>
        </w:rPr>
      </w:pPr>
      <w:r>
        <w:rPr>
          <w:rFonts w:hint="eastAsia" w:hAnsi="宋体"/>
          <w:color w:val="auto"/>
          <w:kern w:val="0"/>
          <w:sz w:val="24"/>
          <w:highlight w:val="none"/>
        </w:rPr>
        <w:t>注：表（1）（2）由招标人按需要提出，</w:t>
      </w:r>
      <w:r>
        <w:rPr>
          <w:rFonts w:hint="eastAsia" w:hAnsi="宋体"/>
          <w:color w:val="auto"/>
          <w:kern w:val="0"/>
          <w:sz w:val="24"/>
          <w:highlight w:val="none"/>
          <w:lang w:val="en-US" w:eastAsia="zh-CN"/>
        </w:rPr>
        <w:t>响应</w:t>
      </w:r>
      <w:r>
        <w:rPr>
          <w:rFonts w:hint="eastAsia" w:hAnsi="宋体"/>
          <w:color w:val="auto"/>
          <w:kern w:val="0"/>
          <w:sz w:val="24"/>
          <w:highlight w:val="none"/>
        </w:rPr>
        <w:t>人可补充。</w:t>
      </w:r>
    </w:p>
    <w:p>
      <w:pPr>
        <w:widowControl/>
        <w:tabs>
          <w:tab w:val="center" w:pos="4755"/>
          <w:tab w:val="right" w:pos="9070"/>
        </w:tabs>
        <w:ind w:firstLine="240" w:firstLineChars="100"/>
        <w:jc w:val="left"/>
        <w:rPr>
          <w:rFonts w:hAnsi="宋体"/>
          <w:color w:val="auto"/>
          <w:kern w:val="0"/>
          <w:sz w:val="24"/>
          <w:highlight w:val="none"/>
        </w:rPr>
      </w:pPr>
    </w:p>
    <w:p>
      <w:pPr>
        <w:widowControl/>
        <w:tabs>
          <w:tab w:val="center" w:pos="4755"/>
          <w:tab w:val="right" w:pos="9070"/>
        </w:tabs>
        <w:ind w:firstLine="240" w:firstLineChars="100"/>
        <w:jc w:val="left"/>
        <w:rPr>
          <w:rFonts w:hint="eastAsia" w:hAnsi="宋体"/>
          <w:color w:val="auto"/>
          <w:sz w:val="24"/>
          <w:highlight w:val="none"/>
        </w:rPr>
      </w:pPr>
      <w:r>
        <w:rPr>
          <w:rFonts w:hint="eastAsia" w:hAnsi="宋体"/>
          <w:color w:val="auto"/>
          <w:kern w:val="0"/>
          <w:sz w:val="24"/>
          <w:highlight w:val="none"/>
          <w:lang w:val="en-US" w:eastAsia="zh-CN"/>
        </w:rPr>
        <w:t>响应</w:t>
      </w:r>
      <w:r>
        <w:rPr>
          <w:rFonts w:hint="eastAsia" w:hAnsi="宋体"/>
          <w:color w:val="auto"/>
          <w:kern w:val="0"/>
          <w:sz w:val="24"/>
          <w:highlight w:val="none"/>
        </w:rPr>
        <w:t>人：（ 盖章）</w:t>
      </w:r>
      <w:r>
        <w:rPr>
          <w:rFonts w:hint="eastAsia" w:hAnsi="宋体"/>
          <w:color w:val="auto"/>
          <w:sz w:val="24"/>
          <w:highlight w:val="none"/>
        </w:rPr>
        <w:t xml:space="preserve">          </w:t>
      </w:r>
    </w:p>
    <w:p>
      <w:pPr>
        <w:pStyle w:val="797"/>
        <w:rPr>
          <w:rFonts w:hint="eastAsia" w:hAnsi="宋体"/>
          <w:color w:val="auto"/>
          <w:sz w:val="24"/>
          <w:highlight w:val="none"/>
        </w:rPr>
      </w:pPr>
    </w:p>
    <w:p>
      <w:pPr>
        <w:pStyle w:val="797"/>
        <w:jc w:val="center"/>
        <w:rPr>
          <w:rFonts w:hAnsi="宋体"/>
          <w:b/>
          <w:bCs/>
          <w:color w:val="auto"/>
          <w:sz w:val="32"/>
          <w:highlight w:val="none"/>
        </w:rPr>
      </w:pPr>
      <w:r>
        <w:rPr>
          <w:rFonts w:hint="eastAsia" w:hAnsi="宋体"/>
          <w:color w:val="auto"/>
          <w:sz w:val="24"/>
          <w:highlight w:val="none"/>
        </w:rPr>
        <w:br w:type="page"/>
      </w:r>
      <w:r>
        <w:rPr>
          <w:rFonts w:hint="eastAsia" w:hAnsi="宋体"/>
          <w:b/>
          <w:bCs/>
          <w:color w:val="auto"/>
          <w:sz w:val="28"/>
          <w:szCs w:val="28"/>
          <w:highlight w:val="none"/>
        </w:rPr>
        <w:t>表2-1　分部分项工程量清单综合单价分析表</w:t>
      </w:r>
    </w:p>
    <w:tbl>
      <w:tblPr>
        <w:tblStyle w:val="62"/>
        <w:tblW w:w="0" w:type="auto"/>
        <w:tblInd w:w="-547" w:type="dxa"/>
        <w:tblLayout w:type="fixed"/>
        <w:tblCellMar>
          <w:top w:w="0" w:type="dxa"/>
          <w:left w:w="108" w:type="dxa"/>
          <w:bottom w:w="0" w:type="dxa"/>
          <w:right w:w="108" w:type="dxa"/>
        </w:tblCellMar>
      </w:tblPr>
      <w:tblGrid>
        <w:gridCol w:w="540"/>
        <w:gridCol w:w="1080"/>
        <w:gridCol w:w="1080"/>
        <w:gridCol w:w="720"/>
        <w:gridCol w:w="720"/>
        <w:gridCol w:w="720"/>
        <w:gridCol w:w="720"/>
        <w:gridCol w:w="720"/>
        <w:gridCol w:w="720"/>
        <w:gridCol w:w="720"/>
        <w:gridCol w:w="720"/>
        <w:gridCol w:w="720"/>
        <w:gridCol w:w="1260"/>
      </w:tblGrid>
      <w:tr>
        <w:tblPrEx>
          <w:tblCellMar>
            <w:top w:w="0" w:type="dxa"/>
            <w:left w:w="108" w:type="dxa"/>
            <w:bottom w:w="0" w:type="dxa"/>
            <w:right w:w="108" w:type="dxa"/>
          </w:tblCellMar>
        </w:tblPrEx>
        <w:trPr>
          <w:trHeight w:val="525" w:hRule="atLeast"/>
        </w:trPr>
        <w:tc>
          <w:tcPr>
            <w:tcW w:w="10440" w:type="dxa"/>
            <w:gridSpan w:val="13"/>
            <w:tcBorders>
              <w:top w:val="nil"/>
              <w:left w:val="nil"/>
              <w:bottom w:val="single" w:color="auto" w:sz="4" w:space="0"/>
              <w:right w:val="nil"/>
            </w:tcBorders>
            <w:noWrap w:val="0"/>
            <w:vAlign w:val="center"/>
          </w:tcPr>
          <w:p>
            <w:pPr>
              <w:widowControl/>
              <w:jc w:val="left"/>
              <w:rPr>
                <w:rFonts w:hAnsi="宋体" w:cs="宋体"/>
                <w:color w:val="auto"/>
                <w:kern w:val="0"/>
                <w:sz w:val="24"/>
                <w:highlight w:val="none"/>
              </w:rPr>
            </w:pPr>
            <w:r>
              <w:rPr>
                <w:rFonts w:hint="eastAsia" w:hAnsi="宋体" w:cs="宋体"/>
                <w:color w:val="auto"/>
                <w:kern w:val="0"/>
                <w:sz w:val="24"/>
                <w:highlight w:val="none"/>
              </w:rPr>
              <w:t>工程名称：               清单号：                                     第 页 共 页</w:t>
            </w:r>
          </w:p>
        </w:tc>
      </w:tr>
      <w:tr>
        <w:tblPrEx>
          <w:tblCellMar>
            <w:top w:w="0" w:type="dxa"/>
            <w:left w:w="108" w:type="dxa"/>
            <w:bottom w:w="0" w:type="dxa"/>
            <w:right w:w="108" w:type="dxa"/>
          </w:tblCellMar>
        </w:tblPrEx>
        <w:trPr>
          <w:trHeight w:val="550" w:hRule="atLeast"/>
        </w:trPr>
        <w:tc>
          <w:tcPr>
            <w:tcW w:w="540" w:type="dxa"/>
            <w:vMerge w:val="restart"/>
            <w:tcBorders>
              <w:top w:val="nil"/>
              <w:left w:val="single" w:color="auto" w:sz="4" w:space="0"/>
              <w:right w:val="single" w:color="auto" w:sz="4" w:space="0"/>
            </w:tcBorders>
            <w:noWrap w:val="0"/>
            <w:vAlign w:val="center"/>
          </w:tcPr>
          <w:p>
            <w:pPr>
              <w:widowControl/>
              <w:spacing w:line="500" w:lineRule="exact"/>
              <w:jc w:val="center"/>
              <w:rPr>
                <w:rFonts w:hAnsi="宋体" w:cs="宋体"/>
                <w:color w:val="auto"/>
                <w:kern w:val="0"/>
                <w:sz w:val="24"/>
                <w:highlight w:val="none"/>
              </w:rPr>
            </w:pPr>
            <w:r>
              <w:rPr>
                <w:rFonts w:hint="eastAsia" w:hAnsi="宋体" w:cs="宋体"/>
                <w:color w:val="auto"/>
                <w:kern w:val="0"/>
                <w:sz w:val="24"/>
                <w:highlight w:val="none"/>
              </w:rPr>
              <w:t>序</w:t>
            </w:r>
          </w:p>
          <w:p>
            <w:pPr>
              <w:spacing w:line="500" w:lineRule="exact"/>
              <w:jc w:val="center"/>
              <w:rPr>
                <w:rFonts w:hAnsi="宋体" w:cs="宋体"/>
                <w:color w:val="auto"/>
                <w:kern w:val="0"/>
                <w:sz w:val="24"/>
                <w:highlight w:val="none"/>
              </w:rPr>
            </w:pPr>
            <w:r>
              <w:rPr>
                <w:rFonts w:hint="eastAsia" w:hAnsi="宋体" w:cs="宋体"/>
                <w:color w:val="auto"/>
                <w:kern w:val="0"/>
                <w:sz w:val="24"/>
                <w:highlight w:val="none"/>
              </w:rPr>
              <w:t>号</w:t>
            </w:r>
          </w:p>
        </w:tc>
        <w:tc>
          <w:tcPr>
            <w:tcW w:w="1080" w:type="dxa"/>
            <w:vMerge w:val="restart"/>
            <w:tcBorders>
              <w:top w:val="nil"/>
              <w:left w:val="single" w:color="auto" w:sz="4" w:space="0"/>
              <w:right w:val="single" w:color="auto" w:sz="4" w:space="0"/>
            </w:tcBorders>
            <w:noWrap w:val="0"/>
            <w:vAlign w:val="center"/>
          </w:tcPr>
          <w:p>
            <w:pPr>
              <w:widowControl/>
              <w:spacing w:line="500" w:lineRule="exact"/>
              <w:jc w:val="center"/>
              <w:rPr>
                <w:rFonts w:hAnsi="宋体" w:cs="宋体"/>
                <w:color w:val="auto"/>
                <w:kern w:val="0"/>
                <w:sz w:val="24"/>
                <w:highlight w:val="none"/>
              </w:rPr>
            </w:pPr>
            <w:r>
              <w:rPr>
                <w:rFonts w:hint="eastAsia" w:hAnsi="宋体" w:cs="宋体"/>
                <w:color w:val="auto"/>
                <w:kern w:val="0"/>
                <w:sz w:val="24"/>
                <w:highlight w:val="none"/>
              </w:rPr>
              <w:t>编号</w:t>
            </w:r>
          </w:p>
        </w:tc>
        <w:tc>
          <w:tcPr>
            <w:tcW w:w="1080" w:type="dxa"/>
            <w:vMerge w:val="restart"/>
            <w:tcBorders>
              <w:top w:val="nil"/>
              <w:left w:val="single" w:color="auto" w:sz="4" w:space="0"/>
              <w:right w:val="single" w:color="auto" w:sz="4" w:space="0"/>
            </w:tcBorders>
            <w:noWrap w:val="0"/>
            <w:vAlign w:val="center"/>
          </w:tcPr>
          <w:p>
            <w:pPr>
              <w:widowControl/>
              <w:spacing w:line="500" w:lineRule="exact"/>
              <w:jc w:val="center"/>
              <w:rPr>
                <w:rFonts w:hAnsi="宋体" w:cs="宋体"/>
                <w:color w:val="auto"/>
                <w:kern w:val="0"/>
                <w:sz w:val="24"/>
                <w:highlight w:val="none"/>
              </w:rPr>
            </w:pPr>
            <w:r>
              <w:rPr>
                <w:rFonts w:hint="eastAsia" w:hAnsi="宋体" w:cs="宋体"/>
                <w:color w:val="auto"/>
                <w:kern w:val="0"/>
                <w:sz w:val="24"/>
                <w:highlight w:val="none"/>
              </w:rPr>
              <w:t>名称</w:t>
            </w:r>
          </w:p>
        </w:tc>
        <w:tc>
          <w:tcPr>
            <w:tcW w:w="720" w:type="dxa"/>
            <w:vMerge w:val="restart"/>
            <w:tcBorders>
              <w:top w:val="nil"/>
              <w:left w:val="nil"/>
              <w:right w:val="single" w:color="auto" w:sz="4" w:space="0"/>
            </w:tcBorders>
            <w:noWrap w:val="0"/>
            <w:vAlign w:val="center"/>
          </w:tcPr>
          <w:p>
            <w:pPr>
              <w:widowControl/>
              <w:spacing w:line="500" w:lineRule="exact"/>
              <w:jc w:val="center"/>
              <w:rPr>
                <w:rFonts w:hAnsi="宋体" w:cs="宋体"/>
                <w:color w:val="auto"/>
                <w:kern w:val="0"/>
                <w:sz w:val="24"/>
                <w:highlight w:val="none"/>
              </w:rPr>
            </w:pPr>
            <w:r>
              <w:rPr>
                <w:rFonts w:hint="eastAsia" w:hAnsi="宋体" w:cs="宋体"/>
                <w:color w:val="auto"/>
                <w:kern w:val="0"/>
                <w:sz w:val="24"/>
                <w:highlight w:val="none"/>
              </w:rPr>
              <w:t>计量</w:t>
            </w:r>
          </w:p>
          <w:p>
            <w:pPr>
              <w:widowControl/>
              <w:spacing w:line="500" w:lineRule="exact"/>
              <w:jc w:val="center"/>
              <w:rPr>
                <w:rFonts w:hAnsi="宋体" w:cs="宋体"/>
                <w:color w:val="auto"/>
                <w:kern w:val="0"/>
                <w:sz w:val="24"/>
                <w:highlight w:val="none"/>
              </w:rPr>
            </w:pPr>
            <w:r>
              <w:rPr>
                <w:rFonts w:hint="eastAsia" w:hAnsi="宋体" w:cs="宋体"/>
                <w:color w:val="auto"/>
                <w:kern w:val="0"/>
                <w:sz w:val="24"/>
                <w:highlight w:val="none"/>
              </w:rPr>
              <w:t>单位</w:t>
            </w:r>
          </w:p>
        </w:tc>
        <w:tc>
          <w:tcPr>
            <w:tcW w:w="720" w:type="dxa"/>
            <w:vMerge w:val="restart"/>
            <w:tcBorders>
              <w:top w:val="nil"/>
              <w:left w:val="single" w:color="auto" w:sz="4" w:space="0"/>
              <w:right w:val="single" w:color="auto" w:sz="4" w:space="0"/>
            </w:tcBorders>
            <w:noWrap w:val="0"/>
            <w:vAlign w:val="center"/>
          </w:tcPr>
          <w:p>
            <w:pPr>
              <w:widowControl/>
              <w:spacing w:line="500" w:lineRule="exact"/>
              <w:jc w:val="center"/>
              <w:rPr>
                <w:rFonts w:hAnsi="宋体" w:cs="宋体"/>
                <w:color w:val="auto"/>
                <w:kern w:val="0"/>
                <w:sz w:val="24"/>
                <w:highlight w:val="none"/>
              </w:rPr>
            </w:pPr>
            <w:r>
              <w:rPr>
                <w:rFonts w:hint="eastAsia" w:hAnsi="宋体" w:cs="宋体"/>
                <w:color w:val="auto"/>
                <w:kern w:val="0"/>
                <w:sz w:val="24"/>
                <w:highlight w:val="none"/>
              </w:rPr>
              <w:t>数</w:t>
            </w:r>
          </w:p>
          <w:p>
            <w:pPr>
              <w:spacing w:line="500" w:lineRule="exact"/>
              <w:jc w:val="center"/>
              <w:rPr>
                <w:rFonts w:hAnsi="宋体" w:cs="宋体"/>
                <w:color w:val="auto"/>
                <w:kern w:val="0"/>
                <w:sz w:val="24"/>
                <w:highlight w:val="none"/>
              </w:rPr>
            </w:pPr>
            <w:r>
              <w:rPr>
                <w:rFonts w:hint="eastAsia" w:hAnsi="宋体" w:cs="宋体"/>
                <w:color w:val="auto"/>
                <w:kern w:val="0"/>
                <w:sz w:val="24"/>
                <w:highlight w:val="none"/>
              </w:rPr>
              <w:t>量</w:t>
            </w:r>
          </w:p>
        </w:tc>
        <w:tc>
          <w:tcPr>
            <w:tcW w:w="5040" w:type="dxa"/>
            <w:gridSpan w:val="7"/>
            <w:tcBorders>
              <w:top w:val="single" w:color="auto" w:sz="4" w:space="0"/>
              <w:left w:val="single" w:color="auto" w:sz="4" w:space="0"/>
              <w:bottom w:val="single" w:color="000000" w:sz="4" w:space="0"/>
              <w:right w:val="single" w:color="000000" w:sz="4" w:space="0"/>
            </w:tcBorders>
            <w:noWrap w:val="0"/>
            <w:vAlign w:val="center"/>
          </w:tcPr>
          <w:p>
            <w:pPr>
              <w:widowControl/>
              <w:spacing w:line="500" w:lineRule="exact"/>
              <w:jc w:val="center"/>
              <w:rPr>
                <w:rFonts w:hAnsi="宋体" w:cs="宋体"/>
                <w:color w:val="auto"/>
                <w:kern w:val="0"/>
                <w:sz w:val="24"/>
                <w:highlight w:val="none"/>
              </w:rPr>
            </w:pPr>
            <w:r>
              <w:rPr>
                <w:rFonts w:hint="eastAsia" w:hAnsi="宋体" w:cs="宋体"/>
                <w:color w:val="auto"/>
                <w:kern w:val="0"/>
                <w:sz w:val="24"/>
                <w:highlight w:val="none"/>
              </w:rPr>
              <w:t>综  合  单  价（元）</w:t>
            </w:r>
          </w:p>
        </w:tc>
        <w:tc>
          <w:tcPr>
            <w:tcW w:w="1260" w:type="dxa"/>
            <w:vMerge w:val="restart"/>
            <w:tcBorders>
              <w:top w:val="nil"/>
              <w:left w:val="single" w:color="auto" w:sz="4" w:space="0"/>
              <w:right w:val="single" w:color="auto" w:sz="4" w:space="0"/>
            </w:tcBorders>
            <w:noWrap w:val="0"/>
            <w:vAlign w:val="center"/>
          </w:tcPr>
          <w:p>
            <w:pPr>
              <w:widowControl/>
              <w:spacing w:line="500" w:lineRule="exact"/>
              <w:jc w:val="center"/>
              <w:rPr>
                <w:rFonts w:hAnsi="宋体" w:cs="宋体"/>
                <w:color w:val="auto"/>
                <w:kern w:val="0"/>
                <w:sz w:val="24"/>
                <w:highlight w:val="none"/>
              </w:rPr>
            </w:pPr>
            <w:r>
              <w:rPr>
                <w:rFonts w:hint="eastAsia" w:hAnsi="宋体" w:cs="宋体"/>
                <w:color w:val="auto"/>
                <w:kern w:val="0"/>
                <w:sz w:val="24"/>
                <w:highlight w:val="none"/>
              </w:rPr>
              <w:t>合计</w:t>
            </w:r>
          </w:p>
          <w:p>
            <w:pPr>
              <w:spacing w:line="500" w:lineRule="exact"/>
              <w:jc w:val="center"/>
              <w:rPr>
                <w:rFonts w:hAnsi="宋体" w:cs="宋体"/>
                <w:color w:val="auto"/>
                <w:kern w:val="0"/>
                <w:sz w:val="24"/>
                <w:highlight w:val="none"/>
              </w:rPr>
            </w:pPr>
            <w:r>
              <w:rPr>
                <w:rFonts w:hint="eastAsia" w:hAnsi="宋体" w:cs="宋体"/>
                <w:color w:val="auto"/>
                <w:kern w:val="0"/>
                <w:sz w:val="24"/>
                <w:highlight w:val="none"/>
              </w:rPr>
              <w:t>（元）</w:t>
            </w:r>
          </w:p>
        </w:tc>
      </w:tr>
      <w:tr>
        <w:tblPrEx>
          <w:tblCellMar>
            <w:top w:w="0" w:type="dxa"/>
            <w:left w:w="108" w:type="dxa"/>
            <w:bottom w:w="0" w:type="dxa"/>
            <w:right w:w="108" w:type="dxa"/>
          </w:tblCellMar>
        </w:tblPrEx>
        <w:trPr>
          <w:trHeight w:val="738" w:hRule="atLeast"/>
        </w:trPr>
        <w:tc>
          <w:tcPr>
            <w:tcW w:w="540" w:type="dxa"/>
            <w:vMerge w:val="continue"/>
            <w:tcBorders>
              <w:left w:val="single" w:color="auto" w:sz="4" w:space="0"/>
              <w:bottom w:val="single" w:color="auto" w:sz="4" w:space="0"/>
              <w:right w:val="single" w:color="auto" w:sz="4" w:space="0"/>
            </w:tcBorders>
            <w:noWrap w:val="0"/>
            <w:vAlign w:val="center"/>
          </w:tcPr>
          <w:p>
            <w:pPr>
              <w:widowControl/>
              <w:spacing w:line="500" w:lineRule="exact"/>
              <w:jc w:val="center"/>
              <w:rPr>
                <w:rFonts w:hAnsi="宋体" w:cs="宋体"/>
                <w:color w:val="auto"/>
                <w:kern w:val="0"/>
                <w:sz w:val="24"/>
                <w:highlight w:val="none"/>
              </w:rPr>
            </w:pPr>
          </w:p>
        </w:tc>
        <w:tc>
          <w:tcPr>
            <w:tcW w:w="1080" w:type="dxa"/>
            <w:vMerge w:val="continue"/>
            <w:tcBorders>
              <w:left w:val="single" w:color="auto" w:sz="4" w:space="0"/>
              <w:bottom w:val="single" w:color="auto" w:sz="4" w:space="0"/>
              <w:right w:val="single" w:color="auto" w:sz="4" w:space="0"/>
            </w:tcBorders>
            <w:noWrap w:val="0"/>
            <w:vAlign w:val="center"/>
          </w:tcPr>
          <w:p>
            <w:pPr>
              <w:widowControl/>
              <w:spacing w:line="500" w:lineRule="exact"/>
              <w:jc w:val="left"/>
              <w:rPr>
                <w:rFonts w:hAnsi="宋体" w:cs="宋体"/>
                <w:color w:val="auto"/>
                <w:kern w:val="0"/>
                <w:sz w:val="24"/>
                <w:highlight w:val="none"/>
              </w:rPr>
            </w:pPr>
          </w:p>
        </w:tc>
        <w:tc>
          <w:tcPr>
            <w:tcW w:w="1080" w:type="dxa"/>
            <w:vMerge w:val="continue"/>
            <w:tcBorders>
              <w:left w:val="single" w:color="auto" w:sz="4" w:space="0"/>
              <w:bottom w:val="single" w:color="auto" w:sz="4" w:space="0"/>
              <w:right w:val="single" w:color="auto" w:sz="4" w:space="0"/>
            </w:tcBorders>
            <w:noWrap w:val="0"/>
            <w:vAlign w:val="center"/>
          </w:tcPr>
          <w:p>
            <w:pPr>
              <w:widowControl/>
              <w:spacing w:line="500" w:lineRule="exact"/>
              <w:jc w:val="left"/>
              <w:rPr>
                <w:rFonts w:hAnsi="宋体" w:cs="宋体"/>
                <w:color w:val="auto"/>
                <w:kern w:val="0"/>
                <w:sz w:val="24"/>
                <w:highlight w:val="none"/>
              </w:rPr>
            </w:pPr>
          </w:p>
        </w:tc>
        <w:tc>
          <w:tcPr>
            <w:tcW w:w="720" w:type="dxa"/>
            <w:vMerge w:val="continue"/>
            <w:tcBorders>
              <w:left w:val="nil"/>
              <w:bottom w:val="single" w:color="auto" w:sz="4" w:space="0"/>
              <w:right w:val="single" w:color="auto" w:sz="4" w:space="0"/>
            </w:tcBorders>
            <w:noWrap w:val="0"/>
            <w:vAlign w:val="center"/>
          </w:tcPr>
          <w:p>
            <w:pPr>
              <w:spacing w:line="500" w:lineRule="exact"/>
              <w:jc w:val="center"/>
              <w:rPr>
                <w:rFonts w:hAnsi="宋体" w:cs="宋体"/>
                <w:color w:val="auto"/>
                <w:kern w:val="0"/>
                <w:sz w:val="24"/>
                <w:highlight w:val="none"/>
              </w:rPr>
            </w:pPr>
          </w:p>
        </w:tc>
        <w:tc>
          <w:tcPr>
            <w:tcW w:w="720" w:type="dxa"/>
            <w:vMerge w:val="continue"/>
            <w:tcBorders>
              <w:left w:val="single" w:color="auto" w:sz="4" w:space="0"/>
              <w:bottom w:val="single" w:color="auto" w:sz="4" w:space="0"/>
              <w:right w:val="single" w:color="auto" w:sz="4" w:space="0"/>
            </w:tcBorders>
            <w:noWrap w:val="0"/>
            <w:vAlign w:val="center"/>
          </w:tcPr>
          <w:p>
            <w:pPr>
              <w:widowControl/>
              <w:spacing w:line="500" w:lineRule="exact"/>
              <w:jc w:val="center"/>
              <w:rPr>
                <w:rFonts w:hAnsi="宋体" w:cs="宋体"/>
                <w:color w:val="auto"/>
                <w:kern w:val="0"/>
                <w:sz w:val="24"/>
                <w:highlight w:val="none"/>
              </w:rPr>
            </w:pPr>
          </w:p>
        </w:tc>
        <w:tc>
          <w:tcPr>
            <w:tcW w:w="720"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Ansi="宋体" w:cs="宋体"/>
                <w:color w:val="auto"/>
                <w:kern w:val="0"/>
                <w:sz w:val="24"/>
                <w:highlight w:val="none"/>
              </w:rPr>
            </w:pPr>
            <w:r>
              <w:rPr>
                <w:rFonts w:hint="eastAsia" w:hAnsi="宋体" w:cs="宋体"/>
                <w:color w:val="auto"/>
                <w:kern w:val="0"/>
                <w:sz w:val="24"/>
                <w:highlight w:val="none"/>
              </w:rPr>
              <w:t>人</w:t>
            </w:r>
          </w:p>
          <w:p>
            <w:pPr>
              <w:widowControl/>
              <w:spacing w:line="300" w:lineRule="exact"/>
              <w:jc w:val="center"/>
              <w:rPr>
                <w:rFonts w:hAnsi="宋体" w:cs="宋体"/>
                <w:color w:val="auto"/>
                <w:kern w:val="0"/>
                <w:sz w:val="24"/>
                <w:highlight w:val="none"/>
              </w:rPr>
            </w:pPr>
            <w:r>
              <w:rPr>
                <w:rFonts w:hint="eastAsia" w:hAnsi="宋体" w:cs="宋体"/>
                <w:color w:val="auto"/>
                <w:kern w:val="0"/>
                <w:sz w:val="24"/>
                <w:highlight w:val="none"/>
              </w:rPr>
              <w:t>工</w:t>
            </w:r>
          </w:p>
          <w:p>
            <w:pPr>
              <w:widowControl/>
              <w:spacing w:line="300" w:lineRule="exact"/>
              <w:jc w:val="center"/>
              <w:rPr>
                <w:rFonts w:hAnsi="宋体" w:cs="宋体"/>
                <w:color w:val="auto"/>
                <w:kern w:val="0"/>
                <w:sz w:val="24"/>
                <w:highlight w:val="none"/>
              </w:rPr>
            </w:pPr>
            <w:r>
              <w:rPr>
                <w:rFonts w:hint="eastAsia" w:hAnsi="宋体" w:cs="宋体"/>
                <w:color w:val="auto"/>
                <w:kern w:val="0"/>
                <w:sz w:val="24"/>
                <w:highlight w:val="none"/>
              </w:rPr>
              <w:t>费</w:t>
            </w:r>
          </w:p>
        </w:tc>
        <w:tc>
          <w:tcPr>
            <w:tcW w:w="720"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Ansi="宋体" w:cs="宋体"/>
                <w:color w:val="auto"/>
                <w:kern w:val="0"/>
                <w:sz w:val="24"/>
                <w:highlight w:val="none"/>
              </w:rPr>
            </w:pPr>
            <w:r>
              <w:rPr>
                <w:rFonts w:hint="eastAsia" w:hAnsi="宋体" w:cs="宋体"/>
                <w:color w:val="auto"/>
                <w:kern w:val="0"/>
                <w:sz w:val="24"/>
                <w:highlight w:val="none"/>
              </w:rPr>
              <w:t>材</w:t>
            </w:r>
          </w:p>
          <w:p>
            <w:pPr>
              <w:widowControl/>
              <w:spacing w:line="300" w:lineRule="exact"/>
              <w:jc w:val="center"/>
              <w:rPr>
                <w:rFonts w:hAnsi="宋体" w:cs="宋体"/>
                <w:color w:val="auto"/>
                <w:kern w:val="0"/>
                <w:sz w:val="24"/>
                <w:highlight w:val="none"/>
              </w:rPr>
            </w:pPr>
            <w:r>
              <w:rPr>
                <w:rFonts w:hint="eastAsia" w:hAnsi="宋体" w:cs="宋体"/>
                <w:color w:val="auto"/>
                <w:kern w:val="0"/>
                <w:sz w:val="24"/>
                <w:highlight w:val="none"/>
              </w:rPr>
              <w:t>料</w:t>
            </w:r>
          </w:p>
          <w:p>
            <w:pPr>
              <w:widowControl/>
              <w:spacing w:line="300" w:lineRule="exact"/>
              <w:jc w:val="center"/>
              <w:rPr>
                <w:rFonts w:hAnsi="宋体" w:cs="宋体"/>
                <w:color w:val="auto"/>
                <w:kern w:val="0"/>
                <w:sz w:val="24"/>
                <w:highlight w:val="none"/>
              </w:rPr>
            </w:pPr>
            <w:r>
              <w:rPr>
                <w:rFonts w:hint="eastAsia" w:hAnsi="宋体" w:cs="宋体"/>
                <w:color w:val="auto"/>
                <w:kern w:val="0"/>
                <w:sz w:val="24"/>
                <w:highlight w:val="none"/>
              </w:rPr>
              <w:t>费</w:t>
            </w:r>
          </w:p>
        </w:tc>
        <w:tc>
          <w:tcPr>
            <w:tcW w:w="720"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Ansi="宋体" w:cs="宋体"/>
                <w:color w:val="auto"/>
                <w:kern w:val="0"/>
                <w:sz w:val="24"/>
                <w:highlight w:val="none"/>
              </w:rPr>
            </w:pPr>
            <w:r>
              <w:rPr>
                <w:rFonts w:hint="eastAsia" w:hAnsi="宋体" w:cs="宋体"/>
                <w:color w:val="auto"/>
                <w:kern w:val="0"/>
                <w:sz w:val="24"/>
                <w:highlight w:val="none"/>
              </w:rPr>
              <w:t>机</w:t>
            </w:r>
          </w:p>
          <w:p>
            <w:pPr>
              <w:widowControl/>
              <w:spacing w:line="300" w:lineRule="exact"/>
              <w:jc w:val="center"/>
              <w:rPr>
                <w:rFonts w:hAnsi="宋体" w:cs="宋体"/>
                <w:color w:val="auto"/>
                <w:kern w:val="0"/>
                <w:sz w:val="24"/>
                <w:highlight w:val="none"/>
              </w:rPr>
            </w:pPr>
            <w:r>
              <w:rPr>
                <w:rFonts w:hint="eastAsia" w:hAnsi="宋体" w:cs="宋体"/>
                <w:color w:val="auto"/>
                <w:kern w:val="0"/>
                <w:sz w:val="24"/>
                <w:highlight w:val="none"/>
              </w:rPr>
              <w:t>械</w:t>
            </w:r>
          </w:p>
          <w:p>
            <w:pPr>
              <w:widowControl/>
              <w:spacing w:line="300" w:lineRule="exact"/>
              <w:jc w:val="center"/>
              <w:rPr>
                <w:rFonts w:hAnsi="宋体" w:cs="宋体"/>
                <w:color w:val="auto"/>
                <w:kern w:val="0"/>
                <w:sz w:val="24"/>
                <w:highlight w:val="none"/>
              </w:rPr>
            </w:pPr>
            <w:r>
              <w:rPr>
                <w:rFonts w:hint="eastAsia" w:hAnsi="宋体" w:cs="宋体"/>
                <w:color w:val="auto"/>
                <w:kern w:val="0"/>
                <w:sz w:val="24"/>
                <w:highlight w:val="none"/>
              </w:rPr>
              <w:t>费</w:t>
            </w:r>
          </w:p>
        </w:tc>
        <w:tc>
          <w:tcPr>
            <w:tcW w:w="720"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Ansi="宋体" w:cs="宋体"/>
                <w:color w:val="auto"/>
                <w:kern w:val="0"/>
                <w:sz w:val="24"/>
                <w:highlight w:val="none"/>
              </w:rPr>
            </w:pPr>
            <w:r>
              <w:rPr>
                <w:rFonts w:hint="eastAsia" w:hAnsi="宋体" w:cs="宋体"/>
                <w:color w:val="auto"/>
                <w:kern w:val="0"/>
                <w:sz w:val="24"/>
                <w:highlight w:val="none"/>
              </w:rPr>
              <w:t>管</w:t>
            </w:r>
          </w:p>
          <w:p>
            <w:pPr>
              <w:widowControl/>
              <w:spacing w:line="300" w:lineRule="exact"/>
              <w:jc w:val="center"/>
              <w:rPr>
                <w:rFonts w:hAnsi="宋体" w:cs="宋体"/>
                <w:color w:val="auto"/>
                <w:kern w:val="0"/>
                <w:sz w:val="24"/>
                <w:highlight w:val="none"/>
              </w:rPr>
            </w:pPr>
            <w:r>
              <w:rPr>
                <w:rFonts w:hint="eastAsia" w:hAnsi="宋体" w:cs="宋体"/>
                <w:color w:val="auto"/>
                <w:kern w:val="0"/>
                <w:sz w:val="24"/>
                <w:highlight w:val="none"/>
              </w:rPr>
              <w:t>理</w:t>
            </w:r>
          </w:p>
          <w:p>
            <w:pPr>
              <w:widowControl/>
              <w:spacing w:line="300" w:lineRule="exact"/>
              <w:jc w:val="center"/>
              <w:rPr>
                <w:rFonts w:hAnsi="宋体" w:cs="宋体"/>
                <w:color w:val="auto"/>
                <w:kern w:val="0"/>
                <w:sz w:val="24"/>
                <w:highlight w:val="none"/>
              </w:rPr>
            </w:pPr>
            <w:r>
              <w:rPr>
                <w:rFonts w:hint="eastAsia" w:hAnsi="宋体" w:cs="宋体"/>
                <w:color w:val="auto"/>
                <w:kern w:val="0"/>
                <w:sz w:val="24"/>
                <w:highlight w:val="none"/>
              </w:rPr>
              <w:t>费</w:t>
            </w:r>
          </w:p>
        </w:tc>
        <w:tc>
          <w:tcPr>
            <w:tcW w:w="720"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hAnsi="宋体" w:cs="宋体"/>
                <w:color w:val="auto"/>
                <w:kern w:val="0"/>
                <w:sz w:val="24"/>
                <w:highlight w:val="none"/>
              </w:rPr>
            </w:pPr>
            <w:r>
              <w:rPr>
                <w:rFonts w:hint="eastAsia" w:hAnsi="宋体" w:cs="宋体"/>
                <w:color w:val="auto"/>
                <w:kern w:val="0"/>
                <w:sz w:val="24"/>
                <w:highlight w:val="none"/>
              </w:rPr>
              <w:t>利</w:t>
            </w:r>
          </w:p>
          <w:p>
            <w:pPr>
              <w:widowControl/>
              <w:spacing w:line="500" w:lineRule="exact"/>
              <w:jc w:val="center"/>
              <w:rPr>
                <w:rFonts w:hAnsi="宋体" w:cs="宋体"/>
                <w:color w:val="auto"/>
                <w:kern w:val="0"/>
                <w:sz w:val="24"/>
                <w:highlight w:val="none"/>
              </w:rPr>
            </w:pPr>
            <w:r>
              <w:rPr>
                <w:rFonts w:hint="eastAsia" w:hAnsi="宋体" w:cs="宋体"/>
                <w:color w:val="auto"/>
                <w:kern w:val="0"/>
                <w:sz w:val="24"/>
                <w:highlight w:val="none"/>
              </w:rPr>
              <w:t>润</w:t>
            </w:r>
          </w:p>
        </w:tc>
        <w:tc>
          <w:tcPr>
            <w:tcW w:w="720" w:type="dxa"/>
            <w:tcBorders>
              <w:top w:val="nil"/>
              <w:left w:val="nil"/>
              <w:bottom w:val="single" w:color="auto" w:sz="4" w:space="0"/>
              <w:right w:val="single" w:color="auto" w:sz="4" w:space="0"/>
            </w:tcBorders>
            <w:noWrap w:val="0"/>
            <w:vAlign w:val="center"/>
          </w:tcPr>
          <w:p>
            <w:pPr>
              <w:widowControl/>
              <w:spacing w:line="500" w:lineRule="exact"/>
              <w:jc w:val="center"/>
              <w:rPr>
                <w:rFonts w:hAnsi="宋体" w:cs="宋体"/>
                <w:color w:val="auto"/>
                <w:kern w:val="0"/>
                <w:sz w:val="24"/>
                <w:highlight w:val="none"/>
              </w:rPr>
            </w:pPr>
            <w:r>
              <w:rPr>
                <w:rFonts w:hint="eastAsia" w:hAnsi="宋体" w:cs="宋体"/>
                <w:color w:val="auto"/>
                <w:kern w:val="0"/>
                <w:sz w:val="24"/>
                <w:highlight w:val="none"/>
              </w:rPr>
              <w:t>风险</w:t>
            </w:r>
          </w:p>
          <w:p>
            <w:pPr>
              <w:jc w:val="center"/>
              <w:rPr>
                <w:rFonts w:hAnsi="宋体" w:cs="宋体"/>
                <w:color w:val="auto"/>
                <w:kern w:val="0"/>
                <w:sz w:val="24"/>
                <w:highlight w:val="none"/>
              </w:rPr>
            </w:pPr>
            <w:r>
              <w:rPr>
                <w:rFonts w:hint="eastAsia" w:hAnsi="宋体" w:cs="宋体"/>
                <w:color w:val="auto"/>
                <w:kern w:val="0"/>
                <w:sz w:val="24"/>
                <w:highlight w:val="none"/>
              </w:rPr>
              <w:t>费用</w:t>
            </w:r>
          </w:p>
        </w:tc>
        <w:tc>
          <w:tcPr>
            <w:tcW w:w="720"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hAnsi="宋体" w:cs="宋体"/>
                <w:color w:val="auto"/>
                <w:kern w:val="0"/>
                <w:sz w:val="24"/>
                <w:highlight w:val="none"/>
              </w:rPr>
            </w:pPr>
            <w:r>
              <w:rPr>
                <w:rFonts w:hint="eastAsia" w:hAnsi="宋体" w:cs="宋体"/>
                <w:color w:val="auto"/>
                <w:kern w:val="0"/>
                <w:sz w:val="24"/>
                <w:highlight w:val="none"/>
              </w:rPr>
              <w:t>小 计</w:t>
            </w:r>
          </w:p>
        </w:tc>
        <w:tc>
          <w:tcPr>
            <w:tcW w:w="1260" w:type="dxa"/>
            <w:vMerge w:val="continue"/>
            <w:tcBorders>
              <w:left w:val="single" w:color="auto" w:sz="4" w:space="0"/>
              <w:bottom w:val="single" w:color="auto" w:sz="4" w:space="0"/>
              <w:right w:val="single" w:color="auto" w:sz="4" w:space="0"/>
            </w:tcBorders>
            <w:noWrap w:val="0"/>
            <w:vAlign w:val="center"/>
          </w:tcPr>
          <w:p>
            <w:pPr>
              <w:widowControl/>
              <w:spacing w:line="500" w:lineRule="exact"/>
              <w:jc w:val="center"/>
              <w:rPr>
                <w:rFonts w:hAnsi="宋体" w:cs="宋体"/>
                <w:color w:val="auto"/>
                <w:kern w:val="0"/>
                <w:szCs w:val="21"/>
                <w:highlight w:val="none"/>
              </w:rPr>
            </w:pPr>
          </w:p>
        </w:tc>
      </w:tr>
      <w:tr>
        <w:tblPrEx>
          <w:tblCellMar>
            <w:top w:w="0" w:type="dxa"/>
            <w:left w:w="108" w:type="dxa"/>
            <w:bottom w:w="0" w:type="dxa"/>
            <w:right w:w="108" w:type="dxa"/>
          </w:tblCellMar>
        </w:tblPrEx>
        <w:trPr>
          <w:trHeight w:val="450" w:hRule="atLeast"/>
        </w:trPr>
        <w:tc>
          <w:tcPr>
            <w:tcW w:w="540"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hAnsi="宋体" w:cs="宋体"/>
                <w:color w:val="auto"/>
                <w:kern w:val="0"/>
                <w:sz w:val="20"/>
                <w:highlight w:val="none"/>
              </w:rPr>
            </w:pPr>
          </w:p>
        </w:tc>
        <w:tc>
          <w:tcPr>
            <w:tcW w:w="1080" w:type="dxa"/>
            <w:tcBorders>
              <w:top w:val="nil"/>
              <w:left w:val="nil"/>
              <w:bottom w:val="single" w:color="auto" w:sz="4" w:space="0"/>
              <w:right w:val="single" w:color="auto" w:sz="4" w:space="0"/>
            </w:tcBorders>
            <w:noWrap w:val="0"/>
            <w:vAlign w:val="center"/>
          </w:tcPr>
          <w:p>
            <w:pPr>
              <w:widowControl/>
              <w:spacing w:line="500" w:lineRule="exact"/>
              <w:jc w:val="center"/>
              <w:rPr>
                <w:rFonts w:hAnsi="宋体" w:cs="宋体"/>
                <w:color w:val="auto"/>
                <w:kern w:val="0"/>
                <w:sz w:val="20"/>
                <w:highlight w:val="none"/>
              </w:rPr>
            </w:pPr>
            <w:r>
              <w:rPr>
                <w:rFonts w:hint="eastAsia" w:hAnsi="宋体" w:cs="宋体"/>
                <w:color w:val="auto"/>
                <w:kern w:val="0"/>
                <w:sz w:val="20"/>
                <w:highlight w:val="none"/>
              </w:rPr>
              <w:t>（1）</w:t>
            </w:r>
          </w:p>
        </w:tc>
        <w:tc>
          <w:tcPr>
            <w:tcW w:w="1080" w:type="dxa"/>
            <w:tcBorders>
              <w:top w:val="nil"/>
              <w:left w:val="nil"/>
              <w:bottom w:val="single" w:color="auto" w:sz="4" w:space="0"/>
              <w:right w:val="single" w:color="auto" w:sz="4" w:space="0"/>
            </w:tcBorders>
            <w:noWrap w:val="0"/>
            <w:vAlign w:val="center"/>
          </w:tcPr>
          <w:p>
            <w:pPr>
              <w:widowControl/>
              <w:spacing w:line="500" w:lineRule="exact"/>
              <w:jc w:val="center"/>
              <w:rPr>
                <w:rFonts w:hAnsi="宋体" w:cs="宋体"/>
                <w:color w:val="auto"/>
                <w:kern w:val="0"/>
                <w:sz w:val="20"/>
                <w:highlight w:val="none"/>
              </w:rPr>
            </w:pPr>
            <w:r>
              <w:rPr>
                <w:rFonts w:hint="eastAsia" w:hAnsi="宋体" w:cs="宋体"/>
                <w:color w:val="auto"/>
                <w:kern w:val="0"/>
                <w:sz w:val="20"/>
                <w:highlight w:val="none"/>
              </w:rPr>
              <w:t>（2）</w:t>
            </w:r>
          </w:p>
        </w:tc>
        <w:tc>
          <w:tcPr>
            <w:tcW w:w="720" w:type="dxa"/>
            <w:tcBorders>
              <w:top w:val="nil"/>
              <w:left w:val="nil"/>
              <w:bottom w:val="single" w:color="auto" w:sz="4" w:space="0"/>
              <w:right w:val="single" w:color="auto" w:sz="4" w:space="0"/>
            </w:tcBorders>
            <w:noWrap w:val="0"/>
            <w:vAlign w:val="center"/>
          </w:tcPr>
          <w:p>
            <w:pPr>
              <w:widowControl/>
              <w:spacing w:line="500" w:lineRule="exact"/>
              <w:jc w:val="center"/>
              <w:rPr>
                <w:rFonts w:hAnsi="宋体" w:cs="宋体"/>
                <w:color w:val="auto"/>
                <w:kern w:val="0"/>
                <w:sz w:val="20"/>
                <w:highlight w:val="none"/>
              </w:rPr>
            </w:pPr>
            <w:r>
              <w:rPr>
                <w:rFonts w:hint="eastAsia" w:hAnsi="宋体" w:cs="宋体"/>
                <w:color w:val="auto"/>
                <w:kern w:val="0"/>
                <w:sz w:val="20"/>
                <w:highlight w:val="none"/>
              </w:rPr>
              <w:t>（3）</w:t>
            </w:r>
          </w:p>
        </w:tc>
        <w:tc>
          <w:tcPr>
            <w:tcW w:w="720" w:type="dxa"/>
            <w:tcBorders>
              <w:top w:val="nil"/>
              <w:left w:val="nil"/>
              <w:bottom w:val="single" w:color="auto" w:sz="4" w:space="0"/>
              <w:right w:val="single" w:color="auto" w:sz="4" w:space="0"/>
            </w:tcBorders>
            <w:noWrap w:val="0"/>
            <w:vAlign w:val="center"/>
          </w:tcPr>
          <w:p>
            <w:pPr>
              <w:widowControl/>
              <w:spacing w:line="500" w:lineRule="exact"/>
              <w:jc w:val="center"/>
              <w:rPr>
                <w:rFonts w:hAnsi="宋体" w:cs="宋体"/>
                <w:color w:val="auto"/>
                <w:kern w:val="0"/>
                <w:sz w:val="20"/>
                <w:highlight w:val="none"/>
              </w:rPr>
            </w:pPr>
            <w:r>
              <w:rPr>
                <w:rFonts w:hint="eastAsia" w:hAnsi="宋体" w:cs="宋体"/>
                <w:color w:val="auto"/>
                <w:kern w:val="0"/>
                <w:sz w:val="20"/>
                <w:highlight w:val="none"/>
              </w:rPr>
              <w:t>（4）</w:t>
            </w:r>
          </w:p>
        </w:tc>
        <w:tc>
          <w:tcPr>
            <w:tcW w:w="720" w:type="dxa"/>
            <w:tcBorders>
              <w:top w:val="nil"/>
              <w:left w:val="nil"/>
              <w:bottom w:val="single" w:color="auto" w:sz="4" w:space="0"/>
              <w:right w:val="single" w:color="auto" w:sz="4" w:space="0"/>
            </w:tcBorders>
            <w:noWrap w:val="0"/>
            <w:vAlign w:val="center"/>
          </w:tcPr>
          <w:p>
            <w:pPr>
              <w:widowControl/>
              <w:spacing w:line="500" w:lineRule="exact"/>
              <w:jc w:val="center"/>
              <w:rPr>
                <w:rFonts w:hAnsi="宋体" w:cs="宋体"/>
                <w:color w:val="auto"/>
                <w:kern w:val="0"/>
                <w:sz w:val="20"/>
                <w:highlight w:val="none"/>
              </w:rPr>
            </w:pPr>
            <w:r>
              <w:rPr>
                <w:rFonts w:hint="eastAsia" w:hAnsi="宋体" w:cs="宋体"/>
                <w:color w:val="auto"/>
                <w:kern w:val="0"/>
                <w:sz w:val="20"/>
                <w:highlight w:val="none"/>
              </w:rPr>
              <w:t>（5）</w:t>
            </w:r>
          </w:p>
        </w:tc>
        <w:tc>
          <w:tcPr>
            <w:tcW w:w="720" w:type="dxa"/>
            <w:tcBorders>
              <w:top w:val="nil"/>
              <w:left w:val="nil"/>
              <w:bottom w:val="single" w:color="auto" w:sz="4" w:space="0"/>
              <w:right w:val="single" w:color="auto" w:sz="4" w:space="0"/>
            </w:tcBorders>
            <w:noWrap w:val="0"/>
            <w:vAlign w:val="center"/>
          </w:tcPr>
          <w:p>
            <w:pPr>
              <w:widowControl/>
              <w:spacing w:line="500" w:lineRule="exact"/>
              <w:jc w:val="center"/>
              <w:rPr>
                <w:rFonts w:hAnsi="宋体" w:cs="宋体"/>
                <w:color w:val="auto"/>
                <w:kern w:val="0"/>
                <w:sz w:val="20"/>
                <w:highlight w:val="none"/>
              </w:rPr>
            </w:pPr>
            <w:r>
              <w:rPr>
                <w:rFonts w:hint="eastAsia" w:hAnsi="宋体" w:cs="宋体"/>
                <w:color w:val="auto"/>
                <w:kern w:val="0"/>
                <w:sz w:val="20"/>
                <w:highlight w:val="none"/>
              </w:rPr>
              <w:t>（6）</w:t>
            </w:r>
          </w:p>
        </w:tc>
        <w:tc>
          <w:tcPr>
            <w:tcW w:w="720" w:type="dxa"/>
            <w:tcBorders>
              <w:top w:val="nil"/>
              <w:left w:val="nil"/>
              <w:bottom w:val="single" w:color="auto" w:sz="4" w:space="0"/>
              <w:right w:val="single" w:color="auto" w:sz="4" w:space="0"/>
            </w:tcBorders>
            <w:noWrap w:val="0"/>
            <w:vAlign w:val="center"/>
          </w:tcPr>
          <w:p>
            <w:pPr>
              <w:widowControl/>
              <w:spacing w:line="500" w:lineRule="exact"/>
              <w:jc w:val="center"/>
              <w:rPr>
                <w:rFonts w:hAnsi="宋体" w:cs="宋体"/>
                <w:color w:val="auto"/>
                <w:kern w:val="0"/>
                <w:sz w:val="20"/>
                <w:highlight w:val="none"/>
              </w:rPr>
            </w:pPr>
            <w:r>
              <w:rPr>
                <w:rFonts w:hint="eastAsia" w:hAnsi="宋体" w:cs="宋体"/>
                <w:color w:val="auto"/>
                <w:kern w:val="0"/>
                <w:sz w:val="20"/>
                <w:highlight w:val="none"/>
              </w:rPr>
              <w:t>（7）</w:t>
            </w:r>
          </w:p>
        </w:tc>
        <w:tc>
          <w:tcPr>
            <w:tcW w:w="720" w:type="dxa"/>
            <w:tcBorders>
              <w:top w:val="nil"/>
              <w:left w:val="nil"/>
              <w:bottom w:val="single" w:color="auto" w:sz="4" w:space="0"/>
              <w:right w:val="single" w:color="auto" w:sz="4" w:space="0"/>
            </w:tcBorders>
            <w:noWrap w:val="0"/>
            <w:vAlign w:val="center"/>
          </w:tcPr>
          <w:p>
            <w:pPr>
              <w:widowControl/>
              <w:spacing w:line="500" w:lineRule="exact"/>
              <w:jc w:val="center"/>
              <w:rPr>
                <w:rFonts w:hAnsi="宋体" w:cs="宋体"/>
                <w:color w:val="auto"/>
                <w:kern w:val="0"/>
                <w:sz w:val="20"/>
                <w:highlight w:val="none"/>
              </w:rPr>
            </w:pPr>
            <w:r>
              <w:rPr>
                <w:rFonts w:hint="eastAsia" w:hAnsi="宋体" w:cs="宋体"/>
                <w:color w:val="auto"/>
                <w:kern w:val="0"/>
                <w:sz w:val="20"/>
                <w:highlight w:val="none"/>
              </w:rPr>
              <w:t>（8）</w:t>
            </w:r>
          </w:p>
        </w:tc>
        <w:tc>
          <w:tcPr>
            <w:tcW w:w="720" w:type="dxa"/>
            <w:tcBorders>
              <w:top w:val="nil"/>
              <w:left w:val="nil"/>
              <w:bottom w:val="single" w:color="auto" w:sz="4" w:space="0"/>
              <w:right w:val="single" w:color="auto" w:sz="4" w:space="0"/>
            </w:tcBorders>
            <w:noWrap w:val="0"/>
            <w:vAlign w:val="center"/>
          </w:tcPr>
          <w:p>
            <w:pPr>
              <w:widowControl/>
              <w:spacing w:line="500" w:lineRule="exact"/>
              <w:jc w:val="center"/>
              <w:rPr>
                <w:rFonts w:hAnsi="宋体" w:cs="宋体"/>
                <w:color w:val="auto"/>
                <w:kern w:val="0"/>
                <w:sz w:val="20"/>
                <w:highlight w:val="none"/>
              </w:rPr>
            </w:pPr>
            <w:r>
              <w:rPr>
                <w:rFonts w:hint="eastAsia" w:hAnsi="宋体" w:cs="宋体"/>
                <w:color w:val="auto"/>
                <w:kern w:val="0"/>
                <w:sz w:val="20"/>
                <w:highlight w:val="none"/>
              </w:rPr>
              <w:t>（9）</w:t>
            </w:r>
          </w:p>
        </w:tc>
        <w:tc>
          <w:tcPr>
            <w:tcW w:w="720" w:type="dxa"/>
            <w:tcBorders>
              <w:top w:val="nil"/>
              <w:left w:val="nil"/>
              <w:bottom w:val="single" w:color="auto" w:sz="4" w:space="0"/>
              <w:right w:val="single" w:color="auto" w:sz="4" w:space="0"/>
            </w:tcBorders>
            <w:noWrap w:val="0"/>
            <w:vAlign w:val="center"/>
          </w:tcPr>
          <w:p>
            <w:pPr>
              <w:widowControl/>
              <w:spacing w:line="500" w:lineRule="exact"/>
              <w:jc w:val="center"/>
              <w:rPr>
                <w:rFonts w:hAnsi="宋体" w:cs="宋体"/>
                <w:color w:val="auto"/>
                <w:kern w:val="0"/>
                <w:sz w:val="20"/>
                <w:highlight w:val="none"/>
              </w:rPr>
            </w:pPr>
            <w:r>
              <w:rPr>
                <w:rFonts w:hint="eastAsia" w:hAnsi="宋体" w:cs="宋体"/>
                <w:color w:val="auto"/>
                <w:kern w:val="0"/>
                <w:sz w:val="20"/>
                <w:highlight w:val="none"/>
              </w:rPr>
              <w:t>（10）</w:t>
            </w:r>
          </w:p>
        </w:tc>
        <w:tc>
          <w:tcPr>
            <w:tcW w:w="720" w:type="dxa"/>
            <w:tcBorders>
              <w:top w:val="nil"/>
              <w:left w:val="nil"/>
              <w:bottom w:val="single" w:color="auto" w:sz="4" w:space="0"/>
              <w:right w:val="single" w:color="auto" w:sz="4" w:space="0"/>
            </w:tcBorders>
            <w:noWrap w:val="0"/>
            <w:vAlign w:val="center"/>
          </w:tcPr>
          <w:p>
            <w:pPr>
              <w:widowControl/>
              <w:spacing w:line="500" w:lineRule="exact"/>
              <w:jc w:val="center"/>
              <w:rPr>
                <w:rFonts w:hAnsi="宋体" w:cs="宋体"/>
                <w:color w:val="auto"/>
                <w:kern w:val="0"/>
                <w:sz w:val="20"/>
                <w:highlight w:val="none"/>
              </w:rPr>
            </w:pPr>
            <w:r>
              <w:rPr>
                <w:rFonts w:hint="eastAsia" w:hAnsi="宋体" w:cs="宋体"/>
                <w:color w:val="auto"/>
                <w:kern w:val="0"/>
                <w:sz w:val="20"/>
                <w:highlight w:val="none"/>
              </w:rPr>
              <w:t>（11）</w:t>
            </w:r>
          </w:p>
        </w:tc>
        <w:tc>
          <w:tcPr>
            <w:tcW w:w="1260" w:type="dxa"/>
            <w:tcBorders>
              <w:top w:val="nil"/>
              <w:left w:val="nil"/>
              <w:bottom w:val="single" w:color="auto" w:sz="4" w:space="0"/>
              <w:right w:val="single" w:color="auto" w:sz="4" w:space="0"/>
            </w:tcBorders>
            <w:noWrap w:val="0"/>
            <w:vAlign w:val="center"/>
          </w:tcPr>
          <w:p>
            <w:pPr>
              <w:widowControl/>
              <w:spacing w:line="500" w:lineRule="exact"/>
              <w:jc w:val="center"/>
              <w:rPr>
                <w:rFonts w:hAnsi="宋体" w:cs="宋体"/>
                <w:color w:val="auto"/>
                <w:kern w:val="0"/>
                <w:sz w:val="20"/>
                <w:highlight w:val="none"/>
              </w:rPr>
            </w:pPr>
            <w:r>
              <w:rPr>
                <w:rFonts w:hint="eastAsia" w:hAnsi="宋体" w:cs="宋体"/>
                <w:color w:val="auto"/>
                <w:kern w:val="0"/>
                <w:sz w:val="20"/>
                <w:highlight w:val="none"/>
              </w:rPr>
              <w:t>（4）*（11）</w:t>
            </w:r>
          </w:p>
        </w:tc>
      </w:tr>
      <w:tr>
        <w:tblPrEx>
          <w:tblCellMar>
            <w:top w:w="0" w:type="dxa"/>
            <w:left w:w="108" w:type="dxa"/>
            <w:bottom w:w="0" w:type="dxa"/>
            <w:right w:w="108" w:type="dxa"/>
          </w:tblCellMar>
        </w:tblPrEx>
        <w:trPr>
          <w:trHeight w:val="450" w:hRule="atLeast"/>
        </w:trPr>
        <w:tc>
          <w:tcPr>
            <w:tcW w:w="540"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hAnsi="宋体" w:cs="宋体"/>
                <w:color w:val="auto"/>
                <w:kern w:val="0"/>
                <w:sz w:val="20"/>
                <w:highlight w:val="none"/>
              </w:rPr>
            </w:pPr>
            <w:r>
              <w:rPr>
                <w:rFonts w:hint="eastAsia" w:hAnsi="宋体" w:cs="宋体"/>
                <w:color w:val="auto"/>
                <w:kern w:val="0"/>
                <w:sz w:val="20"/>
                <w:highlight w:val="none"/>
              </w:rPr>
              <w:t>1</w:t>
            </w:r>
          </w:p>
        </w:tc>
        <w:tc>
          <w:tcPr>
            <w:tcW w:w="1080" w:type="dxa"/>
            <w:tcBorders>
              <w:top w:val="nil"/>
              <w:left w:val="nil"/>
              <w:bottom w:val="single" w:color="auto" w:sz="4" w:space="0"/>
              <w:right w:val="single" w:color="auto" w:sz="4" w:space="0"/>
            </w:tcBorders>
            <w:noWrap w:val="0"/>
            <w:vAlign w:val="center"/>
          </w:tcPr>
          <w:p>
            <w:pPr>
              <w:widowControl/>
              <w:spacing w:line="500" w:lineRule="exact"/>
              <w:rPr>
                <w:rFonts w:hAnsi="宋体" w:cs="宋体"/>
                <w:color w:val="auto"/>
                <w:spacing w:val="-22"/>
                <w:kern w:val="0"/>
                <w:sz w:val="20"/>
                <w:highlight w:val="none"/>
              </w:rPr>
            </w:pPr>
            <w:r>
              <w:rPr>
                <w:rFonts w:hint="eastAsia" w:hAnsi="宋体" w:cs="宋体"/>
                <w:color w:val="auto"/>
                <w:spacing w:val="-22"/>
                <w:kern w:val="0"/>
                <w:sz w:val="20"/>
                <w:highlight w:val="none"/>
              </w:rPr>
              <w:t>（清单编码）</w:t>
            </w:r>
          </w:p>
        </w:tc>
        <w:tc>
          <w:tcPr>
            <w:tcW w:w="1080" w:type="dxa"/>
            <w:tcBorders>
              <w:top w:val="nil"/>
              <w:left w:val="nil"/>
              <w:bottom w:val="single" w:color="auto" w:sz="4" w:space="0"/>
              <w:right w:val="single" w:color="auto" w:sz="4" w:space="0"/>
            </w:tcBorders>
            <w:noWrap w:val="0"/>
            <w:vAlign w:val="center"/>
          </w:tcPr>
          <w:p>
            <w:pPr>
              <w:widowControl/>
              <w:spacing w:line="500" w:lineRule="exact"/>
              <w:jc w:val="left"/>
              <w:rPr>
                <w:rFonts w:hAnsi="宋体" w:cs="宋体"/>
                <w:color w:val="auto"/>
                <w:spacing w:val="-22"/>
                <w:kern w:val="0"/>
                <w:sz w:val="20"/>
                <w:highlight w:val="none"/>
              </w:rPr>
            </w:pPr>
            <w:r>
              <w:rPr>
                <w:rFonts w:hint="eastAsia" w:hAnsi="宋体" w:cs="宋体"/>
                <w:color w:val="auto"/>
                <w:spacing w:val="-22"/>
                <w:kern w:val="0"/>
                <w:sz w:val="20"/>
                <w:highlight w:val="none"/>
              </w:rPr>
              <w:t>（清单名称）</w:t>
            </w:r>
          </w:p>
        </w:tc>
        <w:tc>
          <w:tcPr>
            <w:tcW w:w="720" w:type="dxa"/>
            <w:tcBorders>
              <w:top w:val="nil"/>
              <w:left w:val="nil"/>
              <w:bottom w:val="single" w:color="auto" w:sz="4" w:space="0"/>
              <w:right w:val="single" w:color="auto" w:sz="4" w:space="0"/>
            </w:tcBorders>
            <w:noWrap w:val="0"/>
            <w:vAlign w:val="center"/>
          </w:tcPr>
          <w:p>
            <w:pPr>
              <w:widowControl/>
              <w:spacing w:line="500" w:lineRule="exact"/>
              <w:jc w:val="center"/>
              <w:rPr>
                <w:rFonts w:hAnsi="宋体" w:cs="宋体"/>
                <w:color w:val="auto"/>
                <w:kern w:val="0"/>
                <w:sz w:val="20"/>
                <w:highlight w:val="none"/>
              </w:rPr>
            </w:pPr>
          </w:p>
        </w:tc>
        <w:tc>
          <w:tcPr>
            <w:tcW w:w="720" w:type="dxa"/>
            <w:tcBorders>
              <w:top w:val="nil"/>
              <w:left w:val="nil"/>
              <w:bottom w:val="single" w:color="auto" w:sz="4" w:space="0"/>
              <w:right w:val="single" w:color="auto" w:sz="4" w:space="0"/>
            </w:tcBorders>
            <w:noWrap w:val="0"/>
            <w:vAlign w:val="center"/>
          </w:tcPr>
          <w:p>
            <w:pPr>
              <w:widowControl/>
              <w:spacing w:line="500" w:lineRule="exact"/>
              <w:jc w:val="right"/>
              <w:rPr>
                <w:rFonts w:hAnsi="宋体" w:cs="宋体"/>
                <w:color w:val="auto"/>
                <w:kern w:val="0"/>
                <w:sz w:val="20"/>
                <w:highlight w:val="none"/>
              </w:rPr>
            </w:pPr>
          </w:p>
        </w:tc>
        <w:tc>
          <w:tcPr>
            <w:tcW w:w="720" w:type="dxa"/>
            <w:tcBorders>
              <w:top w:val="nil"/>
              <w:left w:val="nil"/>
              <w:bottom w:val="single" w:color="auto" w:sz="4" w:space="0"/>
              <w:right w:val="single" w:color="auto" w:sz="4" w:space="0"/>
            </w:tcBorders>
            <w:noWrap w:val="0"/>
            <w:vAlign w:val="center"/>
          </w:tcPr>
          <w:p>
            <w:pPr>
              <w:widowControl/>
              <w:spacing w:line="500" w:lineRule="exact"/>
              <w:jc w:val="right"/>
              <w:rPr>
                <w:rFonts w:hAnsi="宋体" w:cs="宋体"/>
                <w:color w:val="auto"/>
                <w:kern w:val="0"/>
                <w:sz w:val="20"/>
                <w:highlight w:val="none"/>
              </w:rPr>
            </w:pPr>
          </w:p>
        </w:tc>
        <w:tc>
          <w:tcPr>
            <w:tcW w:w="720" w:type="dxa"/>
            <w:tcBorders>
              <w:top w:val="nil"/>
              <w:left w:val="nil"/>
              <w:bottom w:val="single" w:color="auto" w:sz="4" w:space="0"/>
              <w:right w:val="single" w:color="auto" w:sz="4" w:space="0"/>
            </w:tcBorders>
            <w:noWrap w:val="0"/>
            <w:vAlign w:val="center"/>
          </w:tcPr>
          <w:p>
            <w:pPr>
              <w:widowControl/>
              <w:spacing w:line="500" w:lineRule="exact"/>
              <w:jc w:val="right"/>
              <w:rPr>
                <w:rFonts w:hAnsi="宋体" w:cs="宋体"/>
                <w:color w:val="auto"/>
                <w:kern w:val="0"/>
                <w:sz w:val="20"/>
                <w:highlight w:val="none"/>
              </w:rPr>
            </w:pPr>
          </w:p>
        </w:tc>
        <w:tc>
          <w:tcPr>
            <w:tcW w:w="720" w:type="dxa"/>
            <w:tcBorders>
              <w:top w:val="nil"/>
              <w:left w:val="nil"/>
              <w:bottom w:val="single" w:color="auto" w:sz="4" w:space="0"/>
              <w:right w:val="single" w:color="auto" w:sz="4" w:space="0"/>
            </w:tcBorders>
            <w:noWrap w:val="0"/>
            <w:vAlign w:val="center"/>
          </w:tcPr>
          <w:p>
            <w:pPr>
              <w:widowControl/>
              <w:spacing w:line="500" w:lineRule="exact"/>
              <w:jc w:val="right"/>
              <w:rPr>
                <w:rFonts w:hAnsi="宋体" w:cs="宋体"/>
                <w:color w:val="auto"/>
                <w:kern w:val="0"/>
                <w:sz w:val="20"/>
                <w:highlight w:val="none"/>
              </w:rPr>
            </w:pPr>
          </w:p>
        </w:tc>
        <w:tc>
          <w:tcPr>
            <w:tcW w:w="720" w:type="dxa"/>
            <w:tcBorders>
              <w:top w:val="nil"/>
              <w:left w:val="nil"/>
              <w:bottom w:val="single" w:color="auto" w:sz="4" w:space="0"/>
              <w:right w:val="single" w:color="auto" w:sz="4" w:space="0"/>
            </w:tcBorders>
            <w:noWrap w:val="0"/>
            <w:vAlign w:val="center"/>
          </w:tcPr>
          <w:p>
            <w:pPr>
              <w:widowControl/>
              <w:spacing w:line="500" w:lineRule="exact"/>
              <w:jc w:val="right"/>
              <w:rPr>
                <w:rFonts w:hAnsi="宋体" w:cs="宋体"/>
                <w:color w:val="auto"/>
                <w:kern w:val="0"/>
                <w:sz w:val="20"/>
                <w:highlight w:val="none"/>
              </w:rPr>
            </w:pPr>
          </w:p>
        </w:tc>
        <w:tc>
          <w:tcPr>
            <w:tcW w:w="720" w:type="dxa"/>
            <w:tcBorders>
              <w:top w:val="nil"/>
              <w:left w:val="nil"/>
              <w:bottom w:val="single" w:color="auto" w:sz="4" w:space="0"/>
              <w:right w:val="single" w:color="auto" w:sz="4" w:space="0"/>
            </w:tcBorders>
            <w:noWrap w:val="0"/>
            <w:vAlign w:val="center"/>
          </w:tcPr>
          <w:p>
            <w:pPr>
              <w:widowControl/>
              <w:spacing w:line="500" w:lineRule="exact"/>
              <w:jc w:val="right"/>
              <w:rPr>
                <w:rFonts w:hAnsi="宋体" w:cs="宋体"/>
                <w:color w:val="auto"/>
                <w:kern w:val="0"/>
                <w:sz w:val="20"/>
                <w:highlight w:val="none"/>
              </w:rPr>
            </w:pPr>
          </w:p>
        </w:tc>
        <w:tc>
          <w:tcPr>
            <w:tcW w:w="720" w:type="dxa"/>
            <w:tcBorders>
              <w:top w:val="nil"/>
              <w:left w:val="nil"/>
              <w:bottom w:val="single" w:color="auto" w:sz="4" w:space="0"/>
              <w:right w:val="single" w:color="auto" w:sz="4" w:space="0"/>
            </w:tcBorders>
            <w:noWrap w:val="0"/>
            <w:vAlign w:val="center"/>
          </w:tcPr>
          <w:p>
            <w:pPr>
              <w:widowControl/>
              <w:spacing w:line="500" w:lineRule="exact"/>
              <w:jc w:val="right"/>
              <w:rPr>
                <w:rFonts w:hAnsi="宋体" w:cs="宋体"/>
                <w:color w:val="auto"/>
                <w:kern w:val="0"/>
                <w:sz w:val="20"/>
                <w:highlight w:val="none"/>
              </w:rPr>
            </w:pPr>
          </w:p>
        </w:tc>
        <w:tc>
          <w:tcPr>
            <w:tcW w:w="720" w:type="dxa"/>
            <w:tcBorders>
              <w:top w:val="nil"/>
              <w:left w:val="nil"/>
              <w:bottom w:val="single" w:color="auto" w:sz="4" w:space="0"/>
              <w:right w:val="single" w:color="auto" w:sz="4" w:space="0"/>
            </w:tcBorders>
            <w:noWrap w:val="0"/>
            <w:vAlign w:val="center"/>
          </w:tcPr>
          <w:p>
            <w:pPr>
              <w:widowControl/>
              <w:spacing w:line="500" w:lineRule="exact"/>
              <w:jc w:val="right"/>
              <w:rPr>
                <w:rFonts w:hAnsi="宋体" w:cs="宋体"/>
                <w:color w:val="auto"/>
                <w:kern w:val="0"/>
                <w:sz w:val="20"/>
                <w:highlight w:val="none"/>
              </w:rPr>
            </w:pPr>
          </w:p>
        </w:tc>
        <w:tc>
          <w:tcPr>
            <w:tcW w:w="1260" w:type="dxa"/>
            <w:tcBorders>
              <w:top w:val="nil"/>
              <w:left w:val="nil"/>
              <w:bottom w:val="single" w:color="auto" w:sz="4" w:space="0"/>
              <w:right w:val="single" w:color="auto" w:sz="4" w:space="0"/>
            </w:tcBorders>
            <w:noWrap w:val="0"/>
            <w:vAlign w:val="center"/>
          </w:tcPr>
          <w:p>
            <w:pPr>
              <w:widowControl/>
              <w:spacing w:line="500" w:lineRule="exact"/>
              <w:jc w:val="right"/>
              <w:rPr>
                <w:rFonts w:hAnsi="宋体" w:cs="宋体"/>
                <w:color w:val="auto"/>
                <w:kern w:val="0"/>
                <w:sz w:val="20"/>
                <w:highlight w:val="none"/>
              </w:rPr>
            </w:pPr>
          </w:p>
        </w:tc>
      </w:tr>
      <w:tr>
        <w:tblPrEx>
          <w:tblCellMar>
            <w:top w:w="0" w:type="dxa"/>
            <w:left w:w="108" w:type="dxa"/>
            <w:bottom w:w="0" w:type="dxa"/>
            <w:right w:w="108" w:type="dxa"/>
          </w:tblCellMar>
        </w:tblPrEx>
        <w:trPr>
          <w:trHeight w:val="450" w:hRule="atLeast"/>
        </w:trPr>
        <w:tc>
          <w:tcPr>
            <w:tcW w:w="540"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hAnsi="宋体" w:cs="宋体"/>
                <w:color w:val="auto"/>
                <w:kern w:val="0"/>
                <w:sz w:val="20"/>
                <w:highlight w:val="none"/>
              </w:rPr>
            </w:pPr>
          </w:p>
        </w:tc>
        <w:tc>
          <w:tcPr>
            <w:tcW w:w="1080" w:type="dxa"/>
            <w:tcBorders>
              <w:top w:val="nil"/>
              <w:left w:val="nil"/>
              <w:bottom w:val="single" w:color="auto" w:sz="4" w:space="0"/>
              <w:right w:val="single" w:color="auto" w:sz="4" w:space="0"/>
            </w:tcBorders>
            <w:noWrap w:val="0"/>
            <w:vAlign w:val="center"/>
          </w:tcPr>
          <w:p>
            <w:pPr>
              <w:widowControl/>
              <w:spacing w:line="500" w:lineRule="exact"/>
              <w:jc w:val="center"/>
              <w:rPr>
                <w:rFonts w:hAnsi="宋体" w:cs="宋体"/>
                <w:color w:val="auto"/>
                <w:kern w:val="0"/>
                <w:sz w:val="20"/>
                <w:highlight w:val="none"/>
              </w:rPr>
            </w:pPr>
            <w:r>
              <w:rPr>
                <w:rFonts w:hint="eastAsia" w:hAnsi="宋体" w:cs="宋体"/>
                <w:color w:val="auto"/>
                <w:spacing w:val="-22"/>
                <w:kern w:val="0"/>
                <w:sz w:val="20"/>
                <w:highlight w:val="none"/>
              </w:rPr>
              <w:t>（定额编号）</w:t>
            </w:r>
          </w:p>
        </w:tc>
        <w:tc>
          <w:tcPr>
            <w:tcW w:w="1080" w:type="dxa"/>
            <w:tcBorders>
              <w:top w:val="nil"/>
              <w:left w:val="nil"/>
              <w:bottom w:val="single" w:color="auto" w:sz="4" w:space="0"/>
              <w:right w:val="single" w:color="auto" w:sz="4" w:space="0"/>
            </w:tcBorders>
            <w:noWrap w:val="0"/>
            <w:vAlign w:val="center"/>
          </w:tcPr>
          <w:p>
            <w:pPr>
              <w:widowControl/>
              <w:spacing w:line="500" w:lineRule="exact"/>
              <w:jc w:val="left"/>
              <w:rPr>
                <w:rFonts w:hAnsi="宋体" w:cs="宋体"/>
                <w:color w:val="auto"/>
                <w:kern w:val="0"/>
                <w:sz w:val="20"/>
                <w:highlight w:val="none"/>
              </w:rPr>
            </w:pPr>
            <w:r>
              <w:rPr>
                <w:rFonts w:hint="eastAsia" w:hAnsi="宋体" w:cs="宋体"/>
                <w:color w:val="auto"/>
                <w:spacing w:val="-22"/>
                <w:kern w:val="0"/>
                <w:sz w:val="20"/>
                <w:highlight w:val="none"/>
              </w:rPr>
              <w:t>（定额名称）</w:t>
            </w:r>
          </w:p>
        </w:tc>
        <w:tc>
          <w:tcPr>
            <w:tcW w:w="720" w:type="dxa"/>
            <w:tcBorders>
              <w:top w:val="nil"/>
              <w:left w:val="nil"/>
              <w:bottom w:val="single" w:color="auto" w:sz="4" w:space="0"/>
              <w:right w:val="single" w:color="auto" w:sz="4" w:space="0"/>
            </w:tcBorders>
            <w:noWrap w:val="0"/>
            <w:vAlign w:val="center"/>
          </w:tcPr>
          <w:p>
            <w:pPr>
              <w:widowControl/>
              <w:spacing w:line="500" w:lineRule="exact"/>
              <w:jc w:val="center"/>
              <w:rPr>
                <w:rFonts w:hAnsi="宋体" w:cs="宋体"/>
                <w:color w:val="auto"/>
                <w:kern w:val="0"/>
                <w:sz w:val="20"/>
                <w:highlight w:val="none"/>
              </w:rPr>
            </w:pPr>
          </w:p>
        </w:tc>
        <w:tc>
          <w:tcPr>
            <w:tcW w:w="720" w:type="dxa"/>
            <w:tcBorders>
              <w:top w:val="nil"/>
              <w:left w:val="nil"/>
              <w:bottom w:val="single" w:color="auto" w:sz="4" w:space="0"/>
              <w:right w:val="single" w:color="auto" w:sz="4" w:space="0"/>
            </w:tcBorders>
            <w:noWrap w:val="0"/>
            <w:vAlign w:val="center"/>
          </w:tcPr>
          <w:p>
            <w:pPr>
              <w:widowControl/>
              <w:spacing w:line="500" w:lineRule="exact"/>
              <w:jc w:val="right"/>
              <w:rPr>
                <w:rFonts w:hAnsi="宋体" w:cs="宋体"/>
                <w:color w:val="auto"/>
                <w:kern w:val="0"/>
                <w:sz w:val="20"/>
                <w:highlight w:val="none"/>
              </w:rPr>
            </w:pPr>
          </w:p>
        </w:tc>
        <w:tc>
          <w:tcPr>
            <w:tcW w:w="720" w:type="dxa"/>
            <w:tcBorders>
              <w:top w:val="nil"/>
              <w:left w:val="nil"/>
              <w:bottom w:val="single" w:color="auto" w:sz="4" w:space="0"/>
              <w:right w:val="single" w:color="auto" w:sz="4" w:space="0"/>
            </w:tcBorders>
            <w:noWrap w:val="0"/>
            <w:vAlign w:val="center"/>
          </w:tcPr>
          <w:p>
            <w:pPr>
              <w:widowControl/>
              <w:spacing w:line="500" w:lineRule="exact"/>
              <w:jc w:val="right"/>
              <w:rPr>
                <w:rFonts w:hAnsi="宋体" w:cs="宋体"/>
                <w:color w:val="auto"/>
                <w:kern w:val="0"/>
                <w:sz w:val="20"/>
                <w:highlight w:val="none"/>
              </w:rPr>
            </w:pPr>
          </w:p>
        </w:tc>
        <w:tc>
          <w:tcPr>
            <w:tcW w:w="720" w:type="dxa"/>
            <w:tcBorders>
              <w:top w:val="nil"/>
              <w:left w:val="nil"/>
              <w:bottom w:val="single" w:color="auto" w:sz="4" w:space="0"/>
              <w:right w:val="single" w:color="auto" w:sz="4" w:space="0"/>
            </w:tcBorders>
            <w:noWrap w:val="0"/>
            <w:vAlign w:val="center"/>
          </w:tcPr>
          <w:p>
            <w:pPr>
              <w:widowControl/>
              <w:spacing w:line="500" w:lineRule="exact"/>
              <w:jc w:val="right"/>
              <w:rPr>
                <w:rFonts w:hAnsi="宋体" w:cs="宋体"/>
                <w:color w:val="auto"/>
                <w:kern w:val="0"/>
                <w:sz w:val="20"/>
                <w:highlight w:val="none"/>
              </w:rPr>
            </w:pPr>
          </w:p>
        </w:tc>
        <w:tc>
          <w:tcPr>
            <w:tcW w:w="720" w:type="dxa"/>
            <w:tcBorders>
              <w:top w:val="nil"/>
              <w:left w:val="nil"/>
              <w:bottom w:val="single" w:color="auto" w:sz="4" w:space="0"/>
              <w:right w:val="single" w:color="auto" w:sz="4" w:space="0"/>
            </w:tcBorders>
            <w:noWrap w:val="0"/>
            <w:vAlign w:val="center"/>
          </w:tcPr>
          <w:p>
            <w:pPr>
              <w:widowControl/>
              <w:spacing w:line="500" w:lineRule="exact"/>
              <w:jc w:val="right"/>
              <w:rPr>
                <w:rFonts w:hAnsi="宋体" w:cs="宋体"/>
                <w:color w:val="auto"/>
                <w:kern w:val="0"/>
                <w:sz w:val="20"/>
                <w:highlight w:val="none"/>
              </w:rPr>
            </w:pPr>
          </w:p>
        </w:tc>
        <w:tc>
          <w:tcPr>
            <w:tcW w:w="720" w:type="dxa"/>
            <w:tcBorders>
              <w:top w:val="nil"/>
              <w:left w:val="nil"/>
              <w:bottom w:val="single" w:color="auto" w:sz="4" w:space="0"/>
              <w:right w:val="single" w:color="auto" w:sz="4" w:space="0"/>
            </w:tcBorders>
            <w:noWrap w:val="0"/>
            <w:vAlign w:val="center"/>
          </w:tcPr>
          <w:p>
            <w:pPr>
              <w:widowControl/>
              <w:spacing w:line="500" w:lineRule="exact"/>
              <w:jc w:val="right"/>
              <w:rPr>
                <w:rFonts w:hAnsi="宋体" w:cs="宋体"/>
                <w:color w:val="auto"/>
                <w:kern w:val="0"/>
                <w:sz w:val="20"/>
                <w:highlight w:val="none"/>
              </w:rPr>
            </w:pPr>
          </w:p>
        </w:tc>
        <w:tc>
          <w:tcPr>
            <w:tcW w:w="720" w:type="dxa"/>
            <w:tcBorders>
              <w:top w:val="nil"/>
              <w:left w:val="nil"/>
              <w:bottom w:val="single" w:color="auto" w:sz="4" w:space="0"/>
              <w:right w:val="single" w:color="auto" w:sz="4" w:space="0"/>
            </w:tcBorders>
            <w:noWrap w:val="0"/>
            <w:vAlign w:val="center"/>
          </w:tcPr>
          <w:p>
            <w:pPr>
              <w:widowControl/>
              <w:spacing w:line="500" w:lineRule="exact"/>
              <w:jc w:val="right"/>
              <w:rPr>
                <w:rFonts w:hAnsi="宋体" w:cs="宋体"/>
                <w:color w:val="auto"/>
                <w:kern w:val="0"/>
                <w:sz w:val="20"/>
                <w:highlight w:val="none"/>
              </w:rPr>
            </w:pPr>
          </w:p>
        </w:tc>
        <w:tc>
          <w:tcPr>
            <w:tcW w:w="720" w:type="dxa"/>
            <w:tcBorders>
              <w:top w:val="nil"/>
              <w:left w:val="nil"/>
              <w:bottom w:val="single" w:color="auto" w:sz="4" w:space="0"/>
              <w:right w:val="single" w:color="auto" w:sz="4" w:space="0"/>
            </w:tcBorders>
            <w:noWrap w:val="0"/>
            <w:vAlign w:val="center"/>
          </w:tcPr>
          <w:p>
            <w:pPr>
              <w:widowControl/>
              <w:spacing w:line="500" w:lineRule="exact"/>
              <w:jc w:val="right"/>
              <w:rPr>
                <w:rFonts w:hAnsi="宋体" w:cs="宋体"/>
                <w:color w:val="auto"/>
                <w:kern w:val="0"/>
                <w:sz w:val="20"/>
                <w:highlight w:val="none"/>
              </w:rPr>
            </w:pPr>
          </w:p>
        </w:tc>
        <w:tc>
          <w:tcPr>
            <w:tcW w:w="720" w:type="dxa"/>
            <w:tcBorders>
              <w:top w:val="nil"/>
              <w:left w:val="nil"/>
              <w:bottom w:val="single" w:color="auto" w:sz="4" w:space="0"/>
              <w:right w:val="single" w:color="auto" w:sz="4" w:space="0"/>
            </w:tcBorders>
            <w:noWrap w:val="0"/>
            <w:vAlign w:val="center"/>
          </w:tcPr>
          <w:p>
            <w:pPr>
              <w:widowControl/>
              <w:spacing w:line="500" w:lineRule="exact"/>
              <w:jc w:val="right"/>
              <w:rPr>
                <w:rFonts w:hAnsi="宋体" w:cs="宋体"/>
                <w:color w:val="auto"/>
                <w:kern w:val="0"/>
                <w:sz w:val="20"/>
                <w:highlight w:val="none"/>
              </w:rPr>
            </w:pPr>
          </w:p>
        </w:tc>
        <w:tc>
          <w:tcPr>
            <w:tcW w:w="1260" w:type="dxa"/>
            <w:tcBorders>
              <w:top w:val="nil"/>
              <w:left w:val="nil"/>
              <w:bottom w:val="single" w:color="auto" w:sz="4" w:space="0"/>
              <w:right w:val="single" w:color="auto" w:sz="4" w:space="0"/>
            </w:tcBorders>
            <w:noWrap w:val="0"/>
            <w:vAlign w:val="center"/>
          </w:tcPr>
          <w:p>
            <w:pPr>
              <w:widowControl/>
              <w:spacing w:line="500" w:lineRule="exact"/>
              <w:jc w:val="right"/>
              <w:rPr>
                <w:rFonts w:hAnsi="宋体" w:cs="宋体"/>
                <w:color w:val="auto"/>
                <w:kern w:val="0"/>
                <w:sz w:val="20"/>
                <w:highlight w:val="none"/>
              </w:rPr>
            </w:pPr>
          </w:p>
        </w:tc>
      </w:tr>
      <w:tr>
        <w:tblPrEx>
          <w:tblCellMar>
            <w:top w:w="0" w:type="dxa"/>
            <w:left w:w="108" w:type="dxa"/>
            <w:bottom w:w="0" w:type="dxa"/>
            <w:right w:w="108" w:type="dxa"/>
          </w:tblCellMar>
        </w:tblPrEx>
        <w:trPr>
          <w:trHeight w:val="450" w:hRule="atLeast"/>
        </w:trPr>
        <w:tc>
          <w:tcPr>
            <w:tcW w:w="540"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hAnsi="宋体" w:cs="宋体"/>
                <w:color w:val="auto"/>
                <w:kern w:val="0"/>
                <w:sz w:val="20"/>
                <w:highlight w:val="none"/>
              </w:rPr>
            </w:pPr>
          </w:p>
        </w:tc>
        <w:tc>
          <w:tcPr>
            <w:tcW w:w="1080" w:type="dxa"/>
            <w:tcBorders>
              <w:top w:val="nil"/>
              <w:left w:val="nil"/>
              <w:bottom w:val="single" w:color="auto" w:sz="4" w:space="0"/>
              <w:right w:val="single" w:color="auto" w:sz="4" w:space="0"/>
            </w:tcBorders>
            <w:noWrap w:val="0"/>
            <w:vAlign w:val="center"/>
          </w:tcPr>
          <w:p>
            <w:pPr>
              <w:widowControl/>
              <w:spacing w:line="500" w:lineRule="exact"/>
              <w:jc w:val="center"/>
              <w:rPr>
                <w:rFonts w:hAnsi="宋体" w:cs="宋体"/>
                <w:color w:val="auto"/>
                <w:kern w:val="0"/>
                <w:sz w:val="20"/>
                <w:highlight w:val="none"/>
              </w:rPr>
            </w:pPr>
            <w:r>
              <w:rPr>
                <w:rFonts w:hint="eastAsia" w:hAnsi="宋体" w:cs="宋体"/>
                <w:color w:val="auto"/>
                <w:kern w:val="0"/>
                <w:sz w:val="20"/>
                <w:highlight w:val="none"/>
              </w:rPr>
              <w:t>……</w:t>
            </w:r>
          </w:p>
        </w:tc>
        <w:tc>
          <w:tcPr>
            <w:tcW w:w="1080" w:type="dxa"/>
            <w:tcBorders>
              <w:top w:val="nil"/>
              <w:left w:val="nil"/>
              <w:bottom w:val="single" w:color="auto" w:sz="4" w:space="0"/>
              <w:right w:val="single" w:color="auto" w:sz="4" w:space="0"/>
            </w:tcBorders>
            <w:noWrap w:val="0"/>
            <w:vAlign w:val="center"/>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w:t>
            </w:r>
          </w:p>
        </w:tc>
        <w:tc>
          <w:tcPr>
            <w:tcW w:w="720" w:type="dxa"/>
            <w:tcBorders>
              <w:top w:val="nil"/>
              <w:left w:val="nil"/>
              <w:bottom w:val="single" w:color="auto" w:sz="4" w:space="0"/>
              <w:right w:val="single" w:color="auto" w:sz="4" w:space="0"/>
            </w:tcBorders>
            <w:noWrap w:val="0"/>
            <w:vAlign w:val="center"/>
          </w:tcPr>
          <w:p>
            <w:pPr>
              <w:widowControl/>
              <w:spacing w:line="500" w:lineRule="exact"/>
              <w:jc w:val="center"/>
              <w:rPr>
                <w:rFonts w:hAnsi="宋体" w:cs="宋体"/>
                <w:color w:val="auto"/>
                <w:kern w:val="0"/>
                <w:sz w:val="20"/>
                <w:highlight w:val="none"/>
              </w:rPr>
            </w:pPr>
          </w:p>
        </w:tc>
        <w:tc>
          <w:tcPr>
            <w:tcW w:w="720" w:type="dxa"/>
            <w:tcBorders>
              <w:top w:val="nil"/>
              <w:left w:val="nil"/>
              <w:bottom w:val="single" w:color="auto" w:sz="4" w:space="0"/>
              <w:right w:val="single" w:color="auto" w:sz="4" w:space="0"/>
            </w:tcBorders>
            <w:noWrap w:val="0"/>
            <w:vAlign w:val="center"/>
          </w:tcPr>
          <w:p>
            <w:pPr>
              <w:widowControl/>
              <w:spacing w:line="500" w:lineRule="exact"/>
              <w:jc w:val="right"/>
              <w:rPr>
                <w:rFonts w:hAnsi="宋体" w:cs="宋体"/>
                <w:color w:val="auto"/>
                <w:kern w:val="0"/>
                <w:sz w:val="20"/>
                <w:highlight w:val="none"/>
              </w:rPr>
            </w:pPr>
          </w:p>
        </w:tc>
        <w:tc>
          <w:tcPr>
            <w:tcW w:w="720" w:type="dxa"/>
            <w:tcBorders>
              <w:top w:val="nil"/>
              <w:left w:val="nil"/>
              <w:bottom w:val="single" w:color="auto" w:sz="4" w:space="0"/>
              <w:right w:val="single" w:color="auto" w:sz="4" w:space="0"/>
            </w:tcBorders>
            <w:noWrap w:val="0"/>
            <w:vAlign w:val="center"/>
          </w:tcPr>
          <w:p>
            <w:pPr>
              <w:widowControl/>
              <w:spacing w:line="500" w:lineRule="exact"/>
              <w:jc w:val="right"/>
              <w:rPr>
                <w:rFonts w:hAnsi="宋体" w:cs="宋体"/>
                <w:color w:val="auto"/>
                <w:kern w:val="0"/>
                <w:sz w:val="20"/>
                <w:highlight w:val="none"/>
              </w:rPr>
            </w:pPr>
          </w:p>
        </w:tc>
        <w:tc>
          <w:tcPr>
            <w:tcW w:w="720" w:type="dxa"/>
            <w:tcBorders>
              <w:top w:val="nil"/>
              <w:left w:val="nil"/>
              <w:bottom w:val="single" w:color="auto" w:sz="4" w:space="0"/>
              <w:right w:val="single" w:color="auto" w:sz="4" w:space="0"/>
            </w:tcBorders>
            <w:noWrap w:val="0"/>
            <w:vAlign w:val="center"/>
          </w:tcPr>
          <w:p>
            <w:pPr>
              <w:widowControl/>
              <w:spacing w:line="500" w:lineRule="exact"/>
              <w:jc w:val="right"/>
              <w:rPr>
                <w:rFonts w:hAnsi="宋体" w:cs="宋体"/>
                <w:color w:val="auto"/>
                <w:kern w:val="0"/>
                <w:sz w:val="20"/>
                <w:highlight w:val="none"/>
              </w:rPr>
            </w:pPr>
          </w:p>
        </w:tc>
        <w:tc>
          <w:tcPr>
            <w:tcW w:w="720" w:type="dxa"/>
            <w:tcBorders>
              <w:top w:val="nil"/>
              <w:left w:val="nil"/>
              <w:bottom w:val="single" w:color="auto" w:sz="4" w:space="0"/>
              <w:right w:val="single" w:color="auto" w:sz="4" w:space="0"/>
            </w:tcBorders>
            <w:noWrap w:val="0"/>
            <w:vAlign w:val="center"/>
          </w:tcPr>
          <w:p>
            <w:pPr>
              <w:widowControl/>
              <w:spacing w:line="500" w:lineRule="exact"/>
              <w:jc w:val="right"/>
              <w:rPr>
                <w:rFonts w:hAnsi="宋体" w:cs="宋体"/>
                <w:color w:val="auto"/>
                <w:kern w:val="0"/>
                <w:sz w:val="20"/>
                <w:highlight w:val="none"/>
              </w:rPr>
            </w:pPr>
          </w:p>
        </w:tc>
        <w:tc>
          <w:tcPr>
            <w:tcW w:w="720" w:type="dxa"/>
            <w:tcBorders>
              <w:top w:val="nil"/>
              <w:left w:val="nil"/>
              <w:bottom w:val="single" w:color="auto" w:sz="4" w:space="0"/>
              <w:right w:val="single" w:color="auto" w:sz="4" w:space="0"/>
            </w:tcBorders>
            <w:noWrap w:val="0"/>
            <w:vAlign w:val="center"/>
          </w:tcPr>
          <w:p>
            <w:pPr>
              <w:widowControl/>
              <w:spacing w:line="500" w:lineRule="exact"/>
              <w:jc w:val="right"/>
              <w:rPr>
                <w:rFonts w:hAnsi="宋体" w:cs="宋体"/>
                <w:color w:val="auto"/>
                <w:kern w:val="0"/>
                <w:sz w:val="20"/>
                <w:highlight w:val="none"/>
              </w:rPr>
            </w:pPr>
          </w:p>
        </w:tc>
        <w:tc>
          <w:tcPr>
            <w:tcW w:w="720" w:type="dxa"/>
            <w:tcBorders>
              <w:top w:val="nil"/>
              <w:left w:val="nil"/>
              <w:bottom w:val="single" w:color="auto" w:sz="4" w:space="0"/>
              <w:right w:val="single" w:color="auto" w:sz="4" w:space="0"/>
            </w:tcBorders>
            <w:noWrap w:val="0"/>
            <w:vAlign w:val="center"/>
          </w:tcPr>
          <w:p>
            <w:pPr>
              <w:widowControl/>
              <w:spacing w:line="500" w:lineRule="exact"/>
              <w:jc w:val="right"/>
              <w:rPr>
                <w:rFonts w:hAnsi="宋体" w:cs="宋体"/>
                <w:color w:val="auto"/>
                <w:kern w:val="0"/>
                <w:sz w:val="20"/>
                <w:highlight w:val="none"/>
              </w:rPr>
            </w:pPr>
          </w:p>
        </w:tc>
        <w:tc>
          <w:tcPr>
            <w:tcW w:w="720" w:type="dxa"/>
            <w:tcBorders>
              <w:top w:val="nil"/>
              <w:left w:val="nil"/>
              <w:bottom w:val="single" w:color="auto" w:sz="4" w:space="0"/>
              <w:right w:val="single" w:color="auto" w:sz="4" w:space="0"/>
            </w:tcBorders>
            <w:noWrap w:val="0"/>
            <w:vAlign w:val="center"/>
          </w:tcPr>
          <w:p>
            <w:pPr>
              <w:widowControl/>
              <w:spacing w:line="500" w:lineRule="exact"/>
              <w:jc w:val="right"/>
              <w:rPr>
                <w:rFonts w:hAnsi="宋体" w:cs="宋体"/>
                <w:color w:val="auto"/>
                <w:kern w:val="0"/>
                <w:sz w:val="20"/>
                <w:highlight w:val="none"/>
              </w:rPr>
            </w:pPr>
          </w:p>
        </w:tc>
        <w:tc>
          <w:tcPr>
            <w:tcW w:w="720" w:type="dxa"/>
            <w:tcBorders>
              <w:top w:val="nil"/>
              <w:left w:val="nil"/>
              <w:bottom w:val="single" w:color="auto" w:sz="4" w:space="0"/>
              <w:right w:val="single" w:color="auto" w:sz="4" w:space="0"/>
            </w:tcBorders>
            <w:noWrap w:val="0"/>
            <w:vAlign w:val="center"/>
          </w:tcPr>
          <w:p>
            <w:pPr>
              <w:widowControl/>
              <w:spacing w:line="500" w:lineRule="exact"/>
              <w:jc w:val="right"/>
              <w:rPr>
                <w:rFonts w:hAnsi="宋体" w:cs="宋体"/>
                <w:color w:val="auto"/>
                <w:kern w:val="0"/>
                <w:sz w:val="20"/>
                <w:highlight w:val="none"/>
              </w:rPr>
            </w:pPr>
          </w:p>
        </w:tc>
        <w:tc>
          <w:tcPr>
            <w:tcW w:w="1260" w:type="dxa"/>
            <w:tcBorders>
              <w:top w:val="nil"/>
              <w:left w:val="nil"/>
              <w:bottom w:val="single" w:color="auto" w:sz="4" w:space="0"/>
              <w:right w:val="single" w:color="auto" w:sz="4" w:space="0"/>
            </w:tcBorders>
            <w:noWrap w:val="0"/>
            <w:vAlign w:val="center"/>
          </w:tcPr>
          <w:p>
            <w:pPr>
              <w:widowControl/>
              <w:spacing w:line="500" w:lineRule="exact"/>
              <w:jc w:val="right"/>
              <w:rPr>
                <w:rFonts w:hAnsi="宋体" w:cs="宋体"/>
                <w:color w:val="auto"/>
                <w:kern w:val="0"/>
                <w:sz w:val="20"/>
                <w:highlight w:val="none"/>
              </w:rPr>
            </w:pPr>
          </w:p>
        </w:tc>
      </w:tr>
      <w:tr>
        <w:tblPrEx>
          <w:tblCellMar>
            <w:top w:w="0" w:type="dxa"/>
            <w:left w:w="108" w:type="dxa"/>
            <w:bottom w:w="0" w:type="dxa"/>
            <w:right w:w="108" w:type="dxa"/>
          </w:tblCellMar>
        </w:tblPrEx>
        <w:trPr>
          <w:trHeight w:val="450" w:hRule="atLeast"/>
        </w:trPr>
        <w:tc>
          <w:tcPr>
            <w:tcW w:w="540"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hAnsi="宋体" w:cs="宋体"/>
                <w:color w:val="auto"/>
                <w:kern w:val="0"/>
                <w:sz w:val="20"/>
                <w:highlight w:val="none"/>
              </w:rPr>
            </w:pPr>
            <w:r>
              <w:rPr>
                <w:rFonts w:hint="eastAsia" w:hAnsi="宋体" w:cs="宋体"/>
                <w:color w:val="auto"/>
                <w:kern w:val="0"/>
                <w:sz w:val="20"/>
                <w:highlight w:val="none"/>
              </w:rPr>
              <w:t>2</w:t>
            </w:r>
          </w:p>
        </w:tc>
        <w:tc>
          <w:tcPr>
            <w:tcW w:w="1080" w:type="dxa"/>
            <w:tcBorders>
              <w:top w:val="nil"/>
              <w:left w:val="nil"/>
              <w:bottom w:val="single" w:color="auto" w:sz="4" w:space="0"/>
              <w:right w:val="single" w:color="auto" w:sz="4" w:space="0"/>
            </w:tcBorders>
            <w:noWrap w:val="0"/>
            <w:vAlign w:val="center"/>
          </w:tcPr>
          <w:p>
            <w:pPr>
              <w:widowControl/>
              <w:spacing w:line="500" w:lineRule="exact"/>
              <w:jc w:val="center"/>
              <w:rPr>
                <w:rFonts w:hAnsi="宋体" w:cs="宋体"/>
                <w:color w:val="auto"/>
                <w:spacing w:val="-22"/>
                <w:kern w:val="0"/>
                <w:sz w:val="20"/>
                <w:highlight w:val="none"/>
              </w:rPr>
            </w:pPr>
            <w:r>
              <w:rPr>
                <w:rFonts w:hint="eastAsia" w:hAnsi="宋体" w:cs="宋体"/>
                <w:color w:val="auto"/>
                <w:spacing w:val="-22"/>
                <w:kern w:val="0"/>
                <w:sz w:val="20"/>
                <w:highlight w:val="none"/>
              </w:rPr>
              <w:t>（清单编码）</w:t>
            </w:r>
          </w:p>
        </w:tc>
        <w:tc>
          <w:tcPr>
            <w:tcW w:w="1080" w:type="dxa"/>
            <w:tcBorders>
              <w:top w:val="nil"/>
              <w:left w:val="nil"/>
              <w:bottom w:val="single" w:color="auto" w:sz="4" w:space="0"/>
              <w:right w:val="single" w:color="auto" w:sz="4" w:space="0"/>
            </w:tcBorders>
            <w:noWrap w:val="0"/>
            <w:vAlign w:val="center"/>
          </w:tcPr>
          <w:p>
            <w:pPr>
              <w:widowControl/>
              <w:spacing w:line="500" w:lineRule="exact"/>
              <w:jc w:val="left"/>
              <w:rPr>
                <w:rFonts w:hAnsi="宋体" w:cs="宋体"/>
                <w:color w:val="auto"/>
                <w:spacing w:val="-22"/>
                <w:kern w:val="0"/>
                <w:sz w:val="20"/>
                <w:highlight w:val="none"/>
              </w:rPr>
            </w:pPr>
            <w:r>
              <w:rPr>
                <w:rFonts w:hint="eastAsia" w:hAnsi="宋体" w:cs="宋体"/>
                <w:color w:val="auto"/>
                <w:spacing w:val="-22"/>
                <w:kern w:val="0"/>
                <w:sz w:val="20"/>
                <w:highlight w:val="none"/>
              </w:rPr>
              <w:t>（清单名称）</w:t>
            </w:r>
          </w:p>
        </w:tc>
        <w:tc>
          <w:tcPr>
            <w:tcW w:w="720" w:type="dxa"/>
            <w:tcBorders>
              <w:top w:val="nil"/>
              <w:left w:val="nil"/>
              <w:bottom w:val="single" w:color="auto" w:sz="4" w:space="0"/>
              <w:right w:val="single" w:color="auto" w:sz="4" w:space="0"/>
            </w:tcBorders>
            <w:noWrap w:val="0"/>
            <w:vAlign w:val="center"/>
          </w:tcPr>
          <w:p>
            <w:pPr>
              <w:widowControl/>
              <w:spacing w:line="500" w:lineRule="exact"/>
              <w:jc w:val="center"/>
              <w:rPr>
                <w:rFonts w:hAnsi="宋体" w:cs="宋体"/>
                <w:color w:val="auto"/>
                <w:kern w:val="0"/>
                <w:sz w:val="20"/>
                <w:highlight w:val="none"/>
              </w:rPr>
            </w:pPr>
          </w:p>
        </w:tc>
        <w:tc>
          <w:tcPr>
            <w:tcW w:w="720" w:type="dxa"/>
            <w:tcBorders>
              <w:top w:val="nil"/>
              <w:left w:val="nil"/>
              <w:bottom w:val="single" w:color="auto" w:sz="4" w:space="0"/>
              <w:right w:val="single" w:color="auto" w:sz="4" w:space="0"/>
            </w:tcBorders>
            <w:noWrap w:val="0"/>
            <w:vAlign w:val="center"/>
          </w:tcPr>
          <w:p>
            <w:pPr>
              <w:widowControl/>
              <w:spacing w:line="500" w:lineRule="exact"/>
              <w:jc w:val="right"/>
              <w:rPr>
                <w:rFonts w:hAnsi="宋体" w:cs="宋体"/>
                <w:color w:val="auto"/>
                <w:kern w:val="0"/>
                <w:sz w:val="20"/>
                <w:highlight w:val="none"/>
              </w:rPr>
            </w:pPr>
          </w:p>
        </w:tc>
        <w:tc>
          <w:tcPr>
            <w:tcW w:w="720" w:type="dxa"/>
            <w:tcBorders>
              <w:top w:val="nil"/>
              <w:left w:val="nil"/>
              <w:bottom w:val="single" w:color="auto" w:sz="4" w:space="0"/>
              <w:right w:val="single" w:color="auto" w:sz="4" w:space="0"/>
            </w:tcBorders>
            <w:noWrap w:val="0"/>
            <w:vAlign w:val="center"/>
          </w:tcPr>
          <w:p>
            <w:pPr>
              <w:widowControl/>
              <w:spacing w:line="500" w:lineRule="exact"/>
              <w:jc w:val="right"/>
              <w:rPr>
                <w:rFonts w:hAnsi="宋体" w:cs="宋体"/>
                <w:color w:val="auto"/>
                <w:kern w:val="0"/>
                <w:sz w:val="20"/>
                <w:highlight w:val="none"/>
              </w:rPr>
            </w:pPr>
          </w:p>
        </w:tc>
        <w:tc>
          <w:tcPr>
            <w:tcW w:w="720" w:type="dxa"/>
            <w:tcBorders>
              <w:top w:val="nil"/>
              <w:left w:val="nil"/>
              <w:bottom w:val="single" w:color="auto" w:sz="4" w:space="0"/>
              <w:right w:val="single" w:color="auto" w:sz="4" w:space="0"/>
            </w:tcBorders>
            <w:noWrap w:val="0"/>
            <w:vAlign w:val="center"/>
          </w:tcPr>
          <w:p>
            <w:pPr>
              <w:widowControl/>
              <w:spacing w:line="500" w:lineRule="exact"/>
              <w:jc w:val="right"/>
              <w:rPr>
                <w:rFonts w:hAnsi="宋体" w:cs="宋体"/>
                <w:color w:val="auto"/>
                <w:kern w:val="0"/>
                <w:sz w:val="20"/>
                <w:highlight w:val="none"/>
              </w:rPr>
            </w:pPr>
          </w:p>
        </w:tc>
        <w:tc>
          <w:tcPr>
            <w:tcW w:w="720" w:type="dxa"/>
            <w:tcBorders>
              <w:top w:val="nil"/>
              <w:left w:val="nil"/>
              <w:bottom w:val="single" w:color="auto" w:sz="4" w:space="0"/>
              <w:right w:val="single" w:color="auto" w:sz="4" w:space="0"/>
            </w:tcBorders>
            <w:noWrap w:val="0"/>
            <w:vAlign w:val="center"/>
          </w:tcPr>
          <w:p>
            <w:pPr>
              <w:widowControl/>
              <w:spacing w:line="500" w:lineRule="exact"/>
              <w:jc w:val="right"/>
              <w:rPr>
                <w:rFonts w:hAnsi="宋体" w:cs="宋体"/>
                <w:color w:val="auto"/>
                <w:kern w:val="0"/>
                <w:sz w:val="20"/>
                <w:highlight w:val="none"/>
              </w:rPr>
            </w:pPr>
          </w:p>
        </w:tc>
        <w:tc>
          <w:tcPr>
            <w:tcW w:w="720" w:type="dxa"/>
            <w:tcBorders>
              <w:top w:val="nil"/>
              <w:left w:val="nil"/>
              <w:bottom w:val="single" w:color="auto" w:sz="4" w:space="0"/>
              <w:right w:val="single" w:color="auto" w:sz="4" w:space="0"/>
            </w:tcBorders>
            <w:noWrap w:val="0"/>
            <w:vAlign w:val="center"/>
          </w:tcPr>
          <w:p>
            <w:pPr>
              <w:widowControl/>
              <w:spacing w:line="500" w:lineRule="exact"/>
              <w:jc w:val="right"/>
              <w:rPr>
                <w:rFonts w:hAnsi="宋体" w:cs="宋体"/>
                <w:color w:val="auto"/>
                <w:kern w:val="0"/>
                <w:sz w:val="20"/>
                <w:highlight w:val="none"/>
              </w:rPr>
            </w:pPr>
          </w:p>
        </w:tc>
        <w:tc>
          <w:tcPr>
            <w:tcW w:w="720" w:type="dxa"/>
            <w:tcBorders>
              <w:top w:val="nil"/>
              <w:left w:val="nil"/>
              <w:bottom w:val="single" w:color="auto" w:sz="4" w:space="0"/>
              <w:right w:val="single" w:color="auto" w:sz="4" w:space="0"/>
            </w:tcBorders>
            <w:noWrap w:val="0"/>
            <w:vAlign w:val="center"/>
          </w:tcPr>
          <w:p>
            <w:pPr>
              <w:widowControl/>
              <w:spacing w:line="500" w:lineRule="exact"/>
              <w:jc w:val="right"/>
              <w:rPr>
                <w:rFonts w:hAnsi="宋体" w:cs="宋体"/>
                <w:color w:val="auto"/>
                <w:kern w:val="0"/>
                <w:sz w:val="20"/>
                <w:highlight w:val="none"/>
              </w:rPr>
            </w:pPr>
          </w:p>
        </w:tc>
        <w:tc>
          <w:tcPr>
            <w:tcW w:w="720" w:type="dxa"/>
            <w:tcBorders>
              <w:top w:val="nil"/>
              <w:left w:val="nil"/>
              <w:bottom w:val="single" w:color="auto" w:sz="4" w:space="0"/>
              <w:right w:val="single" w:color="auto" w:sz="4" w:space="0"/>
            </w:tcBorders>
            <w:noWrap w:val="0"/>
            <w:vAlign w:val="center"/>
          </w:tcPr>
          <w:p>
            <w:pPr>
              <w:widowControl/>
              <w:spacing w:line="500" w:lineRule="exact"/>
              <w:jc w:val="right"/>
              <w:rPr>
                <w:rFonts w:hAnsi="宋体" w:cs="宋体"/>
                <w:color w:val="auto"/>
                <w:kern w:val="0"/>
                <w:sz w:val="20"/>
                <w:highlight w:val="none"/>
              </w:rPr>
            </w:pPr>
          </w:p>
        </w:tc>
        <w:tc>
          <w:tcPr>
            <w:tcW w:w="720" w:type="dxa"/>
            <w:tcBorders>
              <w:top w:val="nil"/>
              <w:left w:val="nil"/>
              <w:bottom w:val="single" w:color="auto" w:sz="4" w:space="0"/>
              <w:right w:val="single" w:color="auto" w:sz="4" w:space="0"/>
            </w:tcBorders>
            <w:noWrap w:val="0"/>
            <w:vAlign w:val="center"/>
          </w:tcPr>
          <w:p>
            <w:pPr>
              <w:widowControl/>
              <w:spacing w:line="500" w:lineRule="exact"/>
              <w:jc w:val="right"/>
              <w:rPr>
                <w:rFonts w:hAnsi="宋体" w:cs="宋体"/>
                <w:color w:val="auto"/>
                <w:kern w:val="0"/>
                <w:sz w:val="20"/>
                <w:highlight w:val="none"/>
              </w:rPr>
            </w:pPr>
          </w:p>
        </w:tc>
        <w:tc>
          <w:tcPr>
            <w:tcW w:w="1260" w:type="dxa"/>
            <w:tcBorders>
              <w:top w:val="nil"/>
              <w:left w:val="nil"/>
              <w:bottom w:val="single" w:color="auto" w:sz="4" w:space="0"/>
              <w:right w:val="single" w:color="auto" w:sz="4" w:space="0"/>
            </w:tcBorders>
            <w:noWrap w:val="0"/>
            <w:vAlign w:val="center"/>
          </w:tcPr>
          <w:p>
            <w:pPr>
              <w:widowControl/>
              <w:spacing w:line="500" w:lineRule="exact"/>
              <w:jc w:val="right"/>
              <w:rPr>
                <w:rFonts w:hAnsi="宋体" w:cs="宋体"/>
                <w:color w:val="auto"/>
                <w:kern w:val="0"/>
                <w:sz w:val="20"/>
                <w:highlight w:val="none"/>
              </w:rPr>
            </w:pPr>
          </w:p>
        </w:tc>
      </w:tr>
      <w:tr>
        <w:tblPrEx>
          <w:tblCellMar>
            <w:top w:w="0" w:type="dxa"/>
            <w:left w:w="108" w:type="dxa"/>
            <w:bottom w:w="0" w:type="dxa"/>
            <w:right w:w="108" w:type="dxa"/>
          </w:tblCellMar>
        </w:tblPrEx>
        <w:trPr>
          <w:trHeight w:val="450" w:hRule="atLeast"/>
        </w:trPr>
        <w:tc>
          <w:tcPr>
            <w:tcW w:w="540" w:type="dxa"/>
            <w:tcBorders>
              <w:top w:val="nil"/>
              <w:left w:val="single" w:color="auto" w:sz="4" w:space="0"/>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1080" w:type="dxa"/>
            <w:tcBorders>
              <w:top w:val="nil"/>
              <w:left w:val="nil"/>
              <w:bottom w:val="single" w:color="auto" w:sz="4" w:space="0"/>
              <w:right w:val="single" w:color="auto" w:sz="4" w:space="0"/>
            </w:tcBorders>
            <w:noWrap w:val="0"/>
            <w:vAlign w:val="center"/>
          </w:tcPr>
          <w:p>
            <w:pPr>
              <w:widowControl/>
              <w:spacing w:line="500" w:lineRule="exact"/>
              <w:jc w:val="center"/>
              <w:rPr>
                <w:rFonts w:hAnsi="宋体" w:cs="宋体"/>
                <w:color w:val="auto"/>
                <w:kern w:val="0"/>
                <w:sz w:val="20"/>
                <w:highlight w:val="none"/>
              </w:rPr>
            </w:pPr>
            <w:r>
              <w:rPr>
                <w:rFonts w:hint="eastAsia" w:hAnsi="宋体" w:cs="宋体"/>
                <w:color w:val="auto"/>
                <w:spacing w:val="-22"/>
                <w:kern w:val="0"/>
                <w:sz w:val="20"/>
                <w:highlight w:val="none"/>
              </w:rPr>
              <w:t>（定额编号）</w:t>
            </w:r>
          </w:p>
        </w:tc>
        <w:tc>
          <w:tcPr>
            <w:tcW w:w="1080" w:type="dxa"/>
            <w:tcBorders>
              <w:top w:val="nil"/>
              <w:left w:val="nil"/>
              <w:bottom w:val="single" w:color="auto" w:sz="4" w:space="0"/>
              <w:right w:val="single" w:color="auto" w:sz="4" w:space="0"/>
            </w:tcBorders>
            <w:noWrap w:val="0"/>
            <w:vAlign w:val="center"/>
          </w:tcPr>
          <w:p>
            <w:pPr>
              <w:widowControl/>
              <w:spacing w:line="500" w:lineRule="exact"/>
              <w:jc w:val="left"/>
              <w:rPr>
                <w:rFonts w:hAnsi="宋体" w:cs="宋体"/>
                <w:color w:val="auto"/>
                <w:kern w:val="0"/>
                <w:sz w:val="20"/>
                <w:highlight w:val="none"/>
              </w:rPr>
            </w:pPr>
            <w:r>
              <w:rPr>
                <w:rFonts w:hint="eastAsia" w:hAnsi="宋体" w:cs="宋体"/>
                <w:color w:val="auto"/>
                <w:spacing w:val="-22"/>
                <w:kern w:val="0"/>
                <w:sz w:val="20"/>
                <w:highlight w:val="none"/>
              </w:rPr>
              <w:t>（定额名称）</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126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r>
      <w:tr>
        <w:tblPrEx>
          <w:tblCellMar>
            <w:top w:w="0" w:type="dxa"/>
            <w:left w:w="108" w:type="dxa"/>
            <w:bottom w:w="0" w:type="dxa"/>
            <w:right w:w="108" w:type="dxa"/>
          </w:tblCellMar>
        </w:tblPrEx>
        <w:trPr>
          <w:trHeight w:val="450" w:hRule="atLeast"/>
        </w:trPr>
        <w:tc>
          <w:tcPr>
            <w:tcW w:w="540" w:type="dxa"/>
            <w:tcBorders>
              <w:top w:val="nil"/>
              <w:left w:val="single" w:color="auto" w:sz="4" w:space="0"/>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108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108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126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r>
      <w:tr>
        <w:tblPrEx>
          <w:tblCellMar>
            <w:top w:w="0" w:type="dxa"/>
            <w:left w:w="108" w:type="dxa"/>
            <w:bottom w:w="0" w:type="dxa"/>
            <w:right w:w="108" w:type="dxa"/>
          </w:tblCellMar>
        </w:tblPrEx>
        <w:trPr>
          <w:trHeight w:val="450" w:hRule="atLeast"/>
        </w:trPr>
        <w:tc>
          <w:tcPr>
            <w:tcW w:w="540" w:type="dxa"/>
            <w:tcBorders>
              <w:top w:val="nil"/>
              <w:left w:val="single" w:color="auto" w:sz="4" w:space="0"/>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108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108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126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r>
      <w:tr>
        <w:tblPrEx>
          <w:tblCellMar>
            <w:top w:w="0" w:type="dxa"/>
            <w:left w:w="108" w:type="dxa"/>
            <w:bottom w:w="0" w:type="dxa"/>
            <w:right w:w="108" w:type="dxa"/>
          </w:tblCellMar>
        </w:tblPrEx>
        <w:trPr>
          <w:trHeight w:val="450" w:hRule="atLeast"/>
        </w:trPr>
        <w:tc>
          <w:tcPr>
            <w:tcW w:w="540" w:type="dxa"/>
            <w:tcBorders>
              <w:top w:val="nil"/>
              <w:left w:val="single" w:color="auto" w:sz="4" w:space="0"/>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108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108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126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r>
      <w:tr>
        <w:tblPrEx>
          <w:tblCellMar>
            <w:top w:w="0" w:type="dxa"/>
            <w:left w:w="108" w:type="dxa"/>
            <w:bottom w:w="0" w:type="dxa"/>
            <w:right w:w="108" w:type="dxa"/>
          </w:tblCellMar>
        </w:tblPrEx>
        <w:trPr>
          <w:trHeight w:val="450" w:hRule="atLeast"/>
        </w:trPr>
        <w:tc>
          <w:tcPr>
            <w:tcW w:w="540" w:type="dxa"/>
            <w:tcBorders>
              <w:top w:val="nil"/>
              <w:left w:val="single" w:color="auto" w:sz="4" w:space="0"/>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108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108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126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r>
      <w:tr>
        <w:tblPrEx>
          <w:tblCellMar>
            <w:top w:w="0" w:type="dxa"/>
            <w:left w:w="108" w:type="dxa"/>
            <w:bottom w:w="0" w:type="dxa"/>
            <w:right w:w="108" w:type="dxa"/>
          </w:tblCellMar>
        </w:tblPrEx>
        <w:trPr>
          <w:trHeight w:val="450" w:hRule="atLeast"/>
        </w:trPr>
        <w:tc>
          <w:tcPr>
            <w:tcW w:w="540" w:type="dxa"/>
            <w:tcBorders>
              <w:top w:val="nil"/>
              <w:left w:val="single" w:color="auto" w:sz="4" w:space="0"/>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108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108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126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r>
      <w:tr>
        <w:tblPrEx>
          <w:tblCellMar>
            <w:top w:w="0" w:type="dxa"/>
            <w:left w:w="108" w:type="dxa"/>
            <w:bottom w:w="0" w:type="dxa"/>
            <w:right w:w="108" w:type="dxa"/>
          </w:tblCellMar>
        </w:tblPrEx>
        <w:trPr>
          <w:trHeight w:val="450" w:hRule="atLeast"/>
        </w:trPr>
        <w:tc>
          <w:tcPr>
            <w:tcW w:w="540" w:type="dxa"/>
            <w:tcBorders>
              <w:top w:val="nil"/>
              <w:left w:val="single" w:color="auto" w:sz="4" w:space="0"/>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108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108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126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r>
      <w:tr>
        <w:tblPrEx>
          <w:tblCellMar>
            <w:top w:w="0" w:type="dxa"/>
            <w:left w:w="108" w:type="dxa"/>
            <w:bottom w:w="0" w:type="dxa"/>
            <w:right w:w="108" w:type="dxa"/>
          </w:tblCellMar>
        </w:tblPrEx>
        <w:trPr>
          <w:trHeight w:val="450" w:hRule="atLeast"/>
        </w:trPr>
        <w:tc>
          <w:tcPr>
            <w:tcW w:w="540" w:type="dxa"/>
            <w:tcBorders>
              <w:top w:val="nil"/>
              <w:left w:val="single" w:color="auto" w:sz="4" w:space="0"/>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108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108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c>
          <w:tcPr>
            <w:tcW w:w="126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0"/>
                <w:highlight w:val="none"/>
              </w:rPr>
            </w:pPr>
            <w:r>
              <w:rPr>
                <w:rFonts w:hint="eastAsia" w:hAnsi="宋体" w:cs="宋体"/>
                <w:color w:val="auto"/>
                <w:kern w:val="0"/>
                <w:sz w:val="20"/>
                <w:highlight w:val="none"/>
              </w:rPr>
              <w:t>　</w:t>
            </w:r>
          </w:p>
        </w:tc>
      </w:tr>
      <w:tr>
        <w:tblPrEx>
          <w:tblCellMar>
            <w:top w:w="0" w:type="dxa"/>
            <w:left w:w="108" w:type="dxa"/>
            <w:bottom w:w="0" w:type="dxa"/>
            <w:right w:w="108" w:type="dxa"/>
          </w:tblCellMar>
        </w:tblPrEx>
        <w:trPr>
          <w:trHeight w:val="450" w:hRule="atLeast"/>
        </w:trPr>
        <w:tc>
          <w:tcPr>
            <w:tcW w:w="9180" w:type="dxa"/>
            <w:gridSpan w:val="12"/>
            <w:tcBorders>
              <w:top w:val="single" w:color="auto" w:sz="4" w:space="0"/>
              <w:left w:val="single" w:color="auto" w:sz="4" w:space="0"/>
              <w:bottom w:val="single" w:color="auto" w:sz="4" w:space="0"/>
              <w:right w:val="single" w:color="000000" w:sz="4" w:space="0"/>
            </w:tcBorders>
            <w:noWrap w:val="0"/>
            <w:vAlign w:val="center"/>
          </w:tcPr>
          <w:p>
            <w:pPr>
              <w:widowControl/>
              <w:spacing w:line="500" w:lineRule="exact"/>
              <w:jc w:val="center"/>
              <w:rPr>
                <w:rFonts w:hAnsi="宋体" w:cs="宋体"/>
                <w:color w:val="auto"/>
                <w:kern w:val="0"/>
                <w:sz w:val="20"/>
                <w:highlight w:val="none"/>
              </w:rPr>
            </w:pPr>
            <w:r>
              <w:rPr>
                <w:rFonts w:hint="eastAsia" w:hAnsi="宋体" w:cs="宋体"/>
                <w:color w:val="auto"/>
                <w:kern w:val="0"/>
                <w:sz w:val="20"/>
                <w:highlight w:val="none"/>
              </w:rPr>
              <w:t>合  计：</w:t>
            </w:r>
          </w:p>
        </w:tc>
        <w:tc>
          <w:tcPr>
            <w:tcW w:w="1260" w:type="dxa"/>
            <w:tcBorders>
              <w:top w:val="nil"/>
              <w:left w:val="nil"/>
              <w:bottom w:val="single" w:color="auto" w:sz="4" w:space="0"/>
              <w:right w:val="single" w:color="auto" w:sz="4" w:space="0"/>
            </w:tcBorders>
            <w:noWrap w:val="0"/>
            <w:vAlign w:val="center"/>
          </w:tcPr>
          <w:p>
            <w:pPr>
              <w:widowControl/>
              <w:spacing w:line="500" w:lineRule="exact"/>
              <w:jc w:val="right"/>
              <w:rPr>
                <w:rFonts w:hAnsi="宋体" w:cs="宋体"/>
                <w:color w:val="auto"/>
                <w:kern w:val="0"/>
                <w:sz w:val="20"/>
                <w:highlight w:val="none"/>
              </w:rPr>
            </w:pPr>
            <w:r>
              <w:rPr>
                <w:rFonts w:hint="eastAsia" w:hAnsi="宋体" w:cs="宋体"/>
                <w:color w:val="auto"/>
                <w:kern w:val="0"/>
                <w:sz w:val="20"/>
                <w:highlight w:val="none"/>
              </w:rPr>
              <w:t>　</w:t>
            </w:r>
          </w:p>
        </w:tc>
      </w:tr>
    </w:tbl>
    <w:p>
      <w:pPr>
        <w:spacing w:line="500" w:lineRule="exact"/>
        <w:rPr>
          <w:rFonts w:hAnsi="宋体"/>
          <w:color w:val="auto"/>
          <w:sz w:val="24"/>
          <w:highlight w:val="none"/>
        </w:rPr>
      </w:pPr>
      <w:r>
        <w:rPr>
          <w:rFonts w:hint="eastAsia" w:hAnsi="宋体"/>
          <w:color w:val="auto"/>
          <w:sz w:val="24"/>
          <w:highlight w:val="none"/>
        </w:rPr>
        <w:t>注：表（1）（2）（3）（4）栏中清单编号、清单名称、清单计量单位和数量由招标人按需要提出。</w:t>
      </w:r>
    </w:p>
    <w:p>
      <w:pPr>
        <w:spacing w:line="500" w:lineRule="exact"/>
        <w:rPr>
          <w:rFonts w:hint="eastAsia" w:hAnsi="宋体"/>
          <w:color w:val="auto"/>
          <w:sz w:val="24"/>
          <w:highlight w:val="none"/>
        </w:rPr>
      </w:pPr>
      <w:r>
        <w:rPr>
          <w:rFonts w:hint="eastAsia" w:hAnsi="宋体"/>
          <w:color w:val="auto"/>
          <w:kern w:val="0"/>
          <w:sz w:val="24"/>
          <w:highlight w:val="none"/>
          <w:lang w:val="en-US" w:eastAsia="zh-CN"/>
        </w:rPr>
        <w:t>响应</w:t>
      </w:r>
      <w:r>
        <w:rPr>
          <w:rFonts w:hint="eastAsia" w:hAnsi="宋体"/>
          <w:color w:val="auto"/>
          <w:kern w:val="0"/>
          <w:sz w:val="24"/>
          <w:highlight w:val="none"/>
        </w:rPr>
        <w:t>人：（ 盖章）</w:t>
      </w:r>
      <w:r>
        <w:rPr>
          <w:rFonts w:hint="eastAsia" w:hAnsi="宋体"/>
          <w:color w:val="auto"/>
          <w:sz w:val="24"/>
          <w:highlight w:val="none"/>
        </w:rPr>
        <w:t xml:space="preserve"> </w:t>
      </w:r>
    </w:p>
    <w:p>
      <w:pPr>
        <w:pStyle w:val="797"/>
        <w:rPr>
          <w:color w:val="auto"/>
          <w:highlight w:val="none"/>
        </w:rPr>
      </w:pPr>
      <w:r>
        <w:rPr>
          <w:color w:val="auto"/>
          <w:highlight w:val="none"/>
        </w:rPr>
        <w:br w:type="page"/>
      </w:r>
    </w:p>
    <w:p>
      <w:pPr>
        <w:widowControl/>
        <w:tabs>
          <w:tab w:val="center" w:pos="4755"/>
          <w:tab w:val="right" w:pos="9070"/>
        </w:tabs>
        <w:spacing w:before="100" w:beforeAutospacing="1" w:after="100" w:afterAutospacing="1" w:line="340" w:lineRule="exact"/>
        <w:ind w:firstLine="321" w:firstLineChars="100"/>
        <w:jc w:val="center"/>
        <w:rPr>
          <w:rFonts w:hAnsi="宋体"/>
          <w:b/>
          <w:color w:val="auto"/>
          <w:kern w:val="0"/>
          <w:sz w:val="32"/>
          <w:szCs w:val="32"/>
          <w:highlight w:val="none"/>
        </w:rPr>
      </w:pPr>
      <w:r>
        <w:rPr>
          <w:rFonts w:hint="eastAsia" w:hAnsi="宋体"/>
          <w:b/>
          <w:color w:val="auto"/>
          <w:kern w:val="0"/>
          <w:sz w:val="32"/>
          <w:szCs w:val="32"/>
          <w:highlight w:val="none"/>
        </w:rPr>
        <w:t>表2-2  措施项目清单分析表</w:t>
      </w:r>
    </w:p>
    <w:p>
      <w:pPr>
        <w:spacing w:line="440" w:lineRule="exact"/>
        <w:rPr>
          <w:rFonts w:hAnsi="宋体"/>
          <w:bCs/>
          <w:color w:val="auto"/>
          <w:sz w:val="24"/>
          <w:highlight w:val="none"/>
        </w:rPr>
      </w:pPr>
      <w:r>
        <w:rPr>
          <w:rFonts w:hint="eastAsia" w:hAnsi="宋体"/>
          <w:bCs/>
          <w:color w:val="auto"/>
          <w:sz w:val="24"/>
          <w:highlight w:val="none"/>
        </w:rPr>
        <w:t>工程名称：</w:t>
      </w:r>
    </w:p>
    <w:p>
      <w:pPr>
        <w:spacing w:line="440" w:lineRule="exact"/>
        <w:rPr>
          <w:rFonts w:hAnsi="宋体"/>
          <w:bCs/>
          <w:color w:val="auto"/>
          <w:sz w:val="24"/>
          <w:highlight w:val="none"/>
        </w:rPr>
      </w:pPr>
      <w:r>
        <w:rPr>
          <w:rFonts w:hint="eastAsia" w:hAnsi="宋体"/>
          <w:bCs/>
          <w:color w:val="auto"/>
          <w:sz w:val="24"/>
          <w:highlight w:val="none"/>
        </w:rPr>
        <w:t>单位工程名称：                                           　　 第  页共  页</w:t>
      </w:r>
    </w:p>
    <w:tbl>
      <w:tblPr>
        <w:tblStyle w:val="62"/>
        <w:tblW w:w="0" w:type="auto"/>
        <w:tblInd w:w="-697" w:type="dxa"/>
        <w:tblLayout w:type="fixed"/>
        <w:tblCellMar>
          <w:top w:w="0" w:type="dxa"/>
          <w:left w:w="108" w:type="dxa"/>
          <w:bottom w:w="0" w:type="dxa"/>
          <w:right w:w="108" w:type="dxa"/>
        </w:tblCellMar>
      </w:tblPr>
      <w:tblGrid>
        <w:gridCol w:w="540"/>
        <w:gridCol w:w="1440"/>
        <w:gridCol w:w="1440"/>
        <w:gridCol w:w="720"/>
        <w:gridCol w:w="720"/>
        <w:gridCol w:w="720"/>
        <w:gridCol w:w="720"/>
        <w:gridCol w:w="720"/>
        <w:gridCol w:w="540"/>
        <w:gridCol w:w="540"/>
        <w:gridCol w:w="900"/>
        <w:gridCol w:w="720"/>
        <w:gridCol w:w="1080"/>
      </w:tblGrid>
      <w:tr>
        <w:tblPrEx>
          <w:tblCellMar>
            <w:top w:w="0" w:type="dxa"/>
            <w:left w:w="108" w:type="dxa"/>
            <w:bottom w:w="0" w:type="dxa"/>
            <w:right w:w="108" w:type="dxa"/>
          </w:tblCellMar>
        </w:tblPrEx>
        <w:trPr>
          <w:trHeight w:val="503" w:hRule="atLeast"/>
        </w:trPr>
        <w:tc>
          <w:tcPr>
            <w:tcW w:w="540" w:type="dxa"/>
            <w:vMerge w:val="restart"/>
            <w:tcBorders>
              <w:top w:val="single" w:color="auto" w:sz="4" w:space="0"/>
              <w:left w:val="single" w:color="auto" w:sz="4" w:space="0"/>
              <w:bottom w:val="nil"/>
              <w:right w:val="single" w:color="auto" w:sz="4" w:space="0"/>
            </w:tcBorders>
            <w:noWrap w:val="0"/>
            <w:vAlign w:val="center"/>
          </w:tcPr>
          <w:p>
            <w:pPr>
              <w:widowControl/>
              <w:jc w:val="center"/>
              <w:rPr>
                <w:rFonts w:hAnsi="宋体" w:cs="宋体"/>
                <w:color w:val="auto"/>
                <w:kern w:val="0"/>
                <w:sz w:val="24"/>
                <w:highlight w:val="none"/>
              </w:rPr>
            </w:pPr>
          </w:p>
          <w:p>
            <w:pPr>
              <w:widowControl/>
              <w:jc w:val="center"/>
              <w:rPr>
                <w:rFonts w:hAnsi="宋体" w:cs="宋体"/>
                <w:color w:val="auto"/>
                <w:kern w:val="0"/>
                <w:sz w:val="24"/>
                <w:highlight w:val="none"/>
              </w:rPr>
            </w:pPr>
            <w:r>
              <w:rPr>
                <w:rFonts w:hint="eastAsia" w:hAnsi="宋体" w:cs="宋体"/>
                <w:color w:val="auto"/>
                <w:kern w:val="0"/>
                <w:sz w:val="24"/>
                <w:highlight w:val="none"/>
              </w:rPr>
              <w:t>序</w:t>
            </w:r>
          </w:p>
          <w:p>
            <w:pPr>
              <w:widowControl/>
              <w:jc w:val="center"/>
              <w:rPr>
                <w:rFonts w:hAnsi="宋体" w:cs="宋体"/>
                <w:color w:val="auto"/>
                <w:kern w:val="0"/>
                <w:sz w:val="24"/>
                <w:highlight w:val="none"/>
              </w:rPr>
            </w:pPr>
            <w:r>
              <w:rPr>
                <w:rFonts w:hint="eastAsia" w:hAnsi="宋体" w:cs="宋体"/>
                <w:color w:val="auto"/>
                <w:kern w:val="0"/>
                <w:sz w:val="24"/>
                <w:highlight w:val="none"/>
              </w:rPr>
              <w:t>号</w:t>
            </w:r>
          </w:p>
          <w:p>
            <w:pPr>
              <w:jc w:val="center"/>
              <w:rPr>
                <w:rFonts w:hAnsi="宋体" w:cs="宋体"/>
                <w:color w:val="auto"/>
                <w:kern w:val="0"/>
                <w:sz w:val="24"/>
                <w:highlight w:val="none"/>
              </w:rPr>
            </w:pPr>
          </w:p>
        </w:tc>
        <w:tc>
          <w:tcPr>
            <w:tcW w:w="14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Ansi="宋体" w:cs="宋体"/>
                <w:color w:val="auto"/>
                <w:kern w:val="0"/>
                <w:sz w:val="24"/>
                <w:highlight w:val="none"/>
              </w:rPr>
            </w:pPr>
            <w:r>
              <w:rPr>
                <w:rFonts w:hint="eastAsia" w:hAnsi="宋体" w:cs="宋体"/>
                <w:color w:val="auto"/>
                <w:kern w:val="0"/>
                <w:sz w:val="24"/>
                <w:highlight w:val="none"/>
              </w:rPr>
              <w:t>编号</w:t>
            </w:r>
          </w:p>
        </w:tc>
        <w:tc>
          <w:tcPr>
            <w:tcW w:w="14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Ansi="宋体" w:cs="宋体"/>
                <w:color w:val="auto"/>
                <w:kern w:val="0"/>
                <w:sz w:val="24"/>
                <w:highlight w:val="none"/>
              </w:rPr>
            </w:pPr>
            <w:r>
              <w:rPr>
                <w:rFonts w:hint="eastAsia" w:hAnsi="宋体" w:cs="宋体"/>
                <w:color w:val="auto"/>
                <w:kern w:val="0"/>
                <w:sz w:val="24"/>
                <w:highlight w:val="none"/>
              </w:rPr>
              <w:t>名称</w:t>
            </w:r>
          </w:p>
        </w:tc>
        <w:tc>
          <w:tcPr>
            <w:tcW w:w="720" w:type="dxa"/>
            <w:vMerge w:val="restart"/>
            <w:tcBorders>
              <w:top w:val="single" w:color="auto" w:sz="4" w:space="0"/>
              <w:left w:val="nil"/>
              <w:bottom w:val="nil"/>
              <w:right w:val="single" w:color="auto" w:sz="4" w:space="0"/>
            </w:tcBorders>
            <w:noWrap w:val="0"/>
            <w:vAlign w:val="center"/>
          </w:tcPr>
          <w:p>
            <w:pPr>
              <w:widowControl/>
              <w:jc w:val="center"/>
              <w:rPr>
                <w:rFonts w:hAnsi="宋体" w:cs="宋体"/>
                <w:color w:val="auto"/>
                <w:kern w:val="0"/>
                <w:sz w:val="24"/>
                <w:highlight w:val="none"/>
              </w:rPr>
            </w:pPr>
            <w:r>
              <w:rPr>
                <w:rFonts w:hint="eastAsia" w:hAnsi="宋体" w:cs="宋体"/>
                <w:color w:val="auto"/>
                <w:kern w:val="0"/>
                <w:sz w:val="24"/>
                <w:highlight w:val="none"/>
              </w:rPr>
              <w:t>计</w:t>
            </w:r>
          </w:p>
          <w:p>
            <w:pPr>
              <w:widowControl/>
              <w:jc w:val="center"/>
              <w:rPr>
                <w:rFonts w:hAnsi="宋体" w:cs="宋体"/>
                <w:color w:val="auto"/>
                <w:kern w:val="0"/>
                <w:sz w:val="24"/>
                <w:highlight w:val="none"/>
              </w:rPr>
            </w:pPr>
            <w:r>
              <w:rPr>
                <w:rFonts w:hint="eastAsia" w:hAnsi="宋体" w:cs="宋体"/>
                <w:color w:val="auto"/>
                <w:kern w:val="0"/>
                <w:sz w:val="24"/>
                <w:highlight w:val="none"/>
              </w:rPr>
              <w:t>量</w:t>
            </w:r>
          </w:p>
          <w:p>
            <w:pPr>
              <w:widowControl/>
              <w:jc w:val="center"/>
              <w:rPr>
                <w:rFonts w:hAnsi="宋体" w:cs="宋体"/>
                <w:color w:val="auto"/>
                <w:kern w:val="0"/>
                <w:sz w:val="24"/>
                <w:highlight w:val="none"/>
              </w:rPr>
            </w:pPr>
            <w:r>
              <w:rPr>
                <w:rFonts w:hint="eastAsia" w:hAnsi="宋体" w:cs="宋体"/>
                <w:color w:val="auto"/>
                <w:kern w:val="0"/>
                <w:sz w:val="24"/>
                <w:highlight w:val="none"/>
              </w:rPr>
              <w:t>单</w:t>
            </w:r>
          </w:p>
          <w:p>
            <w:pPr>
              <w:widowControl/>
              <w:jc w:val="center"/>
              <w:rPr>
                <w:rFonts w:hAnsi="宋体" w:cs="宋体"/>
                <w:color w:val="auto"/>
                <w:kern w:val="0"/>
                <w:sz w:val="24"/>
                <w:highlight w:val="none"/>
              </w:rPr>
            </w:pPr>
            <w:r>
              <w:rPr>
                <w:rFonts w:hint="eastAsia" w:hAnsi="宋体" w:cs="宋体"/>
                <w:color w:val="auto"/>
                <w:kern w:val="0"/>
                <w:sz w:val="24"/>
                <w:highlight w:val="none"/>
              </w:rPr>
              <w:t>位</w:t>
            </w:r>
          </w:p>
        </w:tc>
        <w:tc>
          <w:tcPr>
            <w:tcW w:w="720" w:type="dxa"/>
            <w:vMerge w:val="restart"/>
            <w:tcBorders>
              <w:top w:val="single" w:color="auto" w:sz="4" w:space="0"/>
              <w:left w:val="nil"/>
              <w:bottom w:val="nil"/>
              <w:right w:val="single" w:color="auto" w:sz="4" w:space="0"/>
            </w:tcBorders>
            <w:noWrap w:val="0"/>
            <w:vAlign w:val="center"/>
          </w:tcPr>
          <w:p>
            <w:pPr>
              <w:widowControl/>
              <w:jc w:val="center"/>
              <w:rPr>
                <w:rFonts w:hAnsi="宋体" w:cs="宋体"/>
                <w:color w:val="auto"/>
                <w:kern w:val="0"/>
                <w:sz w:val="24"/>
                <w:highlight w:val="none"/>
              </w:rPr>
            </w:pPr>
          </w:p>
          <w:p>
            <w:pPr>
              <w:widowControl/>
              <w:jc w:val="center"/>
              <w:rPr>
                <w:rFonts w:hAnsi="宋体" w:cs="宋体"/>
                <w:color w:val="auto"/>
                <w:kern w:val="0"/>
                <w:sz w:val="24"/>
                <w:highlight w:val="none"/>
              </w:rPr>
            </w:pPr>
            <w:r>
              <w:rPr>
                <w:rFonts w:hint="eastAsia" w:hAnsi="宋体" w:cs="宋体"/>
                <w:color w:val="auto"/>
                <w:kern w:val="0"/>
                <w:sz w:val="24"/>
                <w:highlight w:val="none"/>
              </w:rPr>
              <w:t>数</w:t>
            </w:r>
          </w:p>
          <w:p>
            <w:pPr>
              <w:widowControl/>
              <w:jc w:val="center"/>
              <w:rPr>
                <w:rFonts w:hAnsi="宋体" w:cs="宋体"/>
                <w:color w:val="auto"/>
                <w:kern w:val="0"/>
                <w:sz w:val="24"/>
                <w:highlight w:val="none"/>
              </w:rPr>
            </w:pPr>
            <w:r>
              <w:rPr>
                <w:rFonts w:hint="eastAsia" w:hAnsi="宋体" w:cs="宋体"/>
                <w:color w:val="auto"/>
                <w:kern w:val="0"/>
                <w:sz w:val="24"/>
                <w:highlight w:val="none"/>
              </w:rPr>
              <w:t>量</w:t>
            </w:r>
          </w:p>
          <w:p>
            <w:pPr>
              <w:jc w:val="center"/>
              <w:rPr>
                <w:rFonts w:hAnsi="宋体" w:cs="宋体"/>
                <w:color w:val="auto"/>
                <w:kern w:val="0"/>
                <w:sz w:val="24"/>
                <w:highlight w:val="none"/>
              </w:rPr>
            </w:pPr>
          </w:p>
        </w:tc>
        <w:tc>
          <w:tcPr>
            <w:tcW w:w="4860"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Ansi="宋体" w:cs="宋体"/>
                <w:color w:val="auto"/>
                <w:kern w:val="0"/>
                <w:sz w:val="24"/>
                <w:highlight w:val="none"/>
              </w:rPr>
            </w:pPr>
            <w:r>
              <w:rPr>
                <w:rFonts w:hint="eastAsia" w:hAnsi="宋体" w:cs="宋体"/>
                <w:color w:val="auto"/>
                <w:kern w:val="0"/>
                <w:sz w:val="24"/>
                <w:highlight w:val="none"/>
              </w:rPr>
              <w:t>综 合 单 价（元）</w:t>
            </w:r>
          </w:p>
        </w:tc>
        <w:tc>
          <w:tcPr>
            <w:tcW w:w="1080" w:type="dxa"/>
            <w:vMerge w:val="restart"/>
            <w:tcBorders>
              <w:top w:val="single" w:color="auto" w:sz="4" w:space="0"/>
              <w:left w:val="single" w:color="auto" w:sz="4" w:space="0"/>
              <w:right w:val="single" w:color="auto" w:sz="4" w:space="0"/>
            </w:tcBorders>
            <w:noWrap w:val="0"/>
            <w:vAlign w:val="center"/>
          </w:tcPr>
          <w:p>
            <w:pPr>
              <w:widowControl/>
              <w:jc w:val="center"/>
              <w:rPr>
                <w:rFonts w:hAnsi="宋体" w:cs="宋体"/>
                <w:color w:val="auto"/>
                <w:kern w:val="0"/>
                <w:sz w:val="24"/>
                <w:highlight w:val="none"/>
              </w:rPr>
            </w:pPr>
            <w:r>
              <w:rPr>
                <w:rFonts w:hint="eastAsia" w:hAnsi="宋体" w:cs="宋体"/>
                <w:color w:val="auto"/>
                <w:kern w:val="0"/>
                <w:sz w:val="24"/>
                <w:highlight w:val="none"/>
              </w:rPr>
              <w:t>合计（元）</w:t>
            </w:r>
          </w:p>
        </w:tc>
      </w:tr>
      <w:tr>
        <w:tblPrEx>
          <w:tblCellMar>
            <w:top w:w="0" w:type="dxa"/>
            <w:left w:w="108" w:type="dxa"/>
            <w:bottom w:w="0" w:type="dxa"/>
            <w:right w:w="108" w:type="dxa"/>
          </w:tblCellMar>
        </w:tblPrEx>
        <w:trPr>
          <w:trHeight w:val="1270" w:hRule="atLeast"/>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Ansi="宋体" w:cs="宋体"/>
                <w:color w:val="auto"/>
                <w:kern w:val="0"/>
                <w:sz w:val="24"/>
                <w:highlight w:val="none"/>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Ansi="宋体" w:cs="宋体"/>
                <w:color w:val="auto"/>
                <w:kern w:val="0"/>
                <w:sz w:val="24"/>
                <w:highlight w:val="none"/>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Ansi="宋体" w:cs="宋体"/>
                <w:color w:val="auto"/>
                <w:kern w:val="0"/>
                <w:sz w:val="24"/>
                <w:highlight w:val="none"/>
              </w:rPr>
            </w:pPr>
          </w:p>
        </w:tc>
        <w:tc>
          <w:tcPr>
            <w:tcW w:w="720" w:type="dxa"/>
            <w:vMerge w:val="continue"/>
            <w:tcBorders>
              <w:top w:val="single" w:color="auto" w:sz="4" w:space="0"/>
              <w:left w:val="nil"/>
              <w:bottom w:val="single" w:color="auto" w:sz="4" w:space="0"/>
              <w:right w:val="single" w:color="auto" w:sz="4" w:space="0"/>
            </w:tcBorders>
            <w:noWrap w:val="0"/>
            <w:vAlign w:val="center"/>
          </w:tcPr>
          <w:p>
            <w:pPr>
              <w:jc w:val="center"/>
              <w:rPr>
                <w:rFonts w:hAnsi="宋体" w:cs="宋体"/>
                <w:color w:val="auto"/>
                <w:kern w:val="0"/>
                <w:sz w:val="24"/>
                <w:highlight w:val="none"/>
              </w:rPr>
            </w:pPr>
          </w:p>
        </w:tc>
        <w:tc>
          <w:tcPr>
            <w:tcW w:w="720" w:type="dxa"/>
            <w:vMerge w:val="continue"/>
            <w:tcBorders>
              <w:top w:val="single" w:color="auto" w:sz="4" w:space="0"/>
              <w:left w:val="nil"/>
              <w:bottom w:val="single" w:color="auto" w:sz="4" w:space="0"/>
              <w:right w:val="single" w:color="auto" w:sz="4" w:space="0"/>
            </w:tcBorders>
            <w:noWrap w:val="0"/>
            <w:vAlign w:val="center"/>
          </w:tcPr>
          <w:p>
            <w:pPr>
              <w:jc w:val="center"/>
              <w:rPr>
                <w:rFonts w:hAnsi="宋体" w:cs="宋体"/>
                <w:color w:val="auto"/>
                <w:kern w:val="0"/>
                <w:sz w:val="24"/>
                <w:highlight w:val="none"/>
              </w:rPr>
            </w:pPr>
          </w:p>
        </w:tc>
        <w:tc>
          <w:tcPr>
            <w:tcW w:w="720" w:type="dxa"/>
            <w:tcBorders>
              <w:top w:val="nil"/>
              <w:left w:val="single" w:color="auto" w:sz="4" w:space="0"/>
              <w:bottom w:val="single" w:color="auto" w:sz="4" w:space="0"/>
              <w:right w:val="single" w:color="auto" w:sz="4" w:space="0"/>
            </w:tcBorders>
            <w:noWrap w:val="0"/>
            <w:vAlign w:val="center"/>
          </w:tcPr>
          <w:p>
            <w:pPr>
              <w:widowControl/>
              <w:jc w:val="center"/>
              <w:rPr>
                <w:rFonts w:hAnsi="宋体" w:cs="宋体"/>
                <w:color w:val="auto"/>
                <w:kern w:val="0"/>
                <w:sz w:val="24"/>
                <w:highlight w:val="none"/>
              </w:rPr>
            </w:pPr>
            <w:r>
              <w:rPr>
                <w:rFonts w:hint="eastAsia" w:hAnsi="宋体" w:cs="宋体"/>
                <w:color w:val="auto"/>
                <w:kern w:val="0"/>
                <w:sz w:val="24"/>
                <w:highlight w:val="none"/>
              </w:rPr>
              <w:t>人</w:t>
            </w:r>
          </w:p>
          <w:p>
            <w:pPr>
              <w:widowControl/>
              <w:jc w:val="center"/>
              <w:rPr>
                <w:rFonts w:hAnsi="宋体" w:cs="宋体"/>
                <w:color w:val="auto"/>
                <w:kern w:val="0"/>
                <w:sz w:val="24"/>
                <w:highlight w:val="none"/>
              </w:rPr>
            </w:pPr>
            <w:r>
              <w:rPr>
                <w:rFonts w:hint="eastAsia" w:hAnsi="宋体" w:cs="宋体"/>
                <w:color w:val="auto"/>
                <w:kern w:val="0"/>
                <w:sz w:val="24"/>
                <w:highlight w:val="none"/>
              </w:rPr>
              <w:t>工</w:t>
            </w:r>
          </w:p>
          <w:p>
            <w:pPr>
              <w:widowControl/>
              <w:jc w:val="center"/>
              <w:rPr>
                <w:rFonts w:hAnsi="宋体" w:cs="宋体"/>
                <w:color w:val="auto"/>
                <w:kern w:val="0"/>
                <w:sz w:val="24"/>
                <w:highlight w:val="none"/>
              </w:rPr>
            </w:pPr>
            <w:r>
              <w:rPr>
                <w:rFonts w:hint="eastAsia" w:hAnsi="宋体" w:cs="宋体"/>
                <w:color w:val="auto"/>
                <w:kern w:val="0"/>
                <w:sz w:val="24"/>
                <w:highlight w:val="none"/>
              </w:rPr>
              <w:t>费</w:t>
            </w:r>
          </w:p>
        </w:tc>
        <w:tc>
          <w:tcPr>
            <w:tcW w:w="720" w:type="dxa"/>
            <w:tcBorders>
              <w:top w:val="nil"/>
              <w:left w:val="single" w:color="auto" w:sz="4" w:space="0"/>
              <w:bottom w:val="single" w:color="auto" w:sz="4" w:space="0"/>
              <w:right w:val="single" w:color="auto" w:sz="4" w:space="0"/>
            </w:tcBorders>
            <w:noWrap w:val="0"/>
            <w:vAlign w:val="center"/>
          </w:tcPr>
          <w:p>
            <w:pPr>
              <w:widowControl/>
              <w:jc w:val="center"/>
              <w:rPr>
                <w:rFonts w:hAnsi="宋体" w:cs="宋体"/>
                <w:color w:val="auto"/>
                <w:kern w:val="0"/>
                <w:sz w:val="24"/>
                <w:highlight w:val="none"/>
              </w:rPr>
            </w:pPr>
            <w:r>
              <w:rPr>
                <w:rFonts w:hint="eastAsia" w:hAnsi="宋体" w:cs="宋体"/>
                <w:color w:val="auto"/>
                <w:kern w:val="0"/>
                <w:sz w:val="24"/>
                <w:highlight w:val="none"/>
              </w:rPr>
              <w:t>材</w:t>
            </w:r>
          </w:p>
          <w:p>
            <w:pPr>
              <w:widowControl/>
              <w:jc w:val="center"/>
              <w:rPr>
                <w:rFonts w:hAnsi="宋体" w:cs="宋体"/>
                <w:color w:val="auto"/>
                <w:kern w:val="0"/>
                <w:sz w:val="24"/>
                <w:highlight w:val="none"/>
              </w:rPr>
            </w:pPr>
            <w:r>
              <w:rPr>
                <w:rFonts w:hint="eastAsia" w:hAnsi="宋体" w:cs="宋体"/>
                <w:color w:val="auto"/>
                <w:kern w:val="0"/>
                <w:sz w:val="24"/>
                <w:highlight w:val="none"/>
              </w:rPr>
              <w:t>料</w:t>
            </w:r>
          </w:p>
          <w:p>
            <w:pPr>
              <w:widowControl/>
              <w:jc w:val="center"/>
              <w:rPr>
                <w:rFonts w:hAnsi="宋体" w:cs="宋体"/>
                <w:color w:val="auto"/>
                <w:kern w:val="0"/>
                <w:sz w:val="24"/>
                <w:highlight w:val="none"/>
              </w:rPr>
            </w:pPr>
            <w:r>
              <w:rPr>
                <w:rFonts w:hint="eastAsia" w:hAnsi="宋体" w:cs="宋体"/>
                <w:color w:val="auto"/>
                <w:kern w:val="0"/>
                <w:sz w:val="24"/>
                <w:highlight w:val="none"/>
              </w:rPr>
              <w:t>费</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Ansi="宋体" w:cs="宋体"/>
                <w:color w:val="auto"/>
                <w:kern w:val="0"/>
                <w:sz w:val="24"/>
                <w:highlight w:val="none"/>
              </w:rPr>
            </w:pPr>
            <w:r>
              <w:rPr>
                <w:rFonts w:hint="eastAsia" w:hAnsi="宋体" w:cs="宋体"/>
                <w:color w:val="auto"/>
                <w:kern w:val="0"/>
                <w:sz w:val="24"/>
                <w:highlight w:val="none"/>
              </w:rPr>
              <w:t>机</w:t>
            </w:r>
          </w:p>
          <w:p>
            <w:pPr>
              <w:widowControl/>
              <w:jc w:val="center"/>
              <w:rPr>
                <w:rFonts w:hAnsi="宋体" w:cs="宋体"/>
                <w:color w:val="auto"/>
                <w:kern w:val="0"/>
                <w:sz w:val="24"/>
                <w:highlight w:val="none"/>
              </w:rPr>
            </w:pPr>
            <w:r>
              <w:rPr>
                <w:rFonts w:hint="eastAsia" w:hAnsi="宋体" w:cs="宋体"/>
                <w:color w:val="auto"/>
                <w:kern w:val="0"/>
                <w:sz w:val="24"/>
                <w:highlight w:val="none"/>
              </w:rPr>
              <w:t>械</w:t>
            </w:r>
          </w:p>
          <w:p>
            <w:pPr>
              <w:widowControl/>
              <w:jc w:val="center"/>
              <w:rPr>
                <w:rFonts w:hAnsi="宋体" w:cs="宋体"/>
                <w:color w:val="auto"/>
                <w:kern w:val="0"/>
                <w:sz w:val="24"/>
                <w:highlight w:val="none"/>
              </w:rPr>
            </w:pPr>
            <w:r>
              <w:rPr>
                <w:rFonts w:hint="eastAsia" w:hAnsi="宋体" w:cs="宋体"/>
                <w:color w:val="auto"/>
                <w:kern w:val="0"/>
                <w:sz w:val="24"/>
                <w:highlight w:val="none"/>
              </w:rPr>
              <w:t>费</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Ansi="宋体" w:cs="宋体"/>
                <w:color w:val="auto"/>
                <w:kern w:val="0"/>
                <w:sz w:val="24"/>
                <w:highlight w:val="none"/>
              </w:rPr>
            </w:pPr>
            <w:r>
              <w:rPr>
                <w:rFonts w:hint="eastAsia" w:hAnsi="宋体" w:cs="宋体"/>
                <w:color w:val="auto"/>
                <w:kern w:val="0"/>
                <w:sz w:val="24"/>
                <w:highlight w:val="none"/>
              </w:rPr>
              <w:t>管</w:t>
            </w:r>
          </w:p>
          <w:p>
            <w:pPr>
              <w:widowControl/>
              <w:jc w:val="center"/>
              <w:rPr>
                <w:rFonts w:hAnsi="宋体" w:cs="宋体"/>
                <w:color w:val="auto"/>
                <w:kern w:val="0"/>
                <w:sz w:val="24"/>
                <w:highlight w:val="none"/>
              </w:rPr>
            </w:pPr>
            <w:r>
              <w:rPr>
                <w:rFonts w:hint="eastAsia" w:hAnsi="宋体" w:cs="宋体"/>
                <w:color w:val="auto"/>
                <w:kern w:val="0"/>
                <w:sz w:val="24"/>
                <w:highlight w:val="none"/>
              </w:rPr>
              <w:t>理</w:t>
            </w:r>
          </w:p>
          <w:p>
            <w:pPr>
              <w:widowControl/>
              <w:jc w:val="center"/>
              <w:rPr>
                <w:rFonts w:hAnsi="宋体" w:cs="宋体"/>
                <w:color w:val="auto"/>
                <w:kern w:val="0"/>
                <w:sz w:val="24"/>
                <w:highlight w:val="none"/>
              </w:rPr>
            </w:pPr>
            <w:r>
              <w:rPr>
                <w:rFonts w:hint="eastAsia" w:hAnsi="宋体" w:cs="宋体"/>
                <w:color w:val="auto"/>
                <w:kern w:val="0"/>
                <w:sz w:val="24"/>
                <w:highlight w:val="none"/>
              </w:rPr>
              <w:t>费</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Ansi="宋体" w:cs="宋体"/>
                <w:color w:val="auto"/>
                <w:kern w:val="0"/>
                <w:sz w:val="24"/>
                <w:highlight w:val="none"/>
              </w:rPr>
            </w:pPr>
            <w:r>
              <w:rPr>
                <w:rFonts w:hint="eastAsia" w:hAnsi="宋体" w:cs="宋体"/>
                <w:color w:val="auto"/>
                <w:kern w:val="0"/>
                <w:sz w:val="24"/>
                <w:highlight w:val="none"/>
              </w:rPr>
              <w:t>利润</w:t>
            </w:r>
          </w:p>
        </w:tc>
        <w:tc>
          <w:tcPr>
            <w:tcW w:w="900" w:type="dxa"/>
            <w:tcBorders>
              <w:top w:val="single" w:color="auto" w:sz="4" w:space="0"/>
              <w:left w:val="nil"/>
              <w:bottom w:val="single" w:color="auto" w:sz="4" w:space="0"/>
              <w:right w:val="single" w:color="auto" w:sz="4" w:space="0"/>
            </w:tcBorders>
            <w:noWrap w:val="0"/>
            <w:vAlign w:val="center"/>
          </w:tcPr>
          <w:p>
            <w:pPr>
              <w:widowControl/>
              <w:jc w:val="center"/>
              <w:rPr>
                <w:rFonts w:hAnsi="宋体" w:cs="宋体"/>
                <w:color w:val="auto"/>
                <w:kern w:val="0"/>
                <w:sz w:val="24"/>
                <w:highlight w:val="none"/>
              </w:rPr>
            </w:pPr>
            <w:r>
              <w:rPr>
                <w:rFonts w:hint="eastAsia" w:hAnsi="宋体" w:cs="宋体"/>
                <w:color w:val="auto"/>
                <w:kern w:val="0"/>
                <w:sz w:val="24"/>
                <w:highlight w:val="none"/>
              </w:rPr>
              <w:t>风险</w:t>
            </w:r>
          </w:p>
          <w:p>
            <w:pPr>
              <w:jc w:val="center"/>
              <w:rPr>
                <w:rFonts w:hAnsi="宋体" w:cs="宋体"/>
                <w:color w:val="auto"/>
                <w:kern w:val="0"/>
                <w:sz w:val="24"/>
                <w:highlight w:val="none"/>
              </w:rPr>
            </w:pPr>
            <w:r>
              <w:rPr>
                <w:rFonts w:hint="eastAsia" w:hAnsi="宋体" w:cs="宋体"/>
                <w:color w:val="auto"/>
                <w:kern w:val="0"/>
                <w:sz w:val="24"/>
                <w:highlight w:val="none"/>
              </w:rPr>
              <w:t>费用</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Ansi="宋体" w:cs="宋体"/>
                <w:color w:val="auto"/>
                <w:kern w:val="0"/>
                <w:sz w:val="24"/>
                <w:highlight w:val="none"/>
              </w:rPr>
            </w:pPr>
            <w:r>
              <w:rPr>
                <w:rFonts w:hint="eastAsia" w:hAnsi="宋体" w:cs="宋体"/>
                <w:color w:val="auto"/>
                <w:kern w:val="0"/>
                <w:sz w:val="24"/>
                <w:highlight w:val="none"/>
              </w:rPr>
              <w:t>小计</w:t>
            </w:r>
          </w:p>
        </w:tc>
        <w:tc>
          <w:tcPr>
            <w:tcW w:w="1080" w:type="dxa"/>
            <w:vMerge w:val="continue"/>
            <w:tcBorders>
              <w:left w:val="single" w:color="auto" w:sz="4" w:space="0"/>
              <w:bottom w:val="single" w:color="000000" w:sz="4" w:space="0"/>
              <w:right w:val="single" w:color="auto" w:sz="4" w:space="0"/>
            </w:tcBorders>
            <w:noWrap w:val="0"/>
            <w:vAlign w:val="center"/>
          </w:tcPr>
          <w:p>
            <w:pPr>
              <w:widowControl/>
              <w:jc w:val="center"/>
              <w:rPr>
                <w:rFonts w:hAnsi="宋体" w:cs="宋体"/>
                <w:color w:val="auto"/>
                <w:kern w:val="0"/>
                <w:sz w:val="24"/>
                <w:highlight w:val="none"/>
              </w:rPr>
            </w:pPr>
          </w:p>
        </w:tc>
      </w:tr>
      <w:tr>
        <w:tblPrEx>
          <w:tblCellMar>
            <w:top w:w="0" w:type="dxa"/>
            <w:left w:w="108" w:type="dxa"/>
            <w:bottom w:w="0" w:type="dxa"/>
            <w:right w:w="108" w:type="dxa"/>
          </w:tblCellMar>
        </w:tblPrEx>
        <w:trPr>
          <w:trHeight w:val="6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cs="宋体"/>
                <w:color w:val="auto"/>
                <w:kern w:val="0"/>
                <w:sz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Ansi="宋体" w:cs="宋体"/>
                <w:color w:val="auto"/>
                <w:spacing w:val="-20"/>
                <w:kern w:val="0"/>
                <w:szCs w:val="21"/>
                <w:highlight w:val="none"/>
              </w:rPr>
            </w:pPr>
            <w:r>
              <w:rPr>
                <w:rFonts w:hint="eastAsia" w:hAnsi="宋体" w:cs="宋体"/>
                <w:color w:val="auto"/>
                <w:spacing w:val="-20"/>
                <w:kern w:val="0"/>
                <w:szCs w:val="21"/>
                <w:highlight w:val="none"/>
              </w:rPr>
              <w:t>（1）</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Ansi="宋体" w:cs="宋体"/>
                <w:color w:val="auto"/>
                <w:spacing w:val="-20"/>
                <w:kern w:val="0"/>
                <w:szCs w:val="21"/>
                <w:highlight w:val="none"/>
              </w:rPr>
            </w:pPr>
            <w:r>
              <w:rPr>
                <w:rFonts w:hint="eastAsia" w:hAnsi="宋体" w:cs="宋体"/>
                <w:color w:val="auto"/>
                <w:spacing w:val="-20"/>
                <w:kern w:val="0"/>
                <w:szCs w:val="21"/>
                <w:highlight w:val="none"/>
              </w:rPr>
              <w:t>（2）</w:t>
            </w:r>
          </w:p>
        </w:tc>
        <w:tc>
          <w:tcPr>
            <w:tcW w:w="720" w:type="dxa"/>
            <w:tcBorders>
              <w:top w:val="single" w:color="auto" w:sz="4" w:space="0"/>
              <w:left w:val="nil"/>
              <w:bottom w:val="single" w:color="auto" w:sz="4" w:space="0"/>
              <w:right w:val="single" w:color="auto" w:sz="4" w:space="0"/>
            </w:tcBorders>
            <w:noWrap w:val="0"/>
            <w:vAlign w:val="center"/>
          </w:tcPr>
          <w:p>
            <w:pPr>
              <w:jc w:val="center"/>
              <w:rPr>
                <w:rFonts w:hAnsi="宋体" w:cs="宋体"/>
                <w:color w:val="auto"/>
                <w:spacing w:val="-20"/>
                <w:kern w:val="0"/>
                <w:szCs w:val="21"/>
                <w:highlight w:val="none"/>
              </w:rPr>
            </w:pPr>
            <w:r>
              <w:rPr>
                <w:rFonts w:hint="eastAsia" w:hAnsi="宋体" w:cs="宋体"/>
                <w:color w:val="auto"/>
                <w:spacing w:val="-20"/>
                <w:kern w:val="0"/>
                <w:szCs w:val="21"/>
                <w:highlight w:val="none"/>
              </w:rPr>
              <w:t>（3）</w:t>
            </w:r>
          </w:p>
        </w:tc>
        <w:tc>
          <w:tcPr>
            <w:tcW w:w="720" w:type="dxa"/>
            <w:tcBorders>
              <w:top w:val="single" w:color="auto" w:sz="4" w:space="0"/>
              <w:left w:val="nil"/>
              <w:bottom w:val="single" w:color="auto" w:sz="4" w:space="0"/>
              <w:right w:val="single" w:color="auto" w:sz="4" w:space="0"/>
            </w:tcBorders>
            <w:noWrap w:val="0"/>
            <w:vAlign w:val="center"/>
          </w:tcPr>
          <w:p>
            <w:pPr>
              <w:jc w:val="center"/>
              <w:rPr>
                <w:rFonts w:hAnsi="宋体" w:cs="宋体"/>
                <w:color w:val="auto"/>
                <w:spacing w:val="-20"/>
                <w:kern w:val="0"/>
                <w:szCs w:val="21"/>
                <w:highlight w:val="none"/>
              </w:rPr>
            </w:pPr>
            <w:r>
              <w:rPr>
                <w:rFonts w:hint="eastAsia" w:hAnsi="宋体" w:cs="宋体"/>
                <w:color w:val="auto"/>
                <w:spacing w:val="-20"/>
                <w:kern w:val="0"/>
                <w:szCs w:val="21"/>
                <w:highlight w:val="none"/>
              </w:rPr>
              <w:t>（4）</w:t>
            </w:r>
          </w:p>
        </w:tc>
        <w:tc>
          <w:tcPr>
            <w:tcW w:w="720" w:type="dxa"/>
            <w:tcBorders>
              <w:top w:val="nil"/>
              <w:left w:val="single" w:color="auto" w:sz="4" w:space="0"/>
              <w:bottom w:val="single" w:color="auto" w:sz="4" w:space="0"/>
              <w:right w:val="single" w:color="auto" w:sz="4" w:space="0"/>
            </w:tcBorders>
            <w:noWrap w:val="0"/>
            <w:vAlign w:val="center"/>
          </w:tcPr>
          <w:p>
            <w:pPr>
              <w:widowControl/>
              <w:jc w:val="center"/>
              <w:rPr>
                <w:rFonts w:hAnsi="宋体" w:cs="宋体"/>
                <w:color w:val="auto"/>
                <w:spacing w:val="-20"/>
                <w:kern w:val="0"/>
                <w:szCs w:val="21"/>
                <w:highlight w:val="none"/>
              </w:rPr>
            </w:pPr>
            <w:r>
              <w:rPr>
                <w:rFonts w:hint="eastAsia" w:hAnsi="宋体" w:cs="宋体"/>
                <w:color w:val="auto"/>
                <w:spacing w:val="-20"/>
                <w:kern w:val="0"/>
                <w:szCs w:val="21"/>
                <w:highlight w:val="none"/>
              </w:rPr>
              <w:t>（5）</w:t>
            </w:r>
          </w:p>
        </w:tc>
        <w:tc>
          <w:tcPr>
            <w:tcW w:w="720" w:type="dxa"/>
            <w:tcBorders>
              <w:top w:val="nil"/>
              <w:left w:val="single" w:color="auto" w:sz="4" w:space="0"/>
              <w:bottom w:val="single" w:color="auto" w:sz="4" w:space="0"/>
              <w:right w:val="single" w:color="auto" w:sz="4" w:space="0"/>
            </w:tcBorders>
            <w:noWrap w:val="0"/>
            <w:vAlign w:val="center"/>
          </w:tcPr>
          <w:p>
            <w:pPr>
              <w:widowControl/>
              <w:jc w:val="center"/>
              <w:rPr>
                <w:rFonts w:hAnsi="宋体" w:cs="宋体"/>
                <w:color w:val="auto"/>
                <w:spacing w:val="-20"/>
                <w:kern w:val="0"/>
                <w:szCs w:val="21"/>
                <w:highlight w:val="none"/>
              </w:rPr>
            </w:pPr>
            <w:r>
              <w:rPr>
                <w:rFonts w:hint="eastAsia" w:hAnsi="宋体" w:cs="宋体"/>
                <w:color w:val="auto"/>
                <w:spacing w:val="-20"/>
                <w:kern w:val="0"/>
                <w:szCs w:val="21"/>
                <w:highlight w:val="none"/>
              </w:rPr>
              <w:t>（6）</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Ansi="宋体" w:cs="宋体"/>
                <w:color w:val="auto"/>
                <w:spacing w:val="-20"/>
                <w:kern w:val="0"/>
                <w:szCs w:val="21"/>
                <w:highlight w:val="none"/>
              </w:rPr>
            </w:pPr>
            <w:r>
              <w:rPr>
                <w:rFonts w:hint="eastAsia" w:hAnsi="宋体" w:cs="宋体"/>
                <w:color w:val="auto"/>
                <w:spacing w:val="-20"/>
                <w:kern w:val="0"/>
                <w:szCs w:val="21"/>
                <w:highlight w:val="none"/>
              </w:rPr>
              <w:t>（7）</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rPr>
                <w:rFonts w:hAnsi="宋体" w:cs="宋体"/>
                <w:color w:val="auto"/>
                <w:spacing w:val="-30"/>
                <w:kern w:val="0"/>
                <w:szCs w:val="21"/>
                <w:highlight w:val="none"/>
              </w:rPr>
            </w:pPr>
            <w:r>
              <w:rPr>
                <w:rFonts w:hint="eastAsia" w:hAnsi="宋体" w:cs="宋体"/>
                <w:color w:val="auto"/>
                <w:spacing w:val="-30"/>
                <w:kern w:val="0"/>
                <w:szCs w:val="21"/>
                <w:highlight w:val="none"/>
              </w:rPr>
              <w:t>（8）</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Ansi="宋体" w:cs="宋体"/>
                <w:color w:val="auto"/>
                <w:spacing w:val="-30"/>
                <w:kern w:val="0"/>
                <w:szCs w:val="21"/>
                <w:highlight w:val="none"/>
              </w:rPr>
            </w:pPr>
            <w:r>
              <w:rPr>
                <w:rFonts w:hint="eastAsia" w:hAnsi="宋体" w:cs="宋体"/>
                <w:color w:val="auto"/>
                <w:spacing w:val="-30"/>
                <w:kern w:val="0"/>
                <w:szCs w:val="21"/>
                <w:highlight w:val="none"/>
              </w:rPr>
              <w:t>（9）</w:t>
            </w:r>
          </w:p>
        </w:tc>
        <w:tc>
          <w:tcPr>
            <w:tcW w:w="900" w:type="dxa"/>
            <w:tcBorders>
              <w:top w:val="single" w:color="auto" w:sz="4" w:space="0"/>
              <w:left w:val="nil"/>
              <w:bottom w:val="single" w:color="auto" w:sz="4" w:space="0"/>
              <w:right w:val="single" w:color="auto" w:sz="4" w:space="0"/>
            </w:tcBorders>
            <w:noWrap w:val="0"/>
            <w:vAlign w:val="center"/>
          </w:tcPr>
          <w:p>
            <w:pPr>
              <w:widowControl/>
              <w:jc w:val="center"/>
              <w:rPr>
                <w:rFonts w:hAnsi="宋体" w:cs="宋体"/>
                <w:color w:val="auto"/>
                <w:spacing w:val="-20"/>
                <w:kern w:val="0"/>
                <w:szCs w:val="21"/>
                <w:highlight w:val="none"/>
              </w:rPr>
            </w:pPr>
            <w:r>
              <w:rPr>
                <w:rFonts w:hint="eastAsia" w:hAnsi="宋体" w:cs="宋体"/>
                <w:color w:val="auto"/>
                <w:spacing w:val="-20"/>
                <w:kern w:val="0"/>
                <w:szCs w:val="21"/>
                <w:highlight w:val="none"/>
              </w:rPr>
              <w:t>（10）</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rPr>
                <w:rFonts w:hAnsi="宋体" w:cs="宋体"/>
                <w:color w:val="auto"/>
                <w:spacing w:val="-20"/>
                <w:kern w:val="0"/>
                <w:szCs w:val="21"/>
                <w:highlight w:val="none"/>
              </w:rPr>
            </w:pPr>
            <w:r>
              <w:rPr>
                <w:rFonts w:hint="eastAsia" w:hAnsi="宋体" w:cs="宋体"/>
                <w:color w:val="auto"/>
                <w:spacing w:val="-20"/>
                <w:kern w:val="0"/>
                <w:szCs w:val="21"/>
                <w:highlight w:val="none"/>
              </w:rPr>
              <w:t>（11）</w:t>
            </w:r>
          </w:p>
        </w:tc>
        <w:tc>
          <w:tcPr>
            <w:tcW w:w="1080" w:type="dxa"/>
            <w:tcBorders>
              <w:left w:val="single" w:color="auto" w:sz="4" w:space="0"/>
              <w:bottom w:val="single" w:color="000000" w:sz="4" w:space="0"/>
              <w:right w:val="single" w:color="auto" w:sz="4" w:space="0"/>
            </w:tcBorders>
            <w:noWrap w:val="0"/>
            <w:vAlign w:val="center"/>
          </w:tcPr>
          <w:p>
            <w:pPr>
              <w:widowControl/>
              <w:jc w:val="center"/>
              <w:rPr>
                <w:rFonts w:hAnsi="宋体" w:cs="宋体"/>
                <w:color w:val="auto"/>
                <w:spacing w:val="-20"/>
                <w:kern w:val="0"/>
                <w:szCs w:val="21"/>
                <w:highlight w:val="none"/>
              </w:rPr>
            </w:pPr>
            <w:r>
              <w:rPr>
                <w:rFonts w:hint="eastAsia" w:hAnsi="宋体" w:cs="宋体"/>
                <w:color w:val="auto"/>
                <w:spacing w:val="-20"/>
                <w:kern w:val="0"/>
                <w:szCs w:val="21"/>
                <w:highlight w:val="none"/>
              </w:rPr>
              <w:t>（4）*（11）</w:t>
            </w:r>
          </w:p>
        </w:tc>
      </w:tr>
      <w:tr>
        <w:tblPrEx>
          <w:tblCellMar>
            <w:top w:w="0" w:type="dxa"/>
            <w:left w:w="108" w:type="dxa"/>
            <w:bottom w:w="0" w:type="dxa"/>
            <w:right w:w="108" w:type="dxa"/>
          </w:tblCellMar>
        </w:tblPrEx>
        <w:trPr>
          <w:trHeight w:val="645"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hAnsi="宋体" w:cs="宋体"/>
                <w:color w:val="auto"/>
                <w:kern w:val="0"/>
                <w:sz w:val="24"/>
                <w:highlight w:val="none"/>
              </w:rPr>
            </w:pPr>
            <w:r>
              <w:rPr>
                <w:rFonts w:hint="eastAsia" w:hAnsi="宋体" w:cs="宋体"/>
                <w:color w:val="auto"/>
                <w:kern w:val="0"/>
                <w:sz w:val="24"/>
                <w:highlight w:val="none"/>
              </w:rPr>
              <w:t>1</w:t>
            </w:r>
          </w:p>
        </w:tc>
        <w:tc>
          <w:tcPr>
            <w:tcW w:w="1440" w:type="dxa"/>
            <w:tcBorders>
              <w:top w:val="nil"/>
              <w:left w:val="nil"/>
              <w:bottom w:val="single" w:color="auto" w:sz="4" w:space="0"/>
              <w:right w:val="single" w:color="auto" w:sz="4" w:space="0"/>
            </w:tcBorders>
            <w:noWrap w:val="0"/>
            <w:vAlign w:val="center"/>
          </w:tcPr>
          <w:p>
            <w:pPr>
              <w:widowControl/>
              <w:spacing w:line="500" w:lineRule="exact"/>
              <w:jc w:val="center"/>
              <w:rPr>
                <w:rFonts w:hAnsi="宋体" w:cs="宋体"/>
                <w:color w:val="auto"/>
                <w:spacing w:val="-12"/>
                <w:kern w:val="0"/>
                <w:sz w:val="24"/>
                <w:highlight w:val="none"/>
              </w:rPr>
            </w:pPr>
            <w:r>
              <w:rPr>
                <w:rFonts w:hint="eastAsia" w:hAnsi="宋体" w:cs="宋体"/>
                <w:color w:val="auto"/>
                <w:spacing w:val="-12"/>
                <w:kern w:val="0"/>
                <w:sz w:val="24"/>
                <w:highlight w:val="none"/>
              </w:rPr>
              <w:t>（清单编码）</w:t>
            </w:r>
          </w:p>
        </w:tc>
        <w:tc>
          <w:tcPr>
            <w:tcW w:w="1440" w:type="dxa"/>
            <w:tcBorders>
              <w:top w:val="nil"/>
              <w:left w:val="nil"/>
              <w:bottom w:val="single" w:color="auto" w:sz="4" w:space="0"/>
              <w:right w:val="single" w:color="auto" w:sz="4" w:space="0"/>
            </w:tcBorders>
            <w:noWrap w:val="0"/>
            <w:vAlign w:val="center"/>
          </w:tcPr>
          <w:p>
            <w:pPr>
              <w:widowControl/>
              <w:spacing w:line="500" w:lineRule="exact"/>
              <w:jc w:val="left"/>
              <w:rPr>
                <w:rFonts w:hAnsi="宋体" w:cs="宋体"/>
                <w:color w:val="auto"/>
                <w:spacing w:val="-12"/>
                <w:kern w:val="0"/>
                <w:sz w:val="24"/>
                <w:highlight w:val="none"/>
              </w:rPr>
            </w:pPr>
            <w:r>
              <w:rPr>
                <w:rFonts w:hint="eastAsia" w:hAnsi="宋体" w:cs="宋体"/>
                <w:color w:val="auto"/>
                <w:spacing w:val="-12"/>
                <w:kern w:val="0"/>
                <w:sz w:val="24"/>
                <w:highlight w:val="none"/>
              </w:rPr>
              <w:t>（清单编码）</w:t>
            </w:r>
          </w:p>
        </w:tc>
        <w:tc>
          <w:tcPr>
            <w:tcW w:w="720" w:type="dxa"/>
            <w:tcBorders>
              <w:top w:val="single" w:color="auto" w:sz="4" w:space="0"/>
              <w:left w:val="nil"/>
              <w:bottom w:val="single" w:color="auto" w:sz="4" w:space="0"/>
              <w:right w:val="single" w:color="auto" w:sz="4" w:space="0"/>
            </w:tcBorders>
            <w:noWrap w:val="0"/>
            <w:vAlign w:val="center"/>
          </w:tcPr>
          <w:p>
            <w:pPr>
              <w:widowControl/>
              <w:spacing w:line="500" w:lineRule="exact"/>
              <w:jc w:val="center"/>
              <w:rPr>
                <w:rFonts w:hAnsi="宋体" w:cs="宋体"/>
                <w:color w:val="auto"/>
                <w:kern w:val="0"/>
                <w:szCs w:val="21"/>
                <w:highlight w:val="none"/>
              </w:rPr>
            </w:pPr>
          </w:p>
        </w:tc>
        <w:tc>
          <w:tcPr>
            <w:tcW w:w="720" w:type="dxa"/>
            <w:tcBorders>
              <w:top w:val="single" w:color="auto" w:sz="4" w:space="0"/>
              <w:left w:val="nil"/>
              <w:bottom w:val="single" w:color="auto" w:sz="4" w:space="0"/>
              <w:right w:val="single" w:color="auto" w:sz="4" w:space="0"/>
            </w:tcBorders>
            <w:noWrap w:val="0"/>
            <w:vAlign w:val="center"/>
          </w:tcPr>
          <w:p>
            <w:pPr>
              <w:widowControl/>
              <w:spacing w:line="500" w:lineRule="exact"/>
              <w:jc w:val="right"/>
              <w:rPr>
                <w:rFonts w:hAnsi="宋体" w:cs="宋体"/>
                <w:color w:val="auto"/>
                <w:kern w:val="0"/>
                <w:szCs w:val="21"/>
                <w:highlight w:val="none"/>
              </w:rPr>
            </w:pPr>
          </w:p>
        </w:tc>
        <w:tc>
          <w:tcPr>
            <w:tcW w:w="720" w:type="dxa"/>
            <w:tcBorders>
              <w:top w:val="nil"/>
              <w:left w:val="nil"/>
              <w:bottom w:val="single" w:color="auto" w:sz="4" w:space="0"/>
              <w:right w:val="single" w:color="auto" w:sz="4" w:space="0"/>
            </w:tcBorders>
            <w:noWrap w:val="0"/>
            <w:vAlign w:val="center"/>
          </w:tcPr>
          <w:p>
            <w:pPr>
              <w:widowControl/>
              <w:spacing w:line="500" w:lineRule="exact"/>
              <w:jc w:val="right"/>
              <w:rPr>
                <w:rFonts w:hAnsi="宋体" w:cs="宋体"/>
                <w:color w:val="auto"/>
                <w:kern w:val="0"/>
                <w:szCs w:val="21"/>
                <w:highlight w:val="none"/>
              </w:rPr>
            </w:pPr>
          </w:p>
        </w:tc>
        <w:tc>
          <w:tcPr>
            <w:tcW w:w="720" w:type="dxa"/>
            <w:tcBorders>
              <w:top w:val="nil"/>
              <w:left w:val="nil"/>
              <w:bottom w:val="single" w:color="auto" w:sz="4" w:space="0"/>
              <w:right w:val="single" w:color="auto" w:sz="4" w:space="0"/>
            </w:tcBorders>
            <w:noWrap w:val="0"/>
            <w:vAlign w:val="center"/>
          </w:tcPr>
          <w:p>
            <w:pPr>
              <w:widowControl/>
              <w:spacing w:line="500" w:lineRule="exact"/>
              <w:jc w:val="right"/>
              <w:rPr>
                <w:rFonts w:hAnsi="宋体" w:cs="宋体"/>
                <w:color w:val="auto"/>
                <w:kern w:val="0"/>
                <w:szCs w:val="21"/>
                <w:highlight w:val="none"/>
              </w:rPr>
            </w:pPr>
          </w:p>
        </w:tc>
        <w:tc>
          <w:tcPr>
            <w:tcW w:w="720" w:type="dxa"/>
            <w:tcBorders>
              <w:top w:val="nil"/>
              <w:left w:val="nil"/>
              <w:bottom w:val="single" w:color="auto" w:sz="4" w:space="0"/>
              <w:right w:val="single" w:color="auto" w:sz="4" w:space="0"/>
            </w:tcBorders>
            <w:noWrap w:val="0"/>
            <w:vAlign w:val="center"/>
          </w:tcPr>
          <w:p>
            <w:pPr>
              <w:widowControl/>
              <w:spacing w:line="500" w:lineRule="exact"/>
              <w:jc w:val="right"/>
              <w:rPr>
                <w:rFonts w:hAnsi="宋体" w:cs="宋体"/>
                <w:color w:val="auto"/>
                <w:kern w:val="0"/>
                <w:szCs w:val="21"/>
                <w:highlight w:val="none"/>
              </w:rPr>
            </w:pPr>
          </w:p>
        </w:tc>
        <w:tc>
          <w:tcPr>
            <w:tcW w:w="540" w:type="dxa"/>
            <w:tcBorders>
              <w:top w:val="nil"/>
              <w:left w:val="nil"/>
              <w:bottom w:val="single" w:color="auto" w:sz="4" w:space="0"/>
              <w:right w:val="single" w:color="auto" w:sz="4" w:space="0"/>
            </w:tcBorders>
            <w:noWrap w:val="0"/>
            <w:vAlign w:val="center"/>
          </w:tcPr>
          <w:p>
            <w:pPr>
              <w:widowControl/>
              <w:spacing w:line="500" w:lineRule="exact"/>
              <w:jc w:val="right"/>
              <w:rPr>
                <w:rFonts w:hAnsi="宋体" w:cs="宋体"/>
                <w:color w:val="auto"/>
                <w:kern w:val="0"/>
                <w:szCs w:val="21"/>
                <w:highlight w:val="none"/>
              </w:rPr>
            </w:pPr>
          </w:p>
        </w:tc>
        <w:tc>
          <w:tcPr>
            <w:tcW w:w="540" w:type="dxa"/>
            <w:tcBorders>
              <w:top w:val="nil"/>
              <w:left w:val="nil"/>
              <w:bottom w:val="single" w:color="auto" w:sz="4" w:space="0"/>
              <w:right w:val="single" w:color="auto" w:sz="4" w:space="0"/>
            </w:tcBorders>
            <w:noWrap w:val="0"/>
            <w:vAlign w:val="center"/>
          </w:tcPr>
          <w:p>
            <w:pPr>
              <w:widowControl/>
              <w:spacing w:line="500" w:lineRule="exact"/>
              <w:jc w:val="right"/>
              <w:rPr>
                <w:rFonts w:hAnsi="宋体" w:cs="宋体"/>
                <w:color w:val="auto"/>
                <w:kern w:val="0"/>
                <w:szCs w:val="21"/>
                <w:highlight w:val="none"/>
              </w:rPr>
            </w:pPr>
          </w:p>
        </w:tc>
        <w:tc>
          <w:tcPr>
            <w:tcW w:w="900" w:type="dxa"/>
            <w:tcBorders>
              <w:top w:val="nil"/>
              <w:left w:val="nil"/>
              <w:bottom w:val="single" w:color="auto" w:sz="4" w:space="0"/>
              <w:right w:val="single" w:color="auto" w:sz="4" w:space="0"/>
            </w:tcBorders>
            <w:noWrap w:val="0"/>
            <w:vAlign w:val="center"/>
          </w:tcPr>
          <w:p>
            <w:pPr>
              <w:widowControl/>
              <w:spacing w:line="500" w:lineRule="exact"/>
              <w:jc w:val="right"/>
              <w:rPr>
                <w:rFonts w:hAnsi="宋体" w:cs="宋体"/>
                <w:color w:val="auto"/>
                <w:kern w:val="0"/>
                <w:szCs w:val="21"/>
                <w:highlight w:val="none"/>
              </w:rPr>
            </w:pPr>
          </w:p>
        </w:tc>
        <w:tc>
          <w:tcPr>
            <w:tcW w:w="720" w:type="dxa"/>
            <w:tcBorders>
              <w:top w:val="nil"/>
              <w:left w:val="nil"/>
              <w:bottom w:val="single" w:color="auto" w:sz="4" w:space="0"/>
              <w:right w:val="single" w:color="auto" w:sz="4" w:space="0"/>
            </w:tcBorders>
            <w:noWrap w:val="0"/>
            <w:vAlign w:val="center"/>
          </w:tcPr>
          <w:p>
            <w:pPr>
              <w:widowControl/>
              <w:spacing w:line="500" w:lineRule="exact"/>
              <w:jc w:val="right"/>
              <w:rPr>
                <w:rFonts w:hAnsi="宋体" w:cs="宋体"/>
                <w:color w:val="auto"/>
                <w:kern w:val="0"/>
                <w:szCs w:val="21"/>
                <w:highlight w:val="none"/>
              </w:rPr>
            </w:pPr>
          </w:p>
        </w:tc>
        <w:tc>
          <w:tcPr>
            <w:tcW w:w="1080" w:type="dxa"/>
            <w:tcBorders>
              <w:top w:val="nil"/>
              <w:left w:val="nil"/>
              <w:bottom w:val="single" w:color="auto" w:sz="4" w:space="0"/>
              <w:right w:val="single" w:color="auto" w:sz="4" w:space="0"/>
            </w:tcBorders>
            <w:noWrap w:val="0"/>
            <w:vAlign w:val="center"/>
          </w:tcPr>
          <w:p>
            <w:pPr>
              <w:widowControl/>
              <w:spacing w:line="500" w:lineRule="exact"/>
              <w:jc w:val="right"/>
              <w:rPr>
                <w:rFonts w:hAnsi="宋体" w:cs="宋体"/>
                <w:color w:val="auto"/>
                <w:kern w:val="0"/>
                <w:szCs w:val="21"/>
                <w:highlight w:val="none"/>
              </w:rPr>
            </w:pPr>
          </w:p>
        </w:tc>
      </w:tr>
      <w:tr>
        <w:tblPrEx>
          <w:tblCellMar>
            <w:top w:w="0" w:type="dxa"/>
            <w:left w:w="108" w:type="dxa"/>
            <w:bottom w:w="0" w:type="dxa"/>
            <w:right w:w="108" w:type="dxa"/>
          </w:tblCellMar>
        </w:tblPrEx>
        <w:trPr>
          <w:trHeight w:val="645" w:hRule="atLeast"/>
        </w:trPr>
        <w:tc>
          <w:tcPr>
            <w:tcW w:w="540"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hAnsi="宋体" w:cs="宋体"/>
                <w:color w:val="auto"/>
                <w:kern w:val="0"/>
                <w:sz w:val="24"/>
                <w:highlight w:val="none"/>
              </w:rPr>
            </w:pPr>
          </w:p>
        </w:tc>
        <w:tc>
          <w:tcPr>
            <w:tcW w:w="1440" w:type="dxa"/>
            <w:tcBorders>
              <w:top w:val="nil"/>
              <w:left w:val="nil"/>
              <w:bottom w:val="single" w:color="auto" w:sz="4" w:space="0"/>
              <w:right w:val="single" w:color="auto" w:sz="4" w:space="0"/>
            </w:tcBorders>
            <w:noWrap w:val="0"/>
            <w:vAlign w:val="center"/>
          </w:tcPr>
          <w:p>
            <w:pPr>
              <w:widowControl/>
              <w:spacing w:line="500" w:lineRule="exact"/>
              <w:jc w:val="center"/>
              <w:rPr>
                <w:rFonts w:hAnsi="宋体" w:cs="宋体"/>
                <w:color w:val="auto"/>
                <w:spacing w:val="-12"/>
                <w:kern w:val="0"/>
                <w:sz w:val="24"/>
                <w:highlight w:val="none"/>
              </w:rPr>
            </w:pPr>
            <w:r>
              <w:rPr>
                <w:rFonts w:hint="eastAsia" w:hAnsi="宋体" w:cs="宋体"/>
                <w:color w:val="auto"/>
                <w:spacing w:val="-12"/>
                <w:kern w:val="0"/>
                <w:sz w:val="24"/>
                <w:highlight w:val="none"/>
              </w:rPr>
              <w:t>（定额编码）</w:t>
            </w:r>
          </w:p>
        </w:tc>
        <w:tc>
          <w:tcPr>
            <w:tcW w:w="1440" w:type="dxa"/>
            <w:tcBorders>
              <w:top w:val="nil"/>
              <w:left w:val="nil"/>
              <w:bottom w:val="single" w:color="auto" w:sz="4" w:space="0"/>
              <w:right w:val="single" w:color="auto" w:sz="4" w:space="0"/>
            </w:tcBorders>
            <w:noWrap w:val="0"/>
            <w:vAlign w:val="center"/>
          </w:tcPr>
          <w:p>
            <w:pPr>
              <w:widowControl/>
              <w:spacing w:line="500" w:lineRule="exact"/>
              <w:jc w:val="center"/>
              <w:rPr>
                <w:rFonts w:hAnsi="宋体" w:cs="宋体"/>
                <w:color w:val="auto"/>
                <w:spacing w:val="-12"/>
                <w:kern w:val="0"/>
                <w:sz w:val="24"/>
                <w:highlight w:val="none"/>
              </w:rPr>
            </w:pPr>
            <w:r>
              <w:rPr>
                <w:rFonts w:hint="eastAsia" w:hAnsi="宋体" w:cs="宋体"/>
                <w:color w:val="auto"/>
                <w:spacing w:val="-12"/>
                <w:kern w:val="0"/>
                <w:sz w:val="24"/>
                <w:highlight w:val="none"/>
              </w:rPr>
              <w:t>（定额编码）</w:t>
            </w:r>
          </w:p>
        </w:tc>
        <w:tc>
          <w:tcPr>
            <w:tcW w:w="720" w:type="dxa"/>
            <w:tcBorders>
              <w:top w:val="nil"/>
              <w:left w:val="nil"/>
              <w:bottom w:val="single" w:color="auto" w:sz="4" w:space="0"/>
              <w:right w:val="single" w:color="auto" w:sz="4" w:space="0"/>
            </w:tcBorders>
            <w:noWrap w:val="0"/>
            <w:vAlign w:val="center"/>
          </w:tcPr>
          <w:p>
            <w:pPr>
              <w:widowControl/>
              <w:spacing w:line="500" w:lineRule="exact"/>
              <w:jc w:val="center"/>
              <w:rPr>
                <w:rFonts w:hAnsi="宋体" w:cs="宋体"/>
                <w:color w:val="auto"/>
                <w:kern w:val="0"/>
                <w:szCs w:val="21"/>
                <w:highlight w:val="none"/>
              </w:rPr>
            </w:pPr>
          </w:p>
        </w:tc>
        <w:tc>
          <w:tcPr>
            <w:tcW w:w="720" w:type="dxa"/>
            <w:tcBorders>
              <w:top w:val="nil"/>
              <w:left w:val="nil"/>
              <w:bottom w:val="single" w:color="auto" w:sz="4" w:space="0"/>
              <w:right w:val="single" w:color="auto" w:sz="4" w:space="0"/>
            </w:tcBorders>
            <w:noWrap w:val="0"/>
            <w:vAlign w:val="center"/>
          </w:tcPr>
          <w:p>
            <w:pPr>
              <w:widowControl/>
              <w:spacing w:line="500" w:lineRule="exact"/>
              <w:jc w:val="right"/>
              <w:rPr>
                <w:rFonts w:hAnsi="宋体" w:cs="宋体"/>
                <w:color w:val="auto"/>
                <w:kern w:val="0"/>
                <w:szCs w:val="21"/>
                <w:highlight w:val="none"/>
              </w:rPr>
            </w:pPr>
          </w:p>
        </w:tc>
        <w:tc>
          <w:tcPr>
            <w:tcW w:w="720" w:type="dxa"/>
            <w:tcBorders>
              <w:top w:val="nil"/>
              <w:left w:val="nil"/>
              <w:bottom w:val="single" w:color="auto" w:sz="4" w:space="0"/>
              <w:right w:val="single" w:color="auto" w:sz="4" w:space="0"/>
            </w:tcBorders>
            <w:noWrap w:val="0"/>
            <w:vAlign w:val="center"/>
          </w:tcPr>
          <w:p>
            <w:pPr>
              <w:widowControl/>
              <w:spacing w:line="500" w:lineRule="exact"/>
              <w:jc w:val="right"/>
              <w:rPr>
                <w:rFonts w:hAnsi="宋体" w:cs="宋体"/>
                <w:color w:val="auto"/>
                <w:kern w:val="0"/>
                <w:szCs w:val="21"/>
                <w:highlight w:val="none"/>
              </w:rPr>
            </w:pPr>
          </w:p>
        </w:tc>
        <w:tc>
          <w:tcPr>
            <w:tcW w:w="720" w:type="dxa"/>
            <w:tcBorders>
              <w:top w:val="nil"/>
              <w:left w:val="nil"/>
              <w:bottom w:val="single" w:color="auto" w:sz="4" w:space="0"/>
              <w:right w:val="single" w:color="auto" w:sz="4" w:space="0"/>
            </w:tcBorders>
            <w:noWrap w:val="0"/>
            <w:vAlign w:val="center"/>
          </w:tcPr>
          <w:p>
            <w:pPr>
              <w:widowControl/>
              <w:spacing w:line="500" w:lineRule="exact"/>
              <w:jc w:val="right"/>
              <w:rPr>
                <w:rFonts w:hAnsi="宋体" w:cs="宋体"/>
                <w:color w:val="auto"/>
                <w:kern w:val="0"/>
                <w:szCs w:val="21"/>
                <w:highlight w:val="none"/>
              </w:rPr>
            </w:pPr>
          </w:p>
        </w:tc>
        <w:tc>
          <w:tcPr>
            <w:tcW w:w="720" w:type="dxa"/>
            <w:tcBorders>
              <w:top w:val="nil"/>
              <w:left w:val="nil"/>
              <w:bottom w:val="single" w:color="auto" w:sz="4" w:space="0"/>
              <w:right w:val="single" w:color="auto" w:sz="4" w:space="0"/>
            </w:tcBorders>
            <w:noWrap w:val="0"/>
            <w:vAlign w:val="center"/>
          </w:tcPr>
          <w:p>
            <w:pPr>
              <w:widowControl/>
              <w:spacing w:line="500" w:lineRule="exact"/>
              <w:jc w:val="right"/>
              <w:rPr>
                <w:rFonts w:hAnsi="宋体" w:cs="宋体"/>
                <w:color w:val="auto"/>
                <w:kern w:val="0"/>
                <w:szCs w:val="21"/>
                <w:highlight w:val="none"/>
              </w:rPr>
            </w:pPr>
          </w:p>
        </w:tc>
        <w:tc>
          <w:tcPr>
            <w:tcW w:w="540" w:type="dxa"/>
            <w:tcBorders>
              <w:top w:val="nil"/>
              <w:left w:val="nil"/>
              <w:bottom w:val="single" w:color="auto" w:sz="4" w:space="0"/>
              <w:right w:val="single" w:color="auto" w:sz="4" w:space="0"/>
            </w:tcBorders>
            <w:noWrap w:val="0"/>
            <w:vAlign w:val="center"/>
          </w:tcPr>
          <w:p>
            <w:pPr>
              <w:widowControl/>
              <w:spacing w:line="500" w:lineRule="exact"/>
              <w:jc w:val="right"/>
              <w:rPr>
                <w:rFonts w:hAnsi="宋体" w:cs="宋体"/>
                <w:color w:val="auto"/>
                <w:kern w:val="0"/>
                <w:szCs w:val="21"/>
                <w:highlight w:val="none"/>
              </w:rPr>
            </w:pPr>
          </w:p>
        </w:tc>
        <w:tc>
          <w:tcPr>
            <w:tcW w:w="540" w:type="dxa"/>
            <w:tcBorders>
              <w:top w:val="nil"/>
              <w:left w:val="nil"/>
              <w:bottom w:val="single" w:color="auto" w:sz="4" w:space="0"/>
              <w:right w:val="single" w:color="auto" w:sz="4" w:space="0"/>
            </w:tcBorders>
            <w:noWrap w:val="0"/>
            <w:vAlign w:val="center"/>
          </w:tcPr>
          <w:p>
            <w:pPr>
              <w:widowControl/>
              <w:spacing w:line="500" w:lineRule="exact"/>
              <w:jc w:val="right"/>
              <w:rPr>
                <w:rFonts w:hAnsi="宋体" w:cs="宋体"/>
                <w:color w:val="auto"/>
                <w:kern w:val="0"/>
                <w:szCs w:val="21"/>
                <w:highlight w:val="none"/>
              </w:rPr>
            </w:pPr>
          </w:p>
        </w:tc>
        <w:tc>
          <w:tcPr>
            <w:tcW w:w="900" w:type="dxa"/>
            <w:tcBorders>
              <w:top w:val="nil"/>
              <w:left w:val="nil"/>
              <w:bottom w:val="single" w:color="auto" w:sz="4" w:space="0"/>
              <w:right w:val="single" w:color="auto" w:sz="4" w:space="0"/>
            </w:tcBorders>
            <w:noWrap w:val="0"/>
            <w:vAlign w:val="center"/>
          </w:tcPr>
          <w:p>
            <w:pPr>
              <w:widowControl/>
              <w:spacing w:line="500" w:lineRule="exact"/>
              <w:jc w:val="right"/>
              <w:rPr>
                <w:rFonts w:hAnsi="宋体" w:cs="宋体"/>
                <w:color w:val="auto"/>
                <w:kern w:val="0"/>
                <w:szCs w:val="21"/>
                <w:highlight w:val="none"/>
              </w:rPr>
            </w:pPr>
          </w:p>
        </w:tc>
        <w:tc>
          <w:tcPr>
            <w:tcW w:w="720" w:type="dxa"/>
            <w:tcBorders>
              <w:top w:val="nil"/>
              <w:left w:val="nil"/>
              <w:bottom w:val="single" w:color="auto" w:sz="4" w:space="0"/>
              <w:right w:val="single" w:color="auto" w:sz="4" w:space="0"/>
            </w:tcBorders>
            <w:noWrap w:val="0"/>
            <w:vAlign w:val="center"/>
          </w:tcPr>
          <w:p>
            <w:pPr>
              <w:widowControl/>
              <w:spacing w:line="500" w:lineRule="exact"/>
              <w:jc w:val="right"/>
              <w:rPr>
                <w:rFonts w:hAnsi="宋体" w:cs="宋体"/>
                <w:color w:val="auto"/>
                <w:kern w:val="0"/>
                <w:szCs w:val="21"/>
                <w:highlight w:val="none"/>
              </w:rPr>
            </w:pPr>
          </w:p>
        </w:tc>
        <w:tc>
          <w:tcPr>
            <w:tcW w:w="1080" w:type="dxa"/>
            <w:tcBorders>
              <w:top w:val="nil"/>
              <w:left w:val="nil"/>
              <w:bottom w:val="single" w:color="auto" w:sz="4" w:space="0"/>
              <w:right w:val="single" w:color="auto" w:sz="4" w:space="0"/>
            </w:tcBorders>
            <w:noWrap w:val="0"/>
            <w:vAlign w:val="center"/>
          </w:tcPr>
          <w:p>
            <w:pPr>
              <w:widowControl/>
              <w:spacing w:line="500" w:lineRule="exact"/>
              <w:jc w:val="right"/>
              <w:rPr>
                <w:rFonts w:hAnsi="宋体" w:cs="宋体"/>
                <w:color w:val="auto"/>
                <w:kern w:val="0"/>
                <w:szCs w:val="21"/>
                <w:highlight w:val="none"/>
              </w:rPr>
            </w:pPr>
          </w:p>
        </w:tc>
      </w:tr>
      <w:tr>
        <w:tblPrEx>
          <w:tblCellMar>
            <w:top w:w="0" w:type="dxa"/>
            <w:left w:w="108" w:type="dxa"/>
            <w:bottom w:w="0" w:type="dxa"/>
            <w:right w:w="108" w:type="dxa"/>
          </w:tblCellMar>
        </w:tblPrEx>
        <w:trPr>
          <w:trHeight w:val="450" w:hRule="atLeast"/>
        </w:trPr>
        <w:tc>
          <w:tcPr>
            <w:tcW w:w="540"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hAnsi="宋体" w:cs="宋体"/>
                <w:color w:val="auto"/>
                <w:kern w:val="0"/>
                <w:sz w:val="24"/>
                <w:highlight w:val="none"/>
              </w:rPr>
            </w:pPr>
          </w:p>
        </w:tc>
        <w:tc>
          <w:tcPr>
            <w:tcW w:w="1440" w:type="dxa"/>
            <w:tcBorders>
              <w:top w:val="nil"/>
              <w:left w:val="nil"/>
              <w:bottom w:val="single" w:color="auto" w:sz="4" w:space="0"/>
              <w:right w:val="single" w:color="auto" w:sz="4" w:space="0"/>
            </w:tcBorders>
            <w:noWrap w:val="0"/>
            <w:vAlign w:val="center"/>
          </w:tcPr>
          <w:p>
            <w:pPr>
              <w:widowControl/>
              <w:spacing w:line="500" w:lineRule="exact"/>
              <w:jc w:val="center"/>
              <w:rPr>
                <w:rFonts w:hAnsi="宋体" w:cs="宋体"/>
                <w:color w:val="auto"/>
                <w:kern w:val="0"/>
                <w:sz w:val="24"/>
                <w:highlight w:val="none"/>
              </w:rPr>
            </w:pPr>
            <w:r>
              <w:rPr>
                <w:rFonts w:hint="eastAsia" w:hAnsi="宋体" w:cs="宋体"/>
                <w:color w:val="auto"/>
                <w:kern w:val="0"/>
                <w:sz w:val="24"/>
                <w:highlight w:val="none"/>
              </w:rPr>
              <w:t>……</w:t>
            </w:r>
          </w:p>
        </w:tc>
        <w:tc>
          <w:tcPr>
            <w:tcW w:w="1440" w:type="dxa"/>
            <w:tcBorders>
              <w:top w:val="nil"/>
              <w:left w:val="nil"/>
              <w:bottom w:val="single" w:color="auto" w:sz="4" w:space="0"/>
              <w:right w:val="single" w:color="auto" w:sz="4" w:space="0"/>
            </w:tcBorders>
            <w:noWrap w:val="0"/>
            <w:vAlign w:val="center"/>
          </w:tcPr>
          <w:p>
            <w:pPr>
              <w:widowControl/>
              <w:spacing w:line="500" w:lineRule="exact"/>
              <w:jc w:val="left"/>
              <w:rPr>
                <w:rFonts w:hAnsi="宋体" w:cs="宋体"/>
                <w:color w:val="auto"/>
                <w:kern w:val="0"/>
                <w:sz w:val="24"/>
                <w:highlight w:val="none"/>
              </w:rPr>
            </w:pPr>
            <w:r>
              <w:rPr>
                <w:rFonts w:hint="eastAsia" w:hAnsi="宋体" w:cs="宋体"/>
                <w:color w:val="auto"/>
                <w:kern w:val="0"/>
                <w:sz w:val="24"/>
                <w:highlight w:val="none"/>
              </w:rPr>
              <w:t>……</w:t>
            </w:r>
          </w:p>
        </w:tc>
        <w:tc>
          <w:tcPr>
            <w:tcW w:w="720" w:type="dxa"/>
            <w:tcBorders>
              <w:top w:val="nil"/>
              <w:left w:val="nil"/>
              <w:bottom w:val="single" w:color="auto" w:sz="4" w:space="0"/>
              <w:right w:val="single" w:color="auto" w:sz="4" w:space="0"/>
            </w:tcBorders>
            <w:noWrap w:val="0"/>
            <w:vAlign w:val="center"/>
          </w:tcPr>
          <w:p>
            <w:pPr>
              <w:widowControl/>
              <w:spacing w:line="500" w:lineRule="exact"/>
              <w:jc w:val="center"/>
              <w:rPr>
                <w:rFonts w:hAnsi="宋体" w:cs="宋体"/>
                <w:color w:val="auto"/>
                <w:kern w:val="0"/>
                <w:szCs w:val="21"/>
                <w:highlight w:val="none"/>
              </w:rPr>
            </w:pPr>
          </w:p>
        </w:tc>
        <w:tc>
          <w:tcPr>
            <w:tcW w:w="720" w:type="dxa"/>
            <w:tcBorders>
              <w:top w:val="nil"/>
              <w:left w:val="nil"/>
              <w:bottom w:val="single" w:color="auto" w:sz="4" w:space="0"/>
              <w:right w:val="single" w:color="auto" w:sz="4" w:space="0"/>
            </w:tcBorders>
            <w:noWrap w:val="0"/>
            <w:vAlign w:val="center"/>
          </w:tcPr>
          <w:p>
            <w:pPr>
              <w:widowControl/>
              <w:spacing w:line="500" w:lineRule="exact"/>
              <w:jc w:val="right"/>
              <w:rPr>
                <w:rFonts w:hAnsi="宋体" w:cs="宋体"/>
                <w:color w:val="auto"/>
                <w:kern w:val="0"/>
                <w:szCs w:val="21"/>
                <w:highlight w:val="none"/>
              </w:rPr>
            </w:pPr>
          </w:p>
        </w:tc>
        <w:tc>
          <w:tcPr>
            <w:tcW w:w="720" w:type="dxa"/>
            <w:tcBorders>
              <w:top w:val="nil"/>
              <w:left w:val="nil"/>
              <w:bottom w:val="single" w:color="auto" w:sz="4" w:space="0"/>
              <w:right w:val="single" w:color="auto" w:sz="4" w:space="0"/>
            </w:tcBorders>
            <w:noWrap w:val="0"/>
            <w:vAlign w:val="center"/>
          </w:tcPr>
          <w:p>
            <w:pPr>
              <w:widowControl/>
              <w:spacing w:line="500" w:lineRule="exact"/>
              <w:jc w:val="right"/>
              <w:rPr>
                <w:rFonts w:hAnsi="宋体" w:cs="宋体"/>
                <w:color w:val="auto"/>
                <w:kern w:val="0"/>
                <w:szCs w:val="21"/>
                <w:highlight w:val="none"/>
              </w:rPr>
            </w:pPr>
          </w:p>
        </w:tc>
        <w:tc>
          <w:tcPr>
            <w:tcW w:w="720" w:type="dxa"/>
            <w:tcBorders>
              <w:top w:val="nil"/>
              <w:left w:val="nil"/>
              <w:bottom w:val="single" w:color="auto" w:sz="4" w:space="0"/>
              <w:right w:val="single" w:color="auto" w:sz="4" w:space="0"/>
            </w:tcBorders>
            <w:noWrap w:val="0"/>
            <w:vAlign w:val="center"/>
          </w:tcPr>
          <w:p>
            <w:pPr>
              <w:widowControl/>
              <w:spacing w:line="500" w:lineRule="exact"/>
              <w:jc w:val="right"/>
              <w:rPr>
                <w:rFonts w:hAnsi="宋体" w:cs="宋体"/>
                <w:color w:val="auto"/>
                <w:kern w:val="0"/>
                <w:szCs w:val="21"/>
                <w:highlight w:val="none"/>
              </w:rPr>
            </w:pPr>
          </w:p>
        </w:tc>
        <w:tc>
          <w:tcPr>
            <w:tcW w:w="720" w:type="dxa"/>
            <w:tcBorders>
              <w:top w:val="nil"/>
              <w:left w:val="nil"/>
              <w:bottom w:val="single" w:color="auto" w:sz="4" w:space="0"/>
              <w:right w:val="single" w:color="auto" w:sz="4" w:space="0"/>
            </w:tcBorders>
            <w:noWrap w:val="0"/>
            <w:vAlign w:val="center"/>
          </w:tcPr>
          <w:p>
            <w:pPr>
              <w:widowControl/>
              <w:spacing w:line="500" w:lineRule="exact"/>
              <w:jc w:val="right"/>
              <w:rPr>
                <w:rFonts w:hAnsi="宋体" w:cs="宋体"/>
                <w:color w:val="auto"/>
                <w:kern w:val="0"/>
                <w:szCs w:val="21"/>
                <w:highlight w:val="none"/>
              </w:rPr>
            </w:pPr>
          </w:p>
        </w:tc>
        <w:tc>
          <w:tcPr>
            <w:tcW w:w="540" w:type="dxa"/>
            <w:tcBorders>
              <w:top w:val="nil"/>
              <w:left w:val="nil"/>
              <w:bottom w:val="single" w:color="auto" w:sz="4" w:space="0"/>
              <w:right w:val="single" w:color="auto" w:sz="4" w:space="0"/>
            </w:tcBorders>
            <w:noWrap w:val="0"/>
            <w:vAlign w:val="center"/>
          </w:tcPr>
          <w:p>
            <w:pPr>
              <w:widowControl/>
              <w:spacing w:line="500" w:lineRule="exact"/>
              <w:jc w:val="right"/>
              <w:rPr>
                <w:rFonts w:hAnsi="宋体" w:cs="宋体"/>
                <w:color w:val="auto"/>
                <w:kern w:val="0"/>
                <w:szCs w:val="21"/>
                <w:highlight w:val="none"/>
              </w:rPr>
            </w:pPr>
          </w:p>
        </w:tc>
        <w:tc>
          <w:tcPr>
            <w:tcW w:w="540" w:type="dxa"/>
            <w:tcBorders>
              <w:top w:val="nil"/>
              <w:left w:val="nil"/>
              <w:bottom w:val="single" w:color="auto" w:sz="4" w:space="0"/>
              <w:right w:val="single" w:color="auto" w:sz="4" w:space="0"/>
            </w:tcBorders>
            <w:noWrap w:val="0"/>
            <w:vAlign w:val="center"/>
          </w:tcPr>
          <w:p>
            <w:pPr>
              <w:widowControl/>
              <w:spacing w:line="500" w:lineRule="exact"/>
              <w:jc w:val="right"/>
              <w:rPr>
                <w:rFonts w:hAnsi="宋体" w:cs="宋体"/>
                <w:color w:val="auto"/>
                <w:kern w:val="0"/>
                <w:szCs w:val="21"/>
                <w:highlight w:val="none"/>
              </w:rPr>
            </w:pPr>
          </w:p>
        </w:tc>
        <w:tc>
          <w:tcPr>
            <w:tcW w:w="900" w:type="dxa"/>
            <w:tcBorders>
              <w:top w:val="nil"/>
              <w:left w:val="nil"/>
              <w:bottom w:val="single" w:color="auto" w:sz="4" w:space="0"/>
              <w:right w:val="single" w:color="auto" w:sz="4" w:space="0"/>
            </w:tcBorders>
            <w:noWrap w:val="0"/>
            <w:vAlign w:val="center"/>
          </w:tcPr>
          <w:p>
            <w:pPr>
              <w:widowControl/>
              <w:spacing w:line="500" w:lineRule="exact"/>
              <w:jc w:val="right"/>
              <w:rPr>
                <w:rFonts w:hAnsi="宋体" w:cs="宋体"/>
                <w:color w:val="auto"/>
                <w:kern w:val="0"/>
                <w:szCs w:val="21"/>
                <w:highlight w:val="none"/>
              </w:rPr>
            </w:pPr>
          </w:p>
        </w:tc>
        <w:tc>
          <w:tcPr>
            <w:tcW w:w="720" w:type="dxa"/>
            <w:tcBorders>
              <w:top w:val="nil"/>
              <w:left w:val="nil"/>
              <w:bottom w:val="single" w:color="auto" w:sz="4" w:space="0"/>
              <w:right w:val="single" w:color="auto" w:sz="4" w:space="0"/>
            </w:tcBorders>
            <w:noWrap w:val="0"/>
            <w:vAlign w:val="center"/>
          </w:tcPr>
          <w:p>
            <w:pPr>
              <w:widowControl/>
              <w:spacing w:line="500" w:lineRule="exact"/>
              <w:jc w:val="right"/>
              <w:rPr>
                <w:rFonts w:hAnsi="宋体" w:cs="宋体"/>
                <w:color w:val="auto"/>
                <w:kern w:val="0"/>
                <w:szCs w:val="21"/>
                <w:highlight w:val="none"/>
              </w:rPr>
            </w:pPr>
          </w:p>
        </w:tc>
        <w:tc>
          <w:tcPr>
            <w:tcW w:w="1080" w:type="dxa"/>
            <w:tcBorders>
              <w:top w:val="nil"/>
              <w:left w:val="nil"/>
              <w:bottom w:val="single" w:color="auto" w:sz="4" w:space="0"/>
              <w:right w:val="single" w:color="auto" w:sz="4" w:space="0"/>
            </w:tcBorders>
            <w:noWrap w:val="0"/>
            <w:vAlign w:val="center"/>
          </w:tcPr>
          <w:p>
            <w:pPr>
              <w:widowControl/>
              <w:spacing w:line="500" w:lineRule="exact"/>
              <w:jc w:val="right"/>
              <w:rPr>
                <w:rFonts w:hAnsi="宋体" w:cs="宋体"/>
                <w:color w:val="auto"/>
                <w:kern w:val="0"/>
                <w:szCs w:val="21"/>
                <w:highlight w:val="none"/>
              </w:rPr>
            </w:pPr>
          </w:p>
        </w:tc>
      </w:tr>
      <w:tr>
        <w:tblPrEx>
          <w:tblCellMar>
            <w:top w:w="0" w:type="dxa"/>
            <w:left w:w="108" w:type="dxa"/>
            <w:bottom w:w="0" w:type="dxa"/>
            <w:right w:w="108" w:type="dxa"/>
          </w:tblCellMar>
        </w:tblPrEx>
        <w:trPr>
          <w:trHeight w:val="525" w:hRule="atLeast"/>
        </w:trPr>
        <w:tc>
          <w:tcPr>
            <w:tcW w:w="540" w:type="dxa"/>
            <w:tcBorders>
              <w:top w:val="nil"/>
              <w:left w:val="single" w:color="auto" w:sz="4" w:space="0"/>
              <w:bottom w:val="single" w:color="auto" w:sz="4" w:space="0"/>
              <w:right w:val="single" w:color="auto" w:sz="4" w:space="0"/>
            </w:tcBorders>
            <w:noWrap w:val="0"/>
            <w:vAlign w:val="bottom"/>
          </w:tcPr>
          <w:p>
            <w:pPr>
              <w:widowControl/>
              <w:spacing w:line="500" w:lineRule="exact"/>
              <w:jc w:val="left"/>
              <w:rPr>
                <w:rFonts w:hAnsi="宋体" w:cs="宋体"/>
                <w:color w:val="auto"/>
                <w:kern w:val="0"/>
                <w:sz w:val="24"/>
                <w:highlight w:val="none"/>
              </w:rPr>
            </w:pPr>
            <w:r>
              <w:rPr>
                <w:rFonts w:hint="eastAsia" w:hAnsi="宋体" w:cs="宋体"/>
                <w:color w:val="auto"/>
                <w:kern w:val="0"/>
                <w:sz w:val="24"/>
                <w:highlight w:val="none"/>
              </w:rPr>
              <w:t>　2</w:t>
            </w:r>
          </w:p>
        </w:tc>
        <w:tc>
          <w:tcPr>
            <w:tcW w:w="1440" w:type="dxa"/>
            <w:tcBorders>
              <w:top w:val="nil"/>
              <w:left w:val="nil"/>
              <w:bottom w:val="single" w:color="auto" w:sz="4" w:space="0"/>
              <w:right w:val="single" w:color="auto" w:sz="4" w:space="0"/>
            </w:tcBorders>
            <w:noWrap w:val="0"/>
            <w:vAlign w:val="center"/>
          </w:tcPr>
          <w:p>
            <w:pPr>
              <w:widowControl/>
              <w:spacing w:line="500" w:lineRule="exact"/>
              <w:jc w:val="center"/>
              <w:rPr>
                <w:rFonts w:hAnsi="宋体" w:cs="宋体"/>
                <w:color w:val="auto"/>
                <w:spacing w:val="-12"/>
                <w:kern w:val="0"/>
                <w:sz w:val="24"/>
                <w:highlight w:val="none"/>
              </w:rPr>
            </w:pPr>
            <w:r>
              <w:rPr>
                <w:rFonts w:hint="eastAsia" w:hAnsi="宋体" w:cs="宋体"/>
                <w:color w:val="auto"/>
                <w:spacing w:val="-12"/>
                <w:kern w:val="0"/>
                <w:sz w:val="24"/>
                <w:highlight w:val="none"/>
              </w:rPr>
              <w:t>（清单编码）</w:t>
            </w:r>
          </w:p>
        </w:tc>
        <w:tc>
          <w:tcPr>
            <w:tcW w:w="1440" w:type="dxa"/>
            <w:tcBorders>
              <w:top w:val="nil"/>
              <w:left w:val="nil"/>
              <w:bottom w:val="single" w:color="auto" w:sz="4" w:space="0"/>
              <w:right w:val="single" w:color="auto" w:sz="4" w:space="0"/>
            </w:tcBorders>
            <w:noWrap w:val="0"/>
            <w:vAlign w:val="center"/>
          </w:tcPr>
          <w:p>
            <w:pPr>
              <w:widowControl/>
              <w:spacing w:line="500" w:lineRule="exact"/>
              <w:jc w:val="left"/>
              <w:rPr>
                <w:rFonts w:hAnsi="宋体" w:cs="宋体"/>
                <w:color w:val="auto"/>
                <w:spacing w:val="-12"/>
                <w:kern w:val="0"/>
                <w:sz w:val="24"/>
                <w:highlight w:val="none"/>
              </w:rPr>
            </w:pPr>
            <w:r>
              <w:rPr>
                <w:rFonts w:hint="eastAsia" w:hAnsi="宋体" w:cs="宋体"/>
                <w:color w:val="auto"/>
                <w:spacing w:val="-12"/>
                <w:kern w:val="0"/>
                <w:sz w:val="24"/>
                <w:highlight w:val="none"/>
              </w:rPr>
              <w:t>（清单编码）</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54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54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90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108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r>
      <w:tr>
        <w:tblPrEx>
          <w:tblCellMar>
            <w:top w:w="0" w:type="dxa"/>
            <w:left w:w="108" w:type="dxa"/>
            <w:bottom w:w="0" w:type="dxa"/>
            <w:right w:w="108" w:type="dxa"/>
          </w:tblCellMar>
        </w:tblPrEx>
        <w:trPr>
          <w:trHeight w:val="525" w:hRule="atLeast"/>
        </w:trPr>
        <w:tc>
          <w:tcPr>
            <w:tcW w:w="540" w:type="dxa"/>
            <w:tcBorders>
              <w:top w:val="nil"/>
              <w:left w:val="single" w:color="auto" w:sz="4" w:space="0"/>
              <w:bottom w:val="single" w:color="auto" w:sz="4" w:space="0"/>
              <w:right w:val="single" w:color="auto" w:sz="4" w:space="0"/>
            </w:tcBorders>
            <w:noWrap w:val="0"/>
            <w:vAlign w:val="bottom"/>
          </w:tcPr>
          <w:p>
            <w:pPr>
              <w:widowControl/>
              <w:spacing w:line="500" w:lineRule="exact"/>
              <w:jc w:val="left"/>
              <w:rPr>
                <w:rFonts w:hAnsi="宋体" w:cs="宋体"/>
                <w:color w:val="auto"/>
                <w:kern w:val="0"/>
                <w:sz w:val="24"/>
                <w:highlight w:val="none"/>
              </w:rPr>
            </w:pPr>
            <w:r>
              <w:rPr>
                <w:rFonts w:hint="eastAsia" w:hAnsi="宋体" w:cs="宋体"/>
                <w:color w:val="auto"/>
                <w:kern w:val="0"/>
                <w:sz w:val="24"/>
                <w:highlight w:val="none"/>
              </w:rPr>
              <w:t>　</w:t>
            </w:r>
          </w:p>
        </w:tc>
        <w:tc>
          <w:tcPr>
            <w:tcW w:w="1440" w:type="dxa"/>
            <w:tcBorders>
              <w:top w:val="nil"/>
              <w:left w:val="nil"/>
              <w:bottom w:val="single" w:color="auto" w:sz="4" w:space="0"/>
              <w:right w:val="single" w:color="auto" w:sz="4" w:space="0"/>
            </w:tcBorders>
            <w:noWrap w:val="0"/>
            <w:vAlign w:val="center"/>
          </w:tcPr>
          <w:p>
            <w:pPr>
              <w:widowControl/>
              <w:spacing w:line="500" w:lineRule="exact"/>
              <w:jc w:val="center"/>
              <w:rPr>
                <w:rFonts w:hAnsi="宋体" w:cs="宋体"/>
                <w:color w:val="auto"/>
                <w:spacing w:val="-12"/>
                <w:kern w:val="0"/>
                <w:sz w:val="24"/>
                <w:highlight w:val="none"/>
              </w:rPr>
            </w:pPr>
            <w:r>
              <w:rPr>
                <w:rFonts w:hint="eastAsia" w:hAnsi="宋体" w:cs="宋体"/>
                <w:color w:val="auto"/>
                <w:spacing w:val="-12"/>
                <w:kern w:val="0"/>
                <w:sz w:val="24"/>
                <w:highlight w:val="none"/>
              </w:rPr>
              <w:t>（定额编码）</w:t>
            </w:r>
          </w:p>
        </w:tc>
        <w:tc>
          <w:tcPr>
            <w:tcW w:w="1440" w:type="dxa"/>
            <w:tcBorders>
              <w:top w:val="nil"/>
              <w:left w:val="nil"/>
              <w:bottom w:val="single" w:color="auto" w:sz="4" w:space="0"/>
              <w:right w:val="single" w:color="auto" w:sz="4" w:space="0"/>
            </w:tcBorders>
            <w:noWrap w:val="0"/>
            <w:vAlign w:val="center"/>
          </w:tcPr>
          <w:p>
            <w:pPr>
              <w:widowControl/>
              <w:spacing w:line="500" w:lineRule="exact"/>
              <w:jc w:val="center"/>
              <w:rPr>
                <w:rFonts w:hAnsi="宋体" w:cs="宋体"/>
                <w:color w:val="auto"/>
                <w:spacing w:val="-12"/>
                <w:kern w:val="0"/>
                <w:sz w:val="24"/>
                <w:highlight w:val="none"/>
              </w:rPr>
            </w:pPr>
            <w:r>
              <w:rPr>
                <w:rFonts w:hint="eastAsia" w:hAnsi="宋体" w:cs="宋体"/>
                <w:color w:val="auto"/>
                <w:spacing w:val="-12"/>
                <w:kern w:val="0"/>
                <w:sz w:val="24"/>
                <w:highlight w:val="none"/>
              </w:rPr>
              <w:t>（定额编码）</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54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54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90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108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r>
      <w:tr>
        <w:tblPrEx>
          <w:tblCellMar>
            <w:top w:w="0" w:type="dxa"/>
            <w:left w:w="108" w:type="dxa"/>
            <w:bottom w:w="0" w:type="dxa"/>
            <w:right w:w="108" w:type="dxa"/>
          </w:tblCellMar>
        </w:tblPrEx>
        <w:trPr>
          <w:trHeight w:val="525" w:hRule="atLeast"/>
        </w:trPr>
        <w:tc>
          <w:tcPr>
            <w:tcW w:w="540" w:type="dxa"/>
            <w:tcBorders>
              <w:top w:val="nil"/>
              <w:left w:val="single" w:color="auto" w:sz="4" w:space="0"/>
              <w:bottom w:val="single" w:color="auto" w:sz="4" w:space="0"/>
              <w:right w:val="single" w:color="auto" w:sz="4" w:space="0"/>
            </w:tcBorders>
            <w:noWrap w:val="0"/>
            <w:vAlign w:val="bottom"/>
          </w:tcPr>
          <w:p>
            <w:pPr>
              <w:widowControl/>
              <w:spacing w:line="500" w:lineRule="exact"/>
              <w:jc w:val="left"/>
              <w:rPr>
                <w:rFonts w:hAnsi="宋体" w:cs="宋体"/>
                <w:color w:val="auto"/>
                <w:kern w:val="0"/>
                <w:sz w:val="24"/>
                <w:highlight w:val="none"/>
              </w:rPr>
            </w:pPr>
            <w:r>
              <w:rPr>
                <w:rFonts w:hint="eastAsia" w:hAnsi="宋体" w:cs="宋体"/>
                <w:color w:val="auto"/>
                <w:kern w:val="0"/>
                <w:sz w:val="24"/>
                <w:highlight w:val="none"/>
              </w:rPr>
              <w:t>　</w:t>
            </w:r>
          </w:p>
        </w:tc>
        <w:tc>
          <w:tcPr>
            <w:tcW w:w="1440" w:type="dxa"/>
            <w:tcBorders>
              <w:top w:val="nil"/>
              <w:left w:val="nil"/>
              <w:bottom w:val="single" w:color="auto" w:sz="4" w:space="0"/>
              <w:right w:val="single" w:color="auto" w:sz="4" w:space="0"/>
            </w:tcBorders>
            <w:noWrap w:val="0"/>
            <w:vAlign w:val="center"/>
          </w:tcPr>
          <w:p>
            <w:pPr>
              <w:widowControl/>
              <w:spacing w:line="500" w:lineRule="exact"/>
              <w:jc w:val="center"/>
              <w:rPr>
                <w:rFonts w:hAnsi="宋体" w:cs="宋体"/>
                <w:color w:val="auto"/>
                <w:kern w:val="0"/>
                <w:sz w:val="24"/>
                <w:highlight w:val="none"/>
              </w:rPr>
            </w:pPr>
            <w:r>
              <w:rPr>
                <w:rFonts w:hint="eastAsia" w:hAnsi="宋体" w:cs="宋体"/>
                <w:color w:val="auto"/>
                <w:kern w:val="0"/>
                <w:sz w:val="24"/>
                <w:highlight w:val="none"/>
              </w:rPr>
              <w:t>……</w:t>
            </w:r>
          </w:p>
        </w:tc>
        <w:tc>
          <w:tcPr>
            <w:tcW w:w="1440" w:type="dxa"/>
            <w:tcBorders>
              <w:top w:val="nil"/>
              <w:left w:val="nil"/>
              <w:bottom w:val="single" w:color="auto" w:sz="4" w:space="0"/>
              <w:right w:val="single" w:color="auto" w:sz="4" w:space="0"/>
            </w:tcBorders>
            <w:noWrap w:val="0"/>
            <w:vAlign w:val="center"/>
          </w:tcPr>
          <w:p>
            <w:pPr>
              <w:widowControl/>
              <w:spacing w:line="500" w:lineRule="exact"/>
              <w:jc w:val="left"/>
              <w:rPr>
                <w:rFonts w:hAnsi="宋体" w:cs="宋体"/>
                <w:color w:val="auto"/>
                <w:kern w:val="0"/>
                <w:sz w:val="24"/>
                <w:highlight w:val="none"/>
              </w:rPr>
            </w:pPr>
            <w:r>
              <w:rPr>
                <w:rFonts w:hint="eastAsia" w:hAnsi="宋体" w:cs="宋体"/>
                <w:color w:val="auto"/>
                <w:kern w:val="0"/>
                <w:sz w:val="24"/>
                <w:highlight w:val="none"/>
              </w:rPr>
              <w:t>……</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4"/>
                <w:highlight w:val="none"/>
              </w:rPr>
            </w:pPr>
            <w:r>
              <w:rPr>
                <w:rFonts w:hint="eastAsia" w:hAnsi="宋体" w:cs="宋体"/>
                <w:color w:val="auto"/>
                <w:kern w:val="0"/>
                <w:sz w:val="24"/>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4"/>
                <w:highlight w:val="none"/>
              </w:rPr>
            </w:pPr>
            <w:r>
              <w:rPr>
                <w:rFonts w:hint="eastAsia" w:hAnsi="宋体" w:cs="宋体"/>
                <w:color w:val="auto"/>
                <w:kern w:val="0"/>
                <w:sz w:val="24"/>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4"/>
                <w:highlight w:val="none"/>
              </w:rPr>
            </w:pPr>
            <w:r>
              <w:rPr>
                <w:rFonts w:hint="eastAsia" w:hAnsi="宋体" w:cs="宋体"/>
                <w:color w:val="auto"/>
                <w:kern w:val="0"/>
                <w:sz w:val="24"/>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4"/>
                <w:highlight w:val="none"/>
              </w:rPr>
            </w:pPr>
            <w:r>
              <w:rPr>
                <w:rFonts w:hint="eastAsia" w:hAnsi="宋体" w:cs="宋体"/>
                <w:color w:val="auto"/>
                <w:kern w:val="0"/>
                <w:sz w:val="24"/>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4"/>
                <w:highlight w:val="none"/>
              </w:rPr>
            </w:pPr>
            <w:r>
              <w:rPr>
                <w:rFonts w:hint="eastAsia" w:hAnsi="宋体" w:cs="宋体"/>
                <w:color w:val="auto"/>
                <w:kern w:val="0"/>
                <w:sz w:val="24"/>
                <w:highlight w:val="none"/>
              </w:rPr>
              <w:t>　</w:t>
            </w:r>
          </w:p>
        </w:tc>
        <w:tc>
          <w:tcPr>
            <w:tcW w:w="54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4"/>
                <w:highlight w:val="none"/>
              </w:rPr>
            </w:pPr>
            <w:r>
              <w:rPr>
                <w:rFonts w:hint="eastAsia" w:hAnsi="宋体" w:cs="宋体"/>
                <w:color w:val="auto"/>
                <w:kern w:val="0"/>
                <w:sz w:val="24"/>
                <w:highlight w:val="none"/>
              </w:rPr>
              <w:t>　</w:t>
            </w:r>
          </w:p>
        </w:tc>
        <w:tc>
          <w:tcPr>
            <w:tcW w:w="54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4"/>
                <w:highlight w:val="none"/>
              </w:rPr>
            </w:pPr>
            <w:r>
              <w:rPr>
                <w:rFonts w:hint="eastAsia" w:hAnsi="宋体" w:cs="宋体"/>
                <w:color w:val="auto"/>
                <w:kern w:val="0"/>
                <w:sz w:val="24"/>
                <w:highlight w:val="none"/>
              </w:rPr>
              <w:t>　</w:t>
            </w:r>
          </w:p>
        </w:tc>
        <w:tc>
          <w:tcPr>
            <w:tcW w:w="90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4"/>
                <w:highlight w:val="none"/>
              </w:rPr>
            </w:pPr>
            <w:r>
              <w:rPr>
                <w:rFonts w:hint="eastAsia" w:hAnsi="宋体" w:cs="宋体"/>
                <w:color w:val="auto"/>
                <w:kern w:val="0"/>
                <w:sz w:val="24"/>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4"/>
                <w:highlight w:val="none"/>
              </w:rPr>
            </w:pPr>
            <w:r>
              <w:rPr>
                <w:rFonts w:hint="eastAsia" w:hAnsi="宋体" w:cs="宋体"/>
                <w:color w:val="auto"/>
                <w:kern w:val="0"/>
                <w:sz w:val="24"/>
                <w:highlight w:val="none"/>
              </w:rPr>
              <w:t>　</w:t>
            </w:r>
          </w:p>
        </w:tc>
        <w:tc>
          <w:tcPr>
            <w:tcW w:w="108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4"/>
                <w:highlight w:val="none"/>
              </w:rPr>
            </w:pPr>
            <w:r>
              <w:rPr>
                <w:rFonts w:hint="eastAsia" w:hAnsi="宋体" w:cs="宋体"/>
                <w:color w:val="auto"/>
                <w:kern w:val="0"/>
                <w:sz w:val="24"/>
                <w:highlight w:val="none"/>
              </w:rPr>
              <w:t>　</w:t>
            </w:r>
          </w:p>
        </w:tc>
      </w:tr>
      <w:tr>
        <w:tblPrEx>
          <w:tblCellMar>
            <w:top w:w="0" w:type="dxa"/>
            <w:left w:w="108" w:type="dxa"/>
            <w:bottom w:w="0" w:type="dxa"/>
            <w:right w:w="108" w:type="dxa"/>
          </w:tblCellMar>
        </w:tblPrEx>
        <w:trPr>
          <w:trHeight w:val="525" w:hRule="atLeast"/>
        </w:trPr>
        <w:tc>
          <w:tcPr>
            <w:tcW w:w="540" w:type="dxa"/>
            <w:tcBorders>
              <w:top w:val="nil"/>
              <w:left w:val="single" w:color="auto" w:sz="4" w:space="0"/>
              <w:bottom w:val="single" w:color="auto" w:sz="4" w:space="0"/>
              <w:right w:val="single" w:color="auto" w:sz="4" w:space="0"/>
            </w:tcBorders>
            <w:noWrap w:val="0"/>
            <w:vAlign w:val="bottom"/>
          </w:tcPr>
          <w:p>
            <w:pPr>
              <w:widowControl/>
              <w:spacing w:line="500" w:lineRule="exact"/>
              <w:jc w:val="left"/>
              <w:rPr>
                <w:rFonts w:hAnsi="宋体" w:cs="宋体"/>
                <w:color w:val="auto"/>
                <w:kern w:val="0"/>
                <w:sz w:val="24"/>
                <w:highlight w:val="none"/>
              </w:rPr>
            </w:pPr>
            <w:r>
              <w:rPr>
                <w:rFonts w:hint="eastAsia" w:hAnsi="宋体" w:cs="宋体"/>
                <w:color w:val="auto"/>
                <w:kern w:val="0"/>
                <w:sz w:val="24"/>
                <w:highlight w:val="none"/>
              </w:rPr>
              <w:t>　</w:t>
            </w:r>
          </w:p>
        </w:tc>
        <w:tc>
          <w:tcPr>
            <w:tcW w:w="144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4"/>
                <w:highlight w:val="none"/>
              </w:rPr>
            </w:pPr>
            <w:r>
              <w:rPr>
                <w:rFonts w:hint="eastAsia" w:hAnsi="宋体" w:cs="宋体"/>
                <w:color w:val="auto"/>
                <w:kern w:val="0"/>
                <w:sz w:val="24"/>
                <w:highlight w:val="none"/>
              </w:rPr>
              <w:t>　</w:t>
            </w:r>
          </w:p>
        </w:tc>
        <w:tc>
          <w:tcPr>
            <w:tcW w:w="144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 w:val="24"/>
                <w:highlight w:val="none"/>
              </w:rPr>
            </w:pPr>
            <w:r>
              <w:rPr>
                <w:rFonts w:hint="eastAsia" w:hAnsi="宋体" w:cs="宋体"/>
                <w:color w:val="auto"/>
                <w:kern w:val="0"/>
                <w:sz w:val="24"/>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54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54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90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108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r>
      <w:tr>
        <w:tblPrEx>
          <w:tblCellMar>
            <w:top w:w="0" w:type="dxa"/>
            <w:left w:w="108" w:type="dxa"/>
            <w:bottom w:w="0" w:type="dxa"/>
            <w:right w:w="108" w:type="dxa"/>
          </w:tblCellMar>
        </w:tblPrEx>
        <w:trPr>
          <w:trHeight w:val="525" w:hRule="atLeast"/>
        </w:trPr>
        <w:tc>
          <w:tcPr>
            <w:tcW w:w="540" w:type="dxa"/>
            <w:tcBorders>
              <w:top w:val="nil"/>
              <w:left w:val="single" w:color="auto" w:sz="4" w:space="0"/>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144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144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54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54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90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108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r>
      <w:tr>
        <w:tblPrEx>
          <w:tblCellMar>
            <w:top w:w="0" w:type="dxa"/>
            <w:left w:w="108" w:type="dxa"/>
            <w:bottom w:w="0" w:type="dxa"/>
            <w:right w:w="108" w:type="dxa"/>
          </w:tblCellMar>
        </w:tblPrEx>
        <w:trPr>
          <w:trHeight w:val="525" w:hRule="atLeast"/>
        </w:trPr>
        <w:tc>
          <w:tcPr>
            <w:tcW w:w="540" w:type="dxa"/>
            <w:tcBorders>
              <w:top w:val="nil"/>
              <w:left w:val="single" w:color="auto" w:sz="4" w:space="0"/>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144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144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54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54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90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108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r>
      <w:tr>
        <w:tblPrEx>
          <w:tblCellMar>
            <w:top w:w="0" w:type="dxa"/>
            <w:left w:w="108" w:type="dxa"/>
            <w:bottom w:w="0" w:type="dxa"/>
            <w:right w:w="108" w:type="dxa"/>
          </w:tblCellMar>
        </w:tblPrEx>
        <w:trPr>
          <w:trHeight w:val="525" w:hRule="atLeast"/>
        </w:trPr>
        <w:tc>
          <w:tcPr>
            <w:tcW w:w="540" w:type="dxa"/>
            <w:tcBorders>
              <w:top w:val="nil"/>
              <w:left w:val="single" w:color="auto" w:sz="4" w:space="0"/>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144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144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54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54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90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108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r>
      <w:tr>
        <w:tblPrEx>
          <w:tblCellMar>
            <w:top w:w="0" w:type="dxa"/>
            <w:left w:w="108" w:type="dxa"/>
            <w:bottom w:w="0" w:type="dxa"/>
            <w:right w:w="108" w:type="dxa"/>
          </w:tblCellMar>
        </w:tblPrEx>
        <w:trPr>
          <w:trHeight w:val="525" w:hRule="atLeast"/>
        </w:trPr>
        <w:tc>
          <w:tcPr>
            <w:tcW w:w="540" w:type="dxa"/>
            <w:tcBorders>
              <w:top w:val="nil"/>
              <w:left w:val="single" w:color="auto" w:sz="4" w:space="0"/>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144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144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54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54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90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108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r>
      <w:tr>
        <w:tblPrEx>
          <w:tblCellMar>
            <w:top w:w="0" w:type="dxa"/>
            <w:left w:w="108" w:type="dxa"/>
            <w:bottom w:w="0" w:type="dxa"/>
            <w:right w:w="108" w:type="dxa"/>
          </w:tblCellMar>
        </w:tblPrEx>
        <w:trPr>
          <w:trHeight w:val="525" w:hRule="atLeast"/>
        </w:trPr>
        <w:tc>
          <w:tcPr>
            <w:tcW w:w="540" w:type="dxa"/>
            <w:tcBorders>
              <w:top w:val="nil"/>
              <w:left w:val="single" w:color="auto" w:sz="4" w:space="0"/>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144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144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54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54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90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72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c>
          <w:tcPr>
            <w:tcW w:w="1080" w:type="dxa"/>
            <w:tcBorders>
              <w:top w:val="nil"/>
              <w:left w:val="nil"/>
              <w:bottom w:val="single" w:color="auto" w:sz="4" w:space="0"/>
              <w:right w:val="single" w:color="auto" w:sz="4" w:space="0"/>
            </w:tcBorders>
            <w:noWrap w:val="0"/>
            <w:vAlign w:val="bottom"/>
          </w:tcPr>
          <w:p>
            <w:pPr>
              <w:widowControl/>
              <w:spacing w:line="500" w:lineRule="exact"/>
              <w:jc w:val="left"/>
              <w:rPr>
                <w:rFonts w:hAnsi="宋体" w:cs="宋体"/>
                <w:color w:val="auto"/>
                <w:kern w:val="0"/>
                <w:szCs w:val="21"/>
                <w:highlight w:val="none"/>
              </w:rPr>
            </w:pPr>
            <w:r>
              <w:rPr>
                <w:rFonts w:hint="eastAsia" w:hAnsi="宋体" w:cs="宋体"/>
                <w:color w:val="auto"/>
                <w:kern w:val="0"/>
                <w:szCs w:val="21"/>
                <w:highlight w:val="none"/>
              </w:rPr>
              <w:t>　</w:t>
            </w:r>
          </w:p>
        </w:tc>
      </w:tr>
      <w:tr>
        <w:tblPrEx>
          <w:tblCellMar>
            <w:top w:w="0" w:type="dxa"/>
            <w:left w:w="108" w:type="dxa"/>
            <w:bottom w:w="0" w:type="dxa"/>
            <w:right w:w="108" w:type="dxa"/>
          </w:tblCellMar>
        </w:tblPrEx>
        <w:trPr>
          <w:trHeight w:val="525" w:hRule="atLeast"/>
        </w:trPr>
        <w:tc>
          <w:tcPr>
            <w:tcW w:w="9720" w:type="dxa"/>
            <w:gridSpan w:val="12"/>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hAnsi="宋体" w:cs="宋体"/>
                <w:color w:val="auto"/>
                <w:kern w:val="0"/>
                <w:sz w:val="24"/>
                <w:highlight w:val="none"/>
              </w:rPr>
            </w:pPr>
            <w:r>
              <w:rPr>
                <w:rFonts w:hint="eastAsia" w:hAnsi="宋体" w:cs="宋体"/>
                <w:color w:val="auto"/>
                <w:kern w:val="0"/>
                <w:sz w:val="24"/>
                <w:highlight w:val="none"/>
              </w:rPr>
              <w:t>合  计：</w:t>
            </w:r>
          </w:p>
        </w:tc>
        <w:tc>
          <w:tcPr>
            <w:tcW w:w="1080" w:type="dxa"/>
            <w:tcBorders>
              <w:top w:val="nil"/>
              <w:left w:val="nil"/>
              <w:bottom w:val="single" w:color="auto" w:sz="4" w:space="0"/>
              <w:right w:val="single" w:color="auto" w:sz="4" w:space="0"/>
            </w:tcBorders>
            <w:noWrap w:val="0"/>
            <w:vAlign w:val="center"/>
          </w:tcPr>
          <w:p>
            <w:pPr>
              <w:widowControl/>
              <w:spacing w:line="500" w:lineRule="exact"/>
              <w:jc w:val="right"/>
              <w:rPr>
                <w:rFonts w:hAnsi="宋体" w:cs="宋体"/>
                <w:color w:val="auto"/>
                <w:kern w:val="0"/>
                <w:sz w:val="24"/>
                <w:highlight w:val="none"/>
              </w:rPr>
            </w:pPr>
          </w:p>
        </w:tc>
      </w:tr>
    </w:tbl>
    <w:p>
      <w:pPr>
        <w:spacing w:line="500" w:lineRule="exact"/>
        <w:rPr>
          <w:rFonts w:hAnsi="宋体"/>
          <w:color w:val="auto"/>
          <w:sz w:val="24"/>
          <w:highlight w:val="none"/>
        </w:rPr>
      </w:pPr>
      <w:r>
        <w:rPr>
          <w:rFonts w:hint="eastAsia" w:hAnsi="宋体"/>
          <w:color w:val="auto"/>
          <w:sz w:val="24"/>
          <w:highlight w:val="none"/>
        </w:rPr>
        <w:t>注：表（1）（2）栏中清单编号和措施项目清单名称由招标人按需要提出。</w:t>
      </w:r>
    </w:p>
    <w:p>
      <w:pPr>
        <w:spacing w:line="500" w:lineRule="exact"/>
        <w:rPr>
          <w:rFonts w:hint="eastAsia" w:hAnsi="宋体"/>
          <w:color w:val="auto"/>
          <w:sz w:val="24"/>
          <w:highlight w:val="none"/>
        </w:rPr>
      </w:pPr>
      <w:r>
        <w:rPr>
          <w:rFonts w:hint="eastAsia" w:hAnsi="宋体"/>
          <w:color w:val="auto"/>
          <w:kern w:val="0"/>
          <w:sz w:val="24"/>
          <w:highlight w:val="none"/>
          <w:lang w:val="en-US" w:eastAsia="zh-CN"/>
        </w:rPr>
        <w:t>响应</w:t>
      </w:r>
      <w:r>
        <w:rPr>
          <w:rFonts w:hint="eastAsia" w:hAnsi="宋体"/>
          <w:color w:val="auto"/>
          <w:kern w:val="0"/>
          <w:sz w:val="24"/>
          <w:highlight w:val="none"/>
        </w:rPr>
        <w:t>人：（ 盖章）</w:t>
      </w:r>
      <w:r>
        <w:rPr>
          <w:rFonts w:hint="eastAsia" w:hAnsi="宋体"/>
          <w:color w:val="auto"/>
          <w:sz w:val="24"/>
          <w:highlight w:val="none"/>
        </w:rPr>
        <w:t xml:space="preserve">   </w:t>
      </w:r>
    </w:p>
    <w:p>
      <w:pPr>
        <w:spacing w:line="500" w:lineRule="exact"/>
        <w:rPr>
          <w:rFonts w:hAnsi="宋体"/>
          <w:color w:val="auto"/>
          <w:sz w:val="24"/>
          <w:highlight w:val="none"/>
        </w:rPr>
      </w:pPr>
      <w:r>
        <w:rPr>
          <w:rFonts w:hint="eastAsia" w:hAnsi="宋体"/>
          <w:color w:val="auto"/>
          <w:sz w:val="24"/>
          <w:highlight w:val="none"/>
        </w:rPr>
        <w:br w:type="page"/>
      </w:r>
    </w:p>
    <w:p>
      <w:pPr>
        <w:widowControl/>
        <w:tabs>
          <w:tab w:val="center" w:pos="4755"/>
          <w:tab w:val="right" w:pos="9070"/>
        </w:tabs>
        <w:jc w:val="center"/>
        <w:rPr>
          <w:rFonts w:hint="eastAsia" w:hAnsi="宋体"/>
          <w:b/>
          <w:bCs/>
          <w:color w:val="auto"/>
          <w:kern w:val="0"/>
          <w:sz w:val="32"/>
          <w:szCs w:val="28"/>
          <w:highlight w:val="none"/>
        </w:rPr>
      </w:pPr>
      <w:r>
        <w:rPr>
          <w:rFonts w:hint="eastAsia" w:hAnsi="宋体"/>
          <w:b/>
          <w:bCs/>
          <w:color w:val="auto"/>
          <w:kern w:val="0"/>
          <w:sz w:val="32"/>
          <w:szCs w:val="28"/>
          <w:highlight w:val="none"/>
        </w:rPr>
        <w:t>表2-3  综合单价工料机分析表</w:t>
      </w:r>
    </w:p>
    <w:p>
      <w:pPr>
        <w:pStyle w:val="2"/>
      </w:pPr>
    </w:p>
    <w:p>
      <w:pPr>
        <w:widowControl/>
        <w:tabs>
          <w:tab w:val="center" w:pos="4755"/>
          <w:tab w:val="right" w:pos="9070"/>
        </w:tabs>
        <w:spacing w:line="360" w:lineRule="auto"/>
        <w:jc w:val="left"/>
        <w:rPr>
          <w:rFonts w:hAnsi="宋体"/>
          <w:color w:val="auto"/>
          <w:kern w:val="0"/>
          <w:sz w:val="24"/>
          <w:highlight w:val="none"/>
        </w:rPr>
      </w:pPr>
      <w:r>
        <w:rPr>
          <w:rFonts w:hint="eastAsia" w:hAnsi="宋体"/>
          <w:color w:val="auto"/>
          <w:kern w:val="0"/>
          <w:sz w:val="24"/>
          <w:highlight w:val="none"/>
        </w:rPr>
        <w:t>项目编码:                                            计量单位：</w:t>
      </w:r>
    </w:p>
    <w:p>
      <w:pPr>
        <w:widowControl/>
        <w:tabs>
          <w:tab w:val="center" w:pos="4755"/>
          <w:tab w:val="right" w:pos="9070"/>
        </w:tabs>
        <w:spacing w:line="360" w:lineRule="auto"/>
        <w:jc w:val="left"/>
        <w:rPr>
          <w:rFonts w:hAnsi="宋体"/>
          <w:color w:val="auto"/>
          <w:kern w:val="0"/>
          <w:sz w:val="24"/>
          <w:highlight w:val="none"/>
        </w:rPr>
      </w:pPr>
      <w:r>
        <w:rPr>
          <w:rFonts w:hint="eastAsia" w:hAnsi="宋体"/>
          <w:color w:val="auto"/>
          <w:kern w:val="0"/>
          <w:sz w:val="24"/>
          <w:highlight w:val="none"/>
        </w:rPr>
        <w:t>项目名称:                                            第   页共  页</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900"/>
        <w:gridCol w:w="1260"/>
        <w:gridCol w:w="1260"/>
        <w:gridCol w:w="1440"/>
        <w:gridCol w:w="144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82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jc w:val="center"/>
              <w:rPr>
                <w:rFonts w:hAnsi="宋体"/>
                <w:color w:val="auto"/>
                <w:kern w:val="0"/>
                <w:sz w:val="24"/>
                <w:highlight w:val="none"/>
              </w:rPr>
            </w:pPr>
            <w:r>
              <w:rPr>
                <w:rFonts w:hint="eastAsia" w:hAnsi="宋体"/>
                <w:color w:val="auto"/>
                <w:kern w:val="0"/>
                <w:sz w:val="24"/>
                <w:highlight w:val="none"/>
              </w:rPr>
              <w:t>序号</w:t>
            </w:r>
          </w:p>
        </w:tc>
        <w:tc>
          <w:tcPr>
            <w:tcW w:w="216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jc w:val="center"/>
              <w:rPr>
                <w:rFonts w:hAnsi="宋体"/>
                <w:color w:val="auto"/>
                <w:kern w:val="0"/>
                <w:sz w:val="24"/>
                <w:highlight w:val="none"/>
              </w:rPr>
            </w:pPr>
            <w:r>
              <w:rPr>
                <w:rFonts w:hint="eastAsia" w:hAnsi="宋体"/>
                <w:color w:val="auto"/>
                <w:kern w:val="0"/>
                <w:sz w:val="24"/>
                <w:highlight w:val="none"/>
              </w:rPr>
              <w:t>名称及规格</w:t>
            </w:r>
          </w:p>
        </w:tc>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jc w:val="center"/>
              <w:rPr>
                <w:rFonts w:hAnsi="宋体"/>
                <w:color w:val="auto"/>
                <w:kern w:val="0"/>
                <w:sz w:val="24"/>
                <w:highlight w:val="none"/>
              </w:rPr>
            </w:pPr>
            <w:r>
              <w:rPr>
                <w:rFonts w:hint="eastAsia" w:hAnsi="宋体"/>
                <w:color w:val="auto"/>
                <w:kern w:val="0"/>
                <w:sz w:val="24"/>
                <w:highlight w:val="none"/>
              </w:rPr>
              <w:t>单位</w:t>
            </w:r>
          </w:p>
        </w:tc>
        <w:tc>
          <w:tcPr>
            <w:tcW w:w="14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jc w:val="center"/>
              <w:rPr>
                <w:rFonts w:hAnsi="宋体"/>
                <w:color w:val="auto"/>
                <w:kern w:val="0"/>
                <w:sz w:val="24"/>
                <w:highlight w:val="none"/>
              </w:rPr>
            </w:pPr>
            <w:r>
              <w:rPr>
                <w:rFonts w:hint="eastAsia" w:hAnsi="宋体"/>
                <w:color w:val="auto"/>
                <w:kern w:val="0"/>
                <w:sz w:val="24"/>
                <w:highlight w:val="none"/>
              </w:rPr>
              <w:t>数量</w:t>
            </w:r>
          </w:p>
        </w:tc>
        <w:tc>
          <w:tcPr>
            <w:tcW w:w="3060" w:type="dxa"/>
            <w:gridSpan w:val="2"/>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jc w:val="center"/>
              <w:rPr>
                <w:rFonts w:hAnsi="宋体"/>
                <w:color w:val="auto"/>
                <w:kern w:val="0"/>
                <w:sz w:val="24"/>
                <w:highlight w:val="none"/>
              </w:rPr>
            </w:pPr>
            <w:r>
              <w:rPr>
                <w:rFonts w:hint="eastAsia" w:hAnsi="宋体"/>
                <w:color w:val="auto"/>
                <w:kern w:val="0"/>
                <w:sz w:val="24"/>
                <w:highlight w:val="none"/>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8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Ansi="宋体"/>
                <w:color w:val="auto"/>
                <w:kern w:val="0"/>
                <w:sz w:val="24"/>
                <w:highlight w:val="none"/>
              </w:rPr>
            </w:pPr>
          </w:p>
        </w:tc>
        <w:tc>
          <w:tcPr>
            <w:tcW w:w="216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Ansi="宋体"/>
                <w:color w:val="auto"/>
                <w:kern w:val="0"/>
                <w:sz w:val="24"/>
                <w:highlight w:val="none"/>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Ansi="宋体"/>
                <w:color w:val="auto"/>
                <w:kern w:val="0"/>
                <w:sz w:val="24"/>
                <w:highlight w:val="none"/>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Ansi="宋体"/>
                <w:color w:val="auto"/>
                <w:kern w:val="0"/>
                <w:sz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jc w:val="center"/>
              <w:rPr>
                <w:rFonts w:hAnsi="宋体"/>
                <w:color w:val="auto"/>
                <w:kern w:val="0"/>
                <w:sz w:val="24"/>
                <w:highlight w:val="none"/>
              </w:rPr>
            </w:pPr>
            <w:r>
              <w:rPr>
                <w:rFonts w:hint="eastAsia" w:hAnsi="宋体"/>
                <w:color w:val="auto"/>
                <w:kern w:val="0"/>
                <w:sz w:val="24"/>
                <w:highlight w:val="none"/>
              </w:rPr>
              <w:t>单价</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jc w:val="center"/>
              <w:rPr>
                <w:rFonts w:hAnsi="宋体"/>
                <w:color w:val="auto"/>
                <w:kern w:val="0"/>
                <w:sz w:val="24"/>
                <w:highlight w:val="none"/>
              </w:rPr>
            </w:pPr>
            <w:r>
              <w:rPr>
                <w:rFonts w:hint="eastAsia" w:hAnsi="宋体"/>
                <w:color w:val="auto"/>
                <w:kern w:val="0"/>
                <w:sz w:val="24"/>
                <w:highlight w:val="none"/>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28" w:type="dxa"/>
            <w:vMerge w:val="restart"/>
            <w:tcBorders>
              <w:top w:val="single" w:color="auto" w:sz="4" w:space="0"/>
              <w:left w:val="single" w:color="auto" w:sz="4" w:space="0"/>
              <w:bottom w:val="single" w:color="auto" w:sz="4" w:space="0"/>
              <w:right w:val="single" w:color="auto" w:sz="4" w:space="0"/>
            </w:tcBorders>
            <w:noWrap w:val="0"/>
            <w:vAlign w:val="top"/>
          </w:tcPr>
          <w:p>
            <w:pPr>
              <w:widowControl/>
              <w:tabs>
                <w:tab w:val="center" w:pos="4755"/>
                <w:tab w:val="right" w:pos="9070"/>
              </w:tabs>
              <w:jc w:val="left"/>
              <w:rPr>
                <w:rFonts w:hAnsi="宋体"/>
                <w:color w:val="auto"/>
                <w:kern w:val="0"/>
                <w:sz w:val="24"/>
                <w:highlight w:val="none"/>
              </w:rPr>
            </w:pPr>
          </w:p>
        </w:tc>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jc w:val="center"/>
              <w:rPr>
                <w:rFonts w:hAnsi="宋体"/>
                <w:color w:val="auto"/>
                <w:kern w:val="0"/>
                <w:sz w:val="24"/>
                <w:highlight w:val="none"/>
              </w:rPr>
            </w:pPr>
            <w:r>
              <w:rPr>
                <w:rFonts w:hint="eastAsia" w:hAnsi="宋体"/>
                <w:color w:val="auto"/>
                <w:kern w:val="0"/>
                <w:sz w:val="24"/>
                <w:highlight w:val="none"/>
              </w:rPr>
              <w:t>人工</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r>
              <w:rPr>
                <w:rFonts w:hint="eastAsia" w:hAnsi="宋体"/>
                <w:color w:val="auto"/>
                <w:kern w:val="0"/>
                <w:sz w:val="24"/>
                <w:highlight w:val="none"/>
              </w:rPr>
              <w:t>一类</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r>
              <w:rPr>
                <w:rFonts w:hint="eastAsia" w:hAnsi="宋体"/>
                <w:color w:val="auto"/>
                <w:kern w:val="0"/>
                <w:sz w:val="24"/>
                <w:highlight w:val="none"/>
              </w:rPr>
              <w:t>工日</w:t>
            </w:r>
          </w:p>
        </w:tc>
        <w:tc>
          <w:tcPr>
            <w:tcW w:w="1440" w:type="dxa"/>
            <w:tcBorders>
              <w:top w:val="single" w:color="auto" w:sz="4" w:space="0"/>
              <w:left w:val="single" w:color="auto" w:sz="4" w:space="0"/>
              <w:bottom w:val="single" w:color="auto" w:sz="4" w:space="0"/>
              <w:right w:val="single" w:color="auto" w:sz="4" w:space="0"/>
            </w:tcBorders>
            <w:noWrap w:val="0"/>
            <w:vAlign w:val="top"/>
          </w:tcPr>
          <w:p>
            <w:pPr>
              <w:widowControl/>
              <w:tabs>
                <w:tab w:val="center" w:pos="4755"/>
                <w:tab w:val="right" w:pos="9070"/>
              </w:tabs>
              <w:jc w:val="left"/>
              <w:rPr>
                <w:rFonts w:hAnsi="宋体"/>
                <w:color w:val="auto"/>
                <w:kern w:val="0"/>
                <w:sz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widowControl/>
              <w:tabs>
                <w:tab w:val="center" w:pos="4755"/>
                <w:tab w:val="right" w:pos="9070"/>
              </w:tabs>
              <w:jc w:val="left"/>
              <w:rPr>
                <w:rFonts w:hAnsi="宋体"/>
                <w:color w:val="auto"/>
                <w:kern w:val="0"/>
                <w:sz w:val="24"/>
                <w:highlight w:val="none"/>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widowControl/>
              <w:tabs>
                <w:tab w:val="center" w:pos="4755"/>
                <w:tab w:val="right" w:pos="9070"/>
              </w:tabs>
              <w:jc w:val="left"/>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Ansi="宋体"/>
                <w:color w:val="auto"/>
                <w:kern w:val="0"/>
                <w:sz w:val="24"/>
                <w:highlight w:val="none"/>
              </w:rPr>
            </w:pPr>
          </w:p>
        </w:tc>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Ansi="宋体"/>
                <w:color w:val="auto"/>
                <w:kern w:val="0"/>
                <w:sz w:val="24"/>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r>
              <w:rPr>
                <w:rFonts w:hint="eastAsia" w:hAnsi="宋体"/>
                <w:color w:val="auto"/>
                <w:kern w:val="0"/>
                <w:sz w:val="24"/>
                <w:highlight w:val="none"/>
              </w:rPr>
              <w:t>二类</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r>
              <w:rPr>
                <w:rFonts w:hint="eastAsia" w:hAnsi="宋体"/>
                <w:color w:val="auto"/>
                <w:kern w:val="0"/>
                <w:sz w:val="24"/>
                <w:highlight w:val="none"/>
              </w:rPr>
              <w:t>工日</w:t>
            </w:r>
          </w:p>
        </w:tc>
        <w:tc>
          <w:tcPr>
            <w:tcW w:w="1440" w:type="dxa"/>
            <w:tcBorders>
              <w:top w:val="single" w:color="auto" w:sz="4" w:space="0"/>
              <w:left w:val="single" w:color="auto" w:sz="4" w:space="0"/>
              <w:bottom w:val="single" w:color="auto" w:sz="4" w:space="0"/>
              <w:right w:val="single" w:color="auto" w:sz="4" w:space="0"/>
            </w:tcBorders>
            <w:noWrap w:val="0"/>
            <w:vAlign w:val="top"/>
          </w:tcPr>
          <w:p>
            <w:pPr>
              <w:widowControl/>
              <w:tabs>
                <w:tab w:val="center" w:pos="4755"/>
                <w:tab w:val="right" w:pos="9070"/>
              </w:tabs>
              <w:jc w:val="left"/>
              <w:rPr>
                <w:rFonts w:hAnsi="宋体"/>
                <w:color w:val="auto"/>
                <w:kern w:val="0"/>
                <w:sz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widowControl/>
              <w:tabs>
                <w:tab w:val="center" w:pos="4755"/>
                <w:tab w:val="right" w:pos="9070"/>
              </w:tabs>
              <w:jc w:val="left"/>
              <w:rPr>
                <w:rFonts w:hAnsi="宋体"/>
                <w:color w:val="auto"/>
                <w:kern w:val="0"/>
                <w:sz w:val="24"/>
                <w:highlight w:val="none"/>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widowControl/>
              <w:tabs>
                <w:tab w:val="center" w:pos="4755"/>
                <w:tab w:val="right" w:pos="9070"/>
              </w:tabs>
              <w:jc w:val="left"/>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Ansi="宋体"/>
                <w:color w:val="auto"/>
                <w:kern w:val="0"/>
                <w:sz w:val="24"/>
                <w:highlight w:val="none"/>
              </w:rPr>
            </w:pPr>
          </w:p>
        </w:tc>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Ansi="宋体"/>
                <w:color w:val="auto"/>
                <w:kern w:val="0"/>
                <w:sz w:val="24"/>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r>
              <w:rPr>
                <w:rFonts w:hint="eastAsia" w:hAnsi="宋体"/>
                <w:color w:val="auto"/>
                <w:kern w:val="0"/>
                <w:sz w:val="24"/>
                <w:highlight w:val="none"/>
              </w:rPr>
              <w:t>三类</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r>
              <w:rPr>
                <w:rFonts w:hint="eastAsia" w:hAnsi="宋体"/>
                <w:color w:val="auto"/>
                <w:kern w:val="0"/>
                <w:sz w:val="24"/>
                <w:highlight w:val="none"/>
              </w:rPr>
              <w:t>工日</w:t>
            </w:r>
          </w:p>
        </w:tc>
        <w:tc>
          <w:tcPr>
            <w:tcW w:w="1440" w:type="dxa"/>
            <w:tcBorders>
              <w:top w:val="single" w:color="auto" w:sz="4" w:space="0"/>
              <w:left w:val="single" w:color="auto" w:sz="4" w:space="0"/>
              <w:bottom w:val="single" w:color="auto" w:sz="4" w:space="0"/>
              <w:right w:val="single" w:color="auto" w:sz="4" w:space="0"/>
            </w:tcBorders>
            <w:noWrap w:val="0"/>
            <w:vAlign w:val="top"/>
          </w:tcPr>
          <w:p>
            <w:pPr>
              <w:widowControl/>
              <w:tabs>
                <w:tab w:val="center" w:pos="4755"/>
                <w:tab w:val="right" w:pos="9070"/>
              </w:tabs>
              <w:jc w:val="left"/>
              <w:rPr>
                <w:rFonts w:hAnsi="宋体"/>
                <w:color w:val="auto"/>
                <w:kern w:val="0"/>
                <w:sz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widowControl/>
              <w:tabs>
                <w:tab w:val="center" w:pos="4755"/>
                <w:tab w:val="right" w:pos="9070"/>
              </w:tabs>
              <w:jc w:val="left"/>
              <w:rPr>
                <w:rFonts w:hAnsi="宋体"/>
                <w:color w:val="auto"/>
                <w:kern w:val="0"/>
                <w:sz w:val="24"/>
                <w:highlight w:val="none"/>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widowControl/>
              <w:tabs>
                <w:tab w:val="center" w:pos="4755"/>
                <w:tab w:val="right" w:pos="9070"/>
              </w:tabs>
              <w:jc w:val="left"/>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jc w:val="center"/>
              <w:rPr>
                <w:rFonts w:hAnsi="宋体"/>
                <w:color w:val="auto"/>
                <w:kern w:val="0"/>
                <w:sz w:val="24"/>
                <w:highlight w:val="none"/>
              </w:rPr>
            </w:pPr>
            <w:r>
              <w:rPr>
                <w:rFonts w:hint="eastAsia" w:hAnsi="宋体"/>
                <w:color w:val="auto"/>
                <w:kern w:val="0"/>
                <w:sz w:val="24"/>
                <w:highlight w:val="none"/>
              </w:rPr>
              <w:t>1</w:t>
            </w:r>
          </w:p>
        </w:tc>
        <w:tc>
          <w:tcPr>
            <w:tcW w:w="6300" w:type="dxa"/>
            <w:gridSpan w:val="5"/>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r>
              <w:rPr>
                <w:rFonts w:hint="eastAsia" w:hAnsi="宋体"/>
                <w:color w:val="auto"/>
                <w:kern w:val="0"/>
                <w:sz w:val="24"/>
                <w:highlight w:val="none"/>
              </w:rPr>
              <w:t>人工费小计</w:t>
            </w:r>
          </w:p>
        </w:tc>
        <w:tc>
          <w:tcPr>
            <w:tcW w:w="1620" w:type="dxa"/>
            <w:tcBorders>
              <w:top w:val="single" w:color="auto" w:sz="4" w:space="0"/>
              <w:left w:val="single" w:color="auto" w:sz="4" w:space="0"/>
              <w:bottom w:val="single" w:color="auto" w:sz="4" w:space="0"/>
              <w:right w:val="single" w:color="auto" w:sz="4" w:space="0"/>
            </w:tcBorders>
            <w:noWrap w:val="0"/>
            <w:vAlign w:val="top"/>
          </w:tcPr>
          <w:p>
            <w:pPr>
              <w:widowControl/>
              <w:tabs>
                <w:tab w:val="center" w:pos="4755"/>
                <w:tab w:val="right" w:pos="9070"/>
              </w:tabs>
              <w:jc w:val="left"/>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28" w:type="dxa"/>
            <w:vMerge w:val="restart"/>
            <w:tcBorders>
              <w:top w:val="single" w:color="auto" w:sz="4" w:space="0"/>
              <w:left w:val="single" w:color="auto" w:sz="4" w:space="0"/>
              <w:bottom w:val="single" w:color="auto" w:sz="4" w:space="0"/>
              <w:right w:val="single" w:color="auto" w:sz="4" w:space="0"/>
            </w:tcBorders>
            <w:noWrap w:val="0"/>
            <w:vAlign w:val="top"/>
          </w:tcPr>
          <w:p>
            <w:pPr>
              <w:widowControl/>
              <w:tabs>
                <w:tab w:val="center" w:pos="4755"/>
                <w:tab w:val="right" w:pos="9070"/>
              </w:tabs>
              <w:jc w:val="center"/>
              <w:rPr>
                <w:rFonts w:hAnsi="宋体"/>
                <w:color w:val="auto"/>
                <w:kern w:val="0"/>
                <w:sz w:val="24"/>
                <w:highlight w:val="none"/>
              </w:rPr>
            </w:pPr>
          </w:p>
        </w:tc>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jc w:val="center"/>
              <w:rPr>
                <w:rFonts w:hAnsi="宋体"/>
                <w:color w:val="auto"/>
                <w:kern w:val="0"/>
                <w:sz w:val="24"/>
                <w:highlight w:val="none"/>
              </w:rPr>
            </w:pPr>
            <w:r>
              <w:rPr>
                <w:rFonts w:hint="eastAsia" w:hAnsi="宋体"/>
                <w:color w:val="auto"/>
                <w:kern w:val="0"/>
                <w:sz w:val="24"/>
                <w:highlight w:val="none"/>
              </w:rPr>
              <w:t>主要</w:t>
            </w:r>
          </w:p>
          <w:p>
            <w:pPr>
              <w:widowControl/>
              <w:tabs>
                <w:tab w:val="center" w:pos="4755"/>
                <w:tab w:val="right" w:pos="9070"/>
              </w:tabs>
              <w:jc w:val="center"/>
              <w:rPr>
                <w:rFonts w:hAnsi="宋体"/>
                <w:color w:val="auto"/>
                <w:kern w:val="0"/>
                <w:sz w:val="24"/>
                <w:highlight w:val="none"/>
              </w:rPr>
            </w:pPr>
            <w:r>
              <w:rPr>
                <w:rFonts w:hint="eastAsia" w:hAnsi="宋体"/>
                <w:color w:val="auto"/>
                <w:kern w:val="0"/>
                <w:sz w:val="24"/>
                <w:highlight w:val="none"/>
              </w:rPr>
              <w:t>材料</w:t>
            </w:r>
          </w:p>
        </w:tc>
        <w:tc>
          <w:tcPr>
            <w:tcW w:w="1260" w:type="dxa"/>
            <w:tcBorders>
              <w:top w:val="single" w:color="auto" w:sz="4" w:space="0"/>
              <w:left w:val="single" w:color="auto" w:sz="4" w:space="0"/>
              <w:bottom w:val="single" w:color="auto" w:sz="4" w:space="0"/>
              <w:right w:val="single" w:color="auto" w:sz="4" w:space="0"/>
            </w:tcBorders>
            <w:noWrap w:val="0"/>
            <w:vAlign w:val="top"/>
          </w:tcPr>
          <w:p>
            <w:pPr>
              <w:widowControl/>
              <w:tabs>
                <w:tab w:val="center" w:pos="4755"/>
                <w:tab w:val="right" w:pos="9070"/>
              </w:tabs>
              <w:jc w:val="left"/>
              <w:rPr>
                <w:rFonts w:hAnsi="宋体"/>
                <w:color w:val="auto"/>
                <w:kern w:val="0"/>
                <w:sz w:val="24"/>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widowControl/>
              <w:tabs>
                <w:tab w:val="center" w:pos="4755"/>
                <w:tab w:val="right" w:pos="9070"/>
              </w:tabs>
              <w:jc w:val="left"/>
              <w:rPr>
                <w:rFonts w:hAnsi="宋体"/>
                <w:color w:val="auto"/>
                <w:kern w:val="0"/>
                <w:sz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widowControl/>
              <w:tabs>
                <w:tab w:val="center" w:pos="4755"/>
                <w:tab w:val="right" w:pos="9070"/>
              </w:tabs>
              <w:jc w:val="left"/>
              <w:rPr>
                <w:rFonts w:hAnsi="宋体"/>
                <w:color w:val="auto"/>
                <w:kern w:val="0"/>
                <w:sz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widowControl/>
              <w:tabs>
                <w:tab w:val="center" w:pos="4755"/>
                <w:tab w:val="right" w:pos="9070"/>
              </w:tabs>
              <w:jc w:val="left"/>
              <w:rPr>
                <w:rFonts w:hAnsi="宋体"/>
                <w:color w:val="auto"/>
                <w:kern w:val="0"/>
                <w:sz w:val="24"/>
                <w:highlight w:val="none"/>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widowControl/>
              <w:tabs>
                <w:tab w:val="center" w:pos="4755"/>
                <w:tab w:val="right" w:pos="9070"/>
              </w:tabs>
              <w:jc w:val="left"/>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Ansi="宋体"/>
                <w:color w:val="auto"/>
                <w:kern w:val="0"/>
                <w:sz w:val="24"/>
                <w:highlight w:val="none"/>
              </w:rPr>
            </w:pPr>
          </w:p>
        </w:tc>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Ansi="宋体"/>
                <w:color w:val="auto"/>
                <w:kern w:val="0"/>
                <w:sz w:val="24"/>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widowControl/>
              <w:tabs>
                <w:tab w:val="center" w:pos="4755"/>
                <w:tab w:val="right" w:pos="9070"/>
              </w:tabs>
              <w:jc w:val="left"/>
              <w:rPr>
                <w:rFonts w:hAnsi="宋体"/>
                <w:color w:val="auto"/>
                <w:kern w:val="0"/>
                <w:sz w:val="24"/>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widowControl/>
              <w:tabs>
                <w:tab w:val="center" w:pos="4755"/>
                <w:tab w:val="right" w:pos="9070"/>
              </w:tabs>
              <w:jc w:val="left"/>
              <w:rPr>
                <w:rFonts w:hAnsi="宋体"/>
                <w:color w:val="auto"/>
                <w:kern w:val="0"/>
                <w:sz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widowControl/>
              <w:tabs>
                <w:tab w:val="center" w:pos="4755"/>
                <w:tab w:val="right" w:pos="9070"/>
              </w:tabs>
              <w:jc w:val="left"/>
              <w:rPr>
                <w:rFonts w:hAnsi="宋体"/>
                <w:color w:val="auto"/>
                <w:kern w:val="0"/>
                <w:sz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widowControl/>
              <w:tabs>
                <w:tab w:val="center" w:pos="4755"/>
                <w:tab w:val="right" w:pos="9070"/>
              </w:tabs>
              <w:jc w:val="left"/>
              <w:rPr>
                <w:rFonts w:hAnsi="宋体"/>
                <w:color w:val="auto"/>
                <w:kern w:val="0"/>
                <w:sz w:val="24"/>
                <w:highlight w:val="none"/>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widowControl/>
              <w:tabs>
                <w:tab w:val="center" w:pos="4755"/>
                <w:tab w:val="right" w:pos="9070"/>
              </w:tabs>
              <w:jc w:val="left"/>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Ansi="宋体"/>
                <w:color w:val="auto"/>
                <w:kern w:val="0"/>
                <w:sz w:val="24"/>
                <w:highlight w:val="none"/>
              </w:rPr>
            </w:pPr>
          </w:p>
        </w:tc>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Ansi="宋体"/>
                <w:color w:val="auto"/>
                <w:kern w:val="0"/>
                <w:sz w:val="24"/>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widowControl/>
              <w:tabs>
                <w:tab w:val="center" w:pos="4755"/>
                <w:tab w:val="right" w:pos="9070"/>
              </w:tabs>
              <w:jc w:val="left"/>
              <w:rPr>
                <w:rFonts w:hAnsi="宋体"/>
                <w:color w:val="auto"/>
                <w:kern w:val="0"/>
                <w:sz w:val="24"/>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widowControl/>
              <w:tabs>
                <w:tab w:val="center" w:pos="4755"/>
                <w:tab w:val="right" w:pos="9070"/>
              </w:tabs>
              <w:jc w:val="left"/>
              <w:rPr>
                <w:rFonts w:hAnsi="宋体"/>
                <w:color w:val="auto"/>
                <w:kern w:val="0"/>
                <w:sz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widowControl/>
              <w:tabs>
                <w:tab w:val="center" w:pos="4755"/>
                <w:tab w:val="right" w:pos="9070"/>
              </w:tabs>
              <w:jc w:val="left"/>
              <w:rPr>
                <w:rFonts w:hAnsi="宋体"/>
                <w:color w:val="auto"/>
                <w:kern w:val="0"/>
                <w:sz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widowControl/>
              <w:tabs>
                <w:tab w:val="center" w:pos="4755"/>
                <w:tab w:val="right" w:pos="9070"/>
              </w:tabs>
              <w:jc w:val="left"/>
              <w:rPr>
                <w:rFonts w:hAnsi="宋体"/>
                <w:color w:val="auto"/>
                <w:kern w:val="0"/>
                <w:sz w:val="24"/>
                <w:highlight w:val="none"/>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widowControl/>
              <w:tabs>
                <w:tab w:val="center" w:pos="4755"/>
                <w:tab w:val="right" w:pos="9070"/>
              </w:tabs>
              <w:jc w:val="left"/>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Ansi="宋体"/>
                <w:color w:val="auto"/>
                <w:kern w:val="0"/>
                <w:sz w:val="24"/>
                <w:highlight w:val="none"/>
              </w:rPr>
            </w:pPr>
          </w:p>
        </w:tc>
        <w:tc>
          <w:tcPr>
            <w:tcW w:w="6300" w:type="dxa"/>
            <w:gridSpan w:val="5"/>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r>
              <w:rPr>
                <w:rFonts w:hint="eastAsia" w:hAnsi="宋体"/>
                <w:color w:val="auto"/>
                <w:kern w:val="0"/>
                <w:sz w:val="24"/>
                <w:highlight w:val="none"/>
              </w:rPr>
              <w:t>其他材料费</w:t>
            </w:r>
          </w:p>
        </w:tc>
        <w:tc>
          <w:tcPr>
            <w:tcW w:w="1620" w:type="dxa"/>
            <w:tcBorders>
              <w:top w:val="single" w:color="auto" w:sz="4" w:space="0"/>
              <w:left w:val="single" w:color="auto" w:sz="4" w:space="0"/>
              <w:bottom w:val="single" w:color="auto" w:sz="4" w:space="0"/>
              <w:right w:val="single" w:color="auto" w:sz="4" w:space="0"/>
            </w:tcBorders>
            <w:noWrap w:val="0"/>
            <w:vAlign w:val="top"/>
          </w:tcPr>
          <w:p>
            <w:pPr>
              <w:widowControl/>
              <w:tabs>
                <w:tab w:val="center" w:pos="4755"/>
                <w:tab w:val="right" w:pos="9070"/>
              </w:tabs>
              <w:jc w:val="left"/>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jc w:val="center"/>
              <w:rPr>
                <w:rFonts w:hAnsi="宋体"/>
                <w:color w:val="auto"/>
                <w:kern w:val="0"/>
                <w:sz w:val="24"/>
                <w:highlight w:val="none"/>
              </w:rPr>
            </w:pPr>
            <w:r>
              <w:rPr>
                <w:rFonts w:hint="eastAsia" w:hAnsi="宋体"/>
                <w:color w:val="auto"/>
                <w:kern w:val="0"/>
                <w:sz w:val="24"/>
                <w:highlight w:val="none"/>
              </w:rPr>
              <w:t>2</w:t>
            </w:r>
          </w:p>
        </w:tc>
        <w:tc>
          <w:tcPr>
            <w:tcW w:w="6300" w:type="dxa"/>
            <w:gridSpan w:val="5"/>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r>
              <w:rPr>
                <w:rFonts w:hint="eastAsia" w:hAnsi="宋体"/>
                <w:color w:val="auto"/>
                <w:kern w:val="0"/>
                <w:sz w:val="24"/>
                <w:highlight w:val="none"/>
              </w:rPr>
              <w:t>材料费小计</w:t>
            </w:r>
          </w:p>
        </w:tc>
        <w:tc>
          <w:tcPr>
            <w:tcW w:w="1620" w:type="dxa"/>
            <w:tcBorders>
              <w:top w:val="single" w:color="auto" w:sz="4" w:space="0"/>
              <w:left w:val="single" w:color="auto" w:sz="4" w:space="0"/>
              <w:bottom w:val="single" w:color="auto" w:sz="4" w:space="0"/>
              <w:right w:val="single" w:color="auto" w:sz="4" w:space="0"/>
            </w:tcBorders>
            <w:noWrap w:val="0"/>
            <w:vAlign w:val="top"/>
          </w:tcPr>
          <w:p>
            <w:pPr>
              <w:widowControl/>
              <w:tabs>
                <w:tab w:val="center" w:pos="4755"/>
                <w:tab w:val="right" w:pos="9070"/>
              </w:tabs>
              <w:jc w:val="left"/>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2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jc w:val="center"/>
              <w:rPr>
                <w:rFonts w:hAnsi="宋体"/>
                <w:color w:val="auto"/>
                <w:kern w:val="0"/>
                <w:sz w:val="24"/>
                <w:highlight w:val="none"/>
              </w:rPr>
            </w:pPr>
          </w:p>
        </w:tc>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jc w:val="center"/>
              <w:rPr>
                <w:rFonts w:hAnsi="宋体"/>
                <w:color w:val="auto"/>
                <w:kern w:val="0"/>
                <w:sz w:val="24"/>
                <w:highlight w:val="none"/>
              </w:rPr>
            </w:pPr>
            <w:r>
              <w:rPr>
                <w:rFonts w:hint="eastAsia" w:hAnsi="宋体"/>
                <w:color w:val="auto"/>
                <w:kern w:val="0"/>
                <w:sz w:val="24"/>
                <w:highlight w:val="none"/>
              </w:rPr>
              <w:t>主要</w:t>
            </w:r>
          </w:p>
          <w:p>
            <w:pPr>
              <w:widowControl/>
              <w:tabs>
                <w:tab w:val="center" w:pos="4755"/>
                <w:tab w:val="right" w:pos="9070"/>
              </w:tabs>
              <w:jc w:val="center"/>
              <w:rPr>
                <w:rFonts w:hAnsi="宋体"/>
                <w:color w:val="auto"/>
                <w:kern w:val="0"/>
                <w:sz w:val="24"/>
                <w:highlight w:val="none"/>
              </w:rPr>
            </w:pPr>
            <w:r>
              <w:rPr>
                <w:rFonts w:hint="eastAsia" w:hAnsi="宋体"/>
                <w:color w:val="auto"/>
                <w:kern w:val="0"/>
                <w:sz w:val="24"/>
                <w:highlight w:val="none"/>
              </w:rPr>
              <w:t>机械</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widowControl/>
              <w:tabs>
                <w:tab w:val="center" w:pos="4755"/>
                <w:tab w:val="right" w:pos="9070"/>
              </w:tabs>
              <w:jc w:val="left"/>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Ansi="宋体"/>
                <w:color w:val="auto"/>
                <w:kern w:val="0"/>
                <w:sz w:val="24"/>
                <w:highlight w:val="none"/>
              </w:rPr>
            </w:pPr>
          </w:p>
        </w:tc>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Ansi="宋体"/>
                <w:color w:val="auto"/>
                <w:kern w:val="0"/>
                <w:sz w:val="24"/>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widowControl/>
              <w:tabs>
                <w:tab w:val="center" w:pos="4755"/>
                <w:tab w:val="right" w:pos="9070"/>
              </w:tabs>
              <w:jc w:val="left"/>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Ansi="宋体"/>
                <w:color w:val="auto"/>
                <w:kern w:val="0"/>
                <w:sz w:val="24"/>
                <w:highlight w:val="none"/>
              </w:rPr>
            </w:pPr>
          </w:p>
        </w:tc>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Ansi="宋体"/>
                <w:color w:val="auto"/>
                <w:kern w:val="0"/>
                <w:sz w:val="24"/>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widowControl/>
              <w:tabs>
                <w:tab w:val="center" w:pos="4755"/>
                <w:tab w:val="right" w:pos="9070"/>
              </w:tabs>
              <w:jc w:val="left"/>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Ansi="宋体"/>
                <w:color w:val="auto"/>
                <w:kern w:val="0"/>
                <w:sz w:val="24"/>
                <w:highlight w:val="none"/>
              </w:rPr>
            </w:pPr>
          </w:p>
        </w:tc>
        <w:tc>
          <w:tcPr>
            <w:tcW w:w="6300" w:type="dxa"/>
            <w:gridSpan w:val="5"/>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r>
              <w:rPr>
                <w:rFonts w:hint="eastAsia" w:hAnsi="宋体"/>
                <w:color w:val="auto"/>
                <w:kern w:val="0"/>
                <w:sz w:val="24"/>
                <w:highlight w:val="none"/>
              </w:rPr>
              <w:t>其他机械费</w:t>
            </w:r>
          </w:p>
        </w:tc>
        <w:tc>
          <w:tcPr>
            <w:tcW w:w="1620" w:type="dxa"/>
            <w:tcBorders>
              <w:top w:val="single" w:color="auto" w:sz="4" w:space="0"/>
              <w:left w:val="single" w:color="auto" w:sz="4" w:space="0"/>
              <w:bottom w:val="single" w:color="auto" w:sz="4" w:space="0"/>
              <w:right w:val="single" w:color="auto" w:sz="4" w:space="0"/>
            </w:tcBorders>
            <w:noWrap w:val="0"/>
            <w:vAlign w:val="top"/>
          </w:tcPr>
          <w:p>
            <w:pPr>
              <w:widowControl/>
              <w:tabs>
                <w:tab w:val="center" w:pos="4755"/>
                <w:tab w:val="right" w:pos="9070"/>
              </w:tabs>
              <w:jc w:val="left"/>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jc w:val="center"/>
              <w:rPr>
                <w:rFonts w:hAnsi="宋体"/>
                <w:color w:val="auto"/>
                <w:kern w:val="0"/>
                <w:sz w:val="24"/>
                <w:highlight w:val="none"/>
              </w:rPr>
            </w:pPr>
            <w:r>
              <w:rPr>
                <w:rFonts w:hint="eastAsia" w:hAnsi="宋体"/>
                <w:color w:val="auto"/>
                <w:kern w:val="0"/>
                <w:sz w:val="24"/>
                <w:highlight w:val="none"/>
              </w:rPr>
              <w:t>3</w:t>
            </w:r>
          </w:p>
        </w:tc>
        <w:tc>
          <w:tcPr>
            <w:tcW w:w="6300" w:type="dxa"/>
            <w:gridSpan w:val="5"/>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r>
              <w:rPr>
                <w:rFonts w:hint="eastAsia" w:hAnsi="宋体"/>
                <w:color w:val="auto"/>
                <w:kern w:val="0"/>
                <w:sz w:val="24"/>
                <w:highlight w:val="none"/>
              </w:rPr>
              <w:t>机械费小计</w:t>
            </w:r>
          </w:p>
        </w:tc>
        <w:tc>
          <w:tcPr>
            <w:tcW w:w="1620" w:type="dxa"/>
            <w:tcBorders>
              <w:top w:val="single" w:color="auto" w:sz="4" w:space="0"/>
              <w:left w:val="single" w:color="auto" w:sz="4" w:space="0"/>
              <w:bottom w:val="single" w:color="auto" w:sz="4" w:space="0"/>
              <w:right w:val="single" w:color="auto" w:sz="4" w:space="0"/>
            </w:tcBorders>
            <w:noWrap w:val="0"/>
            <w:vAlign w:val="top"/>
          </w:tcPr>
          <w:p>
            <w:pPr>
              <w:widowControl/>
              <w:tabs>
                <w:tab w:val="center" w:pos="4755"/>
                <w:tab w:val="right" w:pos="9070"/>
              </w:tabs>
              <w:jc w:val="left"/>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jc w:val="center"/>
              <w:rPr>
                <w:rFonts w:hAnsi="宋体"/>
                <w:color w:val="auto"/>
                <w:kern w:val="0"/>
                <w:sz w:val="24"/>
                <w:highlight w:val="none"/>
              </w:rPr>
            </w:pPr>
            <w:r>
              <w:rPr>
                <w:rFonts w:hint="eastAsia" w:hAnsi="宋体"/>
                <w:color w:val="auto"/>
                <w:kern w:val="0"/>
                <w:sz w:val="24"/>
                <w:highlight w:val="none"/>
              </w:rPr>
              <w:t>4</w:t>
            </w:r>
          </w:p>
        </w:tc>
        <w:tc>
          <w:tcPr>
            <w:tcW w:w="6300" w:type="dxa"/>
            <w:gridSpan w:val="5"/>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r>
              <w:rPr>
                <w:rFonts w:hint="eastAsia" w:hAnsi="宋体"/>
                <w:color w:val="auto"/>
                <w:kern w:val="0"/>
                <w:sz w:val="24"/>
                <w:highlight w:val="none"/>
              </w:rPr>
              <w:t>直接工程费(1+2+3)</w:t>
            </w:r>
          </w:p>
        </w:tc>
        <w:tc>
          <w:tcPr>
            <w:tcW w:w="1620" w:type="dxa"/>
            <w:tcBorders>
              <w:top w:val="single" w:color="auto" w:sz="4" w:space="0"/>
              <w:left w:val="single" w:color="auto" w:sz="4" w:space="0"/>
              <w:bottom w:val="single" w:color="auto" w:sz="4" w:space="0"/>
              <w:right w:val="single" w:color="auto" w:sz="4" w:space="0"/>
            </w:tcBorders>
            <w:noWrap w:val="0"/>
            <w:vAlign w:val="top"/>
          </w:tcPr>
          <w:p>
            <w:pPr>
              <w:widowControl/>
              <w:tabs>
                <w:tab w:val="center" w:pos="4755"/>
                <w:tab w:val="right" w:pos="9070"/>
              </w:tabs>
              <w:jc w:val="left"/>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jc w:val="center"/>
              <w:rPr>
                <w:rFonts w:hAnsi="宋体"/>
                <w:color w:val="auto"/>
                <w:kern w:val="0"/>
                <w:sz w:val="24"/>
                <w:highlight w:val="none"/>
              </w:rPr>
            </w:pPr>
            <w:r>
              <w:rPr>
                <w:rFonts w:hint="eastAsia" w:hAnsi="宋体"/>
                <w:color w:val="auto"/>
                <w:kern w:val="0"/>
                <w:sz w:val="24"/>
                <w:highlight w:val="none"/>
              </w:rPr>
              <w:t>5</w:t>
            </w:r>
          </w:p>
        </w:tc>
        <w:tc>
          <w:tcPr>
            <w:tcW w:w="6300" w:type="dxa"/>
            <w:gridSpan w:val="5"/>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r>
              <w:rPr>
                <w:rFonts w:hint="eastAsia" w:hAnsi="宋体"/>
                <w:color w:val="auto"/>
                <w:kern w:val="0"/>
                <w:sz w:val="24"/>
                <w:highlight w:val="none"/>
              </w:rPr>
              <w:t>管理费</w:t>
            </w:r>
          </w:p>
        </w:tc>
        <w:tc>
          <w:tcPr>
            <w:tcW w:w="1620" w:type="dxa"/>
            <w:tcBorders>
              <w:top w:val="single" w:color="auto" w:sz="4" w:space="0"/>
              <w:left w:val="single" w:color="auto" w:sz="4" w:space="0"/>
              <w:bottom w:val="single" w:color="auto" w:sz="4" w:space="0"/>
              <w:right w:val="single" w:color="auto" w:sz="4" w:space="0"/>
            </w:tcBorders>
            <w:noWrap w:val="0"/>
            <w:vAlign w:val="top"/>
          </w:tcPr>
          <w:p>
            <w:pPr>
              <w:widowControl/>
              <w:tabs>
                <w:tab w:val="center" w:pos="4755"/>
                <w:tab w:val="right" w:pos="9070"/>
              </w:tabs>
              <w:jc w:val="left"/>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jc w:val="center"/>
              <w:rPr>
                <w:rFonts w:hAnsi="宋体"/>
                <w:color w:val="auto"/>
                <w:kern w:val="0"/>
                <w:sz w:val="24"/>
                <w:highlight w:val="none"/>
              </w:rPr>
            </w:pPr>
            <w:r>
              <w:rPr>
                <w:rFonts w:hint="eastAsia" w:hAnsi="宋体"/>
                <w:color w:val="auto"/>
                <w:kern w:val="0"/>
                <w:sz w:val="24"/>
                <w:highlight w:val="none"/>
              </w:rPr>
              <w:t>6</w:t>
            </w:r>
          </w:p>
        </w:tc>
        <w:tc>
          <w:tcPr>
            <w:tcW w:w="6300" w:type="dxa"/>
            <w:gridSpan w:val="5"/>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r>
              <w:rPr>
                <w:rFonts w:hint="eastAsia" w:hAnsi="宋体"/>
                <w:color w:val="auto"/>
                <w:kern w:val="0"/>
                <w:sz w:val="24"/>
                <w:highlight w:val="none"/>
              </w:rPr>
              <w:t>利润</w:t>
            </w:r>
          </w:p>
        </w:tc>
        <w:tc>
          <w:tcPr>
            <w:tcW w:w="1620" w:type="dxa"/>
            <w:tcBorders>
              <w:top w:val="single" w:color="auto" w:sz="4" w:space="0"/>
              <w:left w:val="single" w:color="auto" w:sz="4" w:space="0"/>
              <w:bottom w:val="single" w:color="auto" w:sz="4" w:space="0"/>
              <w:right w:val="single" w:color="auto" w:sz="4" w:space="0"/>
            </w:tcBorders>
            <w:noWrap w:val="0"/>
            <w:vAlign w:val="top"/>
          </w:tcPr>
          <w:p>
            <w:pPr>
              <w:widowControl/>
              <w:tabs>
                <w:tab w:val="center" w:pos="4755"/>
                <w:tab w:val="right" w:pos="9070"/>
              </w:tabs>
              <w:jc w:val="left"/>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jc w:val="center"/>
              <w:rPr>
                <w:rFonts w:hAnsi="宋体"/>
                <w:color w:val="auto"/>
                <w:kern w:val="0"/>
                <w:sz w:val="24"/>
                <w:highlight w:val="none"/>
              </w:rPr>
            </w:pPr>
            <w:r>
              <w:rPr>
                <w:rFonts w:hint="eastAsia" w:hAnsi="宋体"/>
                <w:color w:val="auto"/>
                <w:kern w:val="0"/>
                <w:sz w:val="24"/>
                <w:highlight w:val="none"/>
              </w:rPr>
              <w:t>7</w:t>
            </w:r>
          </w:p>
        </w:tc>
        <w:tc>
          <w:tcPr>
            <w:tcW w:w="6300" w:type="dxa"/>
            <w:gridSpan w:val="5"/>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r>
              <w:rPr>
                <w:rFonts w:hint="eastAsia" w:hAnsi="宋体"/>
                <w:color w:val="auto"/>
                <w:kern w:val="0"/>
                <w:sz w:val="24"/>
                <w:highlight w:val="none"/>
              </w:rPr>
              <w:t>风险费用</w:t>
            </w:r>
          </w:p>
        </w:tc>
        <w:tc>
          <w:tcPr>
            <w:tcW w:w="1620" w:type="dxa"/>
            <w:tcBorders>
              <w:top w:val="single" w:color="auto" w:sz="4" w:space="0"/>
              <w:left w:val="single" w:color="auto" w:sz="4" w:space="0"/>
              <w:bottom w:val="single" w:color="auto" w:sz="4" w:space="0"/>
              <w:right w:val="single" w:color="auto" w:sz="4" w:space="0"/>
            </w:tcBorders>
            <w:noWrap w:val="0"/>
            <w:vAlign w:val="top"/>
          </w:tcPr>
          <w:p>
            <w:pPr>
              <w:widowControl/>
              <w:tabs>
                <w:tab w:val="center" w:pos="4755"/>
                <w:tab w:val="right" w:pos="9070"/>
              </w:tabs>
              <w:jc w:val="left"/>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jc w:val="center"/>
              <w:rPr>
                <w:rFonts w:hAnsi="宋体"/>
                <w:color w:val="auto"/>
                <w:kern w:val="0"/>
                <w:sz w:val="24"/>
                <w:highlight w:val="none"/>
              </w:rPr>
            </w:pPr>
            <w:r>
              <w:rPr>
                <w:rFonts w:hint="eastAsia" w:hAnsi="宋体"/>
                <w:color w:val="auto"/>
                <w:kern w:val="0"/>
                <w:sz w:val="24"/>
                <w:highlight w:val="none"/>
              </w:rPr>
              <w:t>8</w:t>
            </w:r>
          </w:p>
        </w:tc>
        <w:tc>
          <w:tcPr>
            <w:tcW w:w="6300" w:type="dxa"/>
            <w:gridSpan w:val="5"/>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r>
              <w:rPr>
                <w:rFonts w:hint="eastAsia" w:hAnsi="宋体"/>
                <w:color w:val="auto"/>
                <w:kern w:val="0"/>
                <w:sz w:val="24"/>
                <w:highlight w:val="none"/>
              </w:rPr>
              <w:t>综合单价（4+5+6+7）</w:t>
            </w:r>
          </w:p>
        </w:tc>
        <w:tc>
          <w:tcPr>
            <w:tcW w:w="1620" w:type="dxa"/>
            <w:tcBorders>
              <w:top w:val="single" w:color="auto" w:sz="4" w:space="0"/>
              <w:left w:val="single" w:color="auto" w:sz="4" w:space="0"/>
              <w:bottom w:val="single" w:color="auto" w:sz="4" w:space="0"/>
              <w:right w:val="single" w:color="auto" w:sz="4" w:space="0"/>
            </w:tcBorders>
            <w:noWrap w:val="0"/>
            <w:vAlign w:val="top"/>
          </w:tcPr>
          <w:p>
            <w:pPr>
              <w:widowControl/>
              <w:tabs>
                <w:tab w:val="center" w:pos="4755"/>
                <w:tab w:val="right" w:pos="9070"/>
              </w:tabs>
              <w:jc w:val="left"/>
              <w:rPr>
                <w:rFonts w:hAnsi="宋体"/>
                <w:color w:val="auto"/>
                <w:kern w:val="0"/>
                <w:sz w:val="24"/>
                <w:highlight w:val="none"/>
              </w:rPr>
            </w:pPr>
          </w:p>
        </w:tc>
      </w:tr>
    </w:tbl>
    <w:p>
      <w:pPr>
        <w:widowControl/>
        <w:tabs>
          <w:tab w:val="center" w:pos="4755"/>
          <w:tab w:val="right" w:pos="9070"/>
        </w:tabs>
        <w:jc w:val="left"/>
        <w:rPr>
          <w:rFonts w:hAnsi="宋体"/>
          <w:color w:val="auto"/>
          <w:kern w:val="0"/>
          <w:sz w:val="24"/>
          <w:highlight w:val="none"/>
        </w:rPr>
      </w:pPr>
      <w:r>
        <w:rPr>
          <w:rFonts w:hint="eastAsia" w:hAnsi="宋体"/>
          <w:color w:val="auto"/>
          <w:kern w:val="0"/>
          <w:sz w:val="24"/>
          <w:highlight w:val="none"/>
        </w:rPr>
        <w:t>注:本表由招标人按需要提出</w:t>
      </w:r>
    </w:p>
    <w:p>
      <w:pPr>
        <w:widowControl/>
        <w:tabs>
          <w:tab w:val="center" w:pos="4755"/>
          <w:tab w:val="right" w:pos="9070"/>
        </w:tabs>
        <w:jc w:val="left"/>
        <w:rPr>
          <w:rFonts w:hAnsi="宋体"/>
          <w:color w:val="auto"/>
          <w:kern w:val="0"/>
          <w:sz w:val="24"/>
          <w:highlight w:val="none"/>
        </w:rPr>
      </w:pPr>
    </w:p>
    <w:p>
      <w:pPr>
        <w:widowControl/>
        <w:tabs>
          <w:tab w:val="center" w:pos="4755"/>
          <w:tab w:val="right" w:pos="9070"/>
        </w:tabs>
        <w:jc w:val="left"/>
        <w:rPr>
          <w:rFonts w:hAnsi="宋体"/>
          <w:color w:val="auto"/>
          <w:kern w:val="0"/>
          <w:sz w:val="24"/>
          <w:highlight w:val="none"/>
        </w:rPr>
      </w:pPr>
    </w:p>
    <w:p>
      <w:pPr>
        <w:widowControl/>
        <w:tabs>
          <w:tab w:val="center" w:pos="4755"/>
          <w:tab w:val="right" w:pos="9070"/>
        </w:tabs>
        <w:jc w:val="left"/>
        <w:rPr>
          <w:rFonts w:hint="eastAsia" w:hAnsi="宋体" w:cs="宋体"/>
          <w:b/>
          <w:bCs/>
          <w:color w:val="auto"/>
          <w:kern w:val="0"/>
          <w:sz w:val="32"/>
          <w:szCs w:val="32"/>
          <w:highlight w:val="none"/>
        </w:rPr>
      </w:pPr>
      <w:r>
        <w:rPr>
          <w:rFonts w:hAnsi="宋体"/>
          <w:color w:val="auto"/>
          <w:kern w:val="0"/>
          <w:sz w:val="32"/>
          <w:highlight w:val="none"/>
        </w:rPr>
        <w:br w:type="page"/>
      </w:r>
    </w:p>
    <w:p>
      <w:pPr>
        <w:widowControl/>
        <w:jc w:val="center"/>
        <w:rPr>
          <w:rFonts w:hint="eastAsia" w:hAnsi="宋体" w:cs="宋体"/>
          <w:b/>
          <w:bCs/>
          <w:color w:val="auto"/>
          <w:kern w:val="0"/>
          <w:sz w:val="32"/>
          <w:szCs w:val="32"/>
          <w:highlight w:val="none"/>
        </w:rPr>
      </w:pPr>
      <w:r>
        <w:rPr>
          <w:rFonts w:hint="eastAsia" w:hAnsi="宋体" w:cs="宋体"/>
          <w:b/>
          <w:bCs/>
          <w:color w:val="auto"/>
          <w:kern w:val="0"/>
          <w:sz w:val="32"/>
          <w:szCs w:val="32"/>
          <w:highlight w:val="none"/>
        </w:rPr>
        <w:t>表2-4  措施项目工料机分析表</w:t>
      </w:r>
    </w:p>
    <w:p>
      <w:pPr>
        <w:pStyle w:val="2"/>
      </w:pPr>
    </w:p>
    <w:p>
      <w:pPr>
        <w:widowControl/>
        <w:tabs>
          <w:tab w:val="center" w:pos="4755"/>
          <w:tab w:val="right" w:pos="9070"/>
        </w:tabs>
        <w:spacing w:line="360" w:lineRule="auto"/>
        <w:jc w:val="left"/>
        <w:rPr>
          <w:rFonts w:hAnsi="宋体"/>
          <w:color w:val="auto"/>
          <w:kern w:val="0"/>
          <w:sz w:val="24"/>
          <w:highlight w:val="none"/>
        </w:rPr>
      </w:pPr>
      <w:r>
        <w:rPr>
          <w:rFonts w:hint="eastAsia" w:hAnsi="宋体"/>
          <w:color w:val="auto"/>
          <w:kern w:val="0"/>
          <w:sz w:val="24"/>
          <w:highlight w:val="none"/>
        </w:rPr>
        <w:t>项目编码:                                            计量单位：</w:t>
      </w:r>
    </w:p>
    <w:p>
      <w:pPr>
        <w:widowControl/>
        <w:tabs>
          <w:tab w:val="center" w:pos="4755"/>
          <w:tab w:val="right" w:pos="9070"/>
        </w:tabs>
        <w:spacing w:line="360" w:lineRule="auto"/>
        <w:jc w:val="left"/>
        <w:rPr>
          <w:rFonts w:hAnsi="宋体"/>
          <w:color w:val="auto"/>
          <w:kern w:val="0"/>
          <w:sz w:val="24"/>
          <w:highlight w:val="none"/>
        </w:rPr>
      </w:pPr>
      <w:r>
        <w:rPr>
          <w:rFonts w:hint="eastAsia" w:hAnsi="宋体"/>
          <w:color w:val="auto"/>
          <w:kern w:val="0"/>
          <w:sz w:val="24"/>
          <w:highlight w:val="none"/>
        </w:rPr>
        <w:t>项目名称:                                             第   页共  页</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900"/>
        <w:gridCol w:w="1260"/>
        <w:gridCol w:w="1260"/>
        <w:gridCol w:w="1440"/>
        <w:gridCol w:w="144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82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jc w:val="center"/>
              <w:rPr>
                <w:rFonts w:hAnsi="宋体"/>
                <w:color w:val="auto"/>
                <w:kern w:val="0"/>
                <w:sz w:val="24"/>
                <w:highlight w:val="none"/>
              </w:rPr>
            </w:pPr>
            <w:r>
              <w:rPr>
                <w:rFonts w:hint="eastAsia" w:hAnsi="宋体"/>
                <w:color w:val="auto"/>
                <w:kern w:val="0"/>
                <w:sz w:val="24"/>
                <w:highlight w:val="none"/>
              </w:rPr>
              <w:t>序号</w:t>
            </w:r>
          </w:p>
        </w:tc>
        <w:tc>
          <w:tcPr>
            <w:tcW w:w="216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jc w:val="center"/>
              <w:rPr>
                <w:rFonts w:hAnsi="宋体"/>
                <w:color w:val="auto"/>
                <w:kern w:val="0"/>
                <w:sz w:val="24"/>
                <w:highlight w:val="none"/>
              </w:rPr>
            </w:pPr>
            <w:r>
              <w:rPr>
                <w:rFonts w:hint="eastAsia" w:hAnsi="宋体"/>
                <w:color w:val="auto"/>
                <w:kern w:val="0"/>
                <w:sz w:val="24"/>
                <w:highlight w:val="none"/>
              </w:rPr>
              <w:t>名称及规格</w:t>
            </w:r>
          </w:p>
        </w:tc>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jc w:val="center"/>
              <w:rPr>
                <w:rFonts w:hAnsi="宋体"/>
                <w:color w:val="auto"/>
                <w:kern w:val="0"/>
                <w:sz w:val="24"/>
                <w:highlight w:val="none"/>
              </w:rPr>
            </w:pPr>
            <w:r>
              <w:rPr>
                <w:rFonts w:hint="eastAsia" w:hAnsi="宋体"/>
                <w:color w:val="auto"/>
                <w:kern w:val="0"/>
                <w:sz w:val="24"/>
                <w:highlight w:val="none"/>
              </w:rPr>
              <w:t>单位</w:t>
            </w:r>
          </w:p>
        </w:tc>
        <w:tc>
          <w:tcPr>
            <w:tcW w:w="14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jc w:val="center"/>
              <w:rPr>
                <w:rFonts w:hAnsi="宋体"/>
                <w:color w:val="auto"/>
                <w:kern w:val="0"/>
                <w:sz w:val="24"/>
                <w:highlight w:val="none"/>
              </w:rPr>
            </w:pPr>
            <w:r>
              <w:rPr>
                <w:rFonts w:hint="eastAsia" w:hAnsi="宋体"/>
                <w:color w:val="auto"/>
                <w:kern w:val="0"/>
                <w:sz w:val="24"/>
                <w:highlight w:val="none"/>
              </w:rPr>
              <w:t>数量</w:t>
            </w:r>
          </w:p>
        </w:tc>
        <w:tc>
          <w:tcPr>
            <w:tcW w:w="3060" w:type="dxa"/>
            <w:gridSpan w:val="2"/>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jc w:val="center"/>
              <w:rPr>
                <w:rFonts w:hAnsi="宋体"/>
                <w:color w:val="auto"/>
                <w:kern w:val="0"/>
                <w:sz w:val="24"/>
                <w:highlight w:val="none"/>
              </w:rPr>
            </w:pPr>
            <w:r>
              <w:rPr>
                <w:rFonts w:hint="eastAsia" w:hAnsi="宋体"/>
                <w:color w:val="auto"/>
                <w:kern w:val="0"/>
                <w:sz w:val="24"/>
                <w:highlight w:val="none"/>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8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Ansi="宋体"/>
                <w:color w:val="auto"/>
                <w:kern w:val="0"/>
                <w:sz w:val="24"/>
                <w:highlight w:val="none"/>
              </w:rPr>
            </w:pPr>
          </w:p>
        </w:tc>
        <w:tc>
          <w:tcPr>
            <w:tcW w:w="216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Ansi="宋体"/>
                <w:color w:val="auto"/>
                <w:kern w:val="0"/>
                <w:sz w:val="24"/>
                <w:highlight w:val="none"/>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Ansi="宋体"/>
                <w:color w:val="auto"/>
                <w:kern w:val="0"/>
                <w:sz w:val="24"/>
                <w:highlight w:val="none"/>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Ansi="宋体"/>
                <w:color w:val="auto"/>
                <w:kern w:val="0"/>
                <w:sz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jc w:val="center"/>
              <w:rPr>
                <w:rFonts w:hAnsi="宋体"/>
                <w:color w:val="auto"/>
                <w:kern w:val="0"/>
                <w:sz w:val="24"/>
                <w:highlight w:val="none"/>
              </w:rPr>
            </w:pPr>
            <w:r>
              <w:rPr>
                <w:rFonts w:hint="eastAsia" w:hAnsi="宋体"/>
                <w:color w:val="auto"/>
                <w:kern w:val="0"/>
                <w:sz w:val="24"/>
                <w:highlight w:val="none"/>
              </w:rPr>
              <w:t>单价</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jc w:val="center"/>
              <w:rPr>
                <w:rFonts w:hAnsi="宋体"/>
                <w:color w:val="auto"/>
                <w:kern w:val="0"/>
                <w:sz w:val="24"/>
                <w:highlight w:val="none"/>
              </w:rPr>
            </w:pPr>
            <w:r>
              <w:rPr>
                <w:rFonts w:hint="eastAsia" w:hAnsi="宋体"/>
                <w:color w:val="auto"/>
                <w:kern w:val="0"/>
                <w:sz w:val="24"/>
                <w:highlight w:val="none"/>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2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p>
        </w:tc>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r>
              <w:rPr>
                <w:rFonts w:hint="eastAsia" w:hAnsi="宋体"/>
                <w:color w:val="auto"/>
                <w:kern w:val="0"/>
                <w:sz w:val="24"/>
                <w:highlight w:val="none"/>
              </w:rPr>
              <w:t>人工</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r>
              <w:rPr>
                <w:rFonts w:hint="eastAsia" w:hAnsi="宋体"/>
                <w:color w:val="auto"/>
                <w:kern w:val="0"/>
                <w:sz w:val="24"/>
                <w:highlight w:val="none"/>
              </w:rPr>
              <w:t>一类</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r>
              <w:rPr>
                <w:rFonts w:hint="eastAsia" w:hAnsi="宋体"/>
                <w:color w:val="auto"/>
                <w:kern w:val="0"/>
                <w:sz w:val="24"/>
                <w:highlight w:val="none"/>
              </w:rPr>
              <w:t>工日</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Ansi="宋体"/>
                <w:color w:val="auto"/>
                <w:kern w:val="0"/>
                <w:sz w:val="24"/>
                <w:highlight w:val="none"/>
              </w:rPr>
            </w:pPr>
          </w:p>
        </w:tc>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Ansi="宋体"/>
                <w:color w:val="auto"/>
                <w:kern w:val="0"/>
                <w:sz w:val="24"/>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r>
              <w:rPr>
                <w:rFonts w:hint="eastAsia" w:hAnsi="宋体"/>
                <w:color w:val="auto"/>
                <w:kern w:val="0"/>
                <w:sz w:val="24"/>
                <w:highlight w:val="none"/>
              </w:rPr>
              <w:t>二类</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r>
              <w:rPr>
                <w:rFonts w:hint="eastAsia" w:hAnsi="宋体"/>
                <w:color w:val="auto"/>
                <w:kern w:val="0"/>
                <w:sz w:val="24"/>
                <w:highlight w:val="none"/>
              </w:rPr>
              <w:t>工日</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Ansi="宋体"/>
                <w:color w:val="auto"/>
                <w:kern w:val="0"/>
                <w:sz w:val="24"/>
                <w:highlight w:val="none"/>
              </w:rPr>
            </w:pPr>
          </w:p>
        </w:tc>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Ansi="宋体"/>
                <w:color w:val="auto"/>
                <w:kern w:val="0"/>
                <w:sz w:val="24"/>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r>
              <w:rPr>
                <w:rFonts w:hint="eastAsia" w:hAnsi="宋体"/>
                <w:color w:val="auto"/>
                <w:kern w:val="0"/>
                <w:sz w:val="24"/>
                <w:highlight w:val="none"/>
              </w:rPr>
              <w:t>三类</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r>
              <w:rPr>
                <w:rFonts w:hint="eastAsia" w:hAnsi="宋体"/>
                <w:color w:val="auto"/>
                <w:kern w:val="0"/>
                <w:sz w:val="24"/>
                <w:highlight w:val="none"/>
              </w:rPr>
              <w:t>工日</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ind w:firstLine="240" w:firstLineChars="100"/>
              <w:rPr>
                <w:rFonts w:hAnsi="宋体"/>
                <w:color w:val="auto"/>
                <w:kern w:val="0"/>
                <w:sz w:val="24"/>
                <w:highlight w:val="none"/>
              </w:rPr>
            </w:pPr>
            <w:r>
              <w:rPr>
                <w:rFonts w:hint="eastAsia" w:hAnsi="宋体"/>
                <w:color w:val="auto"/>
                <w:kern w:val="0"/>
                <w:sz w:val="24"/>
                <w:highlight w:val="none"/>
              </w:rPr>
              <w:t>1</w:t>
            </w:r>
          </w:p>
        </w:tc>
        <w:tc>
          <w:tcPr>
            <w:tcW w:w="6300" w:type="dxa"/>
            <w:gridSpan w:val="5"/>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r>
              <w:rPr>
                <w:rFonts w:hint="eastAsia" w:hAnsi="宋体"/>
                <w:color w:val="auto"/>
                <w:kern w:val="0"/>
                <w:sz w:val="24"/>
                <w:highlight w:val="none"/>
              </w:rPr>
              <w:t>人工费小计</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2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p>
        </w:tc>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r>
              <w:rPr>
                <w:rFonts w:hint="eastAsia" w:hAnsi="宋体"/>
                <w:color w:val="auto"/>
                <w:kern w:val="0"/>
                <w:sz w:val="24"/>
                <w:highlight w:val="none"/>
              </w:rPr>
              <w:t>主要材料</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Ansi="宋体"/>
                <w:color w:val="auto"/>
                <w:kern w:val="0"/>
                <w:sz w:val="24"/>
                <w:highlight w:val="none"/>
              </w:rPr>
            </w:pPr>
          </w:p>
        </w:tc>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Ansi="宋体"/>
                <w:color w:val="auto"/>
                <w:kern w:val="0"/>
                <w:sz w:val="24"/>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Ansi="宋体"/>
                <w:color w:val="auto"/>
                <w:kern w:val="0"/>
                <w:sz w:val="24"/>
                <w:highlight w:val="none"/>
              </w:rPr>
            </w:pPr>
          </w:p>
        </w:tc>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Ansi="宋体"/>
                <w:color w:val="auto"/>
                <w:kern w:val="0"/>
                <w:sz w:val="24"/>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Ansi="宋体"/>
                <w:color w:val="auto"/>
                <w:kern w:val="0"/>
                <w:sz w:val="24"/>
                <w:highlight w:val="none"/>
              </w:rPr>
            </w:pPr>
          </w:p>
        </w:tc>
        <w:tc>
          <w:tcPr>
            <w:tcW w:w="6300" w:type="dxa"/>
            <w:gridSpan w:val="5"/>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r>
              <w:rPr>
                <w:rFonts w:hint="eastAsia" w:hAnsi="宋体"/>
                <w:color w:val="auto"/>
                <w:kern w:val="0"/>
                <w:sz w:val="24"/>
                <w:highlight w:val="none"/>
              </w:rPr>
              <w:t>其他材料费</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ind w:firstLine="240" w:firstLineChars="100"/>
              <w:rPr>
                <w:rFonts w:hAnsi="宋体"/>
                <w:color w:val="auto"/>
                <w:kern w:val="0"/>
                <w:sz w:val="24"/>
                <w:highlight w:val="none"/>
              </w:rPr>
            </w:pPr>
            <w:r>
              <w:rPr>
                <w:rFonts w:hint="eastAsia" w:hAnsi="宋体"/>
                <w:color w:val="auto"/>
                <w:kern w:val="0"/>
                <w:sz w:val="24"/>
                <w:highlight w:val="none"/>
              </w:rPr>
              <w:t>2</w:t>
            </w:r>
          </w:p>
        </w:tc>
        <w:tc>
          <w:tcPr>
            <w:tcW w:w="6300" w:type="dxa"/>
            <w:gridSpan w:val="5"/>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r>
              <w:rPr>
                <w:rFonts w:hint="eastAsia" w:hAnsi="宋体"/>
                <w:color w:val="auto"/>
                <w:kern w:val="0"/>
                <w:sz w:val="24"/>
                <w:highlight w:val="none"/>
              </w:rPr>
              <w:t>材料费小计</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2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p>
        </w:tc>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r>
              <w:rPr>
                <w:rFonts w:hint="eastAsia" w:hAnsi="宋体"/>
                <w:color w:val="auto"/>
                <w:kern w:val="0"/>
                <w:sz w:val="24"/>
                <w:highlight w:val="none"/>
              </w:rPr>
              <w:t>主要机械</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Ansi="宋体"/>
                <w:color w:val="auto"/>
                <w:kern w:val="0"/>
                <w:sz w:val="24"/>
                <w:highlight w:val="none"/>
              </w:rPr>
            </w:pPr>
          </w:p>
        </w:tc>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Ansi="宋体"/>
                <w:color w:val="auto"/>
                <w:kern w:val="0"/>
                <w:sz w:val="24"/>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Ansi="宋体"/>
                <w:color w:val="auto"/>
                <w:kern w:val="0"/>
                <w:sz w:val="24"/>
                <w:highlight w:val="none"/>
              </w:rPr>
            </w:pPr>
          </w:p>
        </w:tc>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Ansi="宋体"/>
                <w:color w:val="auto"/>
                <w:kern w:val="0"/>
                <w:sz w:val="24"/>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Ansi="宋体"/>
                <w:color w:val="auto"/>
                <w:kern w:val="0"/>
                <w:sz w:val="24"/>
                <w:highlight w:val="none"/>
              </w:rPr>
            </w:pPr>
          </w:p>
        </w:tc>
        <w:tc>
          <w:tcPr>
            <w:tcW w:w="6300" w:type="dxa"/>
            <w:gridSpan w:val="5"/>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r>
              <w:rPr>
                <w:rFonts w:hint="eastAsia" w:hAnsi="宋体"/>
                <w:color w:val="auto"/>
                <w:kern w:val="0"/>
                <w:sz w:val="24"/>
                <w:highlight w:val="none"/>
              </w:rPr>
              <w:t>其他机械费</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jc w:val="center"/>
              <w:rPr>
                <w:rFonts w:hAnsi="宋体"/>
                <w:color w:val="auto"/>
                <w:kern w:val="0"/>
                <w:sz w:val="24"/>
                <w:highlight w:val="none"/>
              </w:rPr>
            </w:pPr>
            <w:r>
              <w:rPr>
                <w:rFonts w:hint="eastAsia" w:hAnsi="宋体"/>
                <w:color w:val="auto"/>
                <w:kern w:val="0"/>
                <w:sz w:val="24"/>
                <w:highlight w:val="none"/>
              </w:rPr>
              <w:t>3</w:t>
            </w:r>
          </w:p>
        </w:tc>
        <w:tc>
          <w:tcPr>
            <w:tcW w:w="6300" w:type="dxa"/>
            <w:gridSpan w:val="5"/>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r>
              <w:rPr>
                <w:rFonts w:hint="eastAsia" w:hAnsi="宋体"/>
                <w:color w:val="auto"/>
                <w:kern w:val="0"/>
                <w:sz w:val="24"/>
                <w:highlight w:val="none"/>
              </w:rPr>
              <w:t>机械费小计</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jc w:val="center"/>
              <w:rPr>
                <w:rFonts w:hAnsi="宋体"/>
                <w:color w:val="auto"/>
                <w:kern w:val="0"/>
                <w:sz w:val="24"/>
                <w:highlight w:val="none"/>
              </w:rPr>
            </w:pPr>
            <w:r>
              <w:rPr>
                <w:rFonts w:hint="eastAsia" w:hAnsi="宋体"/>
                <w:color w:val="auto"/>
                <w:kern w:val="0"/>
                <w:sz w:val="24"/>
                <w:highlight w:val="none"/>
              </w:rPr>
              <w:t>4</w:t>
            </w:r>
          </w:p>
        </w:tc>
        <w:tc>
          <w:tcPr>
            <w:tcW w:w="6300" w:type="dxa"/>
            <w:gridSpan w:val="5"/>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r>
              <w:rPr>
                <w:rFonts w:hint="eastAsia" w:hAnsi="宋体"/>
                <w:color w:val="auto"/>
                <w:kern w:val="0"/>
                <w:sz w:val="24"/>
                <w:highlight w:val="none"/>
              </w:rPr>
              <w:t>直接工程费(1+2+3)</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jc w:val="center"/>
              <w:rPr>
                <w:rFonts w:hAnsi="宋体"/>
                <w:color w:val="auto"/>
                <w:kern w:val="0"/>
                <w:sz w:val="24"/>
                <w:highlight w:val="none"/>
              </w:rPr>
            </w:pPr>
            <w:r>
              <w:rPr>
                <w:rFonts w:hint="eastAsia" w:hAnsi="宋体"/>
                <w:color w:val="auto"/>
                <w:kern w:val="0"/>
                <w:sz w:val="24"/>
                <w:highlight w:val="none"/>
              </w:rPr>
              <w:t>5</w:t>
            </w:r>
          </w:p>
        </w:tc>
        <w:tc>
          <w:tcPr>
            <w:tcW w:w="6300" w:type="dxa"/>
            <w:gridSpan w:val="5"/>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r>
              <w:rPr>
                <w:rFonts w:hint="eastAsia" w:hAnsi="宋体"/>
                <w:color w:val="auto"/>
                <w:kern w:val="0"/>
                <w:sz w:val="24"/>
                <w:highlight w:val="none"/>
              </w:rPr>
              <w:t>管理费</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jc w:val="center"/>
              <w:rPr>
                <w:rFonts w:hAnsi="宋体"/>
                <w:color w:val="auto"/>
                <w:kern w:val="0"/>
                <w:sz w:val="24"/>
                <w:highlight w:val="none"/>
              </w:rPr>
            </w:pPr>
            <w:r>
              <w:rPr>
                <w:rFonts w:hint="eastAsia" w:hAnsi="宋体"/>
                <w:color w:val="auto"/>
                <w:kern w:val="0"/>
                <w:sz w:val="24"/>
                <w:highlight w:val="none"/>
              </w:rPr>
              <w:t>6</w:t>
            </w:r>
          </w:p>
        </w:tc>
        <w:tc>
          <w:tcPr>
            <w:tcW w:w="6300" w:type="dxa"/>
            <w:gridSpan w:val="5"/>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r>
              <w:rPr>
                <w:rFonts w:hint="eastAsia" w:hAnsi="宋体"/>
                <w:color w:val="auto"/>
                <w:kern w:val="0"/>
                <w:sz w:val="24"/>
                <w:highlight w:val="none"/>
              </w:rPr>
              <w:t>利润</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jc w:val="center"/>
              <w:rPr>
                <w:rFonts w:hAnsi="宋体"/>
                <w:color w:val="auto"/>
                <w:kern w:val="0"/>
                <w:sz w:val="24"/>
                <w:highlight w:val="none"/>
              </w:rPr>
            </w:pPr>
            <w:r>
              <w:rPr>
                <w:rFonts w:hint="eastAsia" w:hAnsi="宋体"/>
                <w:color w:val="auto"/>
                <w:kern w:val="0"/>
                <w:sz w:val="24"/>
                <w:highlight w:val="none"/>
              </w:rPr>
              <w:t>7</w:t>
            </w:r>
          </w:p>
        </w:tc>
        <w:tc>
          <w:tcPr>
            <w:tcW w:w="6300" w:type="dxa"/>
            <w:gridSpan w:val="5"/>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r>
              <w:rPr>
                <w:rFonts w:hint="eastAsia" w:hAnsi="宋体"/>
                <w:color w:val="auto"/>
                <w:kern w:val="0"/>
                <w:sz w:val="24"/>
                <w:highlight w:val="none"/>
              </w:rPr>
              <w:t>风险费用</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jc w:val="center"/>
              <w:rPr>
                <w:rFonts w:hAnsi="宋体"/>
                <w:color w:val="auto"/>
                <w:kern w:val="0"/>
                <w:sz w:val="24"/>
                <w:highlight w:val="none"/>
              </w:rPr>
            </w:pPr>
            <w:r>
              <w:rPr>
                <w:rFonts w:hint="eastAsia" w:hAnsi="宋体"/>
                <w:color w:val="auto"/>
                <w:kern w:val="0"/>
                <w:sz w:val="24"/>
                <w:highlight w:val="none"/>
              </w:rPr>
              <w:t>8</w:t>
            </w:r>
          </w:p>
        </w:tc>
        <w:tc>
          <w:tcPr>
            <w:tcW w:w="6300" w:type="dxa"/>
            <w:gridSpan w:val="5"/>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r>
              <w:rPr>
                <w:rFonts w:hint="eastAsia" w:hAnsi="宋体"/>
                <w:color w:val="auto"/>
                <w:kern w:val="0"/>
                <w:sz w:val="24"/>
                <w:highlight w:val="none"/>
              </w:rPr>
              <w:t>合计（4+5+6+7）</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755"/>
                <w:tab w:val="right" w:pos="9070"/>
              </w:tabs>
              <w:rPr>
                <w:rFonts w:hAnsi="宋体"/>
                <w:color w:val="auto"/>
                <w:kern w:val="0"/>
                <w:sz w:val="24"/>
                <w:highlight w:val="none"/>
              </w:rPr>
            </w:pPr>
          </w:p>
        </w:tc>
      </w:tr>
    </w:tbl>
    <w:p>
      <w:pPr>
        <w:widowControl/>
        <w:tabs>
          <w:tab w:val="center" w:pos="4755"/>
          <w:tab w:val="right" w:pos="9070"/>
        </w:tabs>
        <w:jc w:val="left"/>
        <w:rPr>
          <w:rFonts w:hAnsi="宋体"/>
          <w:color w:val="auto"/>
          <w:kern w:val="0"/>
          <w:sz w:val="24"/>
          <w:highlight w:val="none"/>
        </w:rPr>
      </w:pPr>
      <w:r>
        <w:rPr>
          <w:rFonts w:hint="eastAsia" w:hAnsi="宋体"/>
          <w:color w:val="auto"/>
          <w:kern w:val="0"/>
          <w:sz w:val="24"/>
          <w:highlight w:val="none"/>
        </w:rPr>
        <w:t>注:本表由招标人按需要提出</w:t>
      </w:r>
    </w:p>
    <w:p>
      <w:pPr>
        <w:widowControl/>
        <w:tabs>
          <w:tab w:val="center" w:pos="4755"/>
          <w:tab w:val="right" w:pos="9070"/>
        </w:tabs>
        <w:jc w:val="left"/>
        <w:rPr>
          <w:rFonts w:hAnsi="宋体"/>
          <w:color w:val="auto"/>
          <w:kern w:val="0"/>
          <w:sz w:val="24"/>
          <w:highlight w:val="none"/>
        </w:rPr>
      </w:pPr>
    </w:p>
    <w:p>
      <w:pPr>
        <w:widowControl/>
        <w:tabs>
          <w:tab w:val="center" w:pos="4755"/>
          <w:tab w:val="right" w:pos="9070"/>
        </w:tabs>
        <w:jc w:val="left"/>
        <w:rPr>
          <w:rFonts w:hAnsi="宋体"/>
          <w:color w:val="auto"/>
          <w:kern w:val="0"/>
          <w:sz w:val="24"/>
          <w:highlight w:val="none"/>
        </w:rPr>
      </w:pPr>
    </w:p>
    <w:p>
      <w:pPr>
        <w:widowControl/>
        <w:tabs>
          <w:tab w:val="center" w:pos="4755"/>
          <w:tab w:val="right" w:pos="9070"/>
        </w:tabs>
        <w:jc w:val="left"/>
        <w:rPr>
          <w:rFonts w:hAnsi="宋体"/>
          <w:color w:val="auto"/>
          <w:kern w:val="0"/>
          <w:sz w:val="24"/>
          <w:highlight w:val="none"/>
        </w:rPr>
      </w:pPr>
      <w:r>
        <w:rPr>
          <w:rFonts w:hAnsi="宋体"/>
          <w:color w:val="auto"/>
          <w:kern w:val="0"/>
          <w:sz w:val="24"/>
          <w:highlight w:val="none"/>
        </w:rPr>
        <w:br w:type="page"/>
      </w:r>
    </w:p>
    <w:p>
      <w:pPr>
        <w:widowControl/>
        <w:tabs>
          <w:tab w:val="center" w:pos="4755"/>
          <w:tab w:val="right" w:pos="9070"/>
        </w:tabs>
        <w:jc w:val="left"/>
        <w:rPr>
          <w:rFonts w:hAnsi="宋体"/>
          <w:color w:val="auto"/>
          <w:kern w:val="0"/>
          <w:sz w:val="24"/>
          <w:highlight w:val="none"/>
        </w:rPr>
      </w:pPr>
    </w:p>
    <w:p>
      <w:pPr>
        <w:widowControl/>
        <w:jc w:val="center"/>
        <w:rPr>
          <w:rFonts w:hAnsi="宋体" w:cs="宋体"/>
          <w:b/>
          <w:bCs/>
          <w:color w:val="auto"/>
          <w:kern w:val="0"/>
          <w:sz w:val="32"/>
          <w:szCs w:val="32"/>
          <w:highlight w:val="none"/>
        </w:rPr>
      </w:pPr>
      <w:r>
        <w:rPr>
          <w:rFonts w:hint="eastAsia" w:hAnsi="宋体" w:cs="宋体"/>
          <w:b/>
          <w:bCs/>
          <w:color w:val="auto"/>
          <w:kern w:val="0"/>
          <w:sz w:val="32"/>
          <w:szCs w:val="32"/>
          <w:highlight w:val="none"/>
        </w:rPr>
        <w:t>表2-5现场监控、临时宿舍取暖降温费用分析表</w:t>
      </w:r>
    </w:p>
    <w:p>
      <w:pPr>
        <w:widowControl/>
        <w:jc w:val="center"/>
        <w:rPr>
          <w:rFonts w:hAnsi="宋体" w:cs="宋体"/>
          <w:b/>
          <w:bCs/>
          <w:color w:val="auto"/>
          <w:kern w:val="0"/>
          <w:sz w:val="32"/>
          <w:szCs w:val="32"/>
          <w:highlight w:val="none"/>
        </w:rPr>
      </w:pPr>
    </w:p>
    <w:p>
      <w:pPr>
        <w:topLinePunct/>
        <w:spacing w:line="440" w:lineRule="exact"/>
        <w:ind w:left="240" w:hanging="240" w:hangingChars="100"/>
        <w:rPr>
          <w:color w:val="auto"/>
          <w:sz w:val="24"/>
          <w:highlight w:val="none"/>
        </w:rPr>
      </w:pPr>
      <w:r>
        <w:rPr>
          <w:rFonts w:hint="eastAsia"/>
          <w:color w:val="auto"/>
          <w:sz w:val="24"/>
          <w:highlight w:val="none"/>
        </w:rPr>
        <w:t>工程名称：                                                   第   页  共 页</w:t>
      </w:r>
    </w:p>
    <w:tbl>
      <w:tblPr>
        <w:tblStyle w:val="62"/>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3637"/>
        <w:gridCol w:w="1045"/>
        <w:gridCol w:w="1117"/>
        <w:gridCol w:w="1382"/>
        <w:gridCol w:w="1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00" w:type="dxa"/>
            <w:noWrap w:val="0"/>
            <w:vAlign w:val="center"/>
          </w:tcPr>
          <w:p>
            <w:pPr>
              <w:topLinePunct/>
              <w:spacing w:line="440" w:lineRule="exact"/>
              <w:jc w:val="center"/>
              <w:rPr>
                <w:color w:val="auto"/>
                <w:sz w:val="24"/>
                <w:highlight w:val="none"/>
              </w:rPr>
            </w:pPr>
            <w:r>
              <w:rPr>
                <w:rFonts w:hint="eastAsia"/>
                <w:color w:val="auto"/>
                <w:sz w:val="24"/>
                <w:highlight w:val="none"/>
              </w:rPr>
              <w:t>序号</w:t>
            </w:r>
          </w:p>
        </w:tc>
        <w:tc>
          <w:tcPr>
            <w:tcW w:w="3637" w:type="dxa"/>
            <w:noWrap w:val="0"/>
            <w:vAlign w:val="center"/>
          </w:tcPr>
          <w:p>
            <w:pPr>
              <w:topLinePunct/>
              <w:spacing w:line="440" w:lineRule="exact"/>
              <w:jc w:val="center"/>
              <w:rPr>
                <w:color w:val="auto"/>
                <w:sz w:val="24"/>
                <w:highlight w:val="none"/>
              </w:rPr>
            </w:pPr>
            <w:r>
              <w:rPr>
                <w:rFonts w:hint="eastAsia"/>
                <w:color w:val="auto"/>
                <w:sz w:val="24"/>
                <w:highlight w:val="none"/>
              </w:rPr>
              <w:t>费用名称</w:t>
            </w:r>
          </w:p>
        </w:tc>
        <w:tc>
          <w:tcPr>
            <w:tcW w:w="1045" w:type="dxa"/>
            <w:noWrap w:val="0"/>
            <w:vAlign w:val="center"/>
          </w:tcPr>
          <w:p>
            <w:pPr>
              <w:topLinePunct/>
              <w:spacing w:line="440" w:lineRule="exact"/>
              <w:jc w:val="center"/>
              <w:rPr>
                <w:color w:val="auto"/>
                <w:sz w:val="24"/>
                <w:highlight w:val="none"/>
              </w:rPr>
            </w:pPr>
            <w:r>
              <w:rPr>
                <w:rFonts w:hint="eastAsia"/>
                <w:color w:val="auto"/>
                <w:sz w:val="24"/>
                <w:highlight w:val="none"/>
              </w:rPr>
              <w:t>单位</w:t>
            </w:r>
          </w:p>
        </w:tc>
        <w:tc>
          <w:tcPr>
            <w:tcW w:w="1117" w:type="dxa"/>
            <w:noWrap w:val="0"/>
            <w:vAlign w:val="center"/>
          </w:tcPr>
          <w:p>
            <w:pPr>
              <w:topLinePunct/>
              <w:spacing w:line="440" w:lineRule="exact"/>
              <w:jc w:val="center"/>
              <w:rPr>
                <w:color w:val="auto"/>
                <w:sz w:val="24"/>
                <w:highlight w:val="none"/>
              </w:rPr>
            </w:pPr>
            <w:r>
              <w:rPr>
                <w:rFonts w:hint="eastAsia"/>
                <w:color w:val="auto"/>
                <w:sz w:val="24"/>
                <w:highlight w:val="none"/>
              </w:rPr>
              <w:t>数量</w:t>
            </w:r>
          </w:p>
        </w:tc>
        <w:tc>
          <w:tcPr>
            <w:tcW w:w="1382" w:type="dxa"/>
            <w:noWrap w:val="0"/>
            <w:vAlign w:val="center"/>
          </w:tcPr>
          <w:p>
            <w:pPr>
              <w:topLinePunct/>
              <w:spacing w:line="440" w:lineRule="exact"/>
              <w:jc w:val="center"/>
              <w:rPr>
                <w:color w:val="auto"/>
                <w:sz w:val="24"/>
                <w:highlight w:val="none"/>
              </w:rPr>
            </w:pPr>
            <w:r>
              <w:rPr>
                <w:rFonts w:hint="eastAsia"/>
                <w:color w:val="auto"/>
                <w:sz w:val="24"/>
                <w:highlight w:val="none"/>
              </w:rPr>
              <w:t>单价（元）</w:t>
            </w:r>
          </w:p>
        </w:tc>
        <w:tc>
          <w:tcPr>
            <w:tcW w:w="1429" w:type="dxa"/>
            <w:noWrap w:val="0"/>
            <w:vAlign w:val="center"/>
          </w:tcPr>
          <w:p>
            <w:pPr>
              <w:topLinePunct/>
              <w:spacing w:line="440" w:lineRule="exact"/>
              <w:jc w:val="center"/>
              <w:rPr>
                <w:color w:val="auto"/>
                <w:sz w:val="24"/>
                <w:highlight w:val="none"/>
              </w:rPr>
            </w:pPr>
            <w:r>
              <w:rPr>
                <w:rFonts w:hint="eastAsia"/>
                <w:color w:val="auto"/>
                <w:sz w:val="24"/>
                <w:highlight w:val="none"/>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00" w:type="dxa"/>
            <w:noWrap w:val="0"/>
            <w:vAlign w:val="top"/>
          </w:tcPr>
          <w:p>
            <w:pPr>
              <w:topLinePunct/>
              <w:spacing w:line="440" w:lineRule="exact"/>
              <w:jc w:val="center"/>
              <w:rPr>
                <w:rFonts w:hAnsi="宋体"/>
                <w:b/>
                <w:color w:val="auto"/>
                <w:sz w:val="24"/>
                <w:highlight w:val="none"/>
              </w:rPr>
            </w:pPr>
            <w:r>
              <w:rPr>
                <w:rFonts w:hint="eastAsia" w:hAnsi="宋体"/>
                <w:b/>
                <w:color w:val="auto"/>
                <w:sz w:val="24"/>
                <w:highlight w:val="none"/>
              </w:rPr>
              <w:t>一</w:t>
            </w:r>
          </w:p>
        </w:tc>
        <w:tc>
          <w:tcPr>
            <w:tcW w:w="3637" w:type="dxa"/>
            <w:noWrap w:val="0"/>
            <w:vAlign w:val="top"/>
          </w:tcPr>
          <w:p>
            <w:pPr>
              <w:topLinePunct/>
              <w:spacing w:line="440" w:lineRule="exact"/>
              <w:rPr>
                <w:rFonts w:hAnsi="宋体"/>
                <w:b/>
                <w:color w:val="auto"/>
                <w:sz w:val="24"/>
                <w:highlight w:val="none"/>
              </w:rPr>
            </w:pPr>
            <w:r>
              <w:rPr>
                <w:rFonts w:hint="eastAsia" w:hAnsi="宋体"/>
                <w:b/>
                <w:color w:val="auto"/>
                <w:sz w:val="24"/>
                <w:highlight w:val="none"/>
              </w:rPr>
              <w:t>施工现场在线监测监控系统</w:t>
            </w:r>
          </w:p>
        </w:tc>
        <w:tc>
          <w:tcPr>
            <w:tcW w:w="1045" w:type="dxa"/>
            <w:noWrap w:val="0"/>
            <w:vAlign w:val="top"/>
          </w:tcPr>
          <w:p>
            <w:pPr>
              <w:topLinePunct/>
              <w:spacing w:line="440" w:lineRule="exact"/>
              <w:jc w:val="center"/>
              <w:rPr>
                <w:rFonts w:hAnsi="宋体"/>
                <w:b/>
                <w:color w:val="auto"/>
                <w:sz w:val="24"/>
                <w:highlight w:val="none"/>
              </w:rPr>
            </w:pPr>
          </w:p>
        </w:tc>
        <w:tc>
          <w:tcPr>
            <w:tcW w:w="1117" w:type="dxa"/>
            <w:noWrap w:val="0"/>
            <w:vAlign w:val="top"/>
          </w:tcPr>
          <w:p>
            <w:pPr>
              <w:topLinePunct/>
              <w:spacing w:line="440" w:lineRule="exact"/>
              <w:jc w:val="center"/>
              <w:rPr>
                <w:rFonts w:hAnsi="宋体"/>
                <w:b/>
                <w:color w:val="auto"/>
                <w:sz w:val="24"/>
                <w:highlight w:val="none"/>
              </w:rPr>
            </w:pPr>
          </w:p>
        </w:tc>
        <w:tc>
          <w:tcPr>
            <w:tcW w:w="1382" w:type="dxa"/>
            <w:noWrap w:val="0"/>
            <w:vAlign w:val="top"/>
          </w:tcPr>
          <w:p>
            <w:pPr>
              <w:topLinePunct/>
              <w:spacing w:line="440" w:lineRule="exact"/>
              <w:jc w:val="center"/>
              <w:rPr>
                <w:rFonts w:hAnsi="宋体"/>
                <w:b/>
                <w:color w:val="auto"/>
                <w:sz w:val="24"/>
                <w:highlight w:val="none"/>
              </w:rPr>
            </w:pPr>
          </w:p>
        </w:tc>
        <w:tc>
          <w:tcPr>
            <w:tcW w:w="1429" w:type="dxa"/>
            <w:noWrap w:val="0"/>
            <w:vAlign w:val="top"/>
          </w:tcPr>
          <w:p>
            <w:pPr>
              <w:topLinePunct/>
              <w:spacing w:line="440" w:lineRule="exact"/>
              <w:jc w:val="center"/>
              <w:rPr>
                <w:rFonts w:hAnsi="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00" w:type="dxa"/>
            <w:noWrap w:val="0"/>
            <w:vAlign w:val="top"/>
          </w:tcPr>
          <w:p>
            <w:pPr>
              <w:topLinePunct/>
              <w:spacing w:line="440" w:lineRule="exact"/>
              <w:jc w:val="center"/>
              <w:rPr>
                <w:rFonts w:hAnsi="宋体"/>
                <w:color w:val="auto"/>
                <w:sz w:val="24"/>
                <w:highlight w:val="none"/>
              </w:rPr>
            </w:pPr>
            <w:r>
              <w:rPr>
                <w:rFonts w:hint="eastAsia" w:hAnsi="宋体"/>
                <w:color w:val="auto"/>
                <w:sz w:val="24"/>
                <w:highlight w:val="none"/>
              </w:rPr>
              <w:t>1</w:t>
            </w:r>
          </w:p>
        </w:tc>
        <w:tc>
          <w:tcPr>
            <w:tcW w:w="3637" w:type="dxa"/>
            <w:noWrap w:val="0"/>
            <w:vAlign w:val="top"/>
          </w:tcPr>
          <w:p>
            <w:pPr>
              <w:topLinePunct/>
              <w:spacing w:line="440" w:lineRule="exact"/>
              <w:rPr>
                <w:rFonts w:hAnsi="宋体"/>
                <w:color w:val="auto"/>
                <w:sz w:val="24"/>
                <w:highlight w:val="none"/>
              </w:rPr>
            </w:pPr>
            <w:r>
              <w:rPr>
                <w:rFonts w:hint="eastAsia" w:hAnsi="宋体"/>
                <w:color w:val="auto"/>
                <w:sz w:val="24"/>
                <w:highlight w:val="none"/>
              </w:rPr>
              <w:t>塔吊安全监控系统</w:t>
            </w:r>
          </w:p>
        </w:tc>
        <w:tc>
          <w:tcPr>
            <w:tcW w:w="1045" w:type="dxa"/>
            <w:noWrap w:val="0"/>
            <w:vAlign w:val="top"/>
          </w:tcPr>
          <w:p>
            <w:pPr>
              <w:topLinePunct/>
              <w:spacing w:line="440" w:lineRule="exact"/>
              <w:jc w:val="center"/>
              <w:rPr>
                <w:rFonts w:hAnsi="宋体"/>
                <w:b/>
                <w:color w:val="auto"/>
                <w:sz w:val="24"/>
                <w:highlight w:val="none"/>
              </w:rPr>
            </w:pPr>
          </w:p>
        </w:tc>
        <w:tc>
          <w:tcPr>
            <w:tcW w:w="1117" w:type="dxa"/>
            <w:noWrap w:val="0"/>
            <w:vAlign w:val="top"/>
          </w:tcPr>
          <w:p>
            <w:pPr>
              <w:topLinePunct/>
              <w:spacing w:line="440" w:lineRule="exact"/>
              <w:jc w:val="center"/>
              <w:rPr>
                <w:rFonts w:hAnsi="宋体"/>
                <w:b/>
                <w:color w:val="auto"/>
                <w:sz w:val="24"/>
                <w:highlight w:val="none"/>
              </w:rPr>
            </w:pPr>
          </w:p>
        </w:tc>
        <w:tc>
          <w:tcPr>
            <w:tcW w:w="1382" w:type="dxa"/>
            <w:noWrap w:val="0"/>
            <w:vAlign w:val="top"/>
          </w:tcPr>
          <w:p>
            <w:pPr>
              <w:topLinePunct/>
              <w:spacing w:line="440" w:lineRule="exact"/>
              <w:jc w:val="center"/>
              <w:rPr>
                <w:rFonts w:hAnsi="宋体"/>
                <w:b/>
                <w:color w:val="auto"/>
                <w:sz w:val="24"/>
                <w:highlight w:val="none"/>
              </w:rPr>
            </w:pPr>
          </w:p>
        </w:tc>
        <w:tc>
          <w:tcPr>
            <w:tcW w:w="1429" w:type="dxa"/>
            <w:noWrap w:val="0"/>
            <w:vAlign w:val="top"/>
          </w:tcPr>
          <w:p>
            <w:pPr>
              <w:topLinePunct/>
              <w:spacing w:line="440" w:lineRule="exact"/>
              <w:jc w:val="center"/>
              <w:rPr>
                <w:rFonts w:hAnsi="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00" w:type="dxa"/>
            <w:noWrap w:val="0"/>
            <w:vAlign w:val="top"/>
          </w:tcPr>
          <w:p>
            <w:pPr>
              <w:topLinePunct/>
              <w:spacing w:line="440" w:lineRule="exact"/>
              <w:jc w:val="center"/>
              <w:rPr>
                <w:rFonts w:hAnsi="宋体"/>
                <w:color w:val="auto"/>
                <w:sz w:val="24"/>
                <w:highlight w:val="none"/>
              </w:rPr>
            </w:pPr>
            <w:r>
              <w:rPr>
                <w:rFonts w:hint="eastAsia" w:hAnsi="宋体"/>
                <w:color w:val="auto"/>
                <w:sz w:val="24"/>
                <w:highlight w:val="none"/>
              </w:rPr>
              <w:t>2</w:t>
            </w:r>
          </w:p>
        </w:tc>
        <w:tc>
          <w:tcPr>
            <w:tcW w:w="3637" w:type="dxa"/>
            <w:noWrap w:val="0"/>
            <w:vAlign w:val="top"/>
          </w:tcPr>
          <w:p>
            <w:pPr>
              <w:topLinePunct/>
              <w:spacing w:line="440" w:lineRule="exact"/>
              <w:rPr>
                <w:rFonts w:hAnsi="宋体"/>
                <w:color w:val="auto"/>
                <w:sz w:val="24"/>
                <w:highlight w:val="none"/>
              </w:rPr>
            </w:pPr>
            <w:r>
              <w:rPr>
                <w:rFonts w:hint="eastAsia" w:hAnsi="宋体"/>
                <w:color w:val="auto"/>
                <w:sz w:val="24"/>
                <w:highlight w:val="none"/>
              </w:rPr>
              <w:t>现场远程视频监控系统</w:t>
            </w:r>
          </w:p>
        </w:tc>
        <w:tc>
          <w:tcPr>
            <w:tcW w:w="1045" w:type="dxa"/>
            <w:noWrap w:val="0"/>
            <w:vAlign w:val="top"/>
          </w:tcPr>
          <w:p>
            <w:pPr>
              <w:topLinePunct/>
              <w:spacing w:line="440" w:lineRule="exact"/>
              <w:jc w:val="center"/>
              <w:rPr>
                <w:rFonts w:hAnsi="宋体"/>
                <w:b/>
                <w:color w:val="auto"/>
                <w:sz w:val="24"/>
                <w:highlight w:val="none"/>
              </w:rPr>
            </w:pPr>
          </w:p>
        </w:tc>
        <w:tc>
          <w:tcPr>
            <w:tcW w:w="1117" w:type="dxa"/>
            <w:noWrap w:val="0"/>
            <w:vAlign w:val="top"/>
          </w:tcPr>
          <w:p>
            <w:pPr>
              <w:topLinePunct/>
              <w:spacing w:line="440" w:lineRule="exact"/>
              <w:jc w:val="center"/>
              <w:rPr>
                <w:rFonts w:hAnsi="宋体"/>
                <w:b/>
                <w:color w:val="auto"/>
                <w:sz w:val="24"/>
                <w:highlight w:val="none"/>
              </w:rPr>
            </w:pPr>
          </w:p>
        </w:tc>
        <w:tc>
          <w:tcPr>
            <w:tcW w:w="1382" w:type="dxa"/>
            <w:noWrap w:val="0"/>
            <w:vAlign w:val="top"/>
          </w:tcPr>
          <w:p>
            <w:pPr>
              <w:topLinePunct/>
              <w:spacing w:line="440" w:lineRule="exact"/>
              <w:jc w:val="center"/>
              <w:rPr>
                <w:rFonts w:hAnsi="宋体"/>
                <w:b/>
                <w:color w:val="auto"/>
                <w:sz w:val="24"/>
                <w:highlight w:val="none"/>
              </w:rPr>
            </w:pPr>
          </w:p>
        </w:tc>
        <w:tc>
          <w:tcPr>
            <w:tcW w:w="1429" w:type="dxa"/>
            <w:noWrap w:val="0"/>
            <w:vAlign w:val="top"/>
          </w:tcPr>
          <w:p>
            <w:pPr>
              <w:topLinePunct/>
              <w:spacing w:line="440" w:lineRule="exact"/>
              <w:jc w:val="center"/>
              <w:rPr>
                <w:rFonts w:hAnsi="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00" w:type="dxa"/>
            <w:noWrap w:val="0"/>
            <w:vAlign w:val="top"/>
          </w:tcPr>
          <w:p>
            <w:pPr>
              <w:topLinePunct/>
              <w:spacing w:line="440" w:lineRule="exact"/>
              <w:jc w:val="center"/>
              <w:rPr>
                <w:rFonts w:hAnsi="宋体"/>
                <w:color w:val="auto"/>
                <w:sz w:val="24"/>
                <w:highlight w:val="none"/>
              </w:rPr>
            </w:pPr>
            <w:r>
              <w:rPr>
                <w:rFonts w:hint="eastAsia" w:hAnsi="宋体"/>
                <w:color w:val="auto"/>
                <w:sz w:val="24"/>
                <w:highlight w:val="none"/>
              </w:rPr>
              <w:t>3</w:t>
            </w:r>
          </w:p>
        </w:tc>
        <w:tc>
          <w:tcPr>
            <w:tcW w:w="3637" w:type="dxa"/>
            <w:noWrap w:val="0"/>
            <w:vAlign w:val="top"/>
          </w:tcPr>
          <w:p>
            <w:pPr>
              <w:topLinePunct/>
              <w:spacing w:line="440" w:lineRule="exact"/>
              <w:rPr>
                <w:rFonts w:hAnsi="宋体"/>
                <w:color w:val="auto"/>
                <w:sz w:val="24"/>
                <w:highlight w:val="none"/>
              </w:rPr>
            </w:pPr>
            <w:r>
              <w:rPr>
                <w:rFonts w:hint="eastAsia" w:hAnsi="宋体"/>
                <w:color w:val="auto"/>
                <w:sz w:val="24"/>
                <w:highlight w:val="none"/>
              </w:rPr>
              <w:t>其他监测系统</w:t>
            </w:r>
          </w:p>
        </w:tc>
        <w:tc>
          <w:tcPr>
            <w:tcW w:w="1045" w:type="dxa"/>
            <w:noWrap w:val="0"/>
            <w:vAlign w:val="top"/>
          </w:tcPr>
          <w:p>
            <w:pPr>
              <w:topLinePunct/>
              <w:spacing w:line="440" w:lineRule="exact"/>
              <w:jc w:val="center"/>
              <w:rPr>
                <w:rFonts w:hAnsi="宋体"/>
                <w:b/>
                <w:color w:val="auto"/>
                <w:sz w:val="24"/>
                <w:highlight w:val="none"/>
              </w:rPr>
            </w:pPr>
          </w:p>
        </w:tc>
        <w:tc>
          <w:tcPr>
            <w:tcW w:w="1117" w:type="dxa"/>
            <w:noWrap w:val="0"/>
            <w:vAlign w:val="top"/>
          </w:tcPr>
          <w:p>
            <w:pPr>
              <w:topLinePunct/>
              <w:spacing w:line="440" w:lineRule="exact"/>
              <w:jc w:val="center"/>
              <w:rPr>
                <w:rFonts w:hAnsi="宋体"/>
                <w:b/>
                <w:color w:val="auto"/>
                <w:sz w:val="24"/>
                <w:highlight w:val="none"/>
              </w:rPr>
            </w:pPr>
          </w:p>
        </w:tc>
        <w:tc>
          <w:tcPr>
            <w:tcW w:w="1382" w:type="dxa"/>
            <w:noWrap w:val="0"/>
            <w:vAlign w:val="top"/>
          </w:tcPr>
          <w:p>
            <w:pPr>
              <w:topLinePunct/>
              <w:spacing w:line="440" w:lineRule="exact"/>
              <w:jc w:val="center"/>
              <w:rPr>
                <w:rFonts w:hAnsi="宋体"/>
                <w:b/>
                <w:color w:val="auto"/>
                <w:sz w:val="24"/>
                <w:highlight w:val="none"/>
              </w:rPr>
            </w:pPr>
          </w:p>
        </w:tc>
        <w:tc>
          <w:tcPr>
            <w:tcW w:w="1429" w:type="dxa"/>
            <w:noWrap w:val="0"/>
            <w:vAlign w:val="top"/>
          </w:tcPr>
          <w:p>
            <w:pPr>
              <w:topLinePunct/>
              <w:spacing w:line="440" w:lineRule="exact"/>
              <w:jc w:val="center"/>
              <w:rPr>
                <w:rFonts w:hAnsi="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00" w:type="dxa"/>
            <w:noWrap w:val="0"/>
            <w:vAlign w:val="top"/>
          </w:tcPr>
          <w:p>
            <w:pPr>
              <w:topLinePunct/>
              <w:spacing w:line="440" w:lineRule="exact"/>
              <w:jc w:val="center"/>
              <w:rPr>
                <w:rFonts w:hAnsi="宋体"/>
                <w:b/>
                <w:color w:val="auto"/>
                <w:sz w:val="24"/>
                <w:highlight w:val="none"/>
              </w:rPr>
            </w:pPr>
            <w:r>
              <w:rPr>
                <w:rFonts w:hint="eastAsia" w:hAnsi="宋体"/>
                <w:b/>
                <w:color w:val="auto"/>
                <w:sz w:val="24"/>
                <w:highlight w:val="none"/>
              </w:rPr>
              <w:t>二</w:t>
            </w:r>
          </w:p>
        </w:tc>
        <w:tc>
          <w:tcPr>
            <w:tcW w:w="3637" w:type="dxa"/>
            <w:noWrap w:val="0"/>
            <w:vAlign w:val="top"/>
          </w:tcPr>
          <w:p>
            <w:pPr>
              <w:topLinePunct/>
              <w:spacing w:line="440" w:lineRule="exact"/>
              <w:rPr>
                <w:rFonts w:hAnsi="宋体"/>
                <w:b/>
                <w:color w:val="auto"/>
                <w:sz w:val="24"/>
                <w:highlight w:val="none"/>
              </w:rPr>
            </w:pPr>
            <w:r>
              <w:rPr>
                <w:rFonts w:hint="eastAsia" w:hAnsi="宋体"/>
                <w:b/>
                <w:color w:val="auto"/>
                <w:sz w:val="24"/>
                <w:highlight w:val="none"/>
              </w:rPr>
              <w:t>现场临时宿舍空调设施</w:t>
            </w:r>
          </w:p>
        </w:tc>
        <w:tc>
          <w:tcPr>
            <w:tcW w:w="1045" w:type="dxa"/>
            <w:noWrap w:val="0"/>
            <w:vAlign w:val="top"/>
          </w:tcPr>
          <w:p>
            <w:pPr>
              <w:topLinePunct/>
              <w:spacing w:line="440" w:lineRule="exact"/>
              <w:jc w:val="center"/>
              <w:rPr>
                <w:rFonts w:hAnsi="宋体"/>
                <w:b/>
                <w:color w:val="auto"/>
                <w:sz w:val="24"/>
                <w:highlight w:val="none"/>
              </w:rPr>
            </w:pPr>
          </w:p>
        </w:tc>
        <w:tc>
          <w:tcPr>
            <w:tcW w:w="1117" w:type="dxa"/>
            <w:noWrap w:val="0"/>
            <w:vAlign w:val="top"/>
          </w:tcPr>
          <w:p>
            <w:pPr>
              <w:topLinePunct/>
              <w:spacing w:line="440" w:lineRule="exact"/>
              <w:jc w:val="center"/>
              <w:rPr>
                <w:rFonts w:hAnsi="宋体"/>
                <w:b/>
                <w:color w:val="auto"/>
                <w:sz w:val="24"/>
                <w:highlight w:val="none"/>
              </w:rPr>
            </w:pPr>
          </w:p>
        </w:tc>
        <w:tc>
          <w:tcPr>
            <w:tcW w:w="1382" w:type="dxa"/>
            <w:noWrap w:val="0"/>
            <w:vAlign w:val="top"/>
          </w:tcPr>
          <w:p>
            <w:pPr>
              <w:topLinePunct/>
              <w:spacing w:line="440" w:lineRule="exact"/>
              <w:jc w:val="center"/>
              <w:rPr>
                <w:rFonts w:hAnsi="宋体"/>
                <w:b/>
                <w:color w:val="auto"/>
                <w:sz w:val="24"/>
                <w:highlight w:val="none"/>
              </w:rPr>
            </w:pPr>
          </w:p>
        </w:tc>
        <w:tc>
          <w:tcPr>
            <w:tcW w:w="1429" w:type="dxa"/>
            <w:noWrap w:val="0"/>
            <w:vAlign w:val="top"/>
          </w:tcPr>
          <w:p>
            <w:pPr>
              <w:topLinePunct/>
              <w:spacing w:line="440" w:lineRule="exact"/>
              <w:jc w:val="center"/>
              <w:rPr>
                <w:rFonts w:hAnsi="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00" w:type="dxa"/>
            <w:noWrap w:val="0"/>
            <w:vAlign w:val="top"/>
          </w:tcPr>
          <w:p>
            <w:pPr>
              <w:topLinePunct/>
              <w:spacing w:line="440" w:lineRule="exact"/>
              <w:jc w:val="center"/>
              <w:rPr>
                <w:rFonts w:hAnsi="宋体"/>
                <w:b/>
                <w:color w:val="auto"/>
                <w:sz w:val="24"/>
                <w:highlight w:val="none"/>
              </w:rPr>
            </w:pPr>
          </w:p>
        </w:tc>
        <w:tc>
          <w:tcPr>
            <w:tcW w:w="3637" w:type="dxa"/>
            <w:noWrap w:val="0"/>
            <w:vAlign w:val="top"/>
          </w:tcPr>
          <w:p>
            <w:pPr>
              <w:topLinePunct/>
              <w:spacing w:line="440" w:lineRule="exact"/>
              <w:jc w:val="center"/>
              <w:rPr>
                <w:rFonts w:hAnsi="宋体"/>
                <w:b/>
                <w:color w:val="auto"/>
                <w:sz w:val="24"/>
                <w:highlight w:val="none"/>
              </w:rPr>
            </w:pPr>
          </w:p>
        </w:tc>
        <w:tc>
          <w:tcPr>
            <w:tcW w:w="1045" w:type="dxa"/>
            <w:noWrap w:val="0"/>
            <w:vAlign w:val="top"/>
          </w:tcPr>
          <w:p>
            <w:pPr>
              <w:topLinePunct/>
              <w:spacing w:line="440" w:lineRule="exact"/>
              <w:jc w:val="center"/>
              <w:rPr>
                <w:rFonts w:hAnsi="宋体"/>
                <w:b/>
                <w:color w:val="auto"/>
                <w:sz w:val="24"/>
                <w:highlight w:val="none"/>
              </w:rPr>
            </w:pPr>
          </w:p>
        </w:tc>
        <w:tc>
          <w:tcPr>
            <w:tcW w:w="1117" w:type="dxa"/>
            <w:noWrap w:val="0"/>
            <w:vAlign w:val="top"/>
          </w:tcPr>
          <w:p>
            <w:pPr>
              <w:topLinePunct/>
              <w:spacing w:line="440" w:lineRule="exact"/>
              <w:jc w:val="center"/>
              <w:rPr>
                <w:rFonts w:hAnsi="宋体"/>
                <w:b/>
                <w:color w:val="auto"/>
                <w:sz w:val="24"/>
                <w:highlight w:val="none"/>
              </w:rPr>
            </w:pPr>
          </w:p>
        </w:tc>
        <w:tc>
          <w:tcPr>
            <w:tcW w:w="1382" w:type="dxa"/>
            <w:noWrap w:val="0"/>
            <w:vAlign w:val="top"/>
          </w:tcPr>
          <w:p>
            <w:pPr>
              <w:topLinePunct/>
              <w:spacing w:line="440" w:lineRule="exact"/>
              <w:jc w:val="center"/>
              <w:rPr>
                <w:rFonts w:hAnsi="宋体"/>
                <w:b/>
                <w:color w:val="auto"/>
                <w:sz w:val="24"/>
                <w:highlight w:val="none"/>
              </w:rPr>
            </w:pPr>
          </w:p>
        </w:tc>
        <w:tc>
          <w:tcPr>
            <w:tcW w:w="1429" w:type="dxa"/>
            <w:noWrap w:val="0"/>
            <w:vAlign w:val="top"/>
          </w:tcPr>
          <w:p>
            <w:pPr>
              <w:topLinePunct/>
              <w:spacing w:line="440" w:lineRule="exact"/>
              <w:jc w:val="center"/>
              <w:rPr>
                <w:rFonts w:hAnsi="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00" w:type="dxa"/>
            <w:noWrap w:val="0"/>
            <w:vAlign w:val="top"/>
          </w:tcPr>
          <w:p>
            <w:pPr>
              <w:topLinePunct/>
              <w:spacing w:line="440" w:lineRule="exact"/>
              <w:jc w:val="center"/>
              <w:rPr>
                <w:rFonts w:hAnsi="宋体"/>
                <w:b/>
                <w:color w:val="auto"/>
                <w:sz w:val="24"/>
                <w:highlight w:val="none"/>
              </w:rPr>
            </w:pPr>
          </w:p>
        </w:tc>
        <w:tc>
          <w:tcPr>
            <w:tcW w:w="3637" w:type="dxa"/>
            <w:noWrap w:val="0"/>
            <w:vAlign w:val="top"/>
          </w:tcPr>
          <w:p>
            <w:pPr>
              <w:topLinePunct/>
              <w:spacing w:line="440" w:lineRule="exact"/>
              <w:jc w:val="center"/>
              <w:rPr>
                <w:rFonts w:hAnsi="宋体"/>
                <w:b/>
                <w:color w:val="auto"/>
                <w:sz w:val="24"/>
                <w:highlight w:val="none"/>
              </w:rPr>
            </w:pPr>
          </w:p>
        </w:tc>
        <w:tc>
          <w:tcPr>
            <w:tcW w:w="1045" w:type="dxa"/>
            <w:noWrap w:val="0"/>
            <w:vAlign w:val="top"/>
          </w:tcPr>
          <w:p>
            <w:pPr>
              <w:topLinePunct/>
              <w:spacing w:line="440" w:lineRule="exact"/>
              <w:jc w:val="center"/>
              <w:rPr>
                <w:rFonts w:hAnsi="宋体"/>
                <w:b/>
                <w:color w:val="auto"/>
                <w:sz w:val="24"/>
                <w:highlight w:val="none"/>
              </w:rPr>
            </w:pPr>
          </w:p>
        </w:tc>
        <w:tc>
          <w:tcPr>
            <w:tcW w:w="1117" w:type="dxa"/>
            <w:noWrap w:val="0"/>
            <w:vAlign w:val="top"/>
          </w:tcPr>
          <w:p>
            <w:pPr>
              <w:topLinePunct/>
              <w:spacing w:line="440" w:lineRule="exact"/>
              <w:jc w:val="center"/>
              <w:rPr>
                <w:rFonts w:hAnsi="宋体"/>
                <w:b/>
                <w:color w:val="auto"/>
                <w:sz w:val="24"/>
                <w:highlight w:val="none"/>
              </w:rPr>
            </w:pPr>
          </w:p>
        </w:tc>
        <w:tc>
          <w:tcPr>
            <w:tcW w:w="1382" w:type="dxa"/>
            <w:noWrap w:val="0"/>
            <w:vAlign w:val="top"/>
          </w:tcPr>
          <w:p>
            <w:pPr>
              <w:topLinePunct/>
              <w:spacing w:line="440" w:lineRule="exact"/>
              <w:jc w:val="center"/>
              <w:rPr>
                <w:rFonts w:hAnsi="宋体"/>
                <w:b/>
                <w:color w:val="auto"/>
                <w:sz w:val="24"/>
                <w:highlight w:val="none"/>
              </w:rPr>
            </w:pPr>
          </w:p>
        </w:tc>
        <w:tc>
          <w:tcPr>
            <w:tcW w:w="1429" w:type="dxa"/>
            <w:noWrap w:val="0"/>
            <w:vAlign w:val="top"/>
          </w:tcPr>
          <w:p>
            <w:pPr>
              <w:topLinePunct/>
              <w:spacing w:line="440" w:lineRule="exact"/>
              <w:jc w:val="center"/>
              <w:rPr>
                <w:rFonts w:hAnsi="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00" w:type="dxa"/>
            <w:noWrap w:val="0"/>
            <w:vAlign w:val="top"/>
          </w:tcPr>
          <w:p>
            <w:pPr>
              <w:topLinePunct/>
              <w:spacing w:line="440" w:lineRule="exact"/>
              <w:jc w:val="center"/>
              <w:rPr>
                <w:rFonts w:hAnsi="宋体"/>
                <w:b/>
                <w:color w:val="auto"/>
                <w:sz w:val="24"/>
                <w:highlight w:val="none"/>
              </w:rPr>
            </w:pPr>
          </w:p>
        </w:tc>
        <w:tc>
          <w:tcPr>
            <w:tcW w:w="3637" w:type="dxa"/>
            <w:noWrap w:val="0"/>
            <w:vAlign w:val="top"/>
          </w:tcPr>
          <w:p>
            <w:pPr>
              <w:topLinePunct/>
              <w:spacing w:line="440" w:lineRule="exact"/>
              <w:jc w:val="center"/>
              <w:rPr>
                <w:rFonts w:hAnsi="宋体"/>
                <w:b/>
                <w:color w:val="auto"/>
                <w:sz w:val="24"/>
                <w:highlight w:val="none"/>
              </w:rPr>
            </w:pPr>
          </w:p>
        </w:tc>
        <w:tc>
          <w:tcPr>
            <w:tcW w:w="1045" w:type="dxa"/>
            <w:noWrap w:val="0"/>
            <w:vAlign w:val="top"/>
          </w:tcPr>
          <w:p>
            <w:pPr>
              <w:topLinePunct/>
              <w:spacing w:line="440" w:lineRule="exact"/>
              <w:jc w:val="center"/>
              <w:rPr>
                <w:rFonts w:hAnsi="宋体"/>
                <w:b/>
                <w:color w:val="auto"/>
                <w:sz w:val="24"/>
                <w:highlight w:val="none"/>
              </w:rPr>
            </w:pPr>
          </w:p>
        </w:tc>
        <w:tc>
          <w:tcPr>
            <w:tcW w:w="1117" w:type="dxa"/>
            <w:noWrap w:val="0"/>
            <w:vAlign w:val="top"/>
          </w:tcPr>
          <w:p>
            <w:pPr>
              <w:topLinePunct/>
              <w:spacing w:line="440" w:lineRule="exact"/>
              <w:jc w:val="center"/>
              <w:rPr>
                <w:rFonts w:hAnsi="宋体"/>
                <w:b/>
                <w:color w:val="auto"/>
                <w:sz w:val="24"/>
                <w:highlight w:val="none"/>
              </w:rPr>
            </w:pPr>
          </w:p>
        </w:tc>
        <w:tc>
          <w:tcPr>
            <w:tcW w:w="1382" w:type="dxa"/>
            <w:noWrap w:val="0"/>
            <w:vAlign w:val="top"/>
          </w:tcPr>
          <w:p>
            <w:pPr>
              <w:topLinePunct/>
              <w:spacing w:line="440" w:lineRule="exact"/>
              <w:jc w:val="center"/>
              <w:rPr>
                <w:rFonts w:hAnsi="宋体"/>
                <w:b/>
                <w:color w:val="auto"/>
                <w:sz w:val="24"/>
                <w:highlight w:val="none"/>
              </w:rPr>
            </w:pPr>
          </w:p>
        </w:tc>
        <w:tc>
          <w:tcPr>
            <w:tcW w:w="1429" w:type="dxa"/>
            <w:noWrap w:val="0"/>
            <w:vAlign w:val="top"/>
          </w:tcPr>
          <w:p>
            <w:pPr>
              <w:topLinePunct/>
              <w:spacing w:line="440" w:lineRule="exact"/>
              <w:jc w:val="center"/>
              <w:rPr>
                <w:rFonts w:hAnsi="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00" w:type="dxa"/>
            <w:noWrap w:val="0"/>
            <w:vAlign w:val="top"/>
          </w:tcPr>
          <w:p>
            <w:pPr>
              <w:topLinePunct/>
              <w:spacing w:line="440" w:lineRule="exact"/>
              <w:jc w:val="center"/>
              <w:rPr>
                <w:rFonts w:hAnsi="宋体"/>
                <w:b/>
                <w:color w:val="auto"/>
                <w:sz w:val="24"/>
                <w:highlight w:val="none"/>
              </w:rPr>
            </w:pPr>
          </w:p>
        </w:tc>
        <w:tc>
          <w:tcPr>
            <w:tcW w:w="3637" w:type="dxa"/>
            <w:noWrap w:val="0"/>
            <w:vAlign w:val="top"/>
          </w:tcPr>
          <w:p>
            <w:pPr>
              <w:topLinePunct/>
              <w:spacing w:line="440" w:lineRule="exact"/>
              <w:jc w:val="center"/>
              <w:rPr>
                <w:rFonts w:hAnsi="宋体"/>
                <w:b/>
                <w:color w:val="auto"/>
                <w:sz w:val="24"/>
                <w:highlight w:val="none"/>
              </w:rPr>
            </w:pPr>
          </w:p>
        </w:tc>
        <w:tc>
          <w:tcPr>
            <w:tcW w:w="1045" w:type="dxa"/>
            <w:noWrap w:val="0"/>
            <w:vAlign w:val="top"/>
          </w:tcPr>
          <w:p>
            <w:pPr>
              <w:topLinePunct/>
              <w:spacing w:line="440" w:lineRule="exact"/>
              <w:jc w:val="center"/>
              <w:rPr>
                <w:rFonts w:hAnsi="宋体"/>
                <w:b/>
                <w:color w:val="auto"/>
                <w:sz w:val="24"/>
                <w:highlight w:val="none"/>
              </w:rPr>
            </w:pPr>
          </w:p>
        </w:tc>
        <w:tc>
          <w:tcPr>
            <w:tcW w:w="1117" w:type="dxa"/>
            <w:noWrap w:val="0"/>
            <w:vAlign w:val="top"/>
          </w:tcPr>
          <w:p>
            <w:pPr>
              <w:topLinePunct/>
              <w:spacing w:line="440" w:lineRule="exact"/>
              <w:jc w:val="center"/>
              <w:rPr>
                <w:rFonts w:hAnsi="宋体"/>
                <w:b/>
                <w:color w:val="auto"/>
                <w:sz w:val="24"/>
                <w:highlight w:val="none"/>
              </w:rPr>
            </w:pPr>
          </w:p>
        </w:tc>
        <w:tc>
          <w:tcPr>
            <w:tcW w:w="1382" w:type="dxa"/>
            <w:noWrap w:val="0"/>
            <w:vAlign w:val="top"/>
          </w:tcPr>
          <w:p>
            <w:pPr>
              <w:topLinePunct/>
              <w:spacing w:line="440" w:lineRule="exact"/>
              <w:jc w:val="center"/>
              <w:rPr>
                <w:rFonts w:hAnsi="宋体"/>
                <w:b/>
                <w:color w:val="auto"/>
                <w:sz w:val="24"/>
                <w:highlight w:val="none"/>
              </w:rPr>
            </w:pPr>
          </w:p>
        </w:tc>
        <w:tc>
          <w:tcPr>
            <w:tcW w:w="1429" w:type="dxa"/>
            <w:noWrap w:val="0"/>
            <w:vAlign w:val="top"/>
          </w:tcPr>
          <w:p>
            <w:pPr>
              <w:topLinePunct/>
              <w:spacing w:line="440" w:lineRule="exact"/>
              <w:jc w:val="center"/>
              <w:rPr>
                <w:rFonts w:hAnsi="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00" w:type="dxa"/>
            <w:noWrap w:val="0"/>
            <w:vAlign w:val="top"/>
          </w:tcPr>
          <w:p>
            <w:pPr>
              <w:topLinePunct/>
              <w:spacing w:line="440" w:lineRule="exact"/>
              <w:jc w:val="center"/>
              <w:rPr>
                <w:rFonts w:hAnsi="宋体"/>
                <w:b/>
                <w:color w:val="auto"/>
                <w:sz w:val="24"/>
                <w:highlight w:val="none"/>
              </w:rPr>
            </w:pPr>
          </w:p>
        </w:tc>
        <w:tc>
          <w:tcPr>
            <w:tcW w:w="3637" w:type="dxa"/>
            <w:noWrap w:val="0"/>
            <w:vAlign w:val="top"/>
          </w:tcPr>
          <w:p>
            <w:pPr>
              <w:topLinePunct/>
              <w:spacing w:line="440" w:lineRule="exact"/>
              <w:jc w:val="center"/>
              <w:rPr>
                <w:rFonts w:hAnsi="宋体"/>
                <w:b/>
                <w:color w:val="auto"/>
                <w:sz w:val="24"/>
                <w:highlight w:val="none"/>
              </w:rPr>
            </w:pPr>
          </w:p>
        </w:tc>
        <w:tc>
          <w:tcPr>
            <w:tcW w:w="1045" w:type="dxa"/>
            <w:noWrap w:val="0"/>
            <w:vAlign w:val="top"/>
          </w:tcPr>
          <w:p>
            <w:pPr>
              <w:topLinePunct/>
              <w:spacing w:line="440" w:lineRule="exact"/>
              <w:jc w:val="center"/>
              <w:rPr>
                <w:rFonts w:hAnsi="宋体"/>
                <w:b/>
                <w:color w:val="auto"/>
                <w:sz w:val="24"/>
                <w:highlight w:val="none"/>
              </w:rPr>
            </w:pPr>
          </w:p>
        </w:tc>
        <w:tc>
          <w:tcPr>
            <w:tcW w:w="1117" w:type="dxa"/>
            <w:noWrap w:val="0"/>
            <w:vAlign w:val="top"/>
          </w:tcPr>
          <w:p>
            <w:pPr>
              <w:topLinePunct/>
              <w:spacing w:line="440" w:lineRule="exact"/>
              <w:jc w:val="center"/>
              <w:rPr>
                <w:rFonts w:hAnsi="宋体"/>
                <w:b/>
                <w:color w:val="auto"/>
                <w:sz w:val="24"/>
                <w:highlight w:val="none"/>
              </w:rPr>
            </w:pPr>
          </w:p>
        </w:tc>
        <w:tc>
          <w:tcPr>
            <w:tcW w:w="1382" w:type="dxa"/>
            <w:noWrap w:val="0"/>
            <w:vAlign w:val="top"/>
          </w:tcPr>
          <w:p>
            <w:pPr>
              <w:topLinePunct/>
              <w:spacing w:line="440" w:lineRule="exact"/>
              <w:jc w:val="center"/>
              <w:rPr>
                <w:rFonts w:hAnsi="宋体"/>
                <w:b/>
                <w:color w:val="auto"/>
                <w:sz w:val="24"/>
                <w:highlight w:val="none"/>
              </w:rPr>
            </w:pPr>
          </w:p>
        </w:tc>
        <w:tc>
          <w:tcPr>
            <w:tcW w:w="1429" w:type="dxa"/>
            <w:noWrap w:val="0"/>
            <w:vAlign w:val="top"/>
          </w:tcPr>
          <w:p>
            <w:pPr>
              <w:topLinePunct/>
              <w:spacing w:line="440" w:lineRule="exact"/>
              <w:jc w:val="center"/>
              <w:rPr>
                <w:rFonts w:hAnsi="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00" w:type="dxa"/>
            <w:noWrap w:val="0"/>
            <w:vAlign w:val="top"/>
          </w:tcPr>
          <w:p>
            <w:pPr>
              <w:topLinePunct/>
              <w:spacing w:line="440" w:lineRule="exact"/>
              <w:jc w:val="center"/>
              <w:rPr>
                <w:rFonts w:hAnsi="宋体"/>
                <w:b/>
                <w:color w:val="auto"/>
                <w:sz w:val="24"/>
                <w:highlight w:val="none"/>
              </w:rPr>
            </w:pPr>
          </w:p>
        </w:tc>
        <w:tc>
          <w:tcPr>
            <w:tcW w:w="3637" w:type="dxa"/>
            <w:noWrap w:val="0"/>
            <w:vAlign w:val="top"/>
          </w:tcPr>
          <w:p>
            <w:pPr>
              <w:topLinePunct/>
              <w:spacing w:line="440" w:lineRule="exact"/>
              <w:jc w:val="center"/>
              <w:rPr>
                <w:rFonts w:hAnsi="宋体"/>
                <w:b/>
                <w:color w:val="auto"/>
                <w:sz w:val="24"/>
                <w:highlight w:val="none"/>
              </w:rPr>
            </w:pPr>
          </w:p>
        </w:tc>
        <w:tc>
          <w:tcPr>
            <w:tcW w:w="1045" w:type="dxa"/>
            <w:noWrap w:val="0"/>
            <w:vAlign w:val="top"/>
          </w:tcPr>
          <w:p>
            <w:pPr>
              <w:topLinePunct/>
              <w:spacing w:line="440" w:lineRule="exact"/>
              <w:jc w:val="center"/>
              <w:rPr>
                <w:rFonts w:hAnsi="宋体"/>
                <w:b/>
                <w:color w:val="auto"/>
                <w:sz w:val="24"/>
                <w:highlight w:val="none"/>
              </w:rPr>
            </w:pPr>
          </w:p>
        </w:tc>
        <w:tc>
          <w:tcPr>
            <w:tcW w:w="1117" w:type="dxa"/>
            <w:noWrap w:val="0"/>
            <w:vAlign w:val="top"/>
          </w:tcPr>
          <w:p>
            <w:pPr>
              <w:topLinePunct/>
              <w:spacing w:line="440" w:lineRule="exact"/>
              <w:jc w:val="center"/>
              <w:rPr>
                <w:rFonts w:hAnsi="宋体"/>
                <w:b/>
                <w:color w:val="auto"/>
                <w:sz w:val="24"/>
                <w:highlight w:val="none"/>
              </w:rPr>
            </w:pPr>
          </w:p>
        </w:tc>
        <w:tc>
          <w:tcPr>
            <w:tcW w:w="1382" w:type="dxa"/>
            <w:noWrap w:val="0"/>
            <w:vAlign w:val="top"/>
          </w:tcPr>
          <w:p>
            <w:pPr>
              <w:topLinePunct/>
              <w:spacing w:line="440" w:lineRule="exact"/>
              <w:jc w:val="center"/>
              <w:rPr>
                <w:rFonts w:hAnsi="宋体"/>
                <w:b/>
                <w:color w:val="auto"/>
                <w:sz w:val="24"/>
                <w:highlight w:val="none"/>
              </w:rPr>
            </w:pPr>
          </w:p>
        </w:tc>
        <w:tc>
          <w:tcPr>
            <w:tcW w:w="1429" w:type="dxa"/>
            <w:noWrap w:val="0"/>
            <w:vAlign w:val="top"/>
          </w:tcPr>
          <w:p>
            <w:pPr>
              <w:topLinePunct/>
              <w:spacing w:line="440" w:lineRule="exact"/>
              <w:jc w:val="center"/>
              <w:rPr>
                <w:rFonts w:hAnsi="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00" w:type="dxa"/>
            <w:noWrap w:val="0"/>
            <w:vAlign w:val="top"/>
          </w:tcPr>
          <w:p>
            <w:pPr>
              <w:topLinePunct/>
              <w:spacing w:line="440" w:lineRule="exact"/>
              <w:jc w:val="center"/>
              <w:rPr>
                <w:rFonts w:hAnsi="宋体"/>
                <w:b/>
                <w:color w:val="auto"/>
                <w:sz w:val="24"/>
                <w:highlight w:val="none"/>
              </w:rPr>
            </w:pPr>
          </w:p>
        </w:tc>
        <w:tc>
          <w:tcPr>
            <w:tcW w:w="3637" w:type="dxa"/>
            <w:noWrap w:val="0"/>
            <w:vAlign w:val="top"/>
          </w:tcPr>
          <w:p>
            <w:pPr>
              <w:topLinePunct/>
              <w:spacing w:line="440" w:lineRule="exact"/>
              <w:jc w:val="center"/>
              <w:rPr>
                <w:rFonts w:hAnsi="宋体"/>
                <w:b/>
                <w:color w:val="auto"/>
                <w:sz w:val="24"/>
                <w:highlight w:val="none"/>
              </w:rPr>
            </w:pPr>
          </w:p>
        </w:tc>
        <w:tc>
          <w:tcPr>
            <w:tcW w:w="1045" w:type="dxa"/>
            <w:noWrap w:val="0"/>
            <w:vAlign w:val="top"/>
          </w:tcPr>
          <w:p>
            <w:pPr>
              <w:topLinePunct/>
              <w:spacing w:line="440" w:lineRule="exact"/>
              <w:jc w:val="center"/>
              <w:rPr>
                <w:rFonts w:hAnsi="宋体"/>
                <w:b/>
                <w:color w:val="auto"/>
                <w:sz w:val="24"/>
                <w:highlight w:val="none"/>
              </w:rPr>
            </w:pPr>
          </w:p>
        </w:tc>
        <w:tc>
          <w:tcPr>
            <w:tcW w:w="1117" w:type="dxa"/>
            <w:noWrap w:val="0"/>
            <w:vAlign w:val="top"/>
          </w:tcPr>
          <w:p>
            <w:pPr>
              <w:topLinePunct/>
              <w:spacing w:line="440" w:lineRule="exact"/>
              <w:jc w:val="center"/>
              <w:rPr>
                <w:rFonts w:hAnsi="宋体"/>
                <w:b/>
                <w:color w:val="auto"/>
                <w:sz w:val="24"/>
                <w:highlight w:val="none"/>
              </w:rPr>
            </w:pPr>
          </w:p>
        </w:tc>
        <w:tc>
          <w:tcPr>
            <w:tcW w:w="1382" w:type="dxa"/>
            <w:noWrap w:val="0"/>
            <w:vAlign w:val="top"/>
          </w:tcPr>
          <w:p>
            <w:pPr>
              <w:topLinePunct/>
              <w:spacing w:line="440" w:lineRule="exact"/>
              <w:jc w:val="center"/>
              <w:rPr>
                <w:rFonts w:hAnsi="宋体"/>
                <w:b/>
                <w:color w:val="auto"/>
                <w:sz w:val="24"/>
                <w:highlight w:val="none"/>
              </w:rPr>
            </w:pPr>
          </w:p>
        </w:tc>
        <w:tc>
          <w:tcPr>
            <w:tcW w:w="1429" w:type="dxa"/>
            <w:noWrap w:val="0"/>
            <w:vAlign w:val="top"/>
          </w:tcPr>
          <w:p>
            <w:pPr>
              <w:topLinePunct/>
              <w:spacing w:line="440" w:lineRule="exact"/>
              <w:jc w:val="center"/>
              <w:rPr>
                <w:rFonts w:hAnsi="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00" w:type="dxa"/>
            <w:noWrap w:val="0"/>
            <w:vAlign w:val="top"/>
          </w:tcPr>
          <w:p>
            <w:pPr>
              <w:topLinePunct/>
              <w:spacing w:line="440" w:lineRule="exact"/>
              <w:jc w:val="center"/>
              <w:rPr>
                <w:rFonts w:hAnsi="宋体"/>
                <w:b/>
                <w:color w:val="auto"/>
                <w:sz w:val="24"/>
                <w:highlight w:val="none"/>
              </w:rPr>
            </w:pPr>
          </w:p>
        </w:tc>
        <w:tc>
          <w:tcPr>
            <w:tcW w:w="3637" w:type="dxa"/>
            <w:noWrap w:val="0"/>
            <w:vAlign w:val="top"/>
          </w:tcPr>
          <w:p>
            <w:pPr>
              <w:topLinePunct/>
              <w:spacing w:line="440" w:lineRule="exact"/>
              <w:jc w:val="center"/>
              <w:rPr>
                <w:rFonts w:hAnsi="宋体"/>
                <w:b/>
                <w:color w:val="auto"/>
                <w:sz w:val="24"/>
                <w:highlight w:val="none"/>
              </w:rPr>
            </w:pPr>
          </w:p>
        </w:tc>
        <w:tc>
          <w:tcPr>
            <w:tcW w:w="1045" w:type="dxa"/>
            <w:noWrap w:val="0"/>
            <w:vAlign w:val="top"/>
          </w:tcPr>
          <w:p>
            <w:pPr>
              <w:topLinePunct/>
              <w:spacing w:line="440" w:lineRule="exact"/>
              <w:jc w:val="center"/>
              <w:rPr>
                <w:rFonts w:hAnsi="宋体"/>
                <w:b/>
                <w:color w:val="auto"/>
                <w:sz w:val="24"/>
                <w:highlight w:val="none"/>
              </w:rPr>
            </w:pPr>
          </w:p>
        </w:tc>
        <w:tc>
          <w:tcPr>
            <w:tcW w:w="1117" w:type="dxa"/>
            <w:noWrap w:val="0"/>
            <w:vAlign w:val="top"/>
          </w:tcPr>
          <w:p>
            <w:pPr>
              <w:topLinePunct/>
              <w:spacing w:line="440" w:lineRule="exact"/>
              <w:jc w:val="center"/>
              <w:rPr>
                <w:rFonts w:hAnsi="宋体"/>
                <w:b/>
                <w:color w:val="auto"/>
                <w:sz w:val="24"/>
                <w:highlight w:val="none"/>
              </w:rPr>
            </w:pPr>
          </w:p>
        </w:tc>
        <w:tc>
          <w:tcPr>
            <w:tcW w:w="1382" w:type="dxa"/>
            <w:noWrap w:val="0"/>
            <w:vAlign w:val="top"/>
          </w:tcPr>
          <w:p>
            <w:pPr>
              <w:topLinePunct/>
              <w:spacing w:line="440" w:lineRule="exact"/>
              <w:jc w:val="center"/>
              <w:rPr>
                <w:rFonts w:hAnsi="宋体"/>
                <w:b/>
                <w:color w:val="auto"/>
                <w:sz w:val="24"/>
                <w:highlight w:val="none"/>
              </w:rPr>
            </w:pPr>
          </w:p>
        </w:tc>
        <w:tc>
          <w:tcPr>
            <w:tcW w:w="1429" w:type="dxa"/>
            <w:noWrap w:val="0"/>
            <w:vAlign w:val="top"/>
          </w:tcPr>
          <w:p>
            <w:pPr>
              <w:topLinePunct/>
              <w:spacing w:line="440" w:lineRule="exact"/>
              <w:jc w:val="center"/>
              <w:rPr>
                <w:rFonts w:hAnsi="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00" w:type="dxa"/>
            <w:noWrap w:val="0"/>
            <w:vAlign w:val="top"/>
          </w:tcPr>
          <w:p>
            <w:pPr>
              <w:topLinePunct/>
              <w:spacing w:line="440" w:lineRule="exact"/>
              <w:jc w:val="center"/>
              <w:rPr>
                <w:rFonts w:hAnsi="宋体"/>
                <w:b/>
                <w:color w:val="auto"/>
                <w:sz w:val="24"/>
                <w:highlight w:val="none"/>
              </w:rPr>
            </w:pPr>
          </w:p>
        </w:tc>
        <w:tc>
          <w:tcPr>
            <w:tcW w:w="3637" w:type="dxa"/>
            <w:noWrap w:val="0"/>
            <w:vAlign w:val="top"/>
          </w:tcPr>
          <w:p>
            <w:pPr>
              <w:topLinePunct/>
              <w:spacing w:line="440" w:lineRule="exact"/>
              <w:jc w:val="center"/>
              <w:rPr>
                <w:rFonts w:hAnsi="宋体"/>
                <w:b/>
                <w:color w:val="auto"/>
                <w:sz w:val="24"/>
                <w:highlight w:val="none"/>
              </w:rPr>
            </w:pPr>
            <w:r>
              <w:rPr>
                <w:rFonts w:hint="eastAsia" w:hAnsi="宋体"/>
                <w:b/>
                <w:color w:val="auto"/>
                <w:sz w:val="24"/>
                <w:highlight w:val="none"/>
              </w:rPr>
              <w:t>合计</w:t>
            </w:r>
          </w:p>
        </w:tc>
        <w:tc>
          <w:tcPr>
            <w:tcW w:w="1045" w:type="dxa"/>
            <w:noWrap w:val="0"/>
            <w:vAlign w:val="top"/>
          </w:tcPr>
          <w:p>
            <w:pPr>
              <w:topLinePunct/>
              <w:spacing w:line="440" w:lineRule="exact"/>
              <w:jc w:val="center"/>
              <w:rPr>
                <w:rFonts w:hAnsi="宋体"/>
                <w:b/>
                <w:color w:val="auto"/>
                <w:sz w:val="24"/>
                <w:highlight w:val="none"/>
              </w:rPr>
            </w:pPr>
          </w:p>
        </w:tc>
        <w:tc>
          <w:tcPr>
            <w:tcW w:w="1117" w:type="dxa"/>
            <w:noWrap w:val="0"/>
            <w:vAlign w:val="top"/>
          </w:tcPr>
          <w:p>
            <w:pPr>
              <w:topLinePunct/>
              <w:spacing w:line="440" w:lineRule="exact"/>
              <w:jc w:val="center"/>
              <w:rPr>
                <w:rFonts w:hAnsi="宋体"/>
                <w:b/>
                <w:color w:val="auto"/>
                <w:sz w:val="24"/>
                <w:highlight w:val="none"/>
              </w:rPr>
            </w:pPr>
          </w:p>
        </w:tc>
        <w:tc>
          <w:tcPr>
            <w:tcW w:w="1382" w:type="dxa"/>
            <w:noWrap w:val="0"/>
            <w:vAlign w:val="top"/>
          </w:tcPr>
          <w:p>
            <w:pPr>
              <w:topLinePunct/>
              <w:spacing w:line="440" w:lineRule="exact"/>
              <w:jc w:val="center"/>
              <w:rPr>
                <w:rFonts w:hAnsi="宋体"/>
                <w:b/>
                <w:color w:val="auto"/>
                <w:sz w:val="24"/>
                <w:highlight w:val="none"/>
              </w:rPr>
            </w:pPr>
          </w:p>
        </w:tc>
        <w:tc>
          <w:tcPr>
            <w:tcW w:w="1429" w:type="dxa"/>
            <w:noWrap w:val="0"/>
            <w:vAlign w:val="top"/>
          </w:tcPr>
          <w:p>
            <w:pPr>
              <w:topLinePunct/>
              <w:spacing w:line="440" w:lineRule="exact"/>
              <w:jc w:val="center"/>
              <w:rPr>
                <w:rFonts w:hAnsi="宋体"/>
                <w:b/>
                <w:color w:val="auto"/>
                <w:sz w:val="24"/>
                <w:highlight w:val="none"/>
              </w:rPr>
            </w:pPr>
          </w:p>
        </w:tc>
      </w:tr>
    </w:tbl>
    <w:p>
      <w:pPr>
        <w:topLinePunct/>
        <w:spacing w:line="440" w:lineRule="exact"/>
        <w:jc w:val="center"/>
        <w:rPr>
          <w:b/>
          <w:color w:val="auto"/>
          <w:sz w:val="32"/>
          <w:szCs w:val="32"/>
          <w:highlight w:val="none"/>
        </w:rPr>
      </w:pPr>
    </w:p>
    <w:p>
      <w:pPr>
        <w:topLinePunct/>
        <w:spacing w:line="440" w:lineRule="exact"/>
        <w:rPr>
          <w:color w:val="auto"/>
          <w:sz w:val="24"/>
          <w:highlight w:val="none"/>
        </w:rPr>
      </w:pPr>
      <w:r>
        <w:rPr>
          <w:rFonts w:hint="eastAsia"/>
          <w:color w:val="auto"/>
          <w:sz w:val="24"/>
          <w:highlight w:val="none"/>
        </w:rPr>
        <w:t>注：本表为分析表，由</w:t>
      </w:r>
      <w:r>
        <w:rPr>
          <w:rFonts w:hint="eastAsia" w:hAnsi="宋体"/>
          <w:color w:val="auto"/>
          <w:kern w:val="0"/>
          <w:sz w:val="24"/>
          <w:highlight w:val="none"/>
          <w:lang w:val="en-US" w:eastAsia="zh-CN"/>
        </w:rPr>
        <w:t>响应</w:t>
      </w:r>
      <w:r>
        <w:rPr>
          <w:rFonts w:hint="eastAsia" w:hAnsi="宋体"/>
          <w:color w:val="auto"/>
          <w:kern w:val="0"/>
          <w:sz w:val="24"/>
          <w:highlight w:val="none"/>
        </w:rPr>
        <w:t>人</w:t>
      </w:r>
      <w:r>
        <w:rPr>
          <w:rFonts w:hint="eastAsia"/>
          <w:color w:val="auto"/>
          <w:sz w:val="24"/>
          <w:highlight w:val="none"/>
        </w:rPr>
        <w:t>根据市政府、市政建设行政主管部门颁发的有关文件对于现场监控和现场民工宿舍空调的设置要求或标准规定进行相应数量和费用的报价。</w:t>
      </w:r>
    </w:p>
    <w:p>
      <w:pPr>
        <w:pStyle w:val="690"/>
        <w:keepNext w:val="0"/>
        <w:pageBreakBefore w:val="0"/>
        <w:tabs>
          <w:tab w:val="clear" w:pos="720"/>
        </w:tabs>
        <w:snapToGrid w:val="0"/>
        <w:spacing w:before="120" w:after="120"/>
        <w:jc w:val="both"/>
        <w:outlineLvl w:val="9"/>
        <w:rPr>
          <w:rFonts w:hint="eastAsia" w:ascii="宋体" w:hAnsi="宋体" w:eastAsia="宋体" w:cs="宋体"/>
          <w:kern w:val="2"/>
          <w:sz w:val="32"/>
          <w:szCs w:val="32"/>
        </w:rPr>
        <w:sectPr>
          <w:pgSz w:w="11906" w:h="16838"/>
          <w:pgMar w:top="1077" w:right="1020" w:bottom="1077" w:left="1020"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hint="eastAsia" w:ascii="宋体" w:hAnsi="宋体" w:eastAsia="宋体" w:cs="宋体"/>
          <w:sz w:val="32"/>
          <w:szCs w:val="32"/>
        </w:rPr>
      </w:pPr>
      <w:r>
        <w:rPr>
          <w:rFonts w:hint="eastAsia" w:ascii="宋体" w:hAnsi="宋体" w:eastAsia="宋体" w:cs="宋体"/>
          <w:kern w:val="2"/>
          <w:sz w:val="32"/>
          <w:szCs w:val="32"/>
          <w:lang w:eastAsia="zh-CN"/>
        </w:rPr>
        <w:t>三</w:t>
      </w:r>
      <w:r>
        <w:rPr>
          <w:rFonts w:hint="eastAsia" w:ascii="宋体" w:hAnsi="宋体" w:eastAsia="宋体" w:cs="宋体"/>
          <w:kern w:val="2"/>
          <w:sz w:val="32"/>
          <w:szCs w:val="32"/>
        </w:rPr>
        <w:t>、</w:t>
      </w:r>
      <w:r>
        <w:rPr>
          <w:rFonts w:hint="eastAsia" w:ascii="宋体" w:hAnsi="宋体" w:eastAsia="宋体" w:cs="宋体"/>
          <w:sz w:val="32"/>
          <w:szCs w:val="32"/>
        </w:rPr>
        <w:t>中小企业声明函</w:t>
      </w:r>
    </w:p>
    <w:p>
      <w:pPr>
        <w:widowControl/>
        <w:spacing w:line="360" w:lineRule="auto"/>
        <w:ind w:firstLine="120" w:firstLineChars="50"/>
        <w:jc w:val="left"/>
        <w:rPr>
          <w:rFonts w:hint="eastAsia" w:ascii="宋体" w:hAnsi="宋体" w:eastAsia="宋体" w:cs="宋体"/>
          <w:b/>
          <w:sz w:val="24"/>
        </w:rPr>
      </w:pPr>
      <w:r>
        <w:rPr>
          <w:rFonts w:hint="eastAsia" w:ascii="宋体" w:hAnsi="宋体" w:eastAsia="宋体" w:cs="宋体"/>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pStyle w:val="690"/>
        <w:keepNext w:val="0"/>
        <w:pageBreakBefore w:val="0"/>
        <w:tabs>
          <w:tab w:val="clear" w:pos="720"/>
        </w:tabs>
        <w:snapToGrid w:val="0"/>
        <w:spacing w:before="120" w:after="120"/>
        <w:ind w:firstLine="643"/>
        <w:outlineLvl w:val="9"/>
        <w:rPr>
          <w:rFonts w:hint="eastAsia" w:ascii="宋体" w:hAnsi="宋体" w:eastAsia="宋体" w:cs="宋体"/>
          <w:b w:val="0"/>
          <w:sz w:val="32"/>
          <w:szCs w:val="32"/>
        </w:rPr>
      </w:pPr>
    </w:p>
    <w:p>
      <w:pPr>
        <w:spacing w:line="360" w:lineRule="auto"/>
        <w:ind w:right="420" w:firstLine="3614" w:firstLineChars="1000"/>
        <w:rPr>
          <w:rFonts w:hint="eastAsia" w:ascii="宋体" w:hAnsi="宋体" w:eastAsia="宋体" w:cs="宋体"/>
          <w:b/>
          <w:kern w:val="0"/>
          <w:sz w:val="36"/>
          <w:szCs w:val="36"/>
        </w:rPr>
      </w:pPr>
    </w:p>
    <w:p>
      <w:pPr>
        <w:spacing w:line="360" w:lineRule="auto"/>
        <w:ind w:right="420" w:firstLine="3614" w:firstLineChars="1000"/>
        <w:rPr>
          <w:rFonts w:hint="eastAsia" w:ascii="宋体" w:hAnsi="宋体" w:eastAsia="宋体" w:cs="宋体"/>
          <w:b/>
          <w:kern w:val="0"/>
          <w:sz w:val="36"/>
          <w:szCs w:val="36"/>
        </w:rPr>
      </w:pPr>
    </w:p>
    <w:p>
      <w:pPr>
        <w:spacing w:line="360" w:lineRule="auto"/>
        <w:ind w:right="420" w:firstLine="3614" w:firstLineChars="1000"/>
        <w:rPr>
          <w:rFonts w:hint="eastAsia" w:ascii="宋体" w:hAnsi="宋体" w:eastAsia="宋体" w:cs="宋体"/>
          <w:b/>
          <w:kern w:val="0"/>
          <w:sz w:val="36"/>
          <w:szCs w:val="36"/>
        </w:rPr>
      </w:pPr>
    </w:p>
    <w:p>
      <w:pPr>
        <w:spacing w:line="360" w:lineRule="auto"/>
        <w:ind w:right="420" w:firstLine="3614" w:firstLineChars="1000"/>
        <w:rPr>
          <w:rFonts w:hint="eastAsia" w:ascii="宋体" w:hAnsi="宋体" w:eastAsia="宋体" w:cs="宋体"/>
          <w:b/>
          <w:kern w:val="0"/>
          <w:sz w:val="36"/>
          <w:szCs w:val="36"/>
        </w:rPr>
      </w:pPr>
    </w:p>
    <w:p>
      <w:pPr>
        <w:spacing w:line="360" w:lineRule="auto"/>
        <w:ind w:right="420" w:firstLine="3614" w:firstLineChars="1000"/>
        <w:rPr>
          <w:rFonts w:hint="eastAsia" w:ascii="宋体" w:hAnsi="宋体" w:eastAsia="宋体" w:cs="宋体"/>
          <w:b/>
          <w:kern w:val="0"/>
          <w:sz w:val="36"/>
          <w:szCs w:val="36"/>
        </w:rPr>
      </w:pPr>
    </w:p>
    <w:p>
      <w:pPr>
        <w:spacing w:line="360" w:lineRule="auto"/>
        <w:ind w:right="420" w:firstLine="3614" w:firstLineChars="1000"/>
        <w:rPr>
          <w:rFonts w:hint="eastAsia" w:ascii="宋体" w:hAnsi="宋体" w:eastAsia="宋体" w:cs="宋体"/>
          <w:b/>
          <w:kern w:val="0"/>
          <w:sz w:val="36"/>
          <w:szCs w:val="36"/>
        </w:rPr>
      </w:pPr>
    </w:p>
    <w:p>
      <w:pPr>
        <w:spacing w:line="360" w:lineRule="auto"/>
        <w:ind w:right="420" w:firstLine="3614" w:firstLineChars="1000"/>
        <w:rPr>
          <w:rFonts w:hint="eastAsia" w:ascii="宋体" w:hAnsi="宋体" w:eastAsia="宋体" w:cs="宋体"/>
          <w:b/>
          <w:kern w:val="0"/>
          <w:sz w:val="36"/>
          <w:szCs w:val="36"/>
        </w:rPr>
      </w:pPr>
    </w:p>
    <w:p>
      <w:pPr>
        <w:spacing w:line="360" w:lineRule="auto"/>
        <w:ind w:right="420" w:firstLine="3614" w:firstLineChars="1000"/>
        <w:rPr>
          <w:rFonts w:hint="eastAsia" w:ascii="宋体" w:hAnsi="宋体" w:eastAsia="宋体" w:cs="宋体"/>
          <w:b/>
          <w:kern w:val="0"/>
          <w:sz w:val="36"/>
          <w:szCs w:val="36"/>
        </w:rPr>
      </w:pPr>
    </w:p>
    <w:p>
      <w:pPr>
        <w:spacing w:line="360" w:lineRule="auto"/>
        <w:ind w:right="420" w:firstLine="3614" w:firstLineChars="1000"/>
        <w:rPr>
          <w:rFonts w:hint="eastAsia" w:ascii="宋体" w:hAnsi="宋体" w:eastAsia="宋体" w:cs="宋体"/>
          <w:b/>
          <w:kern w:val="0"/>
          <w:sz w:val="36"/>
          <w:szCs w:val="36"/>
        </w:rPr>
      </w:pPr>
    </w:p>
    <w:p>
      <w:pPr>
        <w:spacing w:line="360" w:lineRule="auto"/>
        <w:ind w:right="420" w:firstLine="3614" w:firstLineChars="1000"/>
        <w:rPr>
          <w:rFonts w:hint="eastAsia" w:ascii="宋体" w:hAnsi="宋体" w:eastAsia="宋体" w:cs="宋体"/>
          <w:b/>
          <w:kern w:val="0"/>
          <w:sz w:val="36"/>
          <w:szCs w:val="36"/>
        </w:rPr>
      </w:pPr>
    </w:p>
    <w:p>
      <w:pPr>
        <w:spacing w:line="360" w:lineRule="auto"/>
        <w:ind w:right="420" w:firstLine="3614" w:firstLineChars="1000"/>
        <w:rPr>
          <w:rFonts w:hint="eastAsia" w:ascii="宋体" w:hAnsi="宋体" w:eastAsia="宋体" w:cs="宋体"/>
          <w:b/>
          <w:kern w:val="0"/>
          <w:sz w:val="36"/>
          <w:szCs w:val="36"/>
        </w:rPr>
      </w:pPr>
    </w:p>
    <w:p>
      <w:pPr>
        <w:spacing w:line="360" w:lineRule="auto"/>
        <w:ind w:right="420" w:firstLine="3614" w:firstLineChars="1000"/>
        <w:rPr>
          <w:rFonts w:hint="eastAsia" w:ascii="宋体" w:hAnsi="宋体" w:eastAsia="宋体" w:cs="宋体"/>
          <w:b/>
          <w:kern w:val="0"/>
          <w:sz w:val="36"/>
          <w:szCs w:val="36"/>
        </w:rPr>
      </w:pPr>
    </w:p>
    <w:p>
      <w:pPr>
        <w:spacing w:line="360" w:lineRule="auto"/>
        <w:ind w:right="420" w:firstLine="3614" w:firstLineChars="1000"/>
        <w:rPr>
          <w:rFonts w:hint="eastAsia" w:ascii="宋体" w:hAnsi="宋体" w:eastAsia="宋体" w:cs="宋体"/>
          <w:b/>
          <w:kern w:val="0"/>
          <w:sz w:val="36"/>
          <w:szCs w:val="36"/>
        </w:rPr>
      </w:pPr>
    </w:p>
    <w:p>
      <w:pPr>
        <w:spacing w:line="360" w:lineRule="auto"/>
        <w:ind w:right="420" w:firstLine="3614" w:firstLineChars="1000"/>
        <w:rPr>
          <w:rFonts w:hint="eastAsia" w:ascii="宋体" w:hAnsi="宋体" w:eastAsia="宋体" w:cs="宋体"/>
          <w:b/>
          <w:kern w:val="0"/>
          <w:sz w:val="36"/>
          <w:szCs w:val="36"/>
        </w:rPr>
      </w:pPr>
    </w:p>
    <w:p>
      <w:pPr>
        <w:spacing w:line="360" w:lineRule="auto"/>
        <w:ind w:right="420" w:firstLine="3614" w:firstLineChars="1000"/>
        <w:rPr>
          <w:rFonts w:hint="eastAsia" w:ascii="宋体" w:hAnsi="宋体" w:eastAsia="宋体" w:cs="宋体"/>
          <w:b/>
          <w:kern w:val="0"/>
          <w:sz w:val="36"/>
          <w:szCs w:val="36"/>
        </w:rPr>
      </w:pPr>
    </w:p>
    <w:p>
      <w:pPr>
        <w:spacing w:line="360" w:lineRule="auto"/>
        <w:ind w:right="420" w:firstLine="3614" w:firstLineChars="1000"/>
        <w:rPr>
          <w:rFonts w:hint="eastAsia" w:ascii="宋体" w:hAnsi="宋体" w:eastAsia="宋体" w:cs="宋体"/>
          <w:b/>
          <w:kern w:val="0"/>
          <w:sz w:val="36"/>
          <w:szCs w:val="36"/>
        </w:rPr>
      </w:pPr>
    </w:p>
    <w:p>
      <w:pPr>
        <w:tabs>
          <w:tab w:val="left" w:pos="8085"/>
        </w:tabs>
        <w:spacing w:line="360" w:lineRule="auto"/>
        <w:ind w:firstLine="1285" w:firstLineChars="400"/>
        <w:jc w:val="left"/>
        <w:rPr>
          <w:rFonts w:hint="eastAsia" w:ascii="宋体" w:hAnsi="宋体" w:eastAsia="宋体" w:cs="宋体"/>
          <w:b/>
          <w:sz w:val="32"/>
          <w:szCs w:val="32"/>
        </w:rPr>
      </w:pPr>
      <w:r>
        <w:rPr>
          <w:rFonts w:hint="eastAsia" w:ascii="宋体" w:hAnsi="宋体" w:eastAsia="宋体" w:cs="宋体"/>
          <w:b/>
          <w:sz w:val="32"/>
          <w:szCs w:val="32"/>
        </w:rPr>
        <w:t>政府采购支持中小企业信用融资相关事项通知</w:t>
      </w:r>
    </w:p>
    <w:p>
      <w:pPr>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hint="eastAsia" w:ascii="宋体" w:hAnsi="宋体" w:eastAsia="宋体" w:cs="宋体"/>
          <w:kern w:val="0"/>
          <w:sz w:val="24"/>
          <w:lang w:val="zh-CN"/>
        </w:rPr>
      </w:pPr>
      <w:r>
        <w:rPr>
          <w:rFonts w:hint="eastAsia" w:ascii="宋体" w:hAnsi="宋体" w:eastAsia="宋体" w:cs="宋体"/>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一、适用对象</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二、相关信息获取方式</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三、政府采购信用融资操作流程：</w:t>
      </w:r>
    </w:p>
    <w:p>
      <w:pPr>
        <w:spacing w:line="360" w:lineRule="auto"/>
        <w:ind w:firstLine="960" w:firstLineChars="400"/>
        <w:rPr>
          <w:rFonts w:hint="eastAsia" w:ascii="宋体" w:hAnsi="宋体" w:eastAsia="宋体" w:cs="宋体"/>
          <w:sz w:val="24"/>
        </w:rPr>
      </w:pPr>
      <w:r>
        <w:rPr>
          <w:rFonts w:hint="eastAsia" w:ascii="宋体" w:hAnsi="宋体" w:eastAsia="宋体" w:cs="宋体"/>
          <w:sz w:val="24"/>
        </w:rPr>
        <w:t>（一）线上融资模式：</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1.供应商根据合作银行提供的方案，自行选择金融产品，并办理开户等手续；</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2.供应商中标后，可通过杭州市政府采购网或“浙里办”测算授信额度；</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3.采购合同签订后，供应商在杭州市政府采购网或“浙里办”向合作银行发出融资申请；</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4.审批通过后，在线办理放贷手续。</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（二）线下融资模式：</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1.供应商根据合作银行提供的方案，自行选择金融产品，向合作银行提出信用资格预审，并办理开户等手续；</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2.采购合同签订后，供应商在杭州市政府采购网或“浙里办”向合作银行发出融资申请；</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4.审批通过后，合作银行应按照合作备忘录中约定的审批放款期限和优惠利率及时予以放款。</w:t>
      </w:r>
    </w:p>
    <w:p>
      <w:pPr>
        <w:pStyle w:val="7"/>
        <w:numPr>
          <w:ilvl w:val="255"/>
          <w:numId w:val="0"/>
        </w:numPr>
        <w:ind w:firstLine="960" w:firstLineChars="400"/>
        <w:rPr>
          <w:rFonts w:hint="eastAsia" w:ascii="宋体" w:hAnsi="宋体" w:eastAsia="宋体" w:cs="宋体"/>
          <w:b w:val="0"/>
          <w:bCs w:val="0"/>
          <w:sz w:val="24"/>
          <w:szCs w:val="24"/>
          <w:lang w:val="en-US"/>
        </w:rPr>
      </w:pPr>
      <w:r>
        <w:rPr>
          <w:rFonts w:hint="eastAsia" w:ascii="宋体" w:hAnsi="宋体" w:eastAsia="宋体" w:cs="宋体"/>
          <w:b w:val="0"/>
          <w:bCs w:val="0"/>
          <w:sz w:val="24"/>
          <w:szCs w:val="24"/>
          <w:lang w:val="en-US"/>
        </w:rPr>
        <w:t>（三）杭州e融平台申请融资</w:t>
      </w:r>
    </w:p>
    <w:p>
      <w:pPr>
        <w:pStyle w:val="7"/>
        <w:numPr>
          <w:ilvl w:val="255"/>
          <w:numId w:val="0"/>
        </w:numPr>
        <w:ind w:firstLine="960" w:firstLineChars="400"/>
        <w:rPr>
          <w:rFonts w:hint="eastAsia" w:ascii="宋体" w:hAnsi="宋体" w:eastAsia="宋体" w:cs="宋体"/>
          <w:b w:val="0"/>
          <w:bCs w:val="0"/>
          <w:sz w:val="24"/>
          <w:szCs w:val="24"/>
          <w:lang w:val="en-US"/>
        </w:rPr>
      </w:pPr>
      <w:r>
        <w:rPr>
          <w:rFonts w:hint="eastAsia" w:ascii="宋体" w:hAnsi="宋体" w:eastAsia="宋体" w:cs="宋体"/>
          <w:b w:val="0"/>
          <w:bCs w:val="0"/>
          <w:sz w:val="24"/>
          <w:szCs w:val="24"/>
          <w:lang w:val="en-US"/>
        </w:rPr>
        <w:t>供应商通过杭州e融平台政采贷专区，自行选择金融产品，按规定手续办理贷款流程。</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四、注意事项</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1、对拟用于信用融资的政府采购合同，供应商在签订合同时应当在合同中注明融资银行名称及账号，作为在该银行的唯一收款账号。</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hint="eastAsia" w:ascii="宋体" w:hAnsi="宋体" w:eastAsia="宋体" w:cs="宋体"/>
          <w:b/>
          <w:bCs/>
          <w:kern w:val="0"/>
          <w:sz w:val="24"/>
        </w:rPr>
      </w:pPr>
    </w:p>
    <w:p>
      <w:pPr>
        <w:pStyle w:val="6"/>
        <w:keepNext w:val="0"/>
        <w:keepLines w:val="0"/>
        <w:pageBreakBefore/>
        <w:widowControl/>
        <w:spacing w:before="100" w:beforeAutospacing="1" w:after="100" w:afterAutospacing="1" w:line="360" w:lineRule="auto"/>
        <w:ind w:left="1290" w:firstLine="3092" w:firstLineChars="700"/>
        <w:rPr>
          <w:rFonts w:hint="eastAsia" w:ascii="宋体" w:hAnsi="宋体" w:eastAsia="宋体" w:cs="宋体"/>
        </w:rPr>
      </w:pPr>
      <w:bookmarkStart w:id="916" w:name="_Toc465665161"/>
      <w:r>
        <w:rPr>
          <w:rFonts w:hint="eastAsia" w:ascii="宋体" w:hAnsi="宋体" w:eastAsia="宋体" w:cs="宋体"/>
        </w:rPr>
        <w:t>附件</w:t>
      </w:r>
      <w:bookmarkEnd w:id="916"/>
    </w:p>
    <w:p>
      <w:pPr>
        <w:spacing w:line="360" w:lineRule="auto"/>
        <w:rPr>
          <w:rFonts w:hint="eastAsia" w:ascii="宋体" w:hAnsi="宋体" w:eastAsia="宋体" w:cs="宋体"/>
          <w:b/>
          <w:spacing w:val="6"/>
          <w:sz w:val="32"/>
          <w:szCs w:val="32"/>
        </w:rPr>
      </w:pPr>
      <w:r>
        <w:rPr>
          <w:rFonts w:hint="eastAsia" w:ascii="宋体" w:hAnsi="宋体" w:eastAsia="宋体" w:cs="宋体"/>
          <w:b/>
          <w:spacing w:val="6"/>
          <w:sz w:val="32"/>
          <w:szCs w:val="32"/>
        </w:rPr>
        <w:t>附件1：</w:t>
      </w:r>
    </w:p>
    <w:p>
      <w:pPr>
        <w:spacing w:line="360" w:lineRule="auto"/>
        <w:jc w:val="center"/>
        <w:rPr>
          <w:rFonts w:hint="eastAsia" w:ascii="宋体" w:hAnsi="宋体" w:eastAsia="宋体" w:cs="宋体"/>
          <w:b/>
          <w:spacing w:val="6"/>
          <w:sz w:val="32"/>
          <w:szCs w:val="32"/>
        </w:rPr>
      </w:pPr>
      <w:bookmarkStart w:id="917" w:name="OLE_LINK13"/>
      <w:bookmarkStart w:id="918" w:name="OLE_LINK14"/>
      <w:r>
        <w:rPr>
          <w:rFonts w:hint="eastAsia" w:ascii="宋体" w:hAnsi="宋体" w:eastAsia="宋体" w:cs="宋体"/>
          <w:b/>
          <w:spacing w:val="6"/>
          <w:sz w:val="32"/>
          <w:szCs w:val="32"/>
        </w:rPr>
        <w:t>残疾人福利性单位声明函</w:t>
      </w:r>
    </w:p>
    <w:bookmarkEnd w:id="917"/>
    <w:bookmarkEnd w:id="918"/>
    <w:p>
      <w:pPr>
        <w:spacing w:line="360" w:lineRule="auto"/>
        <w:rPr>
          <w:rFonts w:hint="eastAsia" w:ascii="宋体" w:hAnsi="宋体" w:eastAsia="宋体" w:cs="宋体"/>
          <w:b/>
          <w:spacing w:val="6"/>
          <w:sz w:val="30"/>
          <w:szCs w:val="30"/>
        </w:rPr>
      </w:pP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本单位对上述声明的真实性负责。如有虚假，将依法承担相应责任。</w:t>
      </w:r>
    </w:p>
    <w:p>
      <w:pPr>
        <w:spacing w:line="360" w:lineRule="auto"/>
        <w:ind w:firstLine="480" w:firstLineChars="200"/>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p>
    <w:p>
      <w:pPr>
        <w:tabs>
          <w:tab w:val="left" w:pos="4860"/>
        </w:tabs>
        <w:spacing w:line="360" w:lineRule="auto"/>
        <w:ind w:right="1560" w:firstLine="480" w:firstLineChars="200"/>
        <w:jc w:val="center"/>
        <w:rPr>
          <w:rFonts w:hint="eastAsia"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kern w:val="0"/>
          <w:sz w:val="24"/>
          <w:lang w:val="zh-CN"/>
        </w:rPr>
        <w:t>投标人名称（电子签名）</w:t>
      </w:r>
      <w:r>
        <w:rPr>
          <w:rFonts w:hint="eastAsia" w:ascii="宋体" w:hAnsi="宋体" w:eastAsia="宋体" w:cs="宋体"/>
          <w:sz w:val="24"/>
        </w:rPr>
        <w:t>：</w:t>
      </w:r>
    </w:p>
    <w:p>
      <w:pPr>
        <w:tabs>
          <w:tab w:val="left" w:pos="4860"/>
        </w:tabs>
        <w:spacing w:line="360" w:lineRule="auto"/>
        <w:ind w:right="1560" w:firstLine="480" w:firstLineChars="200"/>
        <w:jc w:val="center"/>
        <w:rPr>
          <w:rFonts w:hint="eastAsia" w:ascii="宋体" w:hAnsi="宋体" w:eastAsia="宋体" w:cs="宋体"/>
          <w:sz w:val="24"/>
        </w:rPr>
      </w:pPr>
      <w:r>
        <w:rPr>
          <w:rFonts w:hint="eastAsia" w:ascii="宋体" w:hAnsi="宋体" w:eastAsia="宋体" w:cs="宋体"/>
          <w:sz w:val="24"/>
        </w:rPr>
        <w:t xml:space="preserve">       日  期：</w:t>
      </w:r>
    </w:p>
    <w:p>
      <w:pPr>
        <w:spacing w:line="360" w:lineRule="auto"/>
        <w:ind w:firstLine="480" w:firstLineChars="200"/>
        <w:rPr>
          <w:rFonts w:hint="eastAsia" w:ascii="宋体" w:hAnsi="宋体" w:eastAsia="宋体" w:cs="宋体"/>
          <w:sz w:val="24"/>
        </w:rPr>
      </w:pPr>
    </w:p>
    <w:p>
      <w:pPr>
        <w:spacing w:line="360" w:lineRule="auto"/>
        <w:ind w:firstLine="420" w:firstLineChars="200"/>
        <w:rPr>
          <w:rFonts w:hint="eastAsia" w:ascii="宋体" w:hAnsi="宋体" w:eastAsia="宋体" w:cs="宋体"/>
        </w:rPr>
      </w:pPr>
    </w:p>
    <w:p>
      <w:pPr>
        <w:spacing w:line="360" w:lineRule="auto"/>
        <w:ind w:firstLine="420" w:firstLineChars="200"/>
        <w:rPr>
          <w:rFonts w:hint="eastAsia" w:ascii="宋体" w:hAnsi="宋体" w:eastAsia="宋体" w:cs="宋体"/>
        </w:rPr>
      </w:pPr>
    </w:p>
    <w:p>
      <w:pPr>
        <w:spacing w:line="360" w:lineRule="auto"/>
        <w:ind w:firstLine="420" w:firstLineChars="200"/>
        <w:rPr>
          <w:rFonts w:hint="eastAsia" w:ascii="宋体" w:hAnsi="宋体" w:eastAsia="宋体" w:cs="宋体"/>
        </w:rPr>
      </w:pPr>
    </w:p>
    <w:p>
      <w:pPr>
        <w:spacing w:line="360" w:lineRule="auto"/>
        <w:ind w:firstLine="420" w:firstLineChars="200"/>
        <w:rPr>
          <w:rFonts w:hint="eastAsia" w:ascii="宋体" w:hAnsi="宋体" w:eastAsia="宋体" w:cs="宋体"/>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jc w:val="left"/>
        <w:rPr>
          <w:rFonts w:hint="eastAsia" w:ascii="宋体" w:hAnsi="宋体" w:eastAsia="宋体" w:cs="宋体"/>
          <w:b/>
          <w:spacing w:val="6"/>
          <w:sz w:val="32"/>
          <w:szCs w:val="32"/>
        </w:rPr>
      </w:pPr>
    </w:p>
    <w:p>
      <w:pPr>
        <w:spacing w:line="360" w:lineRule="auto"/>
        <w:jc w:val="left"/>
        <w:rPr>
          <w:rFonts w:hint="eastAsia" w:ascii="宋体" w:hAnsi="宋体" w:eastAsia="宋体" w:cs="宋体"/>
          <w:b/>
          <w:spacing w:val="6"/>
          <w:sz w:val="32"/>
          <w:szCs w:val="32"/>
        </w:rPr>
      </w:pPr>
    </w:p>
    <w:p>
      <w:pPr>
        <w:spacing w:line="360" w:lineRule="auto"/>
        <w:jc w:val="left"/>
        <w:rPr>
          <w:rFonts w:hint="eastAsia" w:ascii="宋体" w:hAnsi="宋体" w:eastAsia="宋体" w:cs="宋体"/>
          <w:b/>
          <w:spacing w:val="6"/>
          <w:sz w:val="32"/>
          <w:szCs w:val="32"/>
        </w:rPr>
      </w:pPr>
      <w:r>
        <w:rPr>
          <w:rFonts w:hint="eastAsia" w:ascii="宋体" w:hAnsi="宋体" w:eastAsia="宋体" w:cs="宋体"/>
          <w:b/>
          <w:spacing w:val="6"/>
          <w:sz w:val="32"/>
          <w:szCs w:val="32"/>
        </w:rPr>
        <w:t>附件2：质疑函范本及制作说明</w:t>
      </w:r>
    </w:p>
    <w:p>
      <w:pPr>
        <w:spacing w:line="360" w:lineRule="auto"/>
        <w:jc w:val="center"/>
        <w:rPr>
          <w:rFonts w:hint="eastAsia" w:ascii="宋体" w:hAnsi="宋体" w:eastAsia="宋体" w:cs="宋体"/>
          <w:b/>
          <w:spacing w:val="6"/>
          <w:sz w:val="32"/>
          <w:szCs w:val="32"/>
        </w:rPr>
      </w:pPr>
      <w:r>
        <w:rPr>
          <w:rFonts w:hint="eastAsia" w:ascii="宋体" w:hAnsi="宋体" w:eastAsia="宋体" w:cs="宋体"/>
          <w:b/>
          <w:spacing w:val="6"/>
          <w:sz w:val="32"/>
          <w:szCs w:val="32"/>
        </w:rPr>
        <w:t>质疑函范本</w:t>
      </w:r>
    </w:p>
    <w:p>
      <w:pPr>
        <w:snapToGrid w:val="0"/>
        <w:spacing w:before="240" w:beforeLines="100" w:line="360" w:lineRule="auto"/>
        <w:rPr>
          <w:rFonts w:hint="eastAsia" w:ascii="宋体" w:hAnsi="宋体" w:eastAsia="宋体" w:cs="宋体"/>
          <w:bCs/>
          <w:sz w:val="24"/>
        </w:rPr>
      </w:pPr>
      <w:r>
        <w:rPr>
          <w:rFonts w:hint="eastAsia" w:ascii="宋体" w:hAnsi="宋体" w:eastAsia="宋体" w:cs="宋体"/>
          <w:bCs/>
          <w:sz w:val="24"/>
        </w:rPr>
        <w:t>一、质疑供应商基本信息</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质疑供应商：</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rPr>
        <w:t>地址：</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rPr>
        <w:t>联系人：</w:t>
      </w:r>
      <w:r>
        <w:rPr>
          <w:rFonts w:hint="eastAsia" w:ascii="宋体" w:hAnsi="宋体" w:eastAsia="宋体" w:cs="宋体"/>
          <w:sz w:val="24"/>
          <w:u w:val="dotted"/>
        </w:rPr>
        <w:t xml:space="preserve">                      </w:t>
      </w:r>
      <w:r>
        <w:rPr>
          <w:rFonts w:hint="eastAsia" w:ascii="宋体" w:hAnsi="宋体" w:eastAsia="宋体" w:cs="宋体"/>
          <w:sz w:val="24"/>
        </w:rPr>
        <w:t>联系电话：</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授权代表：</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rPr>
        <w:t>联系电话：</w:t>
      </w:r>
      <w:r>
        <w:rPr>
          <w:rFonts w:hint="eastAsia" w:ascii="宋体" w:hAnsi="宋体" w:eastAsia="宋体" w:cs="宋体"/>
          <w:sz w:val="24"/>
          <w:u w:val="dotted"/>
        </w:rPr>
        <w:t xml:space="preserve">                                           </w:t>
      </w:r>
      <w:r>
        <w:rPr>
          <w:rFonts w:hint="eastAsia" w:ascii="宋体" w:hAnsi="宋体" w:eastAsia="宋体" w:cs="宋体"/>
          <w:sz w:val="24"/>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rPr>
        <w:t xml:space="preserve">地址： </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bCs/>
          <w:sz w:val="24"/>
        </w:rPr>
      </w:pPr>
      <w:r>
        <w:rPr>
          <w:rFonts w:hint="eastAsia" w:ascii="宋体" w:hAnsi="宋体" w:eastAsia="宋体" w:cs="宋体"/>
          <w:bCs/>
          <w:sz w:val="24"/>
        </w:rPr>
        <w:t>二、质疑项目基本情况</w:t>
      </w:r>
    </w:p>
    <w:p>
      <w:pPr>
        <w:snapToGrid w:val="0"/>
        <w:spacing w:line="360" w:lineRule="auto"/>
        <w:rPr>
          <w:rFonts w:hint="eastAsia" w:ascii="宋体" w:hAnsi="宋体" w:eastAsia="宋体" w:cs="宋体"/>
          <w:sz w:val="24"/>
        </w:rPr>
      </w:pPr>
      <w:r>
        <w:rPr>
          <w:rFonts w:hint="eastAsia" w:ascii="宋体" w:hAnsi="宋体" w:eastAsia="宋体" w:cs="宋体"/>
          <w:sz w:val="24"/>
        </w:rPr>
        <w:t>质疑项目的名称：</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rPr>
        <w:t>质疑项目的编号：</w:t>
      </w:r>
      <w:r>
        <w:rPr>
          <w:rFonts w:hint="eastAsia" w:ascii="宋体" w:hAnsi="宋体" w:eastAsia="宋体" w:cs="宋体"/>
          <w:sz w:val="24"/>
          <w:u w:val="dotted"/>
        </w:rPr>
        <w:t xml:space="preserve">               </w:t>
      </w:r>
      <w:r>
        <w:rPr>
          <w:rFonts w:hint="eastAsia" w:ascii="宋体" w:hAnsi="宋体" w:eastAsia="宋体" w:cs="宋体"/>
          <w:sz w:val="24"/>
        </w:rPr>
        <w:t>包号：</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采购人名称：</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rPr>
        <w:t>采购文件获取日期：</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bCs/>
          <w:sz w:val="24"/>
        </w:rPr>
      </w:pPr>
      <w:r>
        <w:rPr>
          <w:rFonts w:hint="eastAsia" w:ascii="宋体" w:hAnsi="宋体" w:eastAsia="宋体" w:cs="宋体"/>
          <w:bCs/>
          <w:sz w:val="24"/>
        </w:rPr>
        <w:t>三、质疑事项具体内容</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质疑事项1：</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事实依据：</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法律依据：</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u w:val="dotted"/>
        </w:rPr>
      </w:pP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质疑事项2</w:t>
      </w:r>
    </w:p>
    <w:p>
      <w:pPr>
        <w:snapToGrid w:val="0"/>
        <w:spacing w:line="360" w:lineRule="auto"/>
        <w:rPr>
          <w:rFonts w:hint="eastAsia" w:ascii="宋体" w:hAnsi="宋体" w:eastAsia="宋体" w:cs="宋体"/>
          <w:sz w:val="24"/>
        </w:rPr>
      </w:pPr>
      <w:r>
        <w:rPr>
          <w:rFonts w:hint="eastAsia" w:ascii="宋体" w:hAnsi="宋体" w:eastAsia="宋体" w:cs="宋体"/>
          <w:sz w:val="24"/>
        </w:rPr>
        <w:t>……</w:t>
      </w:r>
    </w:p>
    <w:p>
      <w:pPr>
        <w:snapToGrid w:val="0"/>
        <w:spacing w:line="360" w:lineRule="auto"/>
        <w:rPr>
          <w:rFonts w:hint="eastAsia" w:ascii="宋体" w:hAnsi="宋体" w:eastAsia="宋体" w:cs="宋体"/>
          <w:bCs/>
          <w:sz w:val="24"/>
        </w:rPr>
      </w:pPr>
      <w:r>
        <w:rPr>
          <w:rFonts w:hint="eastAsia" w:ascii="宋体" w:hAnsi="宋体" w:eastAsia="宋体" w:cs="宋体"/>
          <w:bCs/>
          <w:sz w:val="24"/>
        </w:rPr>
        <w:t>四、与质疑事项相关的质疑请求</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请求：</w:t>
      </w:r>
      <w:r>
        <w:rPr>
          <w:rFonts w:hint="eastAsia" w:ascii="宋体" w:hAnsi="宋体" w:eastAsia="宋体" w:cs="宋体"/>
          <w:sz w:val="24"/>
          <w:u w:val="dotted"/>
        </w:rPr>
        <w:t xml:space="preserve">                                               </w:t>
      </w:r>
    </w:p>
    <w:p>
      <w:pPr>
        <w:spacing w:line="360" w:lineRule="auto"/>
        <w:rPr>
          <w:rFonts w:hint="eastAsia" w:ascii="宋体" w:hAnsi="宋体" w:eastAsia="宋体" w:cs="宋体"/>
          <w:sz w:val="24"/>
        </w:rPr>
      </w:pPr>
      <w:r>
        <w:rPr>
          <w:rFonts w:hint="eastAsia" w:ascii="宋体" w:hAnsi="宋体" w:eastAsia="宋体" w:cs="宋体"/>
          <w:sz w:val="24"/>
        </w:rPr>
        <w:t xml:space="preserve">签字(签章)：                   公章：                      </w:t>
      </w:r>
    </w:p>
    <w:p>
      <w:pPr>
        <w:spacing w:line="360" w:lineRule="auto"/>
        <w:rPr>
          <w:rFonts w:hint="eastAsia" w:ascii="宋体" w:hAnsi="宋体" w:eastAsia="宋体" w:cs="宋体"/>
          <w:sz w:val="24"/>
        </w:rPr>
      </w:pPr>
      <w:r>
        <w:rPr>
          <w:rFonts w:hint="eastAsia" w:ascii="宋体" w:hAnsi="宋体" w:eastAsia="宋体" w:cs="宋体"/>
          <w:sz w:val="24"/>
        </w:rPr>
        <w:t xml:space="preserve">日期：    </w:t>
      </w:r>
    </w:p>
    <w:p>
      <w:pPr>
        <w:spacing w:line="360" w:lineRule="auto"/>
        <w:jc w:val="center"/>
        <w:rPr>
          <w:rFonts w:hint="eastAsia" w:ascii="宋体" w:hAnsi="宋体" w:eastAsia="宋体" w:cs="宋体"/>
          <w:b/>
          <w:bCs/>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r>
        <w:rPr>
          <w:rFonts w:hint="eastAsia" w:ascii="宋体" w:hAnsi="宋体" w:eastAsia="宋体" w:cs="宋体"/>
          <w:b/>
          <w:sz w:val="24"/>
        </w:rPr>
        <w:t>质疑函制作说明：</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1.供应商提出质疑时，应提交质疑函和必要的证明材料。</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2.质疑供应商若委托代理人进行质疑的，质疑函应按要求列明“授权代表”的有关内容，并在附件中提交由质疑</w:t>
      </w:r>
      <w:r>
        <w:rPr>
          <w:rFonts w:hint="eastAsia" w:ascii="宋体" w:hAnsi="宋体" w:eastAsia="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3.质疑供应商若对项目的某一分包进行质疑，质疑函中应列明具体分包号。</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4.质疑函的质疑事项应具体、明确，并有必要的事实依据和法律依据。</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5.质疑函的质疑请求应与质疑事项相关。</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宋体" w:hAnsi="宋体" w:eastAsia="宋体" w:cs="宋体"/>
          <w:sz w:val="30"/>
          <w:szCs w:val="30"/>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left"/>
        <w:rPr>
          <w:rFonts w:hint="eastAsia" w:ascii="宋体" w:hAnsi="宋体" w:eastAsia="宋体" w:cs="宋体"/>
          <w:b/>
          <w:spacing w:val="6"/>
          <w:sz w:val="32"/>
          <w:szCs w:val="32"/>
        </w:rPr>
      </w:pPr>
    </w:p>
    <w:p>
      <w:pPr>
        <w:spacing w:line="360" w:lineRule="auto"/>
        <w:jc w:val="left"/>
        <w:rPr>
          <w:rFonts w:hint="eastAsia" w:ascii="宋体" w:hAnsi="宋体" w:eastAsia="宋体" w:cs="宋体"/>
          <w:b/>
          <w:spacing w:val="6"/>
          <w:sz w:val="32"/>
          <w:szCs w:val="32"/>
        </w:rPr>
      </w:pPr>
    </w:p>
    <w:p>
      <w:pPr>
        <w:pStyle w:val="2"/>
        <w:rPr>
          <w:rFonts w:hint="eastAsia"/>
        </w:rPr>
      </w:pPr>
    </w:p>
    <w:p>
      <w:pPr>
        <w:spacing w:line="360" w:lineRule="auto"/>
        <w:jc w:val="left"/>
        <w:rPr>
          <w:rFonts w:hint="eastAsia" w:ascii="宋体" w:hAnsi="宋体" w:eastAsia="宋体" w:cs="宋体"/>
          <w:b/>
          <w:spacing w:val="6"/>
          <w:sz w:val="32"/>
          <w:szCs w:val="32"/>
        </w:rPr>
      </w:pPr>
      <w:r>
        <w:rPr>
          <w:rFonts w:hint="eastAsia" w:ascii="宋体" w:hAnsi="宋体" w:eastAsia="宋体" w:cs="宋体"/>
          <w:b/>
          <w:spacing w:val="6"/>
          <w:sz w:val="32"/>
          <w:szCs w:val="32"/>
        </w:rPr>
        <w:t>附件3：投诉书范本及制作说明</w:t>
      </w:r>
    </w:p>
    <w:p>
      <w:pPr>
        <w:spacing w:line="360" w:lineRule="auto"/>
        <w:jc w:val="center"/>
        <w:rPr>
          <w:rFonts w:hint="eastAsia" w:ascii="宋体" w:hAnsi="宋体" w:eastAsia="宋体" w:cs="宋体"/>
          <w:b/>
          <w:sz w:val="24"/>
        </w:rPr>
      </w:pPr>
    </w:p>
    <w:p>
      <w:pPr>
        <w:spacing w:line="360" w:lineRule="auto"/>
        <w:jc w:val="center"/>
        <w:rPr>
          <w:rFonts w:hint="eastAsia" w:ascii="宋体" w:hAnsi="宋体" w:eastAsia="宋体" w:cs="宋体"/>
          <w:b/>
          <w:spacing w:val="6"/>
          <w:sz w:val="32"/>
          <w:szCs w:val="32"/>
        </w:rPr>
      </w:pPr>
      <w:r>
        <w:rPr>
          <w:rFonts w:hint="eastAsia" w:ascii="宋体" w:hAnsi="宋体" w:eastAsia="宋体" w:cs="宋体"/>
          <w:b/>
          <w:spacing w:val="6"/>
          <w:sz w:val="32"/>
          <w:szCs w:val="32"/>
        </w:rPr>
        <w:t>投诉书范本</w:t>
      </w:r>
    </w:p>
    <w:p>
      <w:pPr>
        <w:spacing w:line="360" w:lineRule="auto"/>
        <w:rPr>
          <w:rFonts w:hint="eastAsia" w:ascii="宋体" w:hAnsi="宋体" w:eastAsia="宋体" w:cs="宋体"/>
          <w:sz w:val="24"/>
        </w:rPr>
      </w:pPr>
      <w:r>
        <w:rPr>
          <w:rFonts w:hint="eastAsia" w:ascii="宋体" w:hAnsi="宋体" w:eastAsia="宋体" w:cs="宋体"/>
          <w:sz w:val="24"/>
        </w:rPr>
        <w:t>一、投诉相关主体基本情况</w:t>
      </w:r>
    </w:p>
    <w:p>
      <w:pPr>
        <w:spacing w:line="360" w:lineRule="auto"/>
        <w:rPr>
          <w:rFonts w:hint="eastAsia" w:ascii="宋体" w:hAnsi="宋体" w:eastAsia="宋体" w:cs="宋体"/>
          <w:sz w:val="24"/>
          <w:u w:val="dotted"/>
        </w:rPr>
      </w:pPr>
      <w:r>
        <w:rPr>
          <w:rFonts w:hint="eastAsia" w:ascii="宋体" w:hAnsi="宋体" w:eastAsia="宋体" w:cs="宋体"/>
          <w:sz w:val="24"/>
        </w:rPr>
        <w:t>投诉人：</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地     址：</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tabs>
          <w:tab w:val="left" w:pos="6510"/>
        </w:tabs>
        <w:spacing w:line="360" w:lineRule="auto"/>
        <w:jc w:val="left"/>
        <w:rPr>
          <w:rFonts w:hint="eastAsia" w:ascii="宋体" w:hAnsi="宋体" w:eastAsia="宋体" w:cs="宋体"/>
          <w:sz w:val="24"/>
        </w:rPr>
      </w:pPr>
      <w:r>
        <w:rPr>
          <w:rFonts w:hint="eastAsia" w:ascii="宋体" w:hAnsi="宋体" w:eastAsia="宋体" w:cs="宋体"/>
          <w:sz w:val="24"/>
        </w:rPr>
        <w:t>法定代表人/主要负责人：</w:t>
      </w:r>
      <w:r>
        <w:rPr>
          <w:rFonts w:hint="eastAsia" w:ascii="宋体" w:hAnsi="宋体" w:eastAsia="宋体" w:cs="宋体"/>
          <w:sz w:val="24"/>
          <w:u w:val="dotted"/>
        </w:rPr>
        <w:t xml:space="preserve">                                   </w:t>
      </w:r>
      <w:r>
        <w:rPr>
          <w:rFonts w:hint="eastAsia" w:ascii="宋体" w:hAnsi="宋体" w:eastAsia="宋体" w:cs="宋体"/>
          <w:sz w:val="24"/>
        </w:rPr>
        <w:t xml:space="preserve">  </w:t>
      </w:r>
    </w:p>
    <w:p>
      <w:pPr>
        <w:tabs>
          <w:tab w:val="left" w:pos="6510"/>
        </w:tabs>
        <w:spacing w:line="360" w:lineRule="auto"/>
        <w:rPr>
          <w:rFonts w:hint="eastAsia" w:ascii="宋体" w:hAnsi="宋体" w:eastAsia="宋体" w:cs="宋体"/>
          <w:sz w:val="24"/>
          <w:u w:val="dotted"/>
        </w:rPr>
      </w:pPr>
      <w:r>
        <w:rPr>
          <w:rFonts w:hint="eastAsia" w:ascii="宋体" w:hAnsi="宋体" w:eastAsia="宋体" w:cs="宋体"/>
          <w:sz w:val="24"/>
        </w:rPr>
        <w:t>联系电话：</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dotted"/>
        </w:rPr>
      </w:pPr>
      <w:r>
        <w:rPr>
          <w:rFonts w:hint="eastAsia" w:ascii="宋体" w:hAnsi="宋体" w:eastAsia="宋体" w:cs="宋体"/>
          <w:sz w:val="24"/>
        </w:rPr>
        <w:t>授权代表：</w:t>
      </w:r>
      <w:r>
        <w:rPr>
          <w:rFonts w:hint="eastAsia" w:ascii="宋体" w:hAnsi="宋体" w:eastAsia="宋体" w:cs="宋体"/>
          <w:sz w:val="24"/>
          <w:u w:val="dotted"/>
        </w:rPr>
        <w:t xml:space="preserve">             </w:t>
      </w:r>
      <w:r>
        <w:rPr>
          <w:rFonts w:hint="eastAsia" w:ascii="宋体" w:hAnsi="宋体" w:eastAsia="宋体" w:cs="宋体"/>
          <w:sz w:val="24"/>
        </w:rPr>
        <w:t>联系电话</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dotted"/>
        </w:rPr>
      </w:pPr>
      <w:r>
        <w:rPr>
          <w:rFonts w:hint="eastAsia" w:ascii="宋体" w:hAnsi="宋体" w:eastAsia="宋体" w:cs="宋体"/>
          <w:sz w:val="24"/>
        </w:rPr>
        <w:t>地     址：</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被投诉人1：</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地     址：</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联系人：</w:t>
      </w:r>
      <w:r>
        <w:rPr>
          <w:rFonts w:hint="eastAsia" w:ascii="宋体" w:hAnsi="宋体" w:eastAsia="宋体" w:cs="宋体"/>
          <w:sz w:val="24"/>
          <w:u w:val="dotted"/>
        </w:rPr>
        <w:t xml:space="preserve">               </w:t>
      </w:r>
      <w:r>
        <w:rPr>
          <w:rFonts w:hint="eastAsia" w:ascii="宋体" w:hAnsi="宋体" w:eastAsia="宋体" w:cs="宋体"/>
          <w:sz w:val="24"/>
        </w:rPr>
        <w:t>联系电话：</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r>
        <w:rPr>
          <w:rFonts w:hint="eastAsia" w:ascii="宋体" w:hAnsi="宋体" w:eastAsia="宋体" w:cs="宋体"/>
          <w:sz w:val="24"/>
        </w:rPr>
        <w:t>被投诉人2</w:t>
      </w:r>
    </w:p>
    <w:p>
      <w:pPr>
        <w:spacing w:line="360" w:lineRule="auto"/>
        <w:rPr>
          <w:rFonts w:hint="eastAsia" w:ascii="宋体" w:hAnsi="宋体" w:eastAsia="宋体" w:cs="宋体"/>
          <w:sz w:val="24"/>
          <w:u w:val="dotted"/>
        </w:rPr>
      </w:pPr>
      <w:r>
        <w:rPr>
          <w:rFonts w:hint="eastAsia" w:ascii="宋体" w:hAnsi="宋体" w:eastAsia="宋体" w:cs="宋体"/>
          <w:sz w:val="24"/>
        </w:rPr>
        <w:t>……</w:t>
      </w:r>
    </w:p>
    <w:p>
      <w:pPr>
        <w:spacing w:line="360" w:lineRule="auto"/>
        <w:rPr>
          <w:rFonts w:hint="eastAsia" w:ascii="宋体" w:hAnsi="宋体" w:eastAsia="宋体" w:cs="宋体"/>
          <w:sz w:val="24"/>
          <w:u w:val="single"/>
        </w:rPr>
      </w:pPr>
      <w:r>
        <w:rPr>
          <w:rFonts w:hint="eastAsia" w:ascii="宋体" w:hAnsi="宋体" w:eastAsia="宋体" w:cs="宋体"/>
          <w:sz w:val="24"/>
        </w:rPr>
        <w:t>相关供应商：</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地     址：</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联系人：</w:t>
      </w:r>
      <w:r>
        <w:rPr>
          <w:rFonts w:hint="eastAsia" w:ascii="宋体" w:hAnsi="宋体" w:eastAsia="宋体" w:cs="宋体"/>
          <w:sz w:val="24"/>
          <w:u w:val="dotted"/>
        </w:rPr>
        <w:t xml:space="preserve">               </w:t>
      </w:r>
      <w:r>
        <w:rPr>
          <w:rFonts w:hint="eastAsia" w:ascii="宋体" w:hAnsi="宋体" w:eastAsia="宋体" w:cs="宋体"/>
          <w:sz w:val="24"/>
        </w:rPr>
        <w:t>联系电话：</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r>
        <w:rPr>
          <w:rFonts w:hint="eastAsia" w:ascii="宋体" w:hAnsi="宋体" w:eastAsia="宋体" w:cs="宋体"/>
          <w:sz w:val="24"/>
        </w:rPr>
        <w:t>二、投诉项目基本情况</w:t>
      </w:r>
    </w:p>
    <w:p>
      <w:pPr>
        <w:spacing w:line="360" w:lineRule="auto"/>
        <w:rPr>
          <w:rFonts w:hint="eastAsia" w:ascii="宋体" w:hAnsi="宋体" w:eastAsia="宋体" w:cs="宋体"/>
          <w:sz w:val="24"/>
          <w:u w:val="dotted"/>
        </w:rPr>
      </w:pPr>
      <w:r>
        <w:rPr>
          <w:rFonts w:hint="eastAsia" w:ascii="宋体" w:hAnsi="宋体" w:eastAsia="宋体" w:cs="宋体"/>
          <w:sz w:val="24"/>
        </w:rPr>
        <w:t>采购项目名称：</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采购项目编号：</w:t>
      </w:r>
      <w:r>
        <w:rPr>
          <w:rFonts w:hint="eastAsia" w:ascii="宋体" w:hAnsi="宋体" w:eastAsia="宋体" w:cs="宋体"/>
          <w:sz w:val="24"/>
          <w:u w:val="dotted"/>
        </w:rPr>
        <w:t xml:space="preserve">                 </w:t>
      </w:r>
      <w:r>
        <w:rPr>
          <w:rFonts w:hint="eastAsia" w:ascii="宋体" w:hAnsi="宋体" w:eastAsia="宋体" w:cs="宋体"/>
          <w:sz w:val="24"/>
        </w:rPr>
        <w:t>包号：</w:t>
      </w:r>
      <w:r>
        <w:rPr>
          <w:rFonts w:hint="eastAsia" w:ascii="宋体" w:hAnsi="宋体" w:eastAsia="宋体" w:cs="宋体"/>
          <w:sz w:val="24"/>
          <w:u w:val="dotted"/>
        </w:rPr>
        <w:t xml:space="preserve">              </w:t>
      </w:r>
    </w:p>
    <w:p>
      <w:pPr>
        <w:spacing w:line="360" w:lineRule="auto"/>
        <w:rPr>
          <w:rFonts w:hint="eastAsia" w:ascii="宋体" w:hAnsi="宋体" w:eastAsia="宋体" w:cs="宋体"/>
          <w:sz w:val="24"/>
        </w:rPr>
      </w:pPr>
      <w:r>
        <w:rPr>
          <w:rFonts w:hint="eastAsia" w:ascii="宋体" w:hAnsi="宋体" w:eastAsia="宋体" w:cs="宋体"/>
          <w:sz w:val="24"/>
        </w:rPr>
        <w:t>采购人名称：</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代理机构名称：</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dotted"/>
        </w:rPr>
      </w:pPr>
      <w:r>
        <w:rPr>
          <w:rFonts w:hint="eastAsia" w:ascii="宋体" w:hAnsi="宋体" w:eastAsia="宋体" w:cs="宋体"/>
          <w:sz w:val="24"/>
        </w:rPr>
        <w:t>采购文件公告:</w:t>
      </w:r>
      <w:r>
        <w:rPr>
          <w:rFonts w:hint="eastAsia" w:ascii="宋体" w:hAnsi="宋体" w:eastAsia="宋体" w:cs="宋体"/>
          <w:sz w:val="24"/>
          <w:u w:val="dotted"/>
        </w:rPr>
        <w:t xml:space="preserve">是/否 </w:t>
      </w:r>
      <w:r>
        <w:rPr>
          <w:rFonts w:hint="eastAsia" w:ascii="宋体" w:hAnsi="宋体" w:eastAsia="宋体" w:cs="宋体"/>
          <w:sz w:val="24"/>
        </w:rPr>
        <w:t>公告期限：</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采购结果公告:</w:t>
      </w:r>
      <w:r>
        <w:rPr>
          <w:rFonts w:hint="eastAsia" w:ascii="宋体" w:hAnsi="宋体" w:eastAsia="宋体" w:cs="宋体"/>
          <w:sz w:val="24"/>
          <w:u w:val="dotted"/>
        </w:rPr>
        <w:t xml:space="preserve">是/否 </w:t>
      </w:r>
      <w:r>
        <w:rPr>
          <w:rFonts w:hint="eastAsia" w:ascii="宋体" w:hAnsi="宋体" w:eastAsia="宋体" w:cs="宋体"/>
          <w:sz w:val="24"/>
        </w:rPr>
        <w:t>公告期限：</w:t>
      </w:r>
      <w:r>
        <w:rPr>
          <w:rFonts w:hint="eastAsia" w:ascii="宋体" w:hAnsi="宋体" w:eastAsia="宋体" w:cs="宋体"/>
          <w:sz w:val="24"/>
          <w:u w:val="dotted"/>
        </w:rPr>
        <w:t xml:space="preserve">                        </w:t>
      </w:r>
    </w:p>
    <w:p>
      <w:pPr>
        <w:spacing w:line="360" w:lineRule="auto"/>
        <w:rPr>
          <w:rFonts w:hint="eastAsia" w:ascii="宋体" w:hAnsi="宋体" w:eastAsia="宋体" w:cs="宋体"/>
          <w:sz w:val="24"/>
        </w:rPr>
      </w:pPr>
      <w:r>
        <w:rPr>
          <w:rFonts w:hint="eastAsia" w:ascii="宋体" w:hAnsi="宋体" w:eastAsia="宋体" w:cs="宋体"/>
          <w:sz w:val="24"/>
        </w:rPr>
        <w:t>三、质疑基本情况</w:t>
      </w:r>
    </w:p>
    <w:p>
      <w:pPr>
        <w:spacing w:line="360" w:lineRule="auto"/>
        <w:ind w:firstLine="480" w:firstLineChars="200"/>
        <w:rPr>
          <w:rFonts w:hint="eastAsia" w:ascii="宋体" w:hAnsi="宋体" w:eastAsia="宋体" w:cs="宋体"/>
          <w:sz w:val="24"/>
          <w:u w:val="dotted"/>
        </w:rPr>
      </w:pPr>
      <w:r>
        <w:rPr>
          <w:rFonts w:hint="eastAsia" w:ascii="宋体" w:hAnsi="宋体" w:eastAsia="宋体" w:cs="宋体"/>
          <w:sz w:val="24"/>
        </w:rPr>
        <w:t>投诉人于</w:t>
      </w:r>
      <w:r>
        <w:rPr>
          <w:rFonts w:hint="eastAsia" w:ascii="宋体" w:hAnsi="宋体" w:eastAsia="宋体" w:cs="宋体"/>
          <w:sz w:val="24"/>
          <w:u w:val="dotted"/>
        </w:rPr>
        <w:t xml:space="preserve">   </w:t>
      </w:r>
      <w:r>
        <w:rPr>
          <w:rFonts w:hint="eastAsia" w:ascii="宋体" w:hAnsi="宋体" w:eastAsia="宋体" w:cs="宋体"/>
          <w:sz w:val="24"/>
        </w:rPr>
        <w:t>年</w:t>
      </w:r>
      <w:r>
        <w:rPr>
          <w:rFonts w:hint="eastAsia" w:ascii="宋体" w:hAnsi="宋体" w:eastAsia="宋体" w:cs="宋体"/>
          <w:sz w:val="24"/>
          <w:u w:val="dotted"/>
        </w:rPr>
        <w:t xml:space="preserve">   </w:t>
      </w:r>
      <w:r>
        <w:rPr>
          <w:rFonts w:hint="eastAsia" w:ascii="宋体" w:hAnsi="宋体" w:eastAsia="宋体" w:cs="宋体"/>
          <w:sz w:val="24"/>
        </w:rPr>
        <w:t>月</w:t>
      </w:r>
      <w:r>
        <w:rPr>
          <w:rFonts w:hint="eastAsia" w:ascii="宋体" w:hAnsi="宋体" w:eastAsia="宋体" w:cs="宋体"/>
          <w:sz w:val="24"/>
          <w:u w:val="dotted"/>
        </w:rPr>
        <w:t xml:space="preserve">  </w:t>
      </w:r>
      <w:r>
        <w:rPr>
          <w:rFonts w:hint="eastAsia" w:ascii="宋体" w:hAnsi="宋体" w:eastAsia="宋体" w:cs="宋体"/>
          <w:sz w:val="24"/>
        </w:rPr>
        <w:t>日,向</w:t>
      </w:r>
      <w:r>
        <w:rPr>
          <w:rFonts w:hint="eastAsia" w:ascii="宋体" w:hAnsi="宋体" w:eastAsia="宋体" w:cs="宋体"/>
          <w:sz w:val="24"/>
          <w:u w:val="dotted"/>
        </w:rPr>
        <w:t xml:space="preserve">                   </w:t>
      </w:r>
      <w:r>
        <w:rPr>
          <w:rFonts w:hint="eastAsia" w:ascii="宋体" w:hAnsi="宋体" w:eastAsia="宋体" w:cs="宋体"/>
          <w:sz w:val="24"/>
        </w:rPr>
        <w:t>提出质疑，质疑事项为：</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dotted"/>
        </w:rPr>
      </w:pPr>
      <w:r>
        <w:rPr>
          <w:rFonts w:hint="eastAsia" w:ascii="宋体" w:hAnsi="宋体" w:eastAsia="宋体" w:cs="宋体"/>
          <w:sz w:val="24"/>
          <w:u w:val="dotted"/>
        </w:rPr>
        <w:t xml:space="preserve">                                                     </w:t>
      </w:r>
      <w:r>
        <w:rPr>
          <w:rFonts w:hint="eastAsia" w:ascii="宋体" w:hAnsi="宋体" w:eastAsia="宋体" w:cs="宋体"/>
          <w:sz w:val="24"/>
        </w:rPr>
        <w:t xml:space="preserve">  </w:t>
      </w:r>
    </w:p>
    <w:p>
      <w:pPr>
        <w:spacing w:line="360" w:lineRule="auto"/>
        <w:ind w:firstLine="360" w:firstLineChars="150"/>
        <w:rPr>
          <w:rFonts w:hint="eastAsia" w:ascii="宋体" w:hAnsi="宋体" w:eastAsia="宋体" w:cs="宋体"/>
          <w:sz w:val="24"/>
        </w:rPr>
      </w:pPr>
      <w:r>
        <w:rPr>
          <w:rFonts w:hint="eastAsia" w:ascii="宋体" w:hAnsi="宋体" w:eastAsia="宋体" w:cs="宋体"/>
          <w:sz w:val="24"/>
          <w:u w:val="dotted"/>
        </w:rPr>
        <w:t>采购人/代理机构</w:t>
      </w:r>
      <w:r>
        <w:rPr>
          <w:rFonts w:hint="eastAsia" w:ascii="宋体" w:hAnsi="宋体" w:eastAsia="宋体" w:cs="宋体"/>
          <w:sz w:val="24"/>
        </w:rPr>
        <w:t>于</w:t>
      </w:r>
      <w:r>
        <w:rPr>
          <w:rFonts w:hint="eastAsia" w:ascii="宋体" w:hAnsi="宋体" w:eastAsia="宋体" w:cs="宋体"/>
          <w:sz w:val="24"/>
          <w:u w:val="dotted"/>
        </w:rPr>
        <w:t xml:space="preserve">   </w:t>
      </w:r>
      <w:r>
        <w:rPr>
          <w:rFonts w:hint="eastAsia" w:ascii="宋体" w:hAnsi="宋体" w:eastAsia="宋体" w:cs="宋体"/>
          <w:sz w:val="24"/>
        </w:rPr>
        <w:t>年</w:t>
      </w:r>
      <w:r>
        <w:rPr>
          <w:rFonts w:hint="eastAsia" w:ascii="宋体" w:hAnsi="宋体" w:eastAsia="宋体" w:cs="宋体"/>
          <w:sz w:val="24"/>
          <w:u w:val="dotted"/>
        </w:rPr>
        <w:t xml:space="preserve">   </w:t>
      </w:r>
      <w:r>
        <w:rPr>
          <w:rFonts w:hint="eastAsia" w:ascii="宋体" w:hAnsi="宋体" w:eastAsia="宋体" w:cs="宋体"/>
          <w:sz w:val="24"/>
        </w:rPr>
        <w:t>月</w:t>
      </w:r>
      <w:r>
        <w:rPr>
          <w:rFonts w:hint="eastAsia" w:ascii="宋体" w:hAnsi="宋体" w:eastAsia="宋体" w:cs="宋体"/>
          <w:sz w:val="24"/>
          <w:u w:val="dotted"/>
        </w:rPr>
        <w:t xml:space="preserve">   </w:t>
      </w:r>
      <w:r>
        <w:rPr>
          <w:rFonts w:hint="eastAsia" w:ascii="宋体" w:hAnsi="宋体" w:eastAsia="宋体" w:cs="宋体"/>
          <w:sz w:val="24"/>
        </w:rPr>
        <w:t>日,就质疑事项作出了答复/没有在法定期限内作出答复。</w:t>
      </w:r>
    </w:p>
    <w:p>
      <w:pPr>
        <w:spacing w:line="360" w:lineRule="auto"/>
        <w:rPr>
          <w:rFonts w:hint="eastAsia" w:ascii="宋体" w:hAnsi="宋体" w:eastAsia="宋体" w:cs="宋体"/>
          <w:sz w:val="24"/>
        </w:rPr>
      </w:pPr>
      <w:r>
        <w:rPr>
          <w:rFonts w:hint="eastAsia" w:ascii="宋体" w:hAnsi="宋体" w:eastAsia="宋体" w:cs="宋体"/>
          <w:sz w:val="24"/>
        </w:rPr>
        <w:t>四、投诉事项具体内容</w:t>
      </w:r>
    </w:p>
    <w:p>
      <w:pPr>
        <w:spacing w:line="360" w:lineRule="auto"/>
        <w:rPr>
          <w:rFonts w:hint="eastAsia" w:ascii="宋体" w:hAnsi="宋体" w:eastAsia="宋体" w:cs="宋体"/>
          <w:sz w:val="24"/>
          <w:u w:val="single"/>
        </w:rPr>
      </w:pPr>
      <w:r>
        <w:rPr>
          <w:rFonts w:hint="eastAsia" w:ascii="宋体" w:hAnsi="宋体" w:eastAsia="宋体" w:cs="宋体"/>
          <w:sz w:val="24"/>
        </w:rPr>
        <w:t>投诉事项 1：</w:t>
      </w:r>
      <w:r>
        <w:rPr>
          <w:rFonts w:hint="eastAsia" w:ascii="宋体" w:hAnsi="宋体" w:eastAsia="宋体" w:cs="宋体"/>
          <w:sz w:val="24"/>
          <w:u w:val="dotted"/>
        </w:rPr>
        <w:t xml:space="preserve">                                       </w:t>
      </w:r>
    </w:p>
    <w:p>
      <w:pPr>
        <w:spacing w:line="360" w:lineRule="auto"/>
        <w:rPr>
          <w:rFonts w:hint="eastAsia" w:ascii="宋体" w:hAnsi="宋体" w:eastAsia="宋体" w:cs="宋体"/>
          <w:sz w:val="24"/>
        </w:rPr>
      </w:pPr>
      <w:r>
        <w:rPr>
          <w:rFonts w:hint="eastAsia" w:ascii="宋体" w:hAnsi="宋体" w:eastAsia="宋体" w:cs="宋体"/>
          <w:sz w:val="24"/>
        </w:rPr>
        <w:t>事实依据：</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dotted"/>
        </w:rPr>
      </w:pP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法律依据：</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dotted"/>
        </w:rPr>
      </w:pPr>
      <w:r>
        <w:rPr>
          <w:rFonts w:hint="eastAsia" w:ascii="宋体" w:hAnsi="宋体" w:eastAsia="宋体" w:cs="宋体"/>
          <w:sz w:val="24"/>
          <w:u w:val="dotted"/>
        </w:rPr>
        <w:t xml:space="preserve">                                                      </w:t>
      </w:r>
    </w:p>
    <w:p>
      <w:pPr>
        <w:spacing w:line="360" w:lineRule="auto"/>
        <w:rPr>
          <w:rFonts w:hint="eastAsia" w:ascii="宋体" w:hAnsi="宋体" w:eastAsia="宋体" w:cs="宋体"/>
          <w:sz w:val="24"/>
        </w:rPr>
      </w:pPr>
      <w:r>
        <w:rPr>
          <w:rFonts w:hint="eastAsia" w:ascii="宋体" w:hAnsi="宋体" w:eastAsia="宋体" w:cs="宋体"/>
          <w:sz w:val="24"/>
        </w:rPr>
        <w:t>投诉事项2</w:t>
      </w:r>
    </w:p>
    <w:p>
      <w:pPr>
        <w:spacing w:line="360" w:lineRule="auto"/>
        <w:rPr>
          <w:rFonts w:hint="eastAsia" w:ascii="宋体" w:hAnsi="宋体" w:eastAsia="宋体" w:cs="宋体"/>
          <w:sz w:val="24"/>
          <w:u w:val="dotted"/>
        </w:rPr>
      </w:pPr>
      <w:r>
        <w:rPr>
          <w:rFonts w:hint="eastAsia" w:ascii="宋体" w:hAnsi="宋体" w:eastAsia="宋体" w:cs="宋体"/>
          <w:sz w:val="24"/>
        </w:rPr>
        <w:t>……</w:t>
      </w:r>
    </w:p>
    <w:p>
      <w:pPr>
        <w:spacing w:line="360" w:lineRule="auto"/>
        <w:rPr>
          <w:rFonts w:hint="eastAsia" w:ascii="宋体" w:hAnsi="宋体" w:eastAsia="宋体" w:cs="宋体"/>
          <w:sz w:val="24"/>
        </w:rPr>
      </w:pPr>
      <w:r>
        <w:rPr>
          <w:rFonts w:hint="eastAsia" w:ascii="宋体" w:hAnsi="宋体" w:eastAsia="宋体" w:cs="宋体"/>
          <w:sz w:val="24"/>
        </w:rPr>
        <w:t>五、与投诉事项相关的投诉请求</w:t>
      </w:r>
    </w:p>
    <w:p>
      <w:pPr>
        <w:spacing w:line="360" w:lineRule="auto"/>
        <w:rPr>
          <w:rFonts w:hint="eastAsia" w:ascii="宋体" w:hAnsi="宋体" w:eastAsia="宋体" w:cs="宋体"/>
          <w:sz w:val="24"/>
        </w:rPr>
      </w:pPr>
      <w:r>
        <w:rPr>
          <w:rFonts w:hint="eastAsia" w:ascii="宋体" w:hAnsi="宋体" w:eastAsia="宋体" w:cs="宋体"/>
          <w:sz w:val="24"/>
        </w:rPr>
        <w:t>请求：</w:t>
      </w:r>
      <w:r>
        <w:rPr>
          <w:rFonts w:hint="eastAsia" w:ascii="宋体" w:hAnsi="宋体" w:eastAsia="宋体" w:cs="宋体"/>
          <w:sz w:val="24"/>
          <w:u w:val="dotted"/>
        </w:rPr>
        <w:t xml:space="preserve">                                              </w:t>
      </w:r>
      <w:r>
        <w:rPr>
          <w:rFonts w:hint="eastAsia" w:ascii="宋体" w:hAnsi="宋体" w:eastAsia="宋体" w:cs="宋体"/>
          <w:sz w:val="24"/>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 xml:space="preserve">                                                                                                    </w:t>
      </w:r>
    </w:p>
    <w:p>
      <w:pPr>
        <w:spacing w:line="360" w:lineRule="auto"/>
        <w:rPr>
          <w:rFonts w:hint="eastAsia" w:ascii="宋体" w:hAnsi="宋体" w:eastAsia="宋体" w:cs="宋体"/>
          <w:sz w:val="24"/>
        </w:rPr>
      </w:pPr>
      <w:r>
        <w:rPr>
          <w:rFonts w:hint="eastAsia" w:ascii="宋体" w:hAnsi="宋体" w:eastAsia="宋体" w:cs="宋体"/>
          <w:sz w:val="24"/>
        </w:rPr>
        <w:t xml:space="preserve">签字(签章)：                   公章：                      </w:t>
      </w:r>
    </w:p>
    <w:p>
      <w:pPr>
        <w:spacing w:line="360" w:lineRule="auto"/>
        <w:rPr>
          <w:rFonts w:hint="eastAsia" w:ascii="宋体" w:hAnsi="宋体" w:eastAsia="宋体" w:cs="宋体"/>
          <w:sz w:val="24"/>
        </w:rPr>
      </w:pPr>
      <w:r>
        <w:rPr>
          <w:rFonts w:hint="eastAsia" w:ascii="宋体" w:hAnsi="宋体" w:eastAsia="宋体" w:cs="宋体"/>
          <w:sz w:val="24"/>
        </w:rPr>
        <w:t xml:space="preserve">日期：    </w:t>
      </w: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r>
        <w:rPr>
          <w:rFonts w:hint="eastAsia" w:ascii="宋体" w:hAnsi="宋体" w:eastAsia="宋体" w:cs="宋体"/>
          <w:b/>
          <w:sz w:val="24"/>
        </w:rPr>
        <w:t>投诉书制作说明：</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sz w:val="24"/>
        </w:rPr>
        <w:t>2.投诉人若委托代理人进行投诉的，投诉书应按照要求列明“授权代表”的有关内容，并在附件中提交由</w:t>
      </w:r>
      <w:r>
        <w:rPr>
          <w:rFonts w:hint="eastAsia" w:ascii="宋体" w:hAnsi="宋体" w:eastAsia="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3.投诉人若对项目的某一分包进行投诉，投诉书应列明具体分包号。</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4.投诉书应简要列明质疑事项，质疑函、质疑答复等作为附件材料提供。</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5.投诉书的投诉事项应具体、明确，并有必要的事实依据和法律依据。</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6.投诉书的投诉请求应与投诉事项相关。</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宋体" w:hAnsi="宋体" w:eastAsia="宋体" w:cs="宋体"/>
          <w:b/>
          <w:sz w:val="24"/>
        </w:rPr>
      </w:pPr>
    </w:p>
    <w:p>
      <w:pPr>
        <w:autoSpaceDE w:val="0"/>
        <w:autoSpaceDN w:val="0"/>
        <w:jc w:val="center"/>
        <w:rPr>
          <w:rFonts w:hint="eastAsia" w:ascii="宋体" w:hAnsi="宋体" w:eastAsia="宋体" w:cs="宋体"/>
          <w:b/>
          <w:spacing w:val="6"/>
          <w:sz w:val="32"/>
          <w:szCs w:val="32"/>
        </w:rPr>
      </w:pPr>
    </w:p>
    <w:p>
      <w:pPr>
        <w:pStyle w:val="2"/>
        <w:rPr>
          <w:rFonts w:hint="eastAsia" w:ascii="宋体" w:hAnsi="宋体" w:eastAsia="宋体" w:cs="宋体"/>
          <w:b/>
          <w:spacing w:val="6"/>
          <w:sz w:val="32"/>
          <w:szCs w:val="32"/>
        </w:rPr>
      </w:pPr>
    </w:p>
    <w:p>
      <w:pPr>
        <w:pStyle w:val="3"/>
        <w:rPr>
          <w:rFonts w:hint="eastAsia"/>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bCs/>
          <w:sz w:val="32"/>
          <w:szCs w:val="32"/>
        </w:rPr>
      </w:pPr>
      <w:r>
        <w:rPr>
          <w:rFonts w:hint="eastAsia" w:ascii="宋体" w:hAnsi="宋体" w:eastAsia="宋体" w:cs="宋体"/>
          <w:b/>
          <w:spacing w:val="6"/>
          <w:sz w:val="32"/>
          <w:szCs w:val="32"/>
        </w:rPr>
        <w:t>附件4：</w:t>
      </w:r>
      <w:r>
        <w:rPr>
          <w:rFonts w:hint="eastAsia" w:ascii="宋体" w:hAnsi="宋体" w:eastAsia="宋体" w:cs="宋体"/>
          <w:b/>
          <w:bCs/>
          <w:sz w:val="32"/>
          <w:szCs w:val="32"/>
        </w:rPr>
        <w:t>业务专用章使用说明函</w:t>
      </w:r>
    </w:p>
    <w:p>
      <w:pPr>
        <w:pStyle w:val="2"/>
        <w:rPr>
          <w:rFonts w:hint="eastAsia"/>
        </w:rPr>
      </w:pPr>
    </w:p>
    <w:p>
      <w:pPr>
        <w:spacing w:line="360" w:lineRule="auto"/>
        <w:rPr>
          <w:rFonts w:hint="eastAsia" w:ascii="宋体" w:hAnsi="宋体" w:eastAsia="宋体" w:cs="宋体"/>
          <w:sz w:val="24"/>
        </w:rPr>
      </w:pPr>
      <w:r>
        <w:rPr>
          <w:rFonts w:hint="eastAsia" w:ascii="宋体" w:hAnsi="宋体" w:eastAsia="宋体" w:cs="宋体"/>
          <w:sz w:val="24"/>
          <w:u w:val="single"/>
        </w:rPr>
        <w:t>（采购人）、（采购代理机构）</w:t>
      </w:r>
    </w:p>
    <w:p>
      <w:pPr>
        <w:spacing w:line="360" w:lineRule="auto"/>
        <w:ind w:firstLine="480" w:firstLineChars="200"/>
        <w:rPr>
          <w:rFonts w:hint="eastAsia" w:ascii="宋体" w:hAnsi="宋体" w:eastAsia="宋体" w:cs="宋体"/>
          <w:sz w:val="24"/>
        </w:rPr>
      </w:pPr>
      <w:r>
        <w:rPr>
          <w:rFonts w:hint="eastAsia" w:ascii="宋体" w:hAnsi="宋体" w:eastAsia="宋体" w:cs="宋体"/>
          <w:kern w:val="0"/>
          <w:sz w:val="24"/>
          <w:lang w:val="zh-CN"/>
        </w:rPr>
        <w:t>我方</w:t>
      </w:r>
      <w:r>
        <w:rPr>
          <w:rFonts w:hint="eastAsia" w:ascii="宋体" w:hAnsi="宋体" w:eastAsia="宋体" w:cs="宋体"/>
          <w:kern w:val="0"/>
          <w:sz w:val="24"/>
          <w:u w:val="single"/>
          <w:lang w:val="zh-CN"/>
        </w:rPr>
        <w:t xml:space="preserve">                         </w:t>
      </w:r>
      <w:r>
        <w:rPr>
          <w:rFonts w:hint="eastAsia" w:ascii="宋体" w:hAnsi="宋体" w:eastAsia="宋体" w:cs="宋体"/>
          <w:sz w:val="24"/>
        </w:rPr>
        <w:t>(投标人全称)是中华人民共和国依法登记注册的合法企业，</w:t>
      </w:r>
      <w:r>
        <w:rPr>
          <w:rFonts w:hint="eastAsia" w:ascii="宋体" w:hAnsi="宋体" w:eastAsia="宋体" w:cs="宋体"/>
          <w:bCs/>
          <w:sz w:val="24"/>
        </w:rPr>
        <w:t>在参加</w:t>
      </w:r>
      <w:r>
        <w:rPr>
          <w:rFonts w:hint="eastAsia" w:ascii="宋体" w:hAnsi="宋体" w:eastAsia="宋体" w:cs="宋体"/>
          <w:sz w:val="24"/>
        </w:rPr>
        <w:t>你方组织的（项目名称）项目【招标编号：（采购编号）】</w:t>
      </w:r>
      <w:r>
        <w:rPr>
          <w:rFonts w:hint="eastAsia" w:ascii="宋体" w:hAnsi="宋体" w:eastAsia="宋体" w:cs="宋体"/>
          <w:bCs/>
          <w:sz w:val="24"/>
        </w:rPr>
        <w:t>投标活动中作如下说明：</w:t>
      </w:r>
      <w:r>
        <w:rPr>
          <w:rFonts w:hint="eastAsia" w:ascii="宋体" w:hAnsi="宋体" w:eastAsia="宋体" w:cs="宋体"/>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特此说明。</w:t>
      </w:r>
    </w:p>
    <w:p>
      <w:pPr>
        <w:spacing w:line="360" w:lineRule="auto"/>
        <w:ind w:firstLine="494"/>
        <w:rPr>
          <w:rFonts w:hint="eastAsia" w:ascii="宋体" w:hAnsi="宋体" w:eastAsia="宋体" w:cs="宋体"/>
          <w:sz w:val="24"/>
        </w:rPr>
      </w:pPr>
    </w:p>
    <w:p>
      <w:pPr>
        <w:spacing w:line="360" w:lineRule="auto"/>
        <w:ind w:firstLine="494"/>
        <w:rPr>
          <w:rFonts w:hint="eastAsia" w:ascii="宋体" w:hAnsi="宋体" w:eastAsia="宋体" w:cs="宋体"/>
          <w:sz w:val="24"/>
        </w:rPr>
      </w:pPr>
    </w:p>
    <w:p>
      <w:pPr>
        <w:spacing w:line="360" w:lineRule="auto"/>
        <w:ind w:firstLine="494"/>
        <w:rPr>
          <w:rFonts w:hint="eastAsia" w:ascii="宋体" w:hAnsi="宋体" w:eastAsia="宋体" w:cs="宋体"/>
          <w:sz w:val="24"/>
        </w:rPr>
      </w:pPr>
    </w:p>
    <w:p>
      <w:pPr>
        <w:spacing w:line="360" w:lineRule="auto"/>
        <w:ind w:firstLine="494"/>
        <w:rPr>
          <w:rFonts w:hint="eastAsia" w:ascii="宋体" w:hAnsi="宋体" w:eastAsia="宋体" w:cs="宋体"/>
          <w:sz w:val="24"/>
        </w:rPr>
      </w:pPr>
    </w:p>
    <w:p>
      <w:pPr>
        <w:spacing w:line="360" w:lineRule="auto"/>
        <w:ind w:right="480" w:firstLine="4080" w:firstLineChars="1700"/>
        <w:rPr>
          <w:rFonts w:hint="eastAsia" w:ascii="宋体" w:hAnsi="宋体" w:eastAsia="宋体" w:cs="宋体"/>
          <w:sz w:val="24"/>
        </w:rPr>
      </w:pPr>
      <w:r>
        <w:rPr>
          <w:rFonts w:hint="eastAsia" w:ascii="宋体" w:hAnsi="宋体" w:eastAsia="宋体" w:cs="宋体"/>
          <w:sz w:val="24"/>
        </w:rPr>
        <w:t>投标单位（法定名称章）：</w:t>
      </w:r>
    </w:p>
    <w:p>
      <w:pPr>
        <w:ind w:right="1440" w:firstLine="494"/>
        <w:jc w:val="center"/>
        <w:rPr>
          <w:rFonts w:hint="eastAsia" w:ascii="宋体" w:hAnsi="宋体" w:eastAsia="宋体" w:cs="宋体"/>
          <w:sz w:val="24"/>
        </w:rPr>
      </w:pPr>
      <w:r>
        <w:rPr>
          <w:rFonts w:hint="eastAsia" w:ascii="宋体" w:hAnsi="宋体" w:eastAsia="宋体" w:cs="宋体"/>
          <w:sz w:val="24"/>
        </w:rPr>
        <w:t xml:space="preserve">                              日期：       年     月     日</w:t>
      </w:r>
    </w:p>
    <w:p>
      <w:pPr>
        <w:rPr>
          <w:rFonts w:hint="eastAsia" w:ascii="宋体" w:hAnsi="宋体" w:eastAsia="宋体" w:cs="宋体"/>
          <w:sz w:val="24"/>
        </w:rPr>
      </w:pPr>
      <w:r>
        <w:rPr>
          <w:rFonts w:hint="eastAsia" w:ascii="宋体" w:hAnsi="宋体" w:eastAsia="宋体" w:cs="宋体"/>
          <w:b/>
          <w:bCs/>
          <w:sz w:val="24"/>
        </w:rPr>
        <w:t>附：</w:t>
      </w:r>
    </w:p>
    <w:p>
      <w:pPr>
        <w:spacing w:line="360" w:lineRule="auto"/>
        <w:rPr>
          <w:rFonts w:hint="eastAsia" w:ascii="宋体" w:hAnsi="宋体" w:eastAsia="宋体" w:cs="宋体"/>
          <w:bCs/>
          <w:sz w:val="24"/>
        </w:rPr>
      </w:pPr>
      <w:r>
        <w:rPr>
          <w:rFonts w:hint="eastAsia" w:ascii="宋体" w:hAnsi="宋体" w:eastAsia="宋体" w:cs="宋体"/>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eastAsia="宋体" w:cs="宋体"/>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eastAsia="宋体" w:cs="宋体"/>
          <w:sz w:val="24"/>
        </w:rPr>
        <w:t>投标单位法定名称章（印模）                投标单位“XX专用章”（印模）</w:t>
      </w: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both"/>
        <w:rPr>
          <w:rFonts w:hint="eastAsia" w:ascii="宋体" w:hAnsi="宋体" w:eastAsia="宋体" w:cs="宋体"/>
          <w:b/>
          <w:spacing w:val="6"/>
          <w:sz w:val="32"/>
          <w:szCs w:val="32"/>
        </w:rPr>
      </w:pPr>
    </w:p>
    <w:p>
      <w:pPr>
        <w:autoSpaceDE w:val="0"/>
        <w:autoSpaceDN w:val="0"/>
        <w:jc w:val="center"/>
        <w:rPr>
          <w:rFonts w:hint="eastAsia" w:ascii="宋体" w:hAnsi="宋体" w:eastAsia="宋体" w:cs="宋体"/>
          <w:b/>
          <w:bCs/>
          <w:sz w:val="32"/>
          <w:szCs w:val="32"/>
        </w:rPr>
      </w:pPr>
      <w:r>
        <w:rPr>
          <w:rFonts w:hint="eastAsia" w:ascii="宋体" w:hAnsi="宋体" w:eastAsia="宋体" w:cs="宋体"/>
          <w:b/>
          <w:spacing w:val="6"/>
          <w:sz w:val="32"/>
          <w:szCs w:val="32"/>
        </w:rPr>
        <w:t>附件5：</w:t>
      </w:r>
      <w:r>
        <w:rPr>
          <w:rFonts w:hint="eastAsia" w:ascii="宋体" w:hAnsi="宋体" w:eastAsia="宋体" w:cs="宋体"/>
          <w:b/>
          <w:sz w:val="32"/>
          <w:szCs w:val="32"/>
        </w:rPr>
        <w:t>中小企业声明函</w:t>
      </w:r>
    </w:p>
    <w:p>
      <w:pPr>
        <w:spacing w:line="360" w:lineRule="auto"/>
        <w:jc w:val="center"/>
        <w:rPr>
          <w:rFonts w:hint="eastAsia" w:ascii="宋体" w:hAnsi="宋体" w:eastAsia="宋体" w:cs="宋体"/>
          <w:sz w:val="24"/>
          <w:u w:val="single"/>
        </w:rPr>
      </w:pPr>
    </w:p>
    <w:p>
      <w:pPr>
        <w:spacing w:line="360" w:lineRule="auto"/>
        <w:jc w:val="center"/>
        <w:rPr>
          <w:rFonts w:hint="eastAsia" w:ascii="宋体" w:hAnsi="宋体" w:eastAsia="宋体" w:cs="宋体"/>
          <w:b/>
          <w:sz w:val="32"/>
          <w:szCs w:val="32"/>
        </w:rPr>
      </w:pPr>
      <w:r>
        <w:rPr>
          <w:rFonts w:hint="eastAsia" w:ascii="宋体" w:hAnsi="宋体" w:eastAsia="宋体" w:cs="宋体"/>
          <w:b/>
          <w:sz w:val="32"/>
          <w:szCs w:val="32"/>
        </w:rPr>
        <w:t>中小企业声明函（货物）</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本公司（联合体）郑重声明，根据《政府采购促进中小企业发展管理办法》（财库﹝2020﹞46 号）的规定，本公司（联合体）参加 （单位名称） 的 （项目名称） 采购活动，提供的货物全部由符合政策要求的中小企业制造。相关企业（含联合体中的中小企业、签订分包意向协议的中小企业）的具体情况如下：</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rPr>
        <w:t xml:space="preserve"> </w:t>
      </w:r>
      <w:r>
        <w:rPr>
          <w:rFonts w:hint="eastAsia" w:ascii="宋体" w:hAnsi="宋体" w:eastAsia="宋体" w:cs="宋体"/>
          <w:sz w:val="24"/>
          <w:u w:val="single"/>
        </w:rPr>
        <w:t>（标的名称）</w:t>
      </w:r>
      <w:r>
        <w:rPr>
          <w:rFonts w:hint="eastAsia" w:ascii="宋体" w:hAnsi="宋体" w:eastAsia="宋体" w:cs="宋体"/>
          <w:sz w:val="24"/>
        </w:rPr>
        <w:t xml:space="preserve"> ，属于 </w:t>
      </w:r>
      <w:r>
        <w:rPr>
          <w:rFonts w:hint="eastAsia" w:ascii="宋体" w:hAnsi="宋体" w:eastAsia="宋体" w:cs="宋体"/>
          <w:sz w:val="24"/>
          <w:u w:val="single"/>
        </w:rPr>
        <w:t>（采购文件中明确的所属行业）</w:t>
      </w:r>
      <w:r>
        <w:rPr>
          <w:rFonts w:hint="eastAsia" w:ascii="宋体" w:hAnsi="宋体" w:eastAsia="宋体" w:cs="宋体"/>
          <w:sz w:val="24"/>
        </w:rPr>
        <w:t>行业 ；制造商为</w:t>
      </w:r>
      <w:r>
        <w:rPr>
          <w:rFonts w:hint="eastAsia" w:ascii="宋体" w:hAnsi="宋体" w:eastAsia="宋体" w:cs="宋体"/>
          <w:sz w:val="24"/>
          <w:u w:val="single"/>
        </w:rPr>
        <w:t xml:space="preserve"> （企业名称）</w:t>
      </w:r>
      <w:r>
        <w:rPr>
          <w:rFonts w:hint="eastAsia" w:ascii="宋体" w:hAnsi="宋体" w:eastAsia="宋体" w:cs="宋体"/>
          <w:sz w:val="24"/>
        </w:rPr>
        <w:t xml:space="preserve"> ，从业人员</w:t>
      </w:r>
      <w:r>
        <w:rPr>
          <w:rFonts w:hint="eastAsia" w:ascii="宋体" w:hAnsi="宋体" w:eastAsia="宋体" w:cs="宋体"/>
          <w:sz w:val="24"/>
          <w:u w:val="single"/>
        </w:rPr>
        <w:t xml:space="preserve">  </w:t>
      </w:r>
      <w:r>
        <w:rPr>
          <w:rFonts w:hint="eastAsia" w:ascii="宋体" w:hAnsi="宋体" w:eastAsia="宋体" w:cs="宋体"/>
          <w:sz w:val="24"/>
        </w:rPr>
        <w:t>人，营业收入为</w:t>
      </w:r>
      <w:r>
        <w:rPr>
          <w:rFonts w:hint="eastAsia" w:ascii="宋体" w:hAnsi="宋体" w:eastAsia="宋体" w:cs="宋体"/>
          <w:sz w:val="24"/>
          <w:u w:val="single"/>
        </w:rPr>
        <w:t xml:space="preserve">  </w:t>
      </w:r>
      <w:r>
        <w:rPr>
          <w:rFonts w:hint="eastAsia" w:ascii="宋体" w:hAnsi="宋体" w:eastAsia="宋体" w:cs="宋体"/>
          <w:sz w:val="24"/>
        </w:rPr>
        <w:t>万元，资产总额为</w:t>
      </w:r>
      <w:r>
        <w:rPr>
          <w:rFonts w:hint="eastAsia" w:ascii="宋体" w:hAnsi="宋体" w:eastAsia="宋体" w:cs="宋体"/>
          <w:sz w:val="24"/>
          <w:u w:val="single"/>
        </w:rPr>
        <w:t xml:space="preserve">   </w:t>
      </w:r>
      <w:r>
        <w:rPr>
          <w:rFonts w:hint="eastAsia" w:ascii="宋体" w:hAnsi="宋体" w:eastAsia="宋体" w:cs="宋体"/>
          <w:sz w:val="24"/>
        </w:rPr>
        <w:t>万元，属于</w:t>
      </w:r>
      <w:r>
        <w:rPr>
          <w:rFonts w:hint="eastAsia" w:ascii="宋体" w:hAnsi="宋体" w:eastAsia="宋体" w:cs="宋体"/>
          <w:sz w:val="24"/>
          <w:u w:val="single"/>
        </w:rPr>
        <w:t xml:space="preserve"> （中型企业、小型企业、微型企业）</w:t>
      </w:r>
      <w:r>
        <w:rPr>
          <w:rFonts w:hint="eastAsia" w:ascii="宋体" w:hAnsi="宋体" w:eastAsia="宋体" w:cs="宋体"/>
          <w:sz w:val="24"/>
        </w:rPr>
        <w:t xml:space="preserve">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rPr>
        <w:t xml:space="preserve"> </w:t>
      </w:r>
      <w:r>
        <w:rPr>
          <w:rFonts w:hint="eastAsia" w:ascii="宋体" w:hAnsi="宋体" w:eastAsia="宋体" w:cs="宋体"/>
          <w:sz w:val="24"/>
          <w:u w:val="single"/>
        </w:rPr>
        <w:t>（标的名称）</w:t>
      </w:r>
      <w:r>
        <w:rPr>
          <w:rFonts w:hint="eastAsia" w:ascii="宋体" w:hAnsi="宋体" w:eastAsia="宋体" w:cs="宋体"/>
          <w:sz w:val="24"/>
        </w:rPr>
        <w:t xml:space="preserve"> ，属于 </w:t>
      </w:r>
      <w:r>
        <w:rPr>
          <w:rFonts w:hint="eastAsia" w:ascii="宋体" w:hAnsi="宋体" w:eastAsia="宋体" w:cs="宋体"/>
          <w:sz w:val="24"/>
          <w:u w:val="single"/>
        </w:rPr>
        <w:t>（采购文件中明确的所属行业）</w:t>
      </w:r>
      <w:r>
        <w:rPr>
          <w:rFonts w:hint="eastAsia" w:ascii="宋体" w:hAnsi="宋体" w:eastAsia="宋体" w:cs="宋体"/>
          <w:sz w:val="24"/>
        </w:rPr>
        <w:t>行业 ；制造商为</w:t>
      </w:r>
      <w:r>
        <w:rPr>
          <w:rFonts w:hint="eastAsia" w:ascii="宋体" w:hAnsi="宋体" w:eastAsia="宋体" w:cs="宋体"/>
          <w:sz w:val="24"/>
          <w:u w:val="single"/>
        </w:rPr>
        <w:t xml:space="preserve"> （企业名称）</w:t>
      </w:r>
      <w:r>
        <w:rPr>
          <w:rFonts w:hint="eastAsia" w:ascii="宋体" w:hAnsi="宋体" w:eastAsia="宋体" w:cs="宋体"/>
          <w:sz w:val="24"/>
        </w:rPr>
        <w:t xml:space="preserve"> ，从业人员</w:t>
      </w:r>
      <w:r>
        <w:rPr>
          <w:rFonts w:hint="eastAsia" w:ascii="宋体" w:hAnsi="宋体" w:eastAsia="宋体" w:cs="宋体"/>
          <w:sz w:val="24"/>
          <w:u w:val="single"/>
        </w:rPr>
        <w:t xml:space="preserve">  </w:t>
      </w:r>
      <w:r>
        <w:rPr>
          <w:rFonts w:hint="eastAsia" w:ascii="宋体" w:hAnsi="宋体" w:eastAsia="宋体" w:cs="宋体"/>
          <w:sz w:val="24"/>
        </w:rPr>
        <w:t>人，营业收入为</w:t>
      </w:r>
      <w:r>
        <w:rPr>
          <w:rFonts w:hint="eastAsia" w:ascii="宋体" w:hAnsi="宋体" w:eastAsia="宋体" w:cs="宋体"/>
          <w:sz w:val="24"/>
          <w:u w:val="single"/>
        </w:rPr>
        <w:t xml:space="preserve">  </w:t>
      </w:r>
      <w:r>
        <w:rPr>
          <w:rFonts w:hint="eastAsia" w:ascii="宋体" w:hAnsi="宋体" w:eastAsia="宋体" w:cs="宋体"/>
          <w:sz w:val="24"/>
        </w:rPr>
        <w:t>万元，资产总额为</w:t>
      </w:r>
      <w:r>
        <w:rPr>
          <w:rFonts w:hint="eastAsia" w:ascii="宋体" w:hAnsi="宋体" w:eastAsia="宋体" w:cs="宋体"/>
          <w:sz w:val="24"/>
          <w:u w:val="single"/>
        </w:rPr>
        <w:t xml:space="preserve">   </w:t>
      </w:r>
      <w:r>
        <w:rPr>
          <w:rFonts w:hint="eastAsia" w:ascii="宋体" w:hAnsi="宋体" w:eastAsia="宋体" w:cs="宋体"/>
          <w:sz w:val="24"/>
        </w:rPr>
        <w:t>万元，属于</w:t>
      </w:r>
      <w:r>
        <w:rPr>
          <w:rFonts w:hint="eastAsia" w:ascii="宋体" w:hAnsi="宋体" w:eastAsia="宋体" w:cs="宋体"/>
          <w:sz w:val="24"/>
          <w:u w:val="single"/>
        </w:rPr>
        <w:t xml:space="preserve"> （中型企业、小型企业、微型企业）</w:t>
      </w:r>
      <w:r>
        <w:rPr>
          <w:rFonts w:hint="eastAsia" w:ascii="宋体" w:hAnsi="宋体" w:eastAsia="宋体" w:cs="宋体"/>
          <w:sz w:val="24"/>
        </w:rPr>
        <w:t xml:space="preserve">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以上企业，不属于大企业的分支机构，不存在控股股东为大企业的情形，也不存在与大企业的负责人为同一人的情形。</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本企业对上述声明内容的真实性负责。如有虚假，将依法承担相应责任。</w:t>
      </w:r>
    </w:p>
    <w:p>
      <w:pPr>
        <w:snapToGrid w:val="0"/>
        <w:spacing w:line="360" w:lineRule="auto"/>
        <w:ind w:firstLine="5160" w:firstLineChars="2150"/>
        <w:rPr>
          <w:rFonts w:hint="eastAsia" w:ascii="宋体" w:hAnsi="宋体" w:eastAsia="宋体" w:cs="宋体"/>
          <w:kern w:val="0"/>
          <w:sz w:val="24"/>
        </w:rPr>
      </w:pPr>
      <w:r>
        <w:rPr>
          <w:rFonts w:hint="eastAsia" w:ascii="宋体" w:hAnsi="宋体" w:eastAsia="宋体" w:cs="宋体"/>
          <w:kern w:val="0"/>
          <w:sz w:val="24"/>
          <w:lang w:val="zh-CN"/>
        </w:rPr>
        <w:t>投标人名称(电子签名)：</w:t>
      </w:r>
    </w:p>
    <w:p>
      <w:pPr>
        <w:snapToGrid w:val="0"/>
        <w:spacing w:line="360" w:lineRule="auto"/>
        <w:rPr>
          <w:rFonts w:hint="eastAsia" w:ascii="宋体" w:hAnsi="宋体" w:eastAsia="宋体" w:cs="宋体"/>
          <w:kern w:val="0"/>
          <w:sz w:val="24"/>
          <w:lang w:val="zh-CN"/>
        </w:rPr>
      </w:pPr>
      <w:r>
        <w:rPr>
          <w:rFonts w:hint="eastAsia" w:ascii="宋体" w:hAnsi="宋体" w:eastAsia="宋体" w:cs="宋体"/>
          <w:kern w:val="0"/>
          <w:sz w:val="24"/>
          <w:lang w:val="zh-CN"/>
        </w:rPr>
        <w:t xml:space="preserve">                                           日期</w:t>
      </w:r>
      <w:r>
        <w:rPr>
          <w:rFonts w:hint="eastAsia" w:ascii="宋体" w:hAnsi="宋体" w:eastAsia="宋体" w:cs="宋体"/>
          <w:kern w:val="0"/>
          <w:sz w:val="24"/>
        </w:rPr>
        <w:t xml:space="preserve">：  年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lang w:val="zh-CN"/>
        </w:rPr>
        <w:t>日</w:t>
      </w:r>
    </w:p>
    <w:p>
      <w:pPr>
        <w:spacing w:line="360" w:lineRule="auto"/>
        <w:jc w:val="left"/>
        <w:rPr>
          <w:rFonts w:hint="eastAsia" w:ascii="宋体" w:hAnsi="宋体" w:eastAsia="宋体" w:cs="宋体"/>
          <w:sz w:val="18"/>
          <w:szCs w:val="18"/>
        </w:rPr>
      </w:pPr>
      <w:r>
        <w:rPr>
          <w:rFonts w:hint="eastAsia" w:ascii="宋体" w:hAnsi="宋体" w:eastAsia="宋体" w:cs="宋体"/>
          <w:sz w:val="18"/>
          <w:szCs w:val="18"/>
        </w:rPr>
        <w:t>从业人员、营业收入、资产总额填报上一年度数据，无上一年度数据的新成立企业可不填报。</w:t>
      </w:r>
    </w:p>
    <w:p>
      <w:pPr>
        <w:spacing w:line="360" w:lineRule="auto"/>
        <w:ind w:right="420" w:firstLine="480" w:firstLineChars="200"/>
        <w:rPr>
          <w:rFonts w:hint="eastAsia" w:ascii="宋体" w:hAnsi="宋体" w:eastAsia="宋体" w:cs="宋体"/>
          <w:sz w:val="24"/>
        </w:rPr>
      </w:pPr>
      <w:r>
        <w:rPr>
          <w:rFonts w:hint="eastAsia" w:ascii="宋体" w:hAnsi="宋体" w:eastAsia="宋体" w:cs="宋体"/>
          <w:sz w:val="24"/>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hint="eastAsia" w:ascii="宋体" w:hAnsi="宋体" w:eastAsia="宋体" w:cs="宋体"/>
          <w:b/>
          <w:sz w:val="32"/>
          <w:szCs w:val="32"/>
        </w:rPr>
      </w:pPr>
    </w:p>
    <w:p>
      <w:pPr>
        <w:spacing w:line="360" w:lineRule="auto"/>
        <w:jc w:val="center"/>
        <w:rPr>
          <w:rFonts w:hint="eastAsia" w:ascii="宋体" w:hAnsi="宋体" w:eastAsia="宋体" w:cs="宋体"/>
          <w:b/>
          <w:sz w:val="32"/>
          <w:szCs w:val="32"/>
        </w:rPr>
      </w:pPr>
    </w:p>
    <w:p>
      <w:pPr>
        <w:spacing w:line="360" w:lineRule="auto"/>
        <w:jc w:val="center"/>
        <w:rPr>
          <w:rFonts w:hint="eastAsia" w:ascii="宋体" w:hAnsi="宋体" w:eastAsia="宋体" w:cs="宋体"/>
          <w:b/>
          <w:sz w:val="32"/>
          <w:szCs w:val="32"/>
        </w:rPr>
      </w:pPr>
    </w:p>
    <w:p>
      <w:pPr>
        <w:spacing w:line="360" w:lineRule="auto"/>
        <w:jc w:val="center"/>
        <w:rPr>
          <w:rFonts w:hint="eastAsia" w:ascii="宋体" w:hAnsi="宋体" w:eastAsia="宋体" w:cs="宋体"/>
          <w:b/>
          <w:sz w:val="32"/>
          <w:szCs w:val="32"/>
        </w:rPr>
      </w:pPr>
    </w:p>
    <w:p>
      <w:pPr>
        <w:spacing w:line="360" w:lineRule="auto"/>
        <w:jc w:val="center"/>
        <w:rPr>
          <w:rFonts w:hint="eastAsia" w:ascii="宋体" w:hAnsi="宋体" w:eastAsia="宋体" w:cs="宋体"/>
          <w:b/>
          <w:sz w:val="32"/>
          <w:szCs w:val="32"/>
        </w:rPr>
      </w:pPr>
      <w:r>
        <w:rPr>
          <w:rFonts w:hint="eastAsia" w:ascii="宋体" w:hAnsi="宋体" w:eastAsia="宋体" w:cs="宋体"/>
          <w:b/>
          <w:sz w:val="32"/>
          <w:szCs w:val="32"/>
        </w:rPr>
        <w:t>中小企业声明函（工程、服务）</w:t>
      </w:r>
    </w:p>
    <w:p>
      <w:pPr>
        <w:spacing w:line="360" w:lineRule="auto"/>
        <w:rPr>
          <w:rFonts w:hint="eastAsia" w:ascii="宋体" w:hAnsi="宋体" w:eastAsia="宋体" w:cs="宋体"/>
        </w:rPr>
      </w:pPr>
    </w:p>
    <w:p>
      <w:pPr>
        <w:spacing w:line="360" w:lineRule="auto"/>
        <w:ind w:firstLine="360" w:firstLineChars="150"/>
        <w:jc w:val="left"/>
        <w:rPr>
          <w:rFonts w:hint="eastAsia" w:ascii="宋体" w:hAnsi="宋体" w:eastAsia="宋体" w:cs="宋体"/>
          <w:sz w:val="24"/>
        </w:rPr>
      </w:pPr>
      <w:r>
        <w:rPr>
          <w:rFonts w:hint="eastAsia" w:ascii="宋体" w:hAnsi="宋体" w:eastAsia="宋体" w:cs="宋体"/>
          <w:sz w:val="24"/>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rPr>
        <w:t xml:space="preserve"> </w:t>
      </w:r>
      <w:r>
        <w:rPr>
          <w:rFonts w:hint="eastAsia" w:ascii="宋体" w:hAnsi="宋体" w:eastAsia="宋体" w:cs="宋体"/>
          <w:sz w:val="24"/>
          <w:u w:val="single"/>
        </w:rPr>
        <w:t>（标的名称）</w:t>
      </w:r>
      <w:r>
        <w:rPr>
          <w:rFonts w:hint="eastAsia" w:ascii="宋体" w:hAnsi="宋体" w:eastAsia="宋体" w:cs="宋体"/>
          <w:sz w:val="24"/>
        </w:rPr>
        <w:t xml:space="preserve">，属于 </w:t>
      </w:r>
      <w:r>
        <w:rPr>
          <w:rFonts w:hint="eastAsia" w:ascii="宋体" w:hAnsi="宋体" w:eastAsia="宋体" w:cs="宋体"/>
          <w:sz w:val="24"/>
          <w:u w:val="single"/>
        </w:rPr>
        <w:t>（采购文件中明确的所属行业）</w:t>
      </w:r>
      <w:r>
        <w:rPr>
          <w:rFonts w:hint="eastAsia" w:ascii="宋体" w:hAnsi="宋体" w:eastAsia="宋体" w:cs="宋体"/>
          <w:sz w:val="24"/>
        </w:rPr>
        <w:t xml:space="preserve"> ；承建（承接）企业为 </w:t>
      </w:r>
      <w:r>
        <w:rPr>
          <w:rFonts w:hint="eastAsia" w:ascii="宋体" w:hAnsi="宋体" w:eastAsia="宋体" w:cs="宋体"/>
          <w:sz w:val="24"/>
          <w:u w:val="single"/>
        </w:rPr>
        <w:t>（企业名称）</w:t>
      </w:r>
      <w:r>
        <w:rPr>
          <w:rFonts w:hint="eastAsia" w:ascii="宋体" w:hAnsi="宋体" w:eastAsia="宋体" w:cs="宋体"/>
          <w:sz w:val="24"/>
        </w:rPr>
        <w:t xml:space="preserve"> ，从业人员</w:t>
      </w:r>
      <w:r>
        <w:rPr>
          <w:rFonts w:hint="eastAsia" w:ascii="宋体" w:hAnsi="宋体" w:eastAsia="宋体" w:cs="宋体"/>
          <w:sz w:val="24"/>
          <w:u w:val="single"/>
        </w:rPr>
        <w:t xml:space="preserve">   </w:t>
      </w:r>
      <w:r>
        <w:rPr>
          <w:rFonts w:hint="eastAsia" w:ascii="宋体" w:hAnsi="宋体" w:eastAsia="宋体" w:cs="宋体"/>
          <w:sz w:val="24"/>
        </w:rPr>
        <w:t>人，营业收入为</w:t>
      </w:r>
      <w:r>
        <w:rPr>
          <w:rFonts w:hint="eastAsia" w:ascii="宋体" w:hAnsi="宋体" w:eastAsia="宋体" w:cs="宋体"/>
          <w:sz w:val="24"/>
          <w:u w:val="single"/>
        </w:rPr>
        <w:t xml:space="preserve">  </w:t>
      </w:r>
      <w:r>
        <w:rPr>
          <w:rFonts w:hint="eastAsia" w:ascii="宋体" w:hAnsi="宋体" w:eastAsia="宋体" w:cs="宋体"/>
          <w:sz w:val="24"/>
        </w:rPr>
        <w:t>万元，资产总额为</w:t>
      </w:r>
      <w:r>
        <w:rPr>
          <w:rFonts w:hint="eastAsia" w:ascii="宋体" w:hAnsi="宋体" w:eastAsia="宋体" w:cs="宋体"/>
          <w:sz w:val="24"/>
          <w:u w:val="single"/>
        </w:rPr>
        <w:t xml:space="preserve">   </w:t>
      </w:r>
      <w:r>
        <w:rPr>
          <w:rFonts w:hint="eastAsia" w:ascii="宋体" w:hAnsi="宋体" w:eastAsia="宋体" w:cs="宋体"/>
          <w:sz w:val="24"/>
        </w:rPr>
        <w:t>万元属于</w:t>
      </w:r>
      <w:r>
        <w:rPr>
          <w:rFonts w:hint="eastAsia" w:ascii="宋体" w:hAnsi="宋体" w:eastAsia="宋体" w:cs="宋体"/>
          <w:sz w:val="24"/>
          <w:u w:val="single"/>
        </w:rPr>
        <w:t xml:space="preserve"> （中型企业、小型企业、微型企业） </w:t>
      </w:r>
      <w:r>
        <w:rPr>
          <w:rFonts w:hint="eastAsia" w:ascii="宋体" w:hAnsi="宋体" w:eastAsia="宋体" w:cs="宋体"/>
          <w:sz w:val="24"/>
        </w:rPr>
        <w:t>；</w:t>
      </w:r>
    </w:p>
    <w:p>
      <w:pPr>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rPr>
        <w:t xml:space="preserve"> </w:t>
      </w:r>
      <w:r>
        <w:rPr>
          <w:rFonts w:hint="eastAsia" w:ascii="宋体" w:hAnsi="宋体" w:eastAsia="宋体" w:cs="宋体"/>
          <w:sz w:val="24"/>
          <w:u w:val="single"/>
        </w:rPr>
        <w:t>（标的名称）</w:t>
      </w:r>
      <w:r>
        <w:rPr>
          <w:rFonts w:hint="eastAsia" w:ascii="宋体" w:hAnsi="宋体" w:eastAsia="宋体" w:cs="宋体"/>
          <w:sz w:val="24"/>
        </w:rPr>
        <w:t xml:space="preserve">，属于 </w:t>
      </w:r>
      <w:r>
        <w:rPr>
          <w:rFonts w:hint="eastAsia" w:ascii="宋体" w:hAnsi="宋体" w:eastAsia="宋体" w:cs="宋体"/>
          <w:sz w:val="24"/>
          <w:u w:val="single"/>
        </w:rPr>
        <w:t>（采购文件中明确的所属行业）</w:t>
      </w:r>
      <w:r>
        <w:rPr>
          <w:rFonts w:hint="eastAsia" w:ascii="宋体" w:hAnsi="宋体" w:eastAsia="宋体" w:cs="宋体"/>
          <w:sz w:val="24"/>
        </w:rPr>
        <w:t xml:space="preserve"> ；承建（承接）企业为 </w:t>
      </w:r>
      <w:r>
        <w:rPr>
          <w:rFonts w:hint="eastAsia" w:ascii="宋体" w:hAnsi="宋体" w:eastAsia="宋体" w:cs="宋体"/>
          <w:sz w:val="24"/>
          <w:u w:val="single"/>
        </w:rPr>
        <w:t>（企业名称）</w:t>
      </w:r>
      <w:r>
        <w:rPr>
          <w:rFonts w:hint="eastAsia" w:ascii="宋体" w:hAnsi="宋体" w:eastAsia="宋体" w:cs="宋体"/>
          <w:sz w:val="24"/>
        </w:rPr>
        <w:t xml:space="preserve"> ，从业人员</w:t>
      </w:r>
      <w:r>
        <w:rPr>
          <w:rFonts w:hint="eastAsia" w:ascii="宋体" w:hAnsi="宋体" w:eastAsia="宋体" w:cs="宋体"/>
          <w:sz w:val="24"/>
          <w:u w:val="single"/>
        </w:rPr>
        <w:t xml:space="preserve">   </w:t>
      </w:r>
      <w:r>
        <w:rPr>
          <w:rFonts w:hint="eastAsia" w:ascii="宋体" w:hAnsi="宋体" w:eastAsia="宋体" w:cs="宋体"/>
          <w:sz w:val="24"/>
        </w:rPr>
        <w:t>人，营业收入为</w:t>
      </w:r>
      <w:r>
        <w:rPr>
          <w:rFonts w:hint="eastAsia" w:ascii="宋体" w:hAnsi="宋体" w:eastAsia="宋体" w:cs="宋体"/>
          <w:sz w:val="24"/>
          <w:u w:val="single"/>
        </w:rPr>
        <w:t xml:space="preserve">  </w:t>
      </w:r>
      <w:r>
        <w:rPr>
          <w:rFonts w:hint="eastAsia" w:ascii="宋体" w:hAnsi="宋体" w:eastAsia="宋体" w:cs="宋体"/>
          <w:sz w:val="24"/>
        </w:rPr>
        <w:t>万元，资产总额为</w:t>
      </w:r>
      <w:r>
        <w:rPr>
          <w:rFonts w:hint="eastAsia" w:ascii="宋体" w:hAnsi="宋体" w:eastAsia="宋体" w:cs="宋体"/>
          <w:sz w:val="24"/>
          <w:u w:val="single"/>
        </w:rPr>
        <w:t xml:space="preserve">   </w:t>
      </w:r>
      <w:r>
        <w:rPr>
          <w:rFonts w:hint="eastAsia" w:ascii="宋体" w:hAnsi="宋体" w:eastAsia="宋体" w:cs="宋体"/>
          <w:sz w:val="24"/>
        </w:rPr>
        <w:t>万元属于</w:t>
      </w:r>
      <w:r>
        <w:rPr>
          <w:rFonts w:hint="eastAsia" w:ascii="宋体" w:hAnsi="宋体" w:eastAsia="宋体" w:cs="宋体"/>
          <w:sz w:val="24"/>
          <w:u w:val="single"/>
        </w:rPr>
        <w:t xml:space="preserve"> （中型企业、小型企业、微型企业） </w:t>
      </w:r>
      <w:r>
        <w:rPr>
          <w:rFonts w:hint="eastAsia" w:ascii="宋体" w:hAnsi="宋体" w:eastAsia="宋体" w:cs="宋体"/>
          <w:sz w:val="24"/>
        </w:rPr>
        <w:t>；</w:t>
      </w:r>
    </w:p>
    <w:p>
      <w:pPr>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w:t>
      </w:r>
    </w:p>
    <w:p>
      <w:pPr>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本企业对上述声明内容的真实性负责。如有虚假，将依法承担相应责任。</w:t>
      </w:r>
    </w:p>
    <w:p>
      <w:pPr>
        <w:spacing w:line="360" w:lineRule="auto"/>
        <w:ind w:right="1760"/>
        <w:jc w:val="right"/>
        <w:rPr>
          <w:rFonts w:hint="eastAsia" w:ascii="宋体" w:hAnsi="宋体" w:eastAsia="宋体" w:cs="宋体"/>
          <w:sz w:val="24"/>
        </w:rPr>
      </w:pPr>
      <w:r>
        <w:rPr>
          <w:rFonts w:hint="eastAsia" w:ascii="宋体" w:hAnsi="宋体" w:eastAsia="宋体" w:cs="宋体"/>
          <w:sz w:val="24"/>
        </w:rPr>
        <w:t>投标人名称（电子签名）：</w:t>
      </w:r>
    </w:p>
    <w:p>
      <w:pPr>
        <w:spacing w:line="360" w:lineRule="auto"/>
        <w:ind w:right="1120" w:firstLine="4680" w:firstLineChars="1950"/>
        <w:rPr>
          <w:rFonts w:hint="eastAsia" w:ascii="宋体" w:hAnsi="宋体" w:eastAsia="宋体" w:cs="宋体"/>
          <w:sz w:val="24"/>
        </w:rPr>
      </w:pPr>
      <w:r>
        <w:rPr>
          <w:rFonts w:hint="eastAsia" w:ascii="宋体" w:hAnsi="宋体" w:eastAsia="宋体" w:cs="宋体"/>
          <w:sz w:val="24"/>
        </w:rPr>
        <w:t>日 期：</w:t>
      </w:r>
    </w:p>
    <w:p>
      <w:pPr>
        <w:spacing w:line="360" w:lineRule="auto"/>
        <w:ind w:firstLine="310" w:firstLineChars="147"/>
        <w:jc w:val="left"/>
        <w:rPr>
          <w:rFonts w:hint="eastAsia" w:ascii="宋体" w:hAnsi="宋体" w:eastAsia="宋体" w:cs="宋体"/>
          <w:b/>
          <w:szCs w:val="21"/>
        </w:rPr>
      </w:pPr>
      <w:r>
        <w:rPr>
          <w:rFonts w:hint="eastAsia" w:ascii="宋体" w:hAnsi="宋体" w:eastAsia="宋体" w:cs="宋体"/>
          <w:b/>
          <w:szCs w:val="21"/>
        </w:rPr>
        <w:t>从业人员、营业收入、资产总额填报上一年度数据，无上一年度数据的新成立企业可不填报。</w:t>
      </w:r>
    </w:p>
    <w:p>
      <w:pPr>
        <w:spacing w:line="360" w:lineRule="auto"/>
        <w:ind w:right="420"/>
        <w:rPr>
          <w:rFonts w:hint="eastAsia" w:ascii="宋体" w:hAnsi="宋体" w:eastAsia="宋体" w:cs="宋体"/>
          <w:sz w:val="24"/>
        </w:rPr>
      </w:pPr>
    </w:p>
    <w:p>
      <w:pPr>
        <w:spacing w:line="360" w:lineRule="auto"/>
        <w:ind w:right="420"/>
        <w:rPr>
          <w:rFonts w:hint="eastAsia" w:ascii="宋体" w:hAnsi="宋体" w:eastAsia="宋体" w:cs="宋体"/>
          <w:sz w:val="24"/>
        </w:rPr>
      </w:pPr>
      <w:r>
        <w:rPr>
          <w:rFonts w:hint="eastAsia" w:ascii="宋体" w:hAnsi="宋体" w:eastAsia="宋体" w:cs="宋体"/>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7"/>
        <w:rPr>
          <w:rFonts w:hint="eastAsia" w:ascii="宋体" w:hAnsi="宋体" w:eastAsia="宋体" w:cs="宋体"/>
          <w:lang w:val="en-US"/>
        </w:rPr>
      </w:pPr>
    </w:p>
    <w:p>
      <w:pPr>
        <w:spacing w:line="360" w:lineRule="auto"/>
        <w:ind w:right="420"/>
        <w:rPr>
          <w:rFonts w:hint="eastAsia" w:ascii="宋体" w:hAnsi="宋体" w:eastAsia="宋体" w:cs="宋体"/>
        </w:rPr>
      </w:pPr>
    </w:p>
    <w:p>
      <w:pPr>
        <w:pStyle w:val="2"/>
        <w:rPr>
          <w:rFonts w:hint="eastAsia" w:ascii="宋体" w:hAnsi="宋体" w:eastAsia="宋体" w:cs="宋体"/>
        </w:rPr>
      </w:pPr>
    </w:p>
    <w:p>
      <w:pPr>
        <w:pStyle w:val="3"/>
        <w:rPr>
          <w:rFonts w:hint="eastAsia" w:ascii="宋体" w:hAnsi="宋体" w:eastAsia="宋体" w:cs="宋体"/>
        </w:rPr>
      </w:pPr>
    </w:p>
    <w:p>
      <w:pPr>
        <w:pStyle w:val="4"/>
        <w:rPr>
          <w:rFonts w:hint="eastAsia" w:ascii="宋体" w:hAnsi="宋体" w:eastAsia="宋体" w:cs="宋体"/>
        </w:rPr>
      </w:pPr>
    </w:p>
    <w:p>
      <w:pPr>
        <w:pStyle w:val="5"/>
        <w:rPr>
          <w:rFonts w:hint="eastAsia" w:ascii="宋体" w:hAnsi="宋体" w:eastAsia="宋体" w:cs="宋体"/>
        </w:rPr>
      </w:pPr>
    </w:p>
    <w:p>
      <w:pPr>
        <w:rPr>
          <w:rFonts w:hint="eastAsia" w:ascii="宋体" w:hAnsi="宋体" w:eastAsia="宋体" w:cs="宋体"/>
        </w:rPr>
      </w:pPr>
    </w:p>
    <w:p>
      <w:pPr>
        <w:jc w:val="center"/>
        <w:rPr>
          <w:rFonts w:hint="eastAsia" w:ascii="仿宋" w:hAnsi="仿宋" w:eastAsia="仿宋" w:cs="仿宋"/>
          <w:color w:val="auto"/>
          <w:sz w:val="44"/>
          <w:szCs w:val="44"/>
          <w:highlight w:val="none"/>
        </w:rPr>
      </w:pPr>
      <w:r>
        <w:rPr>
          <w:rFonts w:hint="eastAsia" w:ascii="仿宋" w:hAnsi="仿宋" w:eastAsia="仿宋" w:cs="仿宋"/>
          <w:b/>
          <w:bCs/>
          <w:color w:val="auto"/>
          <w:sz w:val="40"/>
          <w:szCs w:val="40"/>
          <w:highlight w:val="none"/>
        </w:rPr>
        <w:t>政府采购融资畅通工程金融机构联系信息表</w:t>
      </w:r>
    </w:p>
    <w:p>
      <w:pPr>
        <w:rPr>
          <w:rFonts w:hint="eastAsia" w:ascii="仿宋" w:hAnsi="仿宋" w:eastAsia="仿宋" w:cs="仿宋"/>
          <w:color w:val="auto"/>
          <w:sz w:val="44"/>
          <w:szCs w:val="44"/>
          <w:highlight w:val="none"/>
        </w:rPr>
      </w:pPr>
    </w:p>
    <w:tbl>
      <w:tblPr>
        <w:tblStyle w:val="62"/>
        <w:tblW w:w="934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00"/>
        <w:gridCol w:w="1425"/>
        <w:gridCol w:w="2444"/>
        <w:gridCol w:w="27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4" w:hRule="atLeast"/>
          <w:jc w:val="center"/>
        </w:trPr>
        <w:tc>
          <w:tcPr>
            <w:tcW w:w="2700" w:type="dxa"/>
            <w:vAlign w:val="center"/>
          </w:tcPr>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金融机构各称</w:t>
            </w:r>
          </w:p>
        </w:tc>
        <w:tc>
          <w:tcPr>
            <w:tcW w:w="1425" w:type="dxa"/>
            <w:vAlign w:val="center"/>
          </w:tcPr>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联系人</w:t>
            </w:r>
          </w:p>
        </w:tc>
        <w:tc>
          <w:tcPr>
            <w:tcW w:w="2444" w:type="dxa"/>
            <w:vAlign w:val="center"/>
          </w:tcPr>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联系电话</w:t>
            </w:r>
          </w:p>
        </w:tc>
        <w:tc>
          <w:tcPr>
            <w:tcW w:w="2775" w:type="dxa"/>
            <w:vAlign w:val="center"/>
          </w:tcPr>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联系地址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9" w:hRule="atLeast"/>
          <w:jc w:val="center"/>
        </w:trPr>
        <w:tc>
          <w:tcPr>
            <w:tcW w:w="2700" w:type="dxa"/>
            <w:tcBorders>
              <w:bottom w:val="single" w:color="auto" w:sz="4" w:space="0"/>
            </w:tcBorders>
            <w:vAlign w:val="center"/>
          </w:tcPr>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南</w:t>
            </w:r>
            <w:r>
              <w:rPr>
                <w:rFonts w:hint="eastAsia" w:ascii="仿宋" w:hAnsi="仿宋" w:eastAsia="仿宋" w:cs="仿宋"/>
                <w:color w:val="auto"/>
                <w:sz w:val="28"/>
                <w:szCs w:val="28"/>
                <w:highlight w:val="none"/>
                <w:shd w:val="clear" w:color="auto" w:fill="FFFFFF"/>
              </w:rPr>
              <w:t>浔银行</w:t>
            </w:r>
          </w:p>
        </w:tc>
        <w:tc>
          <w:tcPr>
            <w:tcW w:w="1425" w:type="dxa"/>
            <w:tcBorders>
              <w:bottom w:val="single" w:color="auto" w:sz="4" w:space="0"/>
            </w:tcBorders>
            <w:vAlign w:val="center"/>
          </w:tcPr>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shd w:val="clear" w:color="auto" w:fill="FFFFFF"/>
              </w:rPr>
              <w:t>方薇</w:t>
            </w:r>
          </w:p>
        </w:tc>
        <w:tc>
          <w:tcPr>
            <w:tcW w:w="2444" w:type="dxa"/>
            <w:tcBorders>
              <w:bottom w:val="single" w:color="auto" w:sz="4" w:space="0"/>
            </w:tcBorders>
            <w:vAlign w:val="center"/>
          </w:tcPr>
          <w:p>
            <w:pPr>
              <w:jc w:val="center"/>
              <w:rPr>
                <w:rFonts w:hint="eastAsia" w:ascii="仿宋" w:hAnsi="仿宋" w:eastAsia="仿宋" w:cs="仿宋"/>
                <w:color w:val="auto"/>
                <w:sz w:val="28"/>
                <w:szCs w:val="28"/>
                <w:highlight w:val="none"/>
                <w:shd w:val="clear" w:color="auto" w:fill="FFFFFF"/>
              </w:rPr>
            </w:pPr>
            <w:r>
              <w:rPr>
                <w:rFonts w:hint="eastAsia" w:ascii="仿宋" w:hAnsi="仿宋" w:eastAsia="仿宋" w:cs="仿宋"/>
                <w:color w:val="auto"/>
                <w:sz w:val="28"/>
                <w:szCs w:val="28"/>
                <w:highlight w:val="none"/>
                <w:shd w:val="clear" w:color="auto" w:fill="FFFFFF"/>
              </w:rPr>
              <w:t>13868003773</w:t>
            </w:r>
          </w:p>
        </w:tc>
        <w:tc>
          <w:tcPr>
            <w:tcW w:w="2775" w:type="dxa"/>
            <w:tcBorders>
              <w:bottom w:val="single" w:color="auto" w:sz="4" w:space="0"/>
            </w:tcBorders>
            <w:vAlign w:val="center"/>
          </w:tcPr>
          <w:p>
            <w:pPr>
              <w:pStyle w:val="57"/>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城中街638号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3" w:hRule="atLeast"/>
          <w:jc w:val="center"/>
        </w:trPr>
        <w:tc>
          <w:tcPr>
            <w:tcW w:w="2700" w:type="dxa"/>
            <w:tcBorders>
              <w:top w:val="single" w:color="auto" w:sz="4" w:space="0"/>
              <w:bottom w:val="single" w:color="auto" w:sz="4" w:space="0"/>
            </w:tcBorders>
            <w:vAlign w:val="center"/>
          </w:tcPr>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浦发银行临安分行</w:t>
            </w:r>
          </w:p>
        </w:tc>
        <w:tc>
          <w:tcPr>
            <w:tcW w:w="1425" w:type="dxa"/>
            <w:tcBorders>
              <w:top w:val="single" w:color="auto" w:sz="4" w:space="0"/>
              <w:bottom w:val="single" w:color="auto" w:sz="4" w:space="0"/>
            </w:tcBorders>
            <w:vAlign w:val="center"/>
          </w:tcPr>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沈</w:t>
            </w:r>
            <w:r>
              <w:rPr>
                <w:rFonts w:hint="eastAsia" w:ascii="仿宋" w:hAnsi="仿宋" w:eastAsia="仿宋" w:cs="仿宋"/>
                <w:color w:val="auto"/>
                <w:sz w:val="28"/>
                <w:szCs w:val="28"/>
                <w:highlight w:val="none"/>
                <w:shd w:val="clear" w:color="auto" w:fill="FFFFFF"/>
              </w:rPr>
              <w:t>丹丹</w:t>
            </w:r>
          </w:p>
        </w:tc>
        <w:tc>
          <w:tcPr>
            <w:tcW w:w="2444" w:type="dxa"/>
            <w:tcBorders>
              <w:top w:val="single" w:color="auto" w:sz="4" w:space="0"/>
              <w:bottom w:val="single" w:color="auto" w:sz="4" w:space="0"/>
            </w:tcBorders>
            <w:vAlign w:val="center"/>
          </w:tcPr>
          <w:p>
            <w:pPr>
              <w:jc w:val="center"/>
              <w:rPr>
                <w:rFonts w:hint="eastAsia" w:ascii="仿宋" w:hAnsi="仿宋" w:eastAsia="仿宋" w:cs="仿宋"/>
                <w:color w:val="auto"/>
                <w:sz w:val="28"/>
                <w:szCs w:val="28"/>
                <w:highlight w:val="none"/>
                <w:shd w:val="clear" w:color="auto" w:fill="FFFFFF"/>
              </w:rPr>
            </w:pPr>
            <w:r>
              <w:rPr>
                <w:rFonts w:hint="eastAsia" w:ascii="仿宋" w:hAnsi="仿宋" w:eastAsia="仿宋" w:cs="仿宋"/>
                <w:color w:val="auto"/>
                <w:sz w:val="28"/>
                <w:szCs w:val="28"/>
                <w:highlight w:val="none"/>
                <w:shd w:val="clear" w:color="auto" w:fill="FFFFFF"/>
              </w:rPr>
              <w:t>61092936</w:t>
            </w:r>
          </w:p>
          <w:p>
            <w:pPr>
              <w:jc w:val="center"/>
              <w:rPr>
                <w:rFonts w:hint="eastAsia" w:ascii="仿宋" w:hAnsi="仿宋" w:eastAsia="仿宋" w:cs="仿宋"/>
                <w:color w:val="auto"/>
                <w:sz w:val="28"/>
                <w:szCs w:val="28"/>
                <w:highlight w:val="none"/>
                <w:shd w:val="clear" w:color="auto" w:fill="FFFFFF"/>
              </w:rPr>
            </w:pPr>
            <w:r>
              <w:rPr>
                <w:rFonts w:hint="eastAsia" w:ascii="仿宋" w:hAnsi="仿宋" w:eastAsia="仿宋" w:cs="仿宋"/>
                <w:color w:val="auto"/>
                <w:sz w:val="28"/>
                <w:szCs w:val="28"/>
                <w:highlight w:val="none"/>
                <w:shd w:val="clear" w:color="auto" w:fill="FFFFFF"/>
              </w:rPr>
              <w:t>13777851690</w:t>
            </w:r>
          </w:p>
        </w:tc>
        <w:tc>
          <w:tcPr>
            <w:tcW w:w="2775" w:type="dxa"/>
            <w:tcBorders>
              <w:top w:val="single" w:color="auto" w:sz="4" w:space="0"/>
              <w:bottom w:val="single" w:color="auto" w:sz="4" w:space="0"/>
            </w:tcBorders>
            <w:vAlign w:val="center"/>
          </w:tcPr>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钱王大街417号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7" w:hRule="atLeast"/>
          <w:jc w:val="center"/>
        </w:trPr>
        <w:tc>
          <w:tcPr>
            <w:tcW w:w="2700" w:type="dxa"/>
            <w:tcBorders>
              <w:top w:val="single" w:color="auto" w:sz="4" w:space="0"/>
              <w:bottom w:val="single" w:color="auto" w:sz="4" w:space="0"/>
            </w:tcBorders>
            <w:vAlign w:val="center"/>
          </w:tcPr>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shd w:val="clear" w:color="auto" w:fill="FFFFFF"/>
              </w:rPr>
              <w:t>杭州银行临安支行</w:t>
            </w:r>
          </w:p>
        </w:tc>
        <w:tc>
          <w:tcPr>
            <w:tcW w:w="1425" w:type="dxa"/>
            <w:tcBorders>
              <w:top w:val="single" w:color="auto" w:sz="4" w:space="0"/>
              <w:bottom w:val="single" w:color="auto" w:sz="4" w:space="0"/>
            </w:tcBorders>
            <w:vAlign w:val="center"/>
          </w:tcPr>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金林妹</w:t>
            </w:r>
          </w:p>
        </w:tc>
        <w:tc>
          <w:tcPr>
            <w:tcW w:w="2444" w:type="dxa"/>
            <w:tcBorders>
              <w:top w:val="single" w:color="auto" w:sz="4" w:space="0"/>
              <w:bottom w:val="single" w:color="auto" w:sz="4" w:space="0"/>
            </w:tcBorders>
            <w:vAlign w:val="center"/>
          </w:tcPr>
          <w:p>
            <w:pPr>
              <w:jc w:val="center"/>
              <w:rPr>
                <w:rFonts w:hint="eastAsia" w:ascii="仿宋" w:hAnsi="仿宋" w:eastAsia="仿宋" w:cs="仿宋"/>
                <w:color w:val="auto"/>
                <w:sz w:val="28"/>
                <w:szCs w:val="28"/>
                <w:highlight w:val="none"/>
                <w:shd w:val="clear" w:color="auto" w:fill="FFFFFF"/>
              </w:rPr>
            </w:pPr>
            <w:r>
              <w:rPr>
                <w:rFonts w:hint="eastAsia" w:ascii="仿宋" w:hAnsi="仿宋" w:eastAsia="仿宋" w:cs="仿宋"/>
                <w:color w:val="auto"/>
                <w:sz w:val="28"/>
                <w:szCs w:val="28"/>
                <w:highlight w:val="none"/>
                <w:shd w:val="clear" w:color="auto" w:fill="FFFFFF"/>
              </w:rPr>
              <w:t>13666638571</w:t>
            </w:r>
          </w:p>
        </w:tc>
        <w:tc>
          <w:tcPr>
            <w:tcW w:w="2775" w:type="dxa"/>
            <w:tcBorders>
              <w:top w:val="single" w:color="auto" w:sz="4" w:space="0"/>
              <w:bottom w:val="single" w:color="auto" w:sz="4" w:space="0"/>
            </w:tcBorders>
            <w:vAlign w:val="center"/>
          </w:tcPr>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万马路255号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2700" w:type="dxa"/>
            <w:tcBorders>
              <w:top w:val="single" w:color="auto" w:sz="4" w:space="0"/>
              <w:bottom w:val="single" w:color="auto" w:sz="4" w:space="0"/>
            </w:tcBorders>
            <w:vAlign w:val="center"/>
          </w:tcPr>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临安中信村镇银行</w:t>
            </w:r>
          </w:p>
        </w:tc>
        <w:tc>
          <w:tcPr>
            <w:tcW w:w="1425" w:type="dxa"/>
            <w:tcBorders>
              <w:top w:val="single" w:color="auto" w:sz="4" w:space="0"/>
              <w:bottom w:val="single" w:color="auto" w:sz="4" w:space="0"/>
            </w:tcBorders>
            <w:vAlign w:val="center"/>
          </w:tcPr>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吕祎</w:t>
            </w:r>
          </w:p>
        </w:tc>
        <w:tc>
          <w:tcPr>
            <w:tcW w:w="2444" w:type="dxa"/>
            <w:tcBorders>
              <w:top w:val="single" w:color="auto" w:sz="4" w:space="0"/>
              <w:bottom w:val="single" w:color="auto" w:sz="4" w:space="0"/>
            </w:tcBorders>
            <w:vAlign w:val="center"/>
          </w:tcPr>
          <w:p>
            <w:pPr>
              <w:jc w:val="center"/>
              <w:rPr>
                <w:rFonts w:hint="eastAsia" w:ascii="仿宋" w:hAnsi="仿宋" w:eastAsia="仿宋" w:cs="仿宋"/>
                <w:color w:val="auto"/>
                <w:sz w:val="28"/>
                <w:szCs w:val="28"/>
                <w:highlight w:val="none"/>
                <w:shd w:val="clear" w:color="auto" w:fill="FFFFFF"/>
              </w:rPr>
            </w:pPr>
            <w:r>
              <w:rPr>
                <w:rFonts w:hint="eastAsia" w:ascii="仿宋" w:hAnsi="仿宋" w:eastAsia="仿宋" w:cs="仿宋"/>
                <w:color w:val="auto"/>
                <w:sz w:val="28"/>
                <w:szCs w:val="28"/>
                <w:highlight w:val="none"/>
                <w:shd w:val="clear" w:color="auto" w:fill="FFFFFF"/>
              </w:rPr>
              <w:t>13787100002 61109033</w:t>
            </w:r>
          </w:p>
        </w:tc>
        <w:tc>
          <w:tcPr>
            <w:tcW w:w="2775" w:type="dxa"/>
            <w:tcBorders>
              <w:top w:val="single" w:color="auto" w:sz="4" w:space="0"/>
              <w:bottom w:val="single" w:color="auto" w:sz="4" w:space="0"/>
            </w:tcBorders>
            <w:vAlign w:val="center"/>
          </w:tcPr>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石镜街777号</w:t>
            </w:r>
          </w:p>
        </w:tc>
      </w:tr>
    </w:tbl>
    <w:p>
      <w:pPr>
        <w:pStyle w:val="2"/>
        <w:ind w:left="0" w:leftChars="0" w:firstLine="0" w:firstLineChars="0"/>
        <w:rPr>
          <w:rFonts w:hint="eastAsia"/>
        </w:rPr>
      </w:pPr>
    </w:p>
    <w:p>
      <w:pPr>
        <w:spacing w:line="360" w:lineRule="auto"/>
        <w:rPr>
          <w:rFonts w:hint="eastAsia" w:ascii="宋体" w:hAnsi="宋体" w:eastAsia="宋体" w:cs="宋体"/>
          <w:bCs/>
          <w:sz w:val="24"/>
        </w:rPr>
      </w:pPr>
    </w:p>
    <w:sectPr>
      <w:pgSz w:w="11906" w:h="16838"/>
      <w:pgMar w:top="1077" w:right="1020" w:bottom="1077" w:left="1020"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decorative"/>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altName w:val="宋体"/>
    <w:panose1 w:val="00000000000000000000"/>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Lucida Sans Unicode">
    <w:panose1 w:val="020B0602030504020204"/>
    <w:charset w:val="00"/>
    <w:family w:val="auto"/>
    <w:pitch w:val="default"/>
    <w:sig w:usb0="80001AFF" w:usb1="0000396B" w:usb2="00000000" w:usb3="00000000" w:csb0="200000BF" w:csb1="D7F7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Arial Unicode MS"/>
    <w:panose1 w:val="00000000000000000000"/>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919" w:name="_Toc164085800"/>
    <w:bookmarkStart w:id="920" w:name="_Toc36110187"/>
    <w:bookmarkStart w:id="921" w:name="_Toc91899912"/>
    <w:bookmarkStart w:id="922" w:name="_Toc131845147"/>
    <w:r>
      <w:rPr>
        <w:rFonts w:hint="eastAsia" w:ascii="仿宋_GB2312" w:eastAsia="仿宋_GB2312"/>
        <w:kern w:val="0"/>
        <w:szCs w:val="21"/>
      </w:rPr>
      <w:t xml:space="preserve"> 页</w:t>
    </w:r>
    <w:bookmarkEnd w:id="919"/>
    <w:bookmarkEnd w:id="920"/>
    <w:bookmarkEnd w:id="921"/>
    <w:bookmarkEnd w:id="92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4" w:space="4"/>
      </w:pBdr>
      <w:jc w:val="center"/>
      <w:rPr>
        <w:rFonts w:ascii="仿宋_GB2312" w:eastAsia="仿宋_GB2312"/>
        <w:b w:val="0"/>
        <w:i/>
        <w:sz w:val="18"/>
        <w:u w:val="single"/>
        <w:lang w:val="en-US"/>
      </w:rPr>
    </w:pPr>
    <w:r>
      <w:rPr>
        <w:rFonts w:hint="eastAsia"/>
      </w:rPr>
      <w:t>龙岗污水处理厂提标改造工程——设备工程</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pPr>
    <w:r>
      <w:rPr>
        <w:rFonts w:hint="eastAsia"/>
      </w:rPr>
      <w:t>龙岗污水处理厂提标改造工程——设备工程</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4" w:space="0"/>
      </w:pBdr>
      <w:tabs>
        <w:tab w:val="center" w:pos="4535"/>
        <w:tab w:val="right" w:pos="9070"/>
        <w:tab w:val="clear" w:pos="4153"/>
        <w:tab w:val="clear" w:pos="8306"/>
      </w:tabs>
      <w:jc w:val="center"/>
    </w:pPr>
    <w:r>
      <w:rPr>
        <w:lang w:val="zh-CN"/>
      </w:rPr>
      <w:t></w:t>
    </w:r>
    <w:r>
      <w:rPr>
        <w:rFonts w:hint="eastAsia"/>
        <w:lang w:val="zh-CN"/>
      </w:rPr>
      <w:t>龙岗污水处理厂提标改造工程——设备工程</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b/>
        <w:i/>
        <w:u w:val="single"/>
      </w:rPr>
    </w:pPr>
    <w:r>
      <w:rPr>
        <w:rFonts w:hint="eastAsia"/>
      </w:rPr>
      <w:t>龙岗污水处理厂提标改造工程——设备工程</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4" w:space="1"/>
      </w:pBdr>
      <w:jc w:val="center"/>
    </w:pPr>
    <w:r>
      <w:rPr>
        <w:rFonts w:hint="eastAsia"/>
      </w:rPr>
      <w:t>龙岗污水处理厂提标改造工程——设备工程</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center"/>
      <w:rPr>
        <w:rFonts w:ascii="仿宋_GB2312" w:eastAsia="仿宋_GB2312"/>
        <w:b/>
        <w:i/>
        <w:sz w:val="18"/>
        <w:szCs w:val="18"/>
        <w:u w:val="single"/>
      </w:rPr>
    </w:pPr>
    <w:r>
      <w:rPr>
        <w:rFonts w:hint="eastAsia"/>
        <w:sz w:val="18"/>
        <w:szCs w:val="18"/>
      </w:rPr>
      <w:t>龙岗污水处理厂提标改造工程——设备工程</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rPr>
        <w:rFonts w:hint="eastAsia"/>
      </w:rPr>
      <w:t>龙岗污水处理厂提标改造工程——设备工程</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hint="eastAsia"/>
      </w:rPr>
    </w:pPr>
    <w:r>
      <w:rPr>
        <w:rFonts w:hint="eastAsia"/>
      </w:rPr>
      <w:t>龙岗污水处理厂提标改造工程——设备工程</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b/>
        <w:i/>
        <w:iCs/>
        <w:u w:val="single"/>
      </w:rPr>
    </w:pPr>
    <w:r>
      <w:t></w:t>
    </w:r>
    <w:r>
      <w:rPr>
        <w:rFonts w:hint="eastAsia"/>
      </w:rPr>
      <w:t>龙岗污水处理厂提标改造工程——设备工程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FF9BD9"/>
    <w:multiLevelType w:val="singleLevel"/>
    <w:tmpl w:val="B3FF9BD9"/>
    <w:lvl w:ilvl="0" w:tentative="0">
      <w:start w:val="1"/>
      <w:numFmt w:val="chineseCounting"/>
      <w:suff w:val="nothing"/>
      <w:lvlText w:val="%1、"/>
      <w:lvlJc w:val="left"/>
      <w:rPr>
        <w:rFonts w:hint="eastAsia"/>
      </w:rPr>
    </w:lvl>
  </w:abstractNum>
  <w:abstractNum w:abstractNumId="1">
    <w:nsid w:val="15DD67F5"/>
    <w:multiLevelType w:val="singleLevel"/>
    <w:tmpl w:val="15DD67F5"/>
    <w:lvl w:ilvl="0" w:tentative="0">
      <w:start w:val="2"/>
      <w:numFmt w:val="chineseCounting"/>
      <w:suff w:val="nothing"/>
      <w:lvlText w:val="%1、"/>
      <w:lvlJc w:val="left"/>
      <w:rPr>
        <w:rFonts w:hint="eastAsia"/>
      </w:rPr>
    </w:lvl>
  </w:abstractNum>
  <w:abstractNum w:abstractNumId="2">
    <w:nsid w:val="2795CAEE"/>
    <w:multiLevelType w:val="singleLevel"/>
    <w:tmpl w:val="2795CAEE"/>
    <w:lvl w:ilvl="0" w:tentative="0">
      <w:start w:val="1"/>
      <w:numFmt w:val="chineseCounting"/>
      <w:suff w:val="space"/>
      <w:lvlText w:val="%1、"/>
      <w:lvlJc w:val="left"/>
      <w:rPr>
        <w:rFonts w:hint="eastAsia"/>
      </w:rPr>
    </w:lvl>
  </w:abstractNum>
  <w:abstractNum w:abstractNumId="3">
    <w:nsid w:val="64777EAC"/>
    <w:multiLevelType w:val="singleLevel"/>
    <w:tmpl w:val="64777EAC"/>
    <w:lvl w:ilvl="0" w:tentative="0">
      <w:start w:val="4"/>
      <w:numFmt w:val="decimal"/>
      <w:suff w:val="nothing"/>
      <w:lvlText w:val="%1、"/>
      <w:lvlJc w:val="left"/>
    </w:lvl>
  </w:abstractNum>
  <w:abstractNum w:abstractNumId="4">
    <w:nsid w:val="7251F2DD"/>
    <w:multiLevelType w:val="singleLevel"/>
    <w:tmpl w:val="7251F2DD"/>
    <w:lvl w:ilvl="0" w:tentative="0">
      <w:start w:val="1"/>
      <w:numFmt w:val="decimal"/>
      <w:suff w:val="nothing"/>
      <w:lvlText w:val="（%1）"/>
      <w:lvlJc w:val="left"/>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jZmNiMmI0ZWFlNTgwZjIwNzA4M2ZmMGQ1Yzg3YzQ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026"/>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207238"/>
    <w:rsid w:val="023870D5"/>
    <w:rsid w:val="025612CA"/>
    <w:rsid w:val="026B2E25"/>
    <w:rsid w:val="02824D4D"/>
    <w:rsid w:val="02DC4B10"/>
    <w:rsid w:val="02DD76CE"/>
    <w:rsid w:val="02F36323"/>
    <w:rsid w:val="02F5619C"/>
    <w:rsid w:val="0326446A"/>
    <w:rsid w:val="032D5555"/>
    <w:rsid w:val="036634D2"/>
    <w:rsid w:val="03CA0201"/>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6F17EB"/>
    <w:rsid w:val="0779354C"/>
    <w:rsid w:val="08061376"/>
    <w:rsid w:val="08452D77"/>
    <w:rsid w:val="086401F8"/>
    <w:rsid w:val="08751CAA"/>
    <w:rsid w:val="087E4C40"/>
    <w:rsid w:val="08A632D3"/>
    <w:rsid w:val="08D0310D"/>
    <w:rsid w:val="08D66AD6"/>
    <w:rsid w:val="08DA33A3"/>
    <w:rsid w:val="08E80F13"/>
    <w:rsid w:val="09335624"/>
    <w:rsid w:val="09435C2C"/>
    <w:rsid w:val="0944690F"/>
    <w:rsid w:val="09535675"/>
    <w:rsid w:val="095F057D"/>
    <w:rsid w:val="09642282"/>
    <w:rsid w:val="09733572"/>
    <w:rsid w:val="09772C16"/>
    <w:rsid w:val="097D1872"/>
    <w:rsid w:val="098353B5"/>
    <w:rsid w:val="09A92330"/>
    <w:rsid w:val="09B06B87"/>
    <w:rsid w:val="09C13146"/>
    <w:rsid w:val="09E04166"/>
    <w:rsid w:val="0A1C0718"/>
    <w:rsid w:val="0A3E7710"/>
    <w:rsid w:val="0A5B7E63"/>
    <w:rsid w:val="0AA374A5"/>
    <w:rsid w:val="0AAB7649"/>
    <w:rsid w:val="0ABC5606"/>
    <w:rsid w:val="0B30404E"/>
    <w:rsid w:val="0B4C6C14"/>
    <w:rsid w:val="0B631A88"/>
    <w:rsid w:val="0B683D45"/>
    <w:rsid w:val="0B7F3F11"/>
    <w:rsid w:val="0B884417"/>
    <w:rsid w:val="0BD657B4"/>
    <w:rsid w:val="0BF6188C"/>
    <w:rsid w:val="0BF73C91"/>
    <w:rsid w:val="0C170175"/>
    <w:rsid w:val="0C2A3F33"/>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7877FA"/>
    <w:rsid w:val="0E9D0089"/>
    <w:rsid w:val="0EB803EE"/>
    <w:rsid w:val="0EF94D4B"/>
    <w:rsid w:val="0F4958DC"/>
    <w:rsid w:val="0F515DF7"/>
    <w:rsid w:val="0F596BA8"/>
    <w:rsid w:val="0F6248D2"/>
    <w:rsid w:val="0F693536"/>
    <w:rsid w:val="0F7B0511"/>
    <w:rsid w:val="0F7B76D9"/>
    <w:rsid w:val="0F816ACD"/>
    <w:rsid w:val="0F9832DB"/>
    <w:rsid w:val="0FBF3FD2"/>
    <w:rsid w:val="0FBF7FF3"/>
    <w:rsid w:val="0FD60CF8"/>
    <w:rsid w:val="10646583"/>
    <w:rsid w:val="107D4B15"/>
    <w:rsid w:val="108A3C80"/>
    <w:rsid w:val="10C26171"/>
    <w:rsid w:val="10F33360"/>
    <w:rsid w:val="10FC16EA"/>
    <w:rsid w:val="110F1D40"/>
    <w:rsid w:val="11266F33"/>
    <w:rsid w:val="118963A1"/>
    <w:rsid w:val="11C6522A"/>
    <w:rsid w:val="11E104CC"/>
    <w:rsid w:val="11E20309"/>
    <w:rsid w:val="12255233"/>
    <w:rsid w:val="122B27B2"/>
    <w:rsid w:val="12530213"/>
    <w:rsid w:val="127723A9"/>
    <w:rsid w:val="12862074"/>
    <w:rsid w:val="12883966"/>
    <w:rsid w:val="129E45B4"/>
    <w:rsid w:val="12D81596"/>
    <w:rsid w:val="12E110C3"/>
    <w:rsid w:val="13072A44"/>
    <w:rsid w:val="135F4BE2"/>
    <w:rsid w:val="139B1A0A"/>
    <w:rsid w:val="139D25C7"/>
    <w:rsid w:val="13BF3CE4"/>
    <w:rsid w:val="13C16461"/>
    <w:rsid w:val="141008D8"/>
    <w:rsid w:val="14125FE6"/>
    <w:rsid w:val="146D271E"/>
    <w:rsid w:val="14982588"/>
    <w:rsid w:val="149A5AD9"/>
    <w:rsid w:val="14A7619D"/>
    <w:rsid w:val="150536C3"/>
    <w:rsid w:val="150C1963"/>
    <w:rsid w:val="151447A0"/>
    <w:rsid w:val="154A6454"/>
    <w:rsid w:val="15762120"/>
    <w:rsid w:val="157E7817"/>
    <w:rsid w:val="16A8729C"/>
    <w:rsid w:val="16B33777"/>
    <w:rsid w:val="16BC70A7"/>
    <w:rsid w:val="16C6339E"/>
    <w:rsid w:val="172F2D79"/>
    <w:rsid w:val="17557BEF"/>
    <w:rsid w:val="17D26762"/>
    <w:rsid w:val="17D349C1"/>
    <w:rsid w:val="1830729E"/>
    <w:rsid w:val="1870062C"/>
    <w:rsid w:val="18817102"/>
    <w:rsid w:val="18830A15"/>
    <w:rsid w:val="18852B28"/>
    <w:rsid w:val="188B5321"/>
    <w:rsid w:val="191D7F9E"/>
    <w:rsid w:val="192817FA"/>
    <w:rsid w:val="19932372"/>
    <w:rsid w:val="19A20DD5"/>
    <w:rsid w:val="19AE03F1"/>
    <w:rsid w:val="19C44917"/>
    <w:rsid w:val="1A071A03"/>
    <w:rsid w:val="1A1F16AE"/>
    <w:rsid w:val="1A3B5C77"/>
    <w:rsid w:val="1A984BAD"/>
    <w:rsid w:val="1AB8220E"/>
    <w:rsid w:val="1AE4166C"/>
    <w:rsid w:val="1AF06CFB"/>
    <w:rsid w:val="1AF11B8D"/>
    <w:rsid w:val="1B11359C"/>
    <w:rsid w:val="1B2A271F"/>
    <w:rsid w:val="1B395C34"/>
    <w:rsid w:val="1B530544"/>
    <w:rsid w:val="1B713184"/>
    <w:rsid w:val="1BA209CF"/>
    <w:rsid w:val="1BB4777D"/>
    <w:rsid w:val="1BD75AB8"/>
    <w:rsid w:val="1C0459C2"/>
    <w:rsid w:val="1C1B3B4A"/>
    <w:rsid w:val="1C566E7F"/>
    <w:rsid w:val="1C88086E"/>
    <w:rsid w:val="1D266CE1"/>
    <w:rsid w:val="1D365E56"/>
    <w:rsid w:val="1D3963AF"/>
    <w:rsid w:val="1D6A673C"/>
    <w:rsid w:val="1D9247AE"/>
    <w:rsid w:val="1D9A3602"/>
    <w:rsid w:val="1DB567EC"/>
    <w:rsid w:val="1DEF0B38"/>
    <w:rsid w:val="1DF51A98"/>
    <w:rsid w:val="1E3D060F"/>
    <w:rsid w:val="1E3F7D2E"/>
    <w:rsid w:val="1E4134E4"/>
    <w:rsid w:val="1E5062B3"/>
    <w:rsid w:val="1E523514"/>
    <w:rsid w:val="1E714A66"/>
    <w:rsid w:val="1E761259"/>
    <w:rsid w:val="1E802593"/>
    <w:rsid w:val="1EA703CC"/>
    <w:rsid w:val="1EB7330C"/>
    <w:rsid w:val="1F0A0FF3"/>
    <w:rsid w:val="1F3C1B5B"/>
    <w:rsid w:val="1F5771FF"/>
    <w:rsid w:val="1FE868A9"/>
    <w:rsid w:val="1FF422D5"/>
    <w:rsid w:val="20034907"/>
    <w:rsid w:val="20173E4B"/>
    <w:rsid w:val="204E48BC"/>
    <w:rsid w:val="208921B3"/>
    <w:rsid w:val="20973DEB"/>
    <w:rsid w:val="20B26522"/>
    <w:rsid w:val="20B44310"/>
    <w:rsid w:val="211116EB"/>
    <w:rsid w:val="216133FC"/>
    <w:rsid w:val="21795FCB"/>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217736"/>
    <w:rsid w:val="258B00E2"/>
    <w:rsid w:val="25A917A6"/>
    <w:rsid w:val="25BE27CC"/>
    <w:rsid w:val="25F74A5C"/>
    <w:rsid w:val="2628662C"/>
    <w:rsid w:val="262D45DE"/>
    <w:rsid w:val="26A53EF9"/>
    <w:rsid w:val="26A94201"/>
    <w:rsid w:val="26AC274F"/>
    <w:rsid w:val="26D17231"/>
    <w:rsid w:val="27044A29"/>
    <w:rsid w:val="271D34C8"/>
    <w:rsid w:val="272C1F8B"/>
    <w:rsid w:val="276142BF"/>
    <w:rsid w:val="27783712"/>
    <w:rsid w:val="27907362"/>
    <w:rsid w:val="279473FE"/>
    <w:rsid w:val="27F1579C"/>
    <w:rsid w:val="281B76B8"/>
    <w:rsid w:val="28333E1D"/>
    <w:rsid w:val="28454BD6"/>
    <w:rsid w:val="28455253"/>
    <w:rsid w:val="28551971"/>
    <w:rsid w:val="285B1C53"/>
    <w:rsid w:val="28836A4D"/>
    <w:rsid w:val="289F7086"/>
    <w:rsid w:val="28C32028"/>
    <w:rsid w:val="28CC490F"/>
    <w:rsid w:val="28DE40AA"/>
    <w:rsid w:val="28F355C4"/>
    <w:rsid w:val="29001E4B"/>
    <w:rsid w:val="29345E77"/>
    <w:rsid w:val="294C65AD"/>
    <w:rsid w:val="29806583"/>
    <w:rsid w:val="298B3C4C"/>
    <w:rsid w:val="29F26D24"/>
    <w:rsid w:val="2A15033F"/>
    <w:rsid w:val="2A1662C1"/>
    <w:rsid w:val="2A1C7367"/>
    <w:rsid w:val="2A2815FA"/>
    <w:rsid w:val="2A6D6092"/>
    <w:rsid w:val="2A7D76B4"/>
    <w:rsid w:val="2B437463"/>
    <w:rsid w:val="2B7807EE"/>
    <w:rsid w:val="2BBF00EC"/>
    <w:rsid w:val="2BC37CFD"/>
    <w:rsid w:val="2BD5237F"/>
    <w:rsid w:val="2BE536CE"/>
    <w:rsid w:val="2BE758D9"/>
    <w:rsid w:val="2C09049E"/>
    <w:rsid w:val="2C0A653C"/>
    <w:rsid w:val="2C191F85"/>
    <w:rsid w:val="2CE82D6F"/>
    <w:rsid w:val="2D337750"/>
    <w:rsid w:val="2D343236"/>
    <w:rsid w:val="2DD15014"/>
    <w:rsid w:val="2DF72DE4"/>
    <w:rsid w:val="2E0220AF"/>
    <w:rsid w:val="2E4B082A"/>
    <w:rsid w:val="2E5D4E86"/>
    <w:rsid w:val="2E5D790B"/>
    <w:rsid w:val="2E9A3C18"/>
    <w:rsid w:val="2EBB0FEE"/>
    <w:rsid w:val="2EC63002"/>
    <w:rsid w:val="2F0A6B38"/>
    <w:rsid w:val="2F946CCB"/>
    <w:rsid w:val="2FD25781"/>
    <w:rsid w:val="2FFD7934"/>
    <w:rsid w:val="30733ACD"/>
    <w:rsid w:val="308C3862"/>
    <w:rsid w:val="309379D8"/>
    <w:rsid w:val="30A270F7"/>
    <w:rsid w:val="30DF1478"/>
    <w:rsid w:val="30EC586F"/>
    <w:rsid w:val="3119173D"/>
    <w:rsid w:val="316B62D0"/>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B1D46"/>
    <w:rsid w:val="342E63AB"/>
    <w:rsid w:val="34950E68"/>
    <w:rsid w:val="34986E94"/>
    <w:rsid w:val="34AF62C9"/>
    <w:rsid w:val="34CB4388"/>
    <w:rsid w:val="34CC52D7"/>
    <w:rsid w:val="34FA6E12"/>
    <w:rsid w:val="35845BB2"/>
    <w:rsid w:val="358D5588"/>
    <w:rsid w:val="363A3B40"/>
    <w:rsid w:val="365302AE"/>
    <w:rsid w:val="36607A0A"/>
    <w:rsid w:val="366E227C"/>
    <w:rsid w:val="366F2E0D"/>
    <w:rsid w:val="3674681F"/>
    <w:rsid w:val="367B6A5C"/>
    <w:rsid w:val="36A74ADA"/>
    <w:rsid w:val="36AD60D5"/>
    <w:rsid w:val="36B224F9"/>
    <w:rsid w:val="36E9763F"/>
    <w:rsid w:val="36EC0CC9"/>
    <w:rsid w:val="373F410B"/>
    <w:rsid w:val="37521A1A"/>
    <w:rsid w:val="37EE7094"/>
    <w:rsid w:val="38296C89"/>
    <w:rsid w:val="383002EB"/>
    <w:rsid w:val="383513E6"/>
    <w:rsid w:val="38586797"/>
    <w:rsid w:val="38BC0149"/>
    <w:rsid w:val="38D87D1C"/>
    <w:rsid w:val="39636459"/>
    <w:rsid w:val="396B7F6C"/>
    <w:rsid w:val="398B4D6E"/>
    <w:rsid w:val="39B417A9"/>
    <w:rsid w:val="39DE7F87"/>
    <w:rsid w:val="39FC5695"/>
    <w:rsid w:val="3A006D8E"/>
    <w:rsid w:val="3A3651E5"/>
    <w:rsid w:val="3A744481"/>
    <w:rsid w:val="3A7A0A1C"/>
    <w:rsid w:val="3A8C7BEF"/>
    <w:rsid w:val="3A906246"/>
    <w:rsid w:val="3B2349B7"/>
    <w:rsid w:val="3B616CFF"/>
    <w:rsid w:val="3B6259F6"/>
    <w:rsid w:val="3B976654"/>
    <w:rsid w:val="3BA76330"/>
    <w:rsid w:val="3BC01EFC"/>
    <w:rsid w:val="3BCA786A"/>
    <w:rsid w:val="3BD31E2F"/>
    <w:rsid w:val="3BF15831"/>
    <w:rsid w:val="3C105946"/>
    <w:rsid w:val="3C45158A"/>
    <w:rsid w:val="3C471448"/>
    <w:rsid w:val="3C5F759A"/>
    <w:rsid w:val="3C6C525A"/>
    <w:rsid w:val="3CCE23CB"/>
    <w:rsid w:val="3CD17D17"/>
    <w:rsid w:val="3D3C7F39"/>
    <w:rsid w:val="3D440F09"/>
    <w:rsid w:val="3D4504A0"/>
    <w:rsid w:val="3D496EB4"/>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ECE4DF0"/>
    <w:rsid w:val="3F060E16"/>
    <w:rsid w:val="3F1D1096"/>
    <w:rsid w:val="3F2F0234"/>
    <w:rsid w:val="3F6363FE"/>
    <w:rsid w:val="3F6A5E19"/>
    <w:rsid w:val="3F756B8F"/>
    <w:rsid w:val="3F95482B"/>
    <w:rsid w:val="4019356B"/>
    <w:rsid w:val="40592157"/>
    <w:rsid w:val="406E1CAE"/>
    <w:rsid w:val="40A0133A"/>
    <w:rsid w:val="40C31A53"/>
    <w:rsid w:val="40FF545D"/>
    <w:rsid w:val="410067C8"/>
    <w:rsid w:val="41210759"/>
    <w:rsid w:val="418F0D2A"/>
    <w:rsid w:val="41D01505"/>
    <w:rsid w:val="42474939"/>
    <w:rsid w:val="424C3C57"/>
    <w:rsid w:val="42613FF3"/>
    <w:rsid w:val="42660D96"/>
    <w:rsid w:val="428667D2"/>
    <w:rsid w:val="42CD1CE0"/>
    <w:rsid w:val="42E11043"/>
    <w:rsid w:val="42E1381E"/>
    <w:rsid w:val="42E64850"/>
    <w:rsid w:val="42ED6459"/>
    <w:rsid w:val="42FE58DD"/>
    <w:rsid w:val="43174B3D"/>
    <w:rsid w:val="434B790E"/>
    <w:rsid w:val="4360274F"/>
    <w:rsid w:val="43977AB6"/>
    <w:rsid w:val="43A3342B"/>
    <w:rsid w:val="43C77C27"/>
    <w:rsid w:val="43CF0940"/>
    <w:rsid w:val="43DE09EE"/>
    <w:rsid w:val="44002FAD"/>
    <w:rsid w:val="444D54F0"/>
    <w:rsid w:val="449101DD"/>
    <w:rsid w:val="44DE1391"/>
    <w:rsid w:val="451B225C"/>
    <w:rsid w:val="452410C9"/>
    <w:rsid w:val="45317DFB"/>
    <w:rsid w:val="454A5318"/>
    <w:rsid w:val="456D3CE4"/>
    <w:rsid w:val="4579042C"/>
    <w:rsid w:val="457F0571"/>
    <w:rsid w:val="45851176"/>
    <w:rsid w:val="45927E77"/>
    <w:rsid w:val="45A54224"/>
    <w:rsid w:val="45C63B94"/>
    <w:rsid w:val="460D5750"/>
    <w:rsid w:val="460E7DA5"/>
    <w:rsid w:val="46422483"/>
    <w:rsid w:val="4659254A"/>
    <w:rsid w:val="465B0637"/>
    <w:rsid w:val="465E3F0D"/>
    <w:rsid w:val="466A16E6"/>
    <w:rsid w:val="46893F2B"/>
    <w:rsid w:val="46C4686E"/>
    <w:rsid w:val="46C73B51"/>
    <w:rsid w:val="47255440"/>
    <w:rsid w:val="477B778F"/>
    <w:rsid w:val="478203EC"/>
    <w:rsid w:val="47B025FA"/>
    <w:rsid w:val="4809698F"/>
    <w:rsid w:val="4811697D"/>
    <w:rsid w:val="48314A22"/>
    <w:rsid w:val="487A3E25"/>
    <w:rsid w:val="48825891"/>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3C10C7"/>
    <w:rsid w:val="4B707271"/>
    <w:rsid w:val="4B9739F7"/>
    <w:rsid w:val="4BEE2503"/>
    <w:rsid w:val="4C245A30"/>
    <w:rsid w:val="4CB6685F"/>
    <w:rsid w:val="4CC367FE"/>
    <w:rsid w:val="4D077F3C"/>
    <w:rsid w:val="4D123355"/>
    <w:rsid w:val="4D2A3B31"/>
    <w:rsid w:val="4D312C52"/>
    <w:rsid w:val="4D785452"/>
    <w:rsid w:val="4D905305"/>
    <w:rsid w:val="4D964A72"/>
    <w:rsid w:val="4D9C1254"/>
    <w:rsid w:val="4DF41C64"/>
    <w:rsid w:val="4E793892"/>
    <w:rsid w:val="4E800872"/>
    <w:rsid w:val="4EC569ED"/>
    <w:rsid w:val="4ED50EA1"/>
    <w:rsid w:val="4EDE5BC3"/>
    <w:rsid w:val="4EEC050C"/>
    <w:rsid w:val="4F104EC3"/>
    <w:rsid w:val="4F47354A"/>
    <w:rsid w:val="4F911C54"/>
    <w:rsid w:val="4FE625E0"/>
    <w:rsid w:val="5021480F"/>
    <w:rsid w:val="50962ECB"/>
    <w:rsid w:val="50A42E38"/>
    <w:rsid w:val="50A4577F"/>
    <w:rsid w:val="50B73D1F"/>
    <w:rsid w:val="50BD5BC9"/>
    <w:rsid w:val="50C11EEE"/>
    <w:rsid w:val="50C92078"/>
    <w:rsid w:val="50E97CFC"/>
    <w:rsid w:val="50FA4028"/>
    <w:rsid w:val="510D65B7"/>
    <w:rsid w:val="511157AB"/>
    <w:rsid w:val="5142540C"/>
    <w:rsid w:val="518832C8"/>
    <w:rsid w:val="51A0432A"/>
    <w:rsid w:val="51A86090"/>
    <w:rsid w:val="51B7396D"/>
    <w:rsid w:val="522E4CC3"/>
    <w:rsid w:val="523621EC"/>
    <w:rsid w:val="5244713B"/>
    <w:rsid w:val="52615633"/>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CC4CE0"/>
    <w:rsid w:val="55DC29B6"/>
    <w:rsid w:val="55DD4241"/>
    <w:rsid w:val="55F8212E"/>
    <w:rsid w:val="56222D48"/>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1482F"/>
    <w:rsid w:val="57D675AB"/>
    <w:rsid w:val="57D95FDD"/>
    <w:rsid w:val="582E3475"/>
    <w:rsid w:val="58917D2F"/>
    <w:rsid w:val="5894085C"/>
    <w:rsid w:val="58AE4F0C"/>
    <w:rsid w:val="58B85899"/>
    <w:rsid w:val="58E363A9"/>
    <w:rsid w:val="595E1678"/>
    <w:rsid w:val="596D5BD4"/>
    <w:rsid w:val="59771406"/>
    <w:rsid w:val="597E3DD8"/>
    <w:rsid w:val="59F80043"/>
    <w:rsid w:val="5A09252F"/>
    <w:rsid w:val="5A0B2778"/>
    <w:rsid w:val="5A174F19"/>
    <w:rsid w:val="5A2A7C7B"/>
    <w:rsid w:val="5A3E2560"/>
    <w:rsid w:val="5A5D3B6E"/>
    <w:rsid w:val="5A637A76"/>
    <w:rsid w:val="5A6D33BA"/>
    <w:rsid w:val="5A792B1F"/>
    <w:rsid w:val="5A820063"/>
    <w:rsid w:val="5A874767"/>
    <w:rsid w:val="5AAD6F28"/>
    <w:rsid w:val="5AD63A24"/>
    <w:rsid w:val="5B2E1A1D"/>
    <w:rsid w:val="5B843A1C"/>
    <w:rsid w:val="5B873E3F"/>
    <w:rsid w:val="5C02690E"/>
    <w:rsid w:val="5C196DA7"/>
    <w:rsid w:val="5C2A048C"/>
    <w:rsid w:val="5C5654C3"/>
    <w:rsid w:val="5C80234E"/>
    <w:rsid w:val="5C8A680C"/>
    <w:rsid w:val="5CAB1AF3"/>
    <w:rsid w:val="5D0C4701"/>
    <w:rsid w:val="5D0F0395"/>
    <w:rsid w:val="5D221076"/>
    <w:rsid w:val="5D397964"/>
    <w:rsid w:val="5D5A0E23"/>
    <w:rsid w:val="5D5A391C"/>
    <w:rsid w:val="5D5F10C0"/>
    <w:rsid w:val="5D891B7B"/>
    <w:rsid w:val="5DAD38EE"/>
    <w:rsid w:val="5E006862"/>
    <w:rsid w:val="5E0207B9"/>
    <w:rsid w:val="5E1834A1"/>
    <w:rsid w:val="5E261785"/>
    <w:rsid w:val="5E337FF2"/>
    <w:rsid w:val="5E4A7017"/>
    <w:rsid w:val="5E552BBA"/>
    <w:rsid w:val="5E611C10"/>
    <w:rsid w:val="5EFC7377"/>
    <w:rsid w:val="5F06174D"/>
    <w:rsid w:val="5F3A3602"/>
    <w:rsid w:val="5F6277C6"/>
    <w:rsid w:val="5F6D0B1D"/>
    <w:rsid w:val="5F8D0B82"/>
    <w:rsid w:val="5FCC5339"/>
    <w:rsid w:val="5FE34A5B"/>
    <w:rsid w:val="5FFE1E36"/>
    <w:rsid w:val="60083B32"/>
    <w:rsid w:val="60232584"/>
    <w:rsid w:val="607330CE"/>
    <w:rsid w:val="60825176"/>
    <w:rsid w:val="609F2AC4"/>
    <w:rsid w:val="60A93E66"/>
    <w:rsid w:val="60FA2EE8"/>
    <w:rsid w:val="61054A27"/>
    <w:rsid w:val="610A52BC"/>
    <w:rsid w:val="611D2366"/>
    <w:rsid w:val="61421856"/>
    <w:rsid w:val="614C5166"/>
    <w:rsid w:val="615227C4"/>
    <w:rsid w:val="61654E3F"/>
    <w:rsid w:val="6182292A"/>
    <w:rsid w:val="619F7F92"/>
    <w:rsid w:val="61F94C26"/>
    <w:rsid w:val="62000E56"/>
    <w:rsid w:val="624F3E49"/>
    <w:rsid w:val="62632286"/>
    <w:rsid w:val="62885958"/>
    <w:rsid w:val="62F40B65"/>
    <w:rsid w:val="62FB6C04"/>
    <w:rsid w:val="62FC2CFE"/>
    <w:rsid w:val="63024505"/>
    <w:rsid w:val="635B1DB5"/>
    <w:rsid w:val="63711FED"/>
    <w:rsid w:val="63880DDC"/>
    <w:rsid w:val="638D750D"/>
    <w:rsid w:val="63AC6CC0"/>
    <w:rsid w:val="64055776"/>
    <w:rsid w:val="64240056"/>
    <w:rsid w:val="643E143A"/>
    <w:rsid w:val="648B6EEF"/>
    <w:rsid w:val="64C158BF"/>
    <w:rsid w:val="64CE2EAA"/>
    <w:rsid w:val="653C3090"/>
    <w:rsid w:val="65854376"/>
    <w:rsid w:val="658767BE"/>
    <w:rsid w:val="65892531"/>
    <w:rsid w:val="659902E5"/>
    <w:rsid w:val="66195831"/>
    <w:rsid w:val="662E75B1"/>
    <w:rsid w:val="66342C2E"/>
    <w:rsid w:val="663E784C"/>
    <w:rsid w:val="668B6A45"/>
    <w:rsid w:val="672F3F24"/>
    <w:rsid w:val="673E055F"/>
    <w:rsid w:val="674160EB"/>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CF0917"/>
    <w:rsid w:val="68E937A3"/>
    <w:rsid w:val="693E15D3"/>
    <w:rsid w:val="694A15CE"/>
    <w:rsid w:val="69627681"/>
    <w:rsid w:val="6977531D"/>
    <w:rsid w:val="69CC2BFF"/>
    <w:rsid w:val="69D42310"/>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034E5"/>
    <w:rsid w:val="6C8C67B7"/>
    <w:rsid w:val="6C9D744C"/>
    <w:rsid w:val="6C9F2CF6"/>
    <w:rsid w:val="6D167928"/>
    <w:rsid w:val="6D26299B"/>
    <w:rsid w:val="6D4772EC"/>
    <w:rsid w:val="6D9078AF"/>
    <w:rsid w:val="6DAA3FEF"/>
    <w:rsid w:val="6DC0172B"/>
    <w:rsid w:val="6DCB690C"/>
    <w:rsid w:val="6DD41A5B"/>
    <w:rsid w:val="6DD778D7"/>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ED1C9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342701"/>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450781"/>
    <w:rsid w:val="79477FD1"/>
    <w:rsid w:val="797E66A9"/>
    <w:rsid w:val="79A97383"/>
    <w:rsid w:val="79CD6A95"/>
    <w:rsid w:val="79E27E8B"/>
    <w:rsid w:val="79F850CE"/>
    <w:rsid w:val="79FD443C"/>
    <w:rsid w:val="7A0304D2"/>
    <w:rsid w:val="7A1D1975"/>
    <w:rsid w:val="7A3E5150"/>
    <w:rsid w:val="7A4670D6"/>
    <w:rsid w:val="7A534B63"/>
    <w:rsid w:val="7A615382"/>
    <w:rsid w:val="7A67303B"/>
    <w:rsid w:val="7AAB1D04"/>
    <w:rsid w:val="7ABA4368"/>
    <w:rsid w:val="7AD05746"/>
    <w:rsid w:val="7AFA7058"/>
    <w:rsid w:val="7B257FFD"/>
    <w:rsid w:val="7B343476"/>
    <w:rsid w:val="7B5A2978"/>
    <w:rsid w:val="7B5A7E4C"/>
    <w:rsid w:val="7B667AF9"/>
    <w:rsid w:val="7B7468F8"/>
    <w:rsid w:val="7BEE0103"/>
    <w:rsid w:val="7C0A0FE4"/>
    <w:rsid w:val="7C254906"/>
    <w:rsid w:val="7C590818"/>
    <w:rsid w:val="7C7C10F6"/>
    <w:rsid w:val="7C853BEA"/>
    <w:rsid w:val="7C881368"/>
    <w:rsid w:val="7CAA58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3123F"/>
    <w:rsid w:val="7F886E69"/>
    <w:rsid w:val="7F8A5140"/>
    <w:rsid w:val="7FF770A4"/>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7">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8">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9">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10">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11">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2">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3">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4">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3"/>
    <w:link w:val="262"/>
    <w:qFormat/>
    <w:uiPriority w:val="0"/>
    <w:pPr>
      <w:spacing w:line="480" w:lineRule="exact"/>
      <w:ind w:firstLine="480" w:firstLineChars="200"/>
    </w:pPr>
    <w:rPr>
      <w:rFonts w:ascii="宋体" w:hAnsi="宋体"/>
      <w:sz w:val="24"/>
    </w:rPr>
  </w:style>
  <w:style w:type="paragraph" w:styleId="3">
    <w:name w:val="List Number"/>
    <w:basedOn w:val="1"/>
    <w:next w:val="4"/>
    <w:qFormat/>
    <w:uiPriority w:val="0"/>
    <w:pPr>
      <w:widowControl/>
      <w:tabs>
        <w:tab w:val="left" w:pos="390"/>
        <w:tab w:val="left" w:pos="454"/>
      </w:tabs>
      <w:adjustRightInd/>
      <w:spacing w:after="156" w:afterLines="50"/>
      <w:ind w:left="454" w:hanging="284"/>
      <w:jc w:val="left"/>
    </w:pPr>
    <w:rPr>
      <w:kern w:val="0"/>
      <w:sz w:val="24"/>
      <w:szCs w:val="20"/>
    </w:rPr>
  </w:style>
  <w:style w:type="paragraph" w:styleId="4">
    <w:name w:val="Balloon Text"/>
    <w:basedOn w:val="1"/>
    <w:next w:val="5"/>
    <w:link w:val="185"/>
    <w:qFormat/>
    <w:uiPriority w:val="0"/>
    <w:rPr>
      <w:sz w:val="18"/>
      <w:szCs w:val="18"/>
    </w:rPr>
  </w:style>
  <w:style w:type="paragraph" w:styleId="5">
    <w:name w:val="toc 8"/>
    <w:basedOn w:val="1"/>
    <w:next w:val="1"/>
    <w:qFormat/>
    <w:uiPriority w:val="0"/>
    <w:pPr>
      <w:ind w:left="2940" w:leftChars="1400"/>
    </w:pPr>
  </w:style>
  <w:style w:type="paragraph" w:styleId="15">
    <w:name w:val="toc 7"/>
    <w:basedOn w:val="1"/>
    <w:next w:val="1"/>
    <w:qFormat/>
    <w:uiPriority w:val="0"/>
    <w:pPr>
      <w:ind w:left="2520" w:leftChars="1200"/>
    </w:pPr>
  </w:style>
  <w:style w:type="paragraph" w:styleId="16">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7">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8">
    <w:name w:val="Normal Indent"/>
    <w:basedOn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9">
    <w:name w:val="caption"/>
    <w:basedOn w:val="1"/>
    <w:next w:val="1"/>
    <w:link w:val="226"/>
    <w:qFormat/>
    <w:uiPriority w:val="0"/>
    <w:rPr>
      <w:b/>
      <w:sz w:val="28"/>
      <w:szCs w:val="20"/>
    </w:rPr>
  </w:style>
  <w:style w:type="paragraph" w:styleId="20">
    <w:name w:val="index 5"/>
    <w:basedOn w:val="1"/>
    <w:next w:val="1"/>
    <w:qFormat/>
    <w:uiPriority w:val="0"/>
    <w:pPr>
      <w:adjustRightInd/>
      <w:ind w:left="800" w:leftChars="800" w:firstLine="200" w:firstLineChars="200"/>
    </w:pPr>
  </w:style>
  <w:style w:type="paragraph" w:styleId="21">
    <w:name w:val="Document Map"/>
    <w:basedOn w:val="1"/>
    <w:link w:val="199"/>
    <w:qFormat/>
    <w:uiPriority w:val="0"/>
    <w:pPr>
      <w:shd w:val="clear" w:color="auto" w:fill="000080"/>
    </w:pPr>
  </w:style>
  <w:style w:type="paragraph" w:styleId="22">
    <w:name w:val="annotation text"/>
    <w:basedOn w:val="1"/>
    <w:link w:val="341"/>
    <w:qFormat/>
    <w:uiPriority w:val="99"/>
    <w:pPr>
      <w:jc w:val="left"/>
    </w:pPr>
  </w:style>
  <w:style w:type="paragraph" w:styleId="23">
    <w:name w:val="Salutation"/>
    <w:basedOn w:val="1"/>
    <w:next w:val="1"/>
    <w:link w:val="295"/>
    <w:qFormat/>
    <w:uiPriority w:val="0"/>
    <w:rPr>
      <w:rFonts w:ascii="仿宋_GB2312" w:eastAsia="仿宋_GB2312"/>
      <w:sz w:val="28"/>
      <w:szCs w:val="20"/>
    </w:rPr>
  </w:style>
  <w:style w:type="paragraph" w:styleId="24">
    <w:name w:val="Body Text 3"/>
    <w:basedOn w:val="1"/>
    <w:link w:val="327"/>
    <w:qFormat/>
    <w:uiPriority w:val="0"/>
    <w:pPr>
      <w:jc w:val="center"/>
    </w:pPr>
    <w:rPr>
      <w:szCs w:val="20"/>
    </w:rPr>
  </w:style>
  <w:style w:type="paragraph" w:styleId="25">
    <w:name w:val="List Bullet 3"/>
    <w:basedOn w:val="1"/>
    <w:unhideWhenUsed/>
    <w:qFormat/>
    <w:uiPriority w:val="0"/>
    <w:pPr>
      <w:snapToGrid w:val="0"/>
      <w:spacing w:line="360" w:lineRule="auto"/>
      <w:ind w:left="360" w:right="238" w:hanging="360"/>
      <w:contextualSpacing/>
    </w:pPr>
    <w:rPr>
      <w:sz w:val="24"/>
    </w:rPr>
  </w:style>
  <w:style w:type="paragraph" w:styleId="26">
    <w:name w:val="Body Text"/>
    <w:basedOn w:val="1"/>
    <w:next w:val="1"/>
    <w:link w:val="427"/>
    <w:qFormat/>
    <w:uiPriority w:val="0"/>
    <w:pPr>
      <w:autoSpaceDE w:val="0"/>
      <w:autoSpaceDN w:val="0"/>
      <w:spacing w:line="360" w:lineRule="auto"/>
    </w:pPr>
    <w:rPr>
      <w:rFonts w:ascii="宋体" w:hAnsi="Arial" w:cs="Arial"/>
      <w:snapToGrid w:val="0"/>
      <w:sz w:val="24"/>
      <w:szCs w:val="21"/>
      <w:lang w:val="zh-CN"/>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next w:val="1"/>
    <w:link w:val="122"/>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Date"/>
    <w:basedOn w:val="1"/>
    <w:next w:val="1"/>
    <w:link w:val="178"/>
    <w:qFormat/>
    <w:uiPriority w:val="0"/>
    <w:pPr>
      <w:ind w:left="100" w:leftChars="2500"/>
    </w:pPr>
    <w:rPr>
      <w:rFonts w:ascii="宋体"/>
      <w:sz w:val="24"/>
      <w:szCs w:val="21"/>
      <w:lang w:val="zh-CN"/>
    </w:rPr>
  </w:style>
  <w:style w:type="paragraph" w:styleId="37">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8">
    <w:name w:val="endnote text"/>
    <w:basedOn w:val="1"/>
    <w:link w:val="929"/>
    <w:qFormat/>
    <w:uiPriority w:val="0"/>
    <w:rPr>
      <w:lang w:val="zh-CN"/>
    </w:rPr>
  </w:style>
  <w:style w:type="paragraph" w:styleId="39">
    <w:name w:val="footer"/>
    <w:basedOn w:val="1"/>
    <w:link w:val="380"/>
    <w:qFormat/>
    <w:uiPriority w:val="99"/>
    <w:pPr>
      <w:tabs>
        <w:tab w:val="center" w:pos="4153"/>
        <w:tab w:val="right" w:pos="8306"/>
      </w:tabs>
      <w:snapToGrid w:val="0"/>
      <w:jc w:val="left"/>
    </w:pPr>
    <w:rPr>
      <w:sz w:val="18"/>
      <w:szCs w:val="18"/>
    </w:rPr>
  </w:style>
  <w:style w:type="paragraph" w:styleId="40">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qFormat/>
    <w:uiPriority w:val="0"/>
  </w:style>
  <w:style w:type="paragraph" w:styleId="43">
    <w:name w:val="toc 4"/>
    <w:basedOn w:val="1"/>
    <w:next w:val="1"/>
    <w:qFormat/>
    <w:uiPriority w:val="0"/>
    <w:pPr>
      <w:ind w:left="1260" w:leftChars="600"/>
    </w:pPr>
  </w:style>
  <w:style w:type="paragraph" w:styleId="44">
    <w:name w:val="index heading"/>
    <w:basedOn w:val="1"/>
    <w:next w:val="45"/>
    <w:qFormat/>
    <w:uiPriority w:val="0"/>
    <w:pPr>
      <w:adjustRightInd/>
      <w:ind w:firstLine="200" w:firstLineChars="200"/>
    </w:pPr>
  </w:style>
  <w:style w:type="paragraph" w:styleId="45">
    <w:name w:val="index 1"/>
    <w:basedOn w:val="1"/>
    <w:next w:val="1"/>
    <w:qFormat/>
    <w:uiPriority w:val="0"/>
    <w:pPr>
      <w:adjustRightInd/>
      <w:spacing w:line="360" w:lineRule="auto"/>
      <w:ind w:firstLine="200" w:firstLineChars="200"/>
      <w:jc w:val="center"/>
    </w:pPr>
    <w:rPr>
      <w:sz w:val="24"/>
      <w:szCs w:val="20"/>
    </w:rPr>
  </w:style>
  <w:style w:type="paragraph" w:styleId="46">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qFormat/>
    <w:uiPriority w:val="0"/>
    <w:pPr>
      <w:tabs>
        <w:tab w:val="left" w:pos="902"/>
      </w:tabs>
      <w:adjustRightInd/>
      <w:spacing w:line="400" w:lineRule="exact"/>
      <w:ind w:left="902" w:hanging="420"/>
    </w:pPr>
    <w:rPr>
      <w:sz w:val="24"/>
      <w:szCs w:val="20"/>
    </w:rPr>
  </w:style>
  <w:style w:type="paragraph" w:styleId="48">
    <w:name w:val="List"/>
    <w:basedOn w:val="1"/>
    <w:qFormat/>
    <w:uiPriority w:val="0"/>
    <w:pPr>
      <w:ind w:left="200" w:hanging="200" w:hangingChars="200"/>
    </w:pPr>
  </w:style>
  <w:style w:type="paragraph" w:styleId="49">
    <w:name w:val="footnote text"/>
    <w:basedOn w:val="18"/>
    <w:link w:val="307"/>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qFormat/>
    <w:uiPriority w:val="0"/>
    <w:pPr>
      <w:ind w:left="2100" w:leftChars="1000"/>
    </w:pPr>
  </w:style>
  <w:style w:type="paragraph" w:styleId="51">
    <w:name w:val="List 5"/>
    <w:basedOn w:val="1"/>
    <w:qFormat/>
    <w:uiPriority w:val="0"/>
    <w:pPr>
      <w:adjustRightInd/>
      <w:ind w:left="100" w:leftChars="800" w:hanging="200" w:hangingChars="200"/>
    </w:pPr>
  </w:style>
  <w:style w:type="paragraph" w:styleId="52">
    <w:name w:val="Body Text Indent 3"/>
    <w:basedOn w:val="1"/>
    <w:link w:val="372"/>
    <w:qFormat/>
    <w:uiPriority w:val="0"/>
    <w:pPr>
      <w:spacing w:line="360" w:lineRule="auto"/>
      <w:ind w:firstLine="420"/>
    </w:pPr>
    <w:rPr>
      <w:sz w:val="24"/>
      <w:szCs w:val="20"/>
    </w:rPr>
  </w:style>
  <w:style w:type="paragraph" w:styleId="53">
    <w:name w:val="toc 2"/>
    <w:basedOn w:val="1"/>
    <w:next w:val="1"/>
    <w:qFormat/>
    <w:uiPriority w:val="0"/>
    <w:pPr>
      <w:ind w:left="420" w:leftChars="200"/>
    </w:pPr>
  </w:style>
  <w:style w:type="paragraph" w:styleId="54">
    <w:name w:val="toc 9"/>
    <w:basedOn w:val="1"/>
    <w:next w:val="1"/>
    <w:qFormat/>
    <w:uiPriority w:val="0"/>
    <w:pPr>
      <w:ind w:left="3360" w:leftChars="1600"/>
    </w:pPr>
  </w:style>
  <w:style w:type="paragraph" w:styleId="55">
    <w:name w:val="Body Text 2"/>
    <w:basedOn w:val="1"/>
    <w:link w:val="299"/>
    <w:qFormat/>
    <w:uiPriority w:val="0"/>
    <w:pPr>
      <w:spacing w:after="120" w:line="480" w:lineRule="auto"/>
    </w:pPr>
  </w:style>
  <w:style w:type="paragraph" w:styleId="56">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22"/>
    <w:next w:val="22"/>
    <w:link w:val="93"/>
    <w:qFormat/>
    <w:uiPriority w:val="0"/>
    <w:rPr>
      <w:b/>
      <w:bCs/>
    </w:rPr>
  </w:style>
  <w:style w:type="paragraph" w:styleId="60">
    <w:name w:val="Body Text First Indent"/>
    <w:basedOn w:val="26"/>
    <w:link w:val="318"/>
    <w:qFormat/>
    <w:uiPriority w:val="0"/>
    <w:pPr>
      <w:ind w:firstLine="420"/>
    </w:pPr>
    <w:rPr>
      <w:rFonts w:hAnsi="Calibri" w:cs="Times New Roman"/>
      <w:snapToGrid/>
      <w:szCs w:val="20"/>
    </w:rPr>
  </w:style>
  <w:style w:type="paragraph" w:styleId="61">
    <w:name w:val="Body Text First Indent 2"/>
    <w:basedOn w:val="2"/>
    <w:link w:val="118"/>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Char1"/>
    <w:link w:val="59"/>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首行缩进 2 Char"/>
    <w:link w:val="61"/>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Char"/>
    <w:link w:val="46"/>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Char"/>
    <w:link w:val="11"/>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7"/>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Char"/>
    <w:link w:val="36"/>
    <w:qFormat/>
    <w:uiPriority w:val="0"/>
    <w:rPr>
      <w:rFonts w:ascii="宋体"/>
      <w:kern w:val="2"/>
      <w:sz w:val="24"/>
      <w:szCs w:val="21"/>
      <w:lang w:val="zh-CN"/>
    </w:rPr>
  </w:style>
  <w:style w:type="character" w:customStyle="1" w:styleId="179">
    <w:name w:val="标题 9 Char"/>
    <w:link w:val="14"/>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Char"/>
    <w:link w:val="4"/>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Char2"/>
    <w:link w:val="18"/>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8"/>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Char1"/>
    <w:link w:val="21"/>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Char"/>
    <w:link w:val="31"/>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9"/>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Char"/>
    <w:link w:val="19"/>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Char3"/>
    <w:link w:val="2"/>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Char"/>
    <w:link w:val="6"/>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Char2"/>
    <w:link w:val="58"/>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Char"/>
    <w:link w:val="10"/>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Char"/>
    <w:link w:val="23"/>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Char"/>
    <w:link w:val="56"/>
    <w:qFormat/>
    <w:uiPriority w:val="0"/>
    <w:rPr>
      <w:rFonts w:ascii="黑体" w:hAnsi="Courier New" w:eastAsia="黑体"/>
    </w:rPr>
  </w:style>
  <w:style w:type="character" w:customStyle="1" w:styleId="299">
    <w:name w:val="正文文本 2 Char1"/>
    <w:link w:val="55"/>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9"/>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Char"/>
    <w:link w:val="12"/>
    <w:qFormat/>
    <w:uiPriority w:val="0"/>
    <w:rPr>
      <w:b/>
      <w:bCs/>
      <w:kern w:val="2"/>
      <w:sz w:val="24"/>
      <w:szCs w:val="24"/>
    </w:rPr>
  </w:style>
  <w:style w:type="character" w:customStyle="1" w:styleId="305">
    <w:name w:val="正文文本缩进 2 Char"/>
    <w:link w:val="37"/>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Char"/>
    <w:link w:val="49"/>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Char"/>
    <w:link w:val="60"/>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Char2"/>
    <w:link w:val="9"/>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Char"/>
    <w:link w:val="24"/>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Char1"/>
    <w:link w:val="22"/>
    <w:qFormat/>
    <w:uiPriority w:val="0"/>
    <w:rPr>
      <w:kern w:val="2"/>
      <w:sz w:val="21"/>
      <w:szCs w:val="24"/>
    </w:rPr>
  </w:style>
  <w:style w:type="character" w:customStyle="1" w:styleId="342">
    <w:name w:val="签名 Char"/>
    <w:link w:val="41"/>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13"/>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Char"/>
    <w:link w:val="52"/>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Char2"/>
    <w:link w:val="39"/>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Char2"/>
    <w:link w:val="40"/>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156"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18"/>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26"/>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9"/>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7"/>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7"/>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spacing w:before="0" w:after="0"/>
      <w:outlineLvl w:val="5"/>
    </w:pPr>
  </w:style>
  <w:style w:type="paragraph" w:customStyle="1" w:styleId="471">
    <w:name w:val="5级标题"/>
    <w:basedOn w:val="472"/>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11"/>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7"/>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6"/>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8"/>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10"/>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8"/>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7"/>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18"/>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6"/>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60"/>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9"/>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7"/>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18"/>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7"/>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5"/>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8"/>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7"/>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8"/>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6"/>
    <w:qFormat/>
    <w:uiPriority w:val="0"/>
    <w:pPr>
      <w:tabs>
        <w:tab w:val="left" w:pos="840"/>
      </w:tabs>
      <w:adjustRightInd/>
      <w:ind w:left="840" w:hanging="420"/>
    </w:pPr>
  </w:style>
  <w:style w:type="paragraph" w:customStyle="1" w:styleId="623">
    <w:name w:val="样式 标题 2标题2H2Heading 2 HiddenHeading 2 CCBSheading 22nd lev..."/>
    <w:basedOn w:val="7"/>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9"/>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7"/>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7"/>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6"/>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6"/>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9"/>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6"/>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7"/>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7"/>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8"/>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9"/>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6"/>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8"/>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18"/>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8"/>
    <w:next w:val="52"/>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6"/>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6"/>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9"/>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8"/>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3"/>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21"/>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8"/>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6"/>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6"/>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10"/>
    <w:next w:val="1"/>
    <w:qFormat/>
    <w:uiPriority w:val="0"/>
    <w:pPr>
      <w:tabs>
        <w:tab w:val="left" w:pos="1080"/>
      </w:tabs>
      <w:ind w:left="1080" w:hanging="1080"/>
    </w:pPr>
  </w:style>
  <w:style w:type="paragraph" w:customStyle="1" w:styleId="894">
    <w:name w:val="数字标题1"/>
    <w:basedOn w:val="6"/>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38"/>
    <w:qFormat/>
    <w:uiPriority w:val="0"/>
    <w:rPr>
      <w:kern w:val="2"/>
      <w:sz w:val="21"/>
      <w:szCs w:val="24"/>
      <w:lang w:val="zh-CN"/>
    </w:rPr>
  </w:style>
  <w:style w:type="character" w:customStyle="1" w:styleId="930">
    <w:name w:val="无间隔 Char"/>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7"/>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7AF752-E416-4F6C-8A48-CA874DD6F3F3}">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118</Pages>
  <Words>61324</Words>
  <Characters>64465</Characters>
  <Lines>287</Lines>
  <Paragraphs>81</Paragraphs>
  <TotalTime>362</TotalTime>
  <ScaleCrop>false</ScaleCrop>
  <LinksUpToDate>false</LinksUpToDate>
  <CharactersWithSpaces>73627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Reset</cp:lastModifiedBy>
  <cp:lastPrinted>2021-12-27T03:06:00Z</cp:lastPrinted>
  <dcterms:modified xsi:type="dcterms:W3CDTF">2022-05-05T05:59:47Z</dcterms:modified>
  <dc:title>杭州市市民卡扩大发卡工程</dc:title>
  <cp:revision>198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