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楷体" w:hAnsi="楷体" w:eastAsia="楷体"/>
          <w:b/>
          <w:color w:val="auto"/>
          <w:spacing w:val="-6"/>
          <w:sz w:val="44"/>
          <w:szCs w:val="44"/>
          <w:highlight w:val="none"/>
        </w:rPr>
      </w:pPr>
    </w:p>
    <w:p>
      <w:pPr>
        <w:spacing w:line="360" w:lineRule="auto"/>
        <w:jc w:val="center"/>
        <w:rPr>
          <w:rFonts w:hint="eastAsia" w:ascii="楷体" w:hAnsi="楷体" w:eastAsia="楷体"/>
          <w:b/>
          <w:color w:val="auto"/>
          <w:spacing w:val="-6"/>
          <w:sz w:val="44"/>
          <w:szCs w:val="44"/>
          <w:highlight w:val="none"/>
        </w:rPr>
      </w:pPr>
    </w:p>
    <w:p>
      <w:pPr>
        <w:spacing w:line="360" w:lineRule="auto"/>
        <w:jc w:val="center"/>
        <w:rPr>
          <w:rFonts w:hint="eastAsia" w:ascii="楷体" w:hAnsi="楷体" w:eastAsia="楷体"/>
          <w:b/>
          <w:color w:val="auto"/>
          <w:spacing w:val="-6"/>
          <w:sz w:val="44"/>
          <w:szCs w:val="44"/>
          <w:highlight w:val="none"/>
        </w:rPr>
      </w:pPr>
      <w:r>
        <w:rPr>
          <w:rFonts w:hint="eastAsia" w:ascii="楷体" w:hAnsi="楷体" w:eastAsia="楷体"/>
          <w:b/>
          <w:color w:val="auto"/>
          <w:spacing w:val="-6"/>
          <w:sz w:val="44"/>
          <w:szCs w:val="44"/>
          <w:highlight w:val="none"/>
        </w:rPr>
        <w:t>浙江</w:t>
      </w:r>
      <w:r>
        <w:rPr>
          <w:rFonts w:hint="eastAsia" w:ascii="楷体" w:hAnsi="楷体" w:eastAsia="楷体"/>
          <w:b/>
          <w:color w:val="auto"/>
          <w:spacing w:val="-6"/>
          <w:sz w:val="44"/>
          <w:szCs w:val="44"/>
          <w:highlight w:val="none"/>
          <w:lang w:eastAsia="zh-CN"/>
        </w:rPr>
        <w:t>新诚信工程咨询</w:t>
      </w:r>
      <w:r>
        <w:rPr>
          <w:rFonts w:hint="eastAsia" w:ascii="楷体" w:hAnsi="楷体" w:eastAsia="楷体"/>
          <w:b/>
          <w:color w:val="auto"/>
          <w:spacing w:val="-6"/>
          <w:sz w:val="44"/>
          <w:szCs w:val="44"/>
          <w:highlight w:val="none"/>
        </w:rPr>
        <w:t>有限公司</w:t>
      </w:r>
    </w:p>
    <w:p>
      <w:pPr>
        <w:keepNext w:val="0"/>
        <w:keepLines w:val="0"/>
        <w:widowControl/>
        <w:suppressLineNumbers w:val="0"/>
        <w:jc w:val="center"/>
        <w:rPr>
          <w:rFonts w:hint="default" w:ascii="楷体" w:hAnsi="楷体" w:eastAsia="楷体"/>
          <w:b/>
          <w:color w:val="auto"/>
          <w:spacing w:val="-6"/>
          <w:sz w:val="44"/>
          <w:szCs w:val="44"/>
          <w:highlight w:val="none"/>
          <w:lang w:val="en-US" w:eastAsia="zh-CN"/>
        </w:rPr>
      </w:pPr>
      <w:r>
        <w:rPr>
          <w:rFonts w:hint="eastAsia" w:ascii="楷体" w:hAnsi="楷体" w:eastAsia="楷体"/>
          <w:b/>
          <w:color w:val="auto"/>
          <w:spacing w:val="-6"/>
          <w:sz w:val="44"/>
          <w:szCs w:val="44"/>
          <w:highlight w:val="none"/>
        </w:rPr>
        <w:t>关于</w:t>
      </w:r>
      <w:r>
        <w:rPr>
          <w:rFonts w:hint="eastAsia" w:ascii="楷体" w:hAnsi="楷体" w:eastAsia="楷体" w:cs="Times New Roman"/>
          <w:b/>
          <w:color w:val="auto"/>
          <w:spacing w:val="-6"/>
          <w:sz w:val="44"/>
          <w:szCs w:val="44"/>
          <w:highlight w:val="none"/>
          <w:lang w:val="en-US" w:eastAsia="zh-CN"/>
        </w:rPr>
        <w:t>杭州市中策职业学校垃圾分类桶采购</w:t>
      </w:r>
      <w:r>
        <w:rPr>
          <w:rFonts w:hint="eastAsia" w:ascii="楷体" w:hAnsi="楷体" w:eastAsia="楷体"/>
          <w:b/>
          <w:color w:val="auto"/>
          <w:spacing w:val="-6"/>
          <w:sz w:val="44"/>
          <w:szCs w:val="44"/>
          <w:highlight w:val="none"/>
          <w:lang w:val="en-US" w:eastAsia="zh-CN"/>
        </w:rPr>
        <w:t>项目</w:t>
      </w:r>
    </w:p>
    <w:p>
      <w:pPr>
        <w:spacing w:line="360" w:lineRule="auto"/>
        <w:jc w:val="center"/>
        <w:rPr>
          <w:rFonts w:ascii="楷体" w:hAnsi="楷体" w:eastAsia="楷体"/>
          <w:b/>
          <w:color w:val="auto"/>
          <w:sz w:val="72"/>
          <w:szCs w:val="72"/>
          <w:highlight w:val="none"/>
        </w:rPr>
      </w:pPr>
    </w:p>
    <w:p>
      <w:pPr>
        <w:spacing w:line="360" w:lineRule="auto"/>
        <w:jc w:val="center"/>
        <w:rPr>
          <w:rFonts w:ascii="楷体" w:hAnsi="楷体" w:eastAsia="楷体"/>
          <w:b/>
          <w:color w:val="auto"/>
          <w:sz w:val="72"/>
          <w:szCs w:val="72"/>
          <w:highlight w:val="none"/>
        </w:rPr>
      </w:pPr>
    </w:p>
    <w:p>
      <w:pPr>
        <w:spacing w:line="360" w:lineRule="auto"/>
        <w:jc w:val="center"/>
        <w:rPr>
          <w:rFonts w:hint="eastAsia" w:ascii="楷体" w:hAnsi="楷体" w:eastAsia="楷体"/>
          <w:b/>
          <w:color w:val="auto"/>
          <w:spacing w:val="-6"/>
          <w:sz w:val="72"/>
          <w:szCs w:val="72"/>
          <w:highlight w:val="none"/>
        </w:rPr>
      </w:pPr>
      <w:r>
        <w:rPr>
          <w:rFonts w:hint="eastAsia" w:ascii="楷体" w:hAnsi="楷体" w:eastAsia="楷体"/>
          <w:b/>
          <w:color w:val="auto"/>
          <w:spacing w:val="-6"/>
          <w:sz w:val="72"/>
          <w:szCs w:val="72"/>
          <w:highlight w:val="none"/>
        </w:rPr>
        <w:t>招 标 文 件</w:t>
      </w:r>
    </w:p>
    <w:p>
      <w:pPr>
        <w:spacing w:line="360" w:lineRule="auto"/>
        <w:jc w:val="center"/>
        <w:rPr>
          <w:rFonts w:hint="eastAsia" w:ascii="楷体" w:hAnsi="楷体" w:eastAsia="楷体"/>
          <w:b/>
          <w:color w:val="auto"/>
          <w:spacing w:val="-6"/>
          <w:sz w:val="36"/>
          <w:szCs w:val="36"/>
          <w:highlight w:val="none"/>
        </w:rPr>
      </w:pPr>
      <w:r>
        <w:rPr>
          <w:rFonts w:hint="eastAsia" w:ascii="楷体" w:hAnsi="楷体" w:eastAsia="楷体"/>
          <w:b/>
          <w:color w:val="auto"/>
          <w:spacing w:val="-6"/>
          <w:sz w:val="36"/>
          <w:szCs w:val="36"/>
          <w:highlight w:val="none"/>
        </w:rPr>
        <w:t>（线上电子招投标）</w:t>
      </w:r>
    </w:p>
    <w:p>
      <w:pPr>
        <w:spacing w:line="360" w:lineRule="auto"/>
        <w:jc w:val="center"/>
        <w:rPr>
          <w:rFonts w:ascii="楷体" w:hAnsi="楷体" w:eastAsia="楷体"/>
          <w:color w:val="auto"/>
          <w:sz w:val="44"/>
          <w:szCs w:val="44"/>
          <w:highlight w:val="none"/>
        </w:rPr>
      </w:pPr>
    </w:p>
    <w:p>
      <w:pPr>
        <w:spacing w:line="360" w:lineRule="auto"/>
        <w:jc w:val="center"/>
        <w:rPr>
          <w:rFonts w:ascii="楷体" w:hAnsi="楷体" w:eastAsia="楷体"/>
          <w:color w:val="auto"/>
          <w:sz w:val="44"/>
          <w:szCs w:val="44"/>
          <w:highlight w:val="none"/>
        </w:rPr>
      </w:pPr>
    </w:p>
    <w:p>
      <w:pPr>
        <w:spacing w:line="360" w:lineRule="auto"/>
        <w:jc w:val="center"/>
        <w:rPr>
          <w:rFonts w:ascii="楷体" w:hAnsi="楷体" w:eastAsia="楷体"/>
          <w:color w:val="auto"/>
          <w:sz w:val="44"/>
          <w:szCs w:val="44"/>
          <w:highlight w:val="none"/>
        </w:rPr>
      </w:pPr>
    </w:p>
    <w:p>
      <w:pPr>
        <w:spacing w:line="360" w:lineRule="auto"/>
        <w:ind w:firstLine="1735" w:firstLineChars="600"/>
        <w:jc w:val="both"/>
        <w:rPr>
          <w:rFonts w:hint="default" w:ascii="楷体" w:hAnsi="楷体" w:eastAsia="楷体"/>
          <w:b/>
          <w:color w:val="auto"/>
          <w:spacing w:val="-6"/>
          <w:sz w:val="30"/>
          <w:szCs w:val="30"/>
          <w:highlight w:val="none"/>
          <w:lang w:val="en-US" w:eastAsia="zh-CN"/>
        </w:rPr>
      </w:pPr>
      <w:r>
        <w:rPr>
          <w:rFonts w:hint="eastAsia" w:ascii="楷体" w:hAnsi="楷体" w:eastAsia="楷体"/>
          <w:b/>
          <w:color w:val="auto"/>
          <w:spacing w:val="-6"/>
          <w:sz w:val="30"/>
          <w:szCs w:val="30"/>
          <w:highlight w:val="none"/>
        </w:rPr>
        <w:t>采 购 人：</w:t>
      </w:r>
      <w:r>
        <w:rPr>
          <w:rFonts w:hint="eastAsia" w:ascii="楷体" w:hAnsi="楷体" w:eastAsia="楷体"/>
          <w:b/>
          <w:color w:val="auto"/>
          <w:spacing w:val="-6"/>
          <w:sz w:val="30"/>
          <w:szCs w:val="30"/>
          <w:highlight w:val="none"/>
          <w:lang w:eastAsia="zh-CN"/>
        </w:rPr>
        <w:t>杭州</w:t>
      </w:r>
      <w:r>
        <w:rPr>
          <w:rFonts w:hint="eastAsia" w:ascii="楷体" w:hAnsi="楷体" w:eastAsia="楷体"/>
          <w:b/>
          <w:color w:val="auto"/>
          <w:spacing w:val="-6"/>
          <w:sz w:val="30"/>
          <w:szCs w:val="30"/>
          <w:highlight w:val="none"/>
          <w:lang w:val="en-US" w:eastAsia="zh-CN"/>
        </w:rPr>
        <w:t>市中策职业学校</w:t>
      </w:r>
    </w:p>
    <w:p>
      <w:pPr>
        <w:spacing w:line="360" w:lineRule="auto"/>
        <w:ind w:firstLine="1735" w:firstLineChars="600"/>
        <w:jc w:val="both"/>
        <w:rPr>
          <w:rFonts w:hint="eastAsia" w:ascii="楷体" w:hAnsi="楷体" w:eastAsia="楷体" w:cs="Times New Roman"/>
          <w:b/>
          <w:color w:val="auto"/>
          <w:spacing w:val="-6"/>
          <w:sz w:val="30"/>
          <w:szCs w:val="30"/>
          <w:highlight w:val="none"/>
          <w:lang w:val="en-US" w:eastAsia="zh-CN"/>
        </w:rPr>
      </w:pPr>
      <w:r>
        <w:rPr>
          <w:rFonts w:hint="eastAsia" w:ascii="楷体" w:hAnsi="楷体" w:eastAsia="楷体"/>
          <w:b/>
          <w:color w:val="auto"/>
          <w:spacing w:val="-6"/>
          <w:sz w:val="30"/>
          <w:szCs w:val="30"/>
          <w:highlight w:val="none"/>
        </w:rPr>
        <w:t>项目名称：</w:t>
      </w:r>
      <w:r>
        <w:rPr>
          <w:rFonts w:hint="eastAsia" w:ascii="楷体" w:hAnsi="楷体" w:eastAsia="楷体"/>
          <w:b/>
          <w:color w:val="auto"/>
          <w:spacing w:val="-6"/>
          <w:sz w:val="30"/>
          <w:szCs w:val="30"/>
          <w:highlight w:val="none"/>
          <w:lang w:val="en-US" w:eastAsia="zh-CN"/>
        </w:rPr>
        <w:t>垃圾分类桶采购项目</w:t>
      </w:r>
    </w:p>
    <w:p>
      <w:pPr>
        <w:spacing w:line="360" w:lineRule="auto"/>
        <w:ind w:firstLine="1735" w:firstLineChars="600"/>
        <w:jc w:val="both"/>
        <w:rPr>
          <w:rFonts w:hint="default" w:ascii="楷体" w:hAnsi="楷体" w:eastAsia="楷体"/>
          <w:b/>
          <w:color w:val="auto"/>
          <w:spacing w:val="-6"/>
          <w:sz w:val="30"/>
          <w:szCs w:val="30"/>
          <w:highlight w:val="none"/>
          <w:lang w:val="en-US" w:eastAsia="zh-CN"/>
        </w:rPr>
      </w:pPr>
      <w:r>
        <w:rPr>
          <w:rFonts w:hint="eastAsia" w:ascii="楷体" w:hAnsi="楷体" w:eastAsia="楷体"/>
          <w:b/>
          <w:color w:val="auto"/>
          <w:spacing w:val="-6"/>
          <w:sz w:val="30"/>
          <w:szCs w:val="30"/>
          <w:highlight w:val="none"/>
        </w:rPr>
        <w:t>项目编号：</w:t>
      </w:r>
      <w:r>
        <w:rPr>
          <w:rFonts w:hint="eastAsia" w:ascii="楷体" w:hAnsi="楷体" w:eastAsia="楷体"/>
          <w:b/>
          <w:color w:val="auto"/>
          <w:spacing w:val="-6"/>
          <w:sz w:val="30"/>
          <w:szCs w:val="30"/>
          <w:highlight w:val="none"/>
          <w:lang w:val="en-US" w:eastAsia="zh-CN"/>
        </w:rPr>
        <w:t>ZJXCX-2020-002</w:t>
      </w:r>
    </w:p>
    <w:p>
      <w:pPr>
        <w:spacing w:line="360" w:lineRule="auto"/>
        <w:ind w:firstLine="1735" w:firstLineChars="600"/>
        <w:jc w:val="both"/>
        <w:rPr>
          <w:rFonts w:ascii="楷体" w:hAnsi="楷体" w:eastAsia="楷体"/>
          <w:b/>
          <w:color w:val="auto"/>
          <w:spacing w:val="-6"/>
          <w:sz w:val="30"/>
          <w:szCs w:val="30"/>
          <w:highlight w:val="none"/>
        </w:rPr>
      </w:pPr>
      <w:r>
        <w:rPr>
          <w:rFonts w:hint="eastAsia" w:ascii="楷体" w:hAnsi="楷体" w:eastAsia="楷体"/>
          <w:b/>
          <w:color w:val="auto"/>
          <w:spacing w:val="-6"/>
          <w:sz w:val="30"/>
          <w:szCs w:val="30"/>
          <w:highlight w:val="none"/>
        </w:rPr>
        <w:t>采购代理机构：浙江</w:t>
      </w:r>
      <w:r>
        <w:rPr>
          <w:rFonts w:hint="eastAsia" w:ascii="楷体" w:hAnsi="楷体" w:eastAsia="楷体"/>
          <w:b/>
          <w:color w:val="auto"/>
          <w:spacing w:val="-6"/>
          <w:sz w:val="30"/>
          <w:szCs w:val="30"/>
          <w:highlight w:val="none"/>
          <w:lang w:eastAsia="zh-CN"/>
        </w:rPr>
        <w:t>新诚信工程咨询</w:t>
      </w:r>
      <w:r>
        <w:rPr>
          <w:rFonts w:hint="eastAsia" w:ascii="楷体" w:hAnsi="楷体" w:eastAsia="楷体"/>
          <w:b/>
          <w:color w:val="auto"/>
          <w:spacing w:val="-6"/>
          <w:sz w:val="30"/>
          <w:szCs w:val="30"/>
          <w:highlight w:val="none"/>
        </w:rPr>
        <w:t>有限公司</w:t>
      </w:r>
    </w:p>
    <w:p>
      <w:pPr>
        <w:spacing w:line="360" w:lineRule="auto"/>
        <w:rPr>
          <w:rFonts w:ascii="楷体" w:hAnsi="楷体" w:eastAsia="楷体"/>
          <w:b/>
          <w:color w:val="auto"/>
          <w:spacing w:val="-6"/>
          <w:sz w:val="30"/>
          <w:szCs w:val="30"/>
          <w:highlight w:val="none"/>
        </w:rPr>
      </w:pPr>
    </w:p>
    <w:p>
      <w:pPr>
        <w:spacing w:line="360" w:lineRule="auto"/>
        <w:rPr>
          <w:rFonts w:ascii="楷体" w:hAnsi="楷体" w:eastAsia="楷体"/>
          <w:b/>
          <w:color w:val="auto"/>
          <w:spacing w:val="-6"/>
          <w:sz w:val="30"/>
          <w:szCs w:val="30"/>
          <w:highlight w:val="none"/>
        </w:rPr>
        <w:sectPr>
          <w:footerReference r:id="rId4" w:type="first"/>
          <w:footerReference r:id="rId3" w:type="even"/>
          <w:pgSz w:w="11906" w:h="16838"/>
          <w:pgMar w:top="1247" w:right="1247" w:bottom="1247" w:left="1247" w:header="0" w:footer="780" w:gutter="0"/>
          <w:cols w:space="720" w:num="1"/>
          <w:docGrid w:linePitch="381" w:charSpace="0"/>
        </w:sectPr>
      </w:pPr>
    </w:p>
    <w:p>
      <w:pPr>
        <w:pStyle w:val="13"/>
        <w:spacing w:beforeLines="0" w:afterLines="0" w:line="288" w:lineRule="auto"/>
        <w:rPr>
          <w:rFonts w:ascii="楷体" w:hAnsi="楷体" w:eastAsia="楷体"/>
          <w:b/>
          <w:color w:val="auto"/>
          <w:sz w:val="21"/>
          <w:szCs w:val="21"/>
          <w:highlight w:val="none"/>
        </w:rPr>
      </w:pPr>
      <w:bookmarkStart w:id="0" w:name="_Toc7021"/>
      <w:bookmarkStart w:id="1" w:name="_Toc29378"/>
      <w:bookmarkStart w:id="2" w:name="_Toc1869"/>
    </w:p>
    <w:sdt>
      <w:sdtPr>
        <w:rPr>
          <w:rFonts w:hint="eastAsia" w:ascii="楷体" w:hAnsi="楷体" w:eastAsia="楷体" w:cs="楷体"/>
          <w:b/>
          <w:bCs/>
          <w:color w:val="auto"/>
          <w:sz w:val="30"/>
          <w:szCs w:val="30"/>
          <w:highlight w:val="none"/>
        </w:rPr>
        <w:id w:val="572867581"/>
        <w15:color w:val="DBDBDB"/>
        <w:docPartObj>
          <w:docPartGallery w:val="Table of Contents"/>
          <w:docPartUnique/>
        </w:docPartObj>
      </w:sdtPr>
      <w:sdtEndPr>
        <w:rPr>
          <w:rFonts w:hint="eastAsia" w:ascii="楷体" w:hAnsi="楷体" w:eastAsia="楷体" w:cs="楷体"/>
          <w:b/>
          <w:bCs/>
          <w:color w:val="auto"/>
          <w:sz w:val="30"/>
          <w:szCs w:val="30"/>
          <w:highlight w:val="none"/>
        </w:rPr>
      </w:sdtEndPr>
      <w:sdtContent>
        <w:p>
          <w:pPr>
            <w:spacing w:line="480" w:lineRule="auto"/>
            <w:jc w:val="center"/>
            <w:rPr>
              <w:rFonts w:ascii="楷体" w:hAnsi="楷体" w:eastAsia="楷体" w:cs="楷体"/>
              <w:b/>
              <w:bCs/>
              <w:color w:val="auto"/>
              <w:sz w:val="44"/>
              <w:szCs w:val="44"/>
              <w:highlight w:val="none"/>
            </w:rPr>
          </w:pPr>
          <w:bookmarkStart w:id="3" w:name="_Toc6090_WPSOffice_Type1"/>
          <w:r>
            <w:rPr>
              <w:rFonts w:hint="eastAsia" w:ascii="楷体" w:hAnsi="楷体" w:eastAsia="楷体" w:cs="楷体"/>
              <w:b/>
              <w:bCs/>
              <w:color w:val="auto"/>
              <w:sz w:val="44"/>
              <w:szCs w:val="44"/>
              <w:highlight w:val="none"/>
            </w:rPr>
            <w:t>目</w:t>
          </w:r>
          <w:r>
            <w:rPr>
              <w:rFonts w:hint="eastAsia" w:ascii="楷体" w:hAnsi="楷体" w:eastAsia="楷体" w:cs="楷体"/>
              <w:b/>
              <w:bCs/>
              <w:color w:val="auto"/>
              <w:sz w:val="44"/>
              <w:szCs w:val="44"/>
              <w:highlight w:val="none"/>
              <w:lang w:val="en-US" w:eastAsia="zh-CN"/>
            </w:rPr>
            <w:t xml:space="preserve">    </w:t>
          </w:r>
          <w:r>
            <w:rPr>
              <w:rFonts w:hint="eastAsia" w:ascii="楷体" w:hAnsi="楷体" w:eastAsia="楷体" w:cs="楷体"/>
              <w:b/>
              <w:bCs/>
              <w:color w:val="auto"/>
              <w:sz w:val="44"/>
              <w:szCs w:val="44"/>
              <w:highlight w:val="none"/>
            </w:rPr>
            <w:t>录</w:t>
          </w:r>
        </w:p>
        <w:p>
          <w:pPr>
            <w:pStyle w:val="68"/>
            <w:tabs>
              <w:tab w:val="right" w:leader="dot" w:pos="9412"/>
            </w:tabs>
            <w:spacing w:line="480" w:lineRule="auto"/>
            <w:rPr>
              <w:rFonts w:ascii="楷体" w:hAnsi="楷体" w:eastAsia="楷体" w:cs="楷体"/>
              <w:b/>
              <w:bCs/>
              <w:color w:val="auto"/>
              <w:sz w:val="30"/>
              <w:szCs w:val="30"/>
              <w:highlight w:val="none"/>
            </w:rPr>
          </w:pPr>
          <w:r>
            <w:rPr>
              <w:color w:val="auto"/>
              <w:highlight w:val="none"/>
            </w:rPr>
            <w:fldChar w:fldCharType="begin"/>
          </w:r>
          <w:r>
            <w:rPr>
              <w:color w:val="auto"/>
              <w:highlight w:val="none"/>
            </w:rPr>
            <w:instrText xml:space="preserve"> HYPERLINK \l "_Toc13035_WPSOffice_Level1" </w:instrText>
          </w:r>
          <w:r>
            <w:rPr>
              <w:color w:val="auto"/>
              <w:highlight w:val="none"/>
            </w:rPr>
            <w:fldChar w:fldCharType="separate"/>
          </w:r>
          <w:sdt>
            <w:sdtPr>
              <w:rPr>
                <w:rFonts w:hint="eastAsia" w:ascii="楷体" w:hAnsi="楷体" w:eastAsia="楷体" w:cs="楷体"/>
                <w:b/>
                <w:bCs/>
                <w:color w:val="auto"/>
                <w:kern w:val="2"/>
                <w:sz w:val="30"/>
                <w:szCs w:val="30"/>
                <w:highlight w:val="none"/>
              </w:rPr>
              <w:id w:val="147469782"/>
              <w:placeholder>
                <w:docPart w:val="{191164b1-3e85-4a9a-92d3-b82eb6f80429}"/>
              </w:placeholder>
              <w15:color w:val="509DF3"/>
            </w:sdtPr>
            <w:sdtEndPr>
              <w:rPr>
                <w:rFonts w:hint="eastAsia" w:ascii="楷体" w:hAnsi="楷体" w:eastAsia="楷体" w:cs="楷体"/>
                <w:b/>
                <w:bCs/>
                <w:color w:val="auto"/>
                <w:kern w:val="2"/>
                <w:sz w:val="30"/>
                <w:szCs w:val="30"/>
                <w:highlight w:val="none"/>
              </w:rPr>
            </w:sdtEndPr>
            <w:sdtContent>
              <w:r>
                <w:rPr>
                  <w:rFonts w:hint="eastAsia" w:ascii="楷体" w:hAnsi="楷体" w:eastAsia="楷体" w:cs="楷体"/>
                  <w:b/>
                  <w:bCs/>
                  <w:color w:val="auto"/>
                  <w:sz w:val="30"/>
                  <w:szCs w:val="30"/>
                  <w:highlight w:val="none"/>
                </w:rPr>
                <w:t>第一章  投标邀请</w:t>
              </w:r>
            </w:sdtContent>
          </w:sdt>
          <w:r>
            <w:rPr>
              <w:rFonts w:hint="eastAsia" w:ascii="楷体" w:hAnsi="楷体" w:eastAsia="楷体" w:cs="楷体"/>
              <w:b/>
              <w:bCs/>
              <w:color w:val="auto"/>
              <w:sz w:val="30"/>
              <w:szCs w:val="30"/>
              <w:highlight w:val="none"/>
            </w:rPr>
            <w:tab/>
          </w:r>
          <w:bookmarkStart w:id="4" w:name="_Toc13035_WPSOffice_Level1Page"/>
          <w:r>
            <w:rPr>
              <w:rFonts w:hint="eastAsia" w:ascii="楷体" w:hAnsi="楷体" w:eastAsia="楷体" w:cs="楷体"/>
              <w:b/>
              <w:bCs/>
              <w:color w:val="auto"/>
              <w:sz w:val="30"/>
              <w:szCs w:val="30"/>
              <w:highlight w:val="none"/>
            </w:rPr>
            <w:t>3</w:t>
          </w:r>
          <w:bookmarkEnd w:id="4"/>
          <w:r>
            <w:rPr>
              <w:rFonts w:hint="eastAsia" w:ascii="楷体" w:hAnsi="楷体" w:eastAsia="楷体" w:cs="楷体"/>
              <w:b/>
              <w:bCs/>
              <w:color w:val="auto"/>
              <w:sz w:val="30"/>
              <w:szCs w:val="30"/>
              <w:highlight w:val="none"/>
            </w:rPr>
            <w:fldChar w:fldCharType="end"/>
          </w:r>
        </w:p>
        <w:p>
          <w:pPr>
            <w:pStyle w:val="68"/>
            <w:tabs>
              <w:tab w:val="right" w:leader="dot" w:pos="9412"/>
            </w:tabs>
            <w:spacing w:line="480" w:lineRule="auto"/>
            <w:rPr>
              <w:rFonts w:ascii="楷体" w:hAnsi="楷体" w:eastAsia="楷体" w:cs="楷体"/>
              <w:b/>
              <w:bCs/>
              <w:color w:val="auto"/>
              <w:sz w:val="30"/>
              <w:szCs w:val="30"/>
              <w:highlight w:val="none"/>
            </w:rPr>
          </w:pPr>
          <w:r>
            <w:rPr>
              <w:color w:val="auto"/>
              <w:highlight w:val="none"/>
            </w:rPr>
            <w:fldChar w:fldCharType="begin"/>
          </w:r>
          <w:r>
            <w:rPr>
              <w:color w:val="auto"/>
              <w:highlight w:val="none"/>
            </w:rPr>
            <w:instrText xml:space="preserve"> HYPERLINK \l "_Toc8018_WPSOffice_Level1" </w:instrText>
          </w:r>
          <w:r>
            <w:rPr>
              <w:color w:val="auto"/>
              <w:highlight w:val="none"/>
            </w:rPr>
            <w:fldChar w:fldCharType="separate"/>
          </w:r>
          <w:sdt>
            <w:sdtPr>
              <w:rPr>
                <w:rFonts w:hint="eastAsia" w:ascii="楷体" w:hAnsi="楷体" w:eastAsia="楷体" w:cs="楷体"/>
                <w:b/>
                <w:bCs/>
                <w:color w:val="auto"/>
                <w:kern w:val="2"/>
                <w:sz w:val="30"/>
                <w:szCs w:val="30"/>
                <w:highlight w:val="none"/>
              </w:rPr>
              <w:id w:val="-1916457559"/>
              <w:placeholder>
                <w:docPart w:val="{a0d4e641-e8c7-4619-85c4-aa6a04deb80e}"/>
              </w:placeholder>
              <w15:color w:val="509DF3"/>
            </w:sdtPr>
            <w:sdtEndPr>
              <w:rPr>
                <w:rFonts w:hint="eastAsia" w:ascii="楷体" w:hAnsi="楷体" w:eastAsia="楷体" w:cs="楷体"/>
                <w:b/>
                <w:bCs/>
                <w:color w:val="auto"/>
                <w:kern w:val="2"/>
                <w:sz w:val="30"/>
                <w:szCs w:val="30"/>
                <w:highlight w:val="none"/>
              </w:rPr>
            </w:sdtEndPr>
            <w:sdtContent>
              <w:r>
                <w:rPr>
                  <w:rFonts w:hint="eastAsia" w:ascii="楷体" w:hAnsi="楷体" w:eastAsia="楷体" w:cs="楷体"/>
                  <w:b/>
                  <w:bCs/>
                  <w:color w:val="auto"/>
                  <w:sz w:val="30"/>
                  <w:szCs w:val="30"/>
                  <w:highlight w:val="none"/>
                </w:rPr>
                <w:t>第二章  采购需求</w:t>
              </w:r>
            </w:sdtContent>
          </w:sdt>
          <w:r>
            <w:rPr>
              <w:rFonts w:hint="eastAsia" w:ascii="楷体" w:hAnsi="楷体" w:eastAsia="楷体" w:cs="楷体"/>
              <w:b/>
              <w:bCs/>
              <w:color w:val="auto"/>
              <w:sz w:val="30"/>
              <w:szCs w:val="30"/>
              <w:highlight w:val="none"/>
            </w:rPr>
            <w:tab/>
          </w:r>
          <w:r>
            <w:rPr>
              <w:rFonts w:hint="eastAsia" w:ascii="楷体" w:hAnsi="楷体" w:eastAsia="楷体" w:cs="楷体"/>
              <w:b/>
              <w:bCs/>
              <w:color w:val="auto"/>
              <w:sz w:val="30"/>
              <w:szCs w:val="30"/>
              <w:highlight w:val="none"/>
              <w:lang w:val="en-US" w:eastAsia="zh-CN"/>
            </w:rPr>
            <w:t>8</w:t>
          </w:r>
          <w:r>
            <w:rPr>
              <w:rFonts w:hint="eastAsia" w:ascii="楷体" w:hAnsi="楷体" w:eastAsia="楷体" w:cs="楷体"/>
              <w:b/>
              <w:bCs/>
              <w:color w:val="auto"/>
              <w:sz w:val="30"/>
              <w:szCs w:val="30"/>
              <w:highlight w:val="none"/>
            </w:rPr>
            <w:fldChar w:fldCharType="end"/>
          </w:r>
        </w:p>
        <w:p>
          <w:pPr>
            <w:pStyle w:val="68"/>
            <w:tabs>
              <w:tab w:val="right" w:leader="dot" w:pos="9412"/>
            </w:tabs>
            <w:spacing w:line="480" w:lineRule="auto"/>
            <w:rPr>
              <w:rFonts w:hint="eastAsia" w:ascii="楷体" w:hAnsi="楷体" w:eastAsia="楷体" w:cs="楷体"/>
              <w:b/>
              <w:bCs/>
              <w:color w:val="auto"/>
              <w:sz w:val="30"/>
              <w:szCs w:val="30"/>
              <w:highlight w:val="none"/>
              <w:lang w:eastAsia="zh-CN"/>
            </w:rPr>
          </w:pPr>
          <w:r>
            <w:rPr>
              <w:color w:val="auto"/>
              <w:highlight w:val="none"/>
            </w:rPr>
            <w:fldChar w:fldCharType="begin"/>
          </w:r>
          <w:r>
            <w:rPr>
              <w:color w:val="auto"/>
              <w:highlight w:val="none"/>
            </w:rPr>
            <w:instrText xml:space="preserve"> HYPERLINK \l "_Toc3293_WPSOffice_Level1" </w:instrText>
          </w:r>
          <w:r>
            <w:rPr>
              <w:color w:val="auto"/>
              <w:highlight w:val="none"/>
            </w:rPr>
            <w:fldChar w:fldCharType="separate"/>
          </w:r>
          <w:sdt>
            <w:sdtPr>
              <w:rPr>
                <w:rFonts w:hint="eastAsia" w:ascii="楷体" w:hAnsi="楷体" w:eastAsia="楷体" w:cs="楷体"/>
                <w:b/>
                <w:bCs/>
                <w:color w:val="auto"/>
                <w:kern w:val="2"/>
                <w:sz w:val="30"/>
                <w:szCs w:val="30"/>
                <w:highlight w:val="none"/>
              </w:rPr>
              <w:id w:val="164821626"/>
              <w:placeholder>
                <w:docPart w:val="{5df8cb17-501f-4bee-b2e3-dc0371652f74}"/>
              </w:placeholder>
              <w15:color w:val="509DF3"/>
            </w:sdtPr>
            <w:sdtEndPr>
              <w:rPr>
                <w:rFonts w:hint="eastAsia" w:ascii="楷体" w:hAnsi="楷体" w:eastAsia="楷体" w:cs="楷体"/>
                <w:b/>
                <w:bCs/>
                <w:color w:val="auto"/>
                <w:kern w:val="2"/>
                <w:sz w:val="30"/>
                <w:szCs w:val="30"/>
                <w:highlight w:val="none"/>
              </w:rPr>
            </w:sdtEndPr>
            <w:sdtContent>
              <w:r>
                <w:rPr>
                  <w:rFonts w:hint="eastAsia" w:ascii="楷体" w:hAnsi="楷体" w:eastAsia="楷体" w:cs="楷体"/>
                  <w:b/>
                  <w:bCs/>
                  <w:color w:val="auto"/>
                  <w:sz w:val="30"/>
                  <w:szCs w:val="30"/>
                  <w:highlight w:val="none"/>
                </w:rPr>
                <w:t>第三章  投标人须知</w:t>
              </w:r>
            </w:sdtContent>
          </w:sdt>
          <w:r>
            <w:rPr>
              <w:rFonts w:hint="eastAsia" w:ascii="楷体" w:hAnsi="楷体" w:eastAsia="楷体" w:cs="楷体"/>
              <w:b/>
              <w:bCs/>
              <w:color w:val="auto"/>
              <w:sz w:val="30"/>
              <w:szCs w:val="30"/>
              <w:highlight w:val="none"/>
            </w:rPr>
            <w:tab/>
          </w:r>
          <w:r>
            <w:rPr>
              <w:rFonts w:hint="eastAsia" w:ascii="楷体" w:hAnsi="楷体" w:eastAsia="楷体" w:cs="楷体"/>
              <w:b/>
              <w:bCs/>
              <w:color w:val="auto"/>
              <w:sz w:val="30"/>
              <w:szCs w:val="30"/>
              <w:highlight w:val="none"/>
            </w:rPr>
            <w:t>1</w:t>
          </w:r>
          <w:r>
            <w:rPr>
              <w:rFonts w:hint="eastAsia" w:ascii="楷体" w:hAnsi="楷体" w:eastAsia="楷体" w:cs="楷体"/>
              <w:b/>
              <w:bCs/>
              <w:color w:val="auto"/>
              <w:sz w:val="30"/>
              <w:szCs w:val="30"/>
              <w:highlight w:val="none"/>
            </w:rPr>
            <w:fldChar w:fldCharType="end"/>
          </w:r>
          <w:r>
            <w:rPr>
              <w:rFonts w:hint="eastAsia" w:ascii="楷体" w:hAnsi="楷体" w:eastAsia="楷体" w:cs="楷体"/>
              <w:b/>
              <w:bCs/>
              <w:color w:val="auto"/>
              <w:sz w:val="30"/>
              <w:szCs w:val="30"/>
              <w:highlight w:val="none"/>
              <w:lang w:val="en-US" w:eastAsia="zh-CN"/>
            </w:rPr>
            <w:t>5</w:t>
          </w:r>
        </w:p>
        <w:p>
          <w:pPr>
            <w:pStyle w:val="68"/>
            <w:tabs>
              <w:tab w:val="right" w:leader="dot" w:pos="9412"/>
            </w:tabs>
            <w:spacing w:line="480" w:lineRule="auto"/>
            <w:rPr>
              <w:rFonts w:hint="eastAsia" w:ascii="楷体" w:hAnsi="楷体" w:eastAsia="楷体" w:cs="楷体"/>
              <w:b/>
              <w:bCs/>
              <w:color w:val="auto"/>
              <w:sz w:val="30"/>
              <w:szCs w:val="30"/>
              <w:highlight w:val="none"/>
              <w:lang w:eastAsia="zh-CN"/>
            </w:rPr>
          </w:pPr>
          <w:r>
            <w:rPr>
              <w:color w:val="auto"/>
              <w:highlight w:val="none"/>
            </w:rPr>
            <w:fldChar w:fldCharType="begin"/>
          </w:r>
          <w:r>
            <w:rPr>
              <w:color w:val="auto"/>
              <w:highlight w:val="none"/>
            </w:rPr>
            <w:instrText xml:space="preserve"> HYPERLINK \l "_Toc17961_WPSOffice_Level1" </w:instrText>
          </w:r>
          <w:r>
            <w:rPr>
              <w:color w:val="auto"/>
              <w:highlight w:val="none"/>
            </w:rPr>
            <w:fldChar w:fldCharType="separate"/>
          </w:r>
          <w:sdt>
            <w:sdtPr>
              <w:rPr>
                <w:rFonts w:hint="eastAsia" w:ascii="楷体" w:hAnsi="楷体" w:eastAsia="楷体" w:cs="楷体"/>
                <w:b/>
                <w:bCs/>
                <w:color w:val="auto"/>
                <w:kern w:val="2"/>
                <w:sz w:val="30"/>
                <w:szCs w:val="30"/>
                <w:highlight w:val="none"/>
              </w:rPr>
              <w:id w:val="-1940513136"/>
              <w:placeholder>
                <w:docPart w:val="{fe75ab1c-2fc6-4605-be89-eb2132704cf3}"/>
              </w:placeholder>
              <w15:color w:val="509DF3"/>
            </w:sdtPr>
            <w:sdtEndPr>
              <w:rPr>
                <w:rFonts w:hint="eastAsia" w:ascii="楷体" w:hAnsi="楷体" w:eastAsia="楷体" w:cs="楷体"/>
                <w:b/>
                <w:bCs/>
                <w:color w:val="auto"/>
                <w:kern w:val="2"/>
                <w:sz w:val="30"/>
                <w:szCs w:val="30"/>
                <w:highlight w:val="none"/>
              </w:rPr>
            </w:sdtEndPr>
            <w:sdtContent>
              <w:r>
                <w:rPr>
                  <w:rFonts w:hint="eastAsia" w:ascii="楷体" w:hAnsi="楷体" w:eastAsia="楷体" w:cs="楷体"/>
                  <w:b/>
                  <w:bCs/>
                  <w:color w:val="auto"/>
                  <w:sz w:val="30"/>
                  <w:szCs w:val="30"/>
                  <w:highlight w:val="none"/>
                </w:rPr>
                <w:t>第四章  评标办法及评分标准</w:t>
              </w:r>
            </w:sdtContent>
          </w:sdt>
          <w:r>
            <w:rPr>
              <w:rFonts w:hint="eastAsia" w:ascii="楷体" w:hAnsi="楷体" w:eastAsia="楷体" w:cs="楷体"/>
              <w:b/>
              <w:bCs/>
              <w:color w:val="auto"/>
              <w:sz w:val="30"/>
              <w:szCs w:val="30"/>
              <w:highlight w:val="none"/>
            </w:rPr>
            <w:tab/>
          </w:r>
          <w:r>
            <w:rPr>
              <w:rFonts w:hint="eastAsia" w:ascii="楷体" w:hAnsi="楷体" w:eastAsia="楷体" w:cs="楷体"/>
              <w:b/>
              <w:bCs/>
              <w:color w:val="auto"/>
              <w:sz w:val="30"/>
              <w:szCs w:val="30"/>
              <w:highlight w:val="none"/>
              <w:lang w:val="en-US" w:eastAsia="zh-CN"/>
            </w:rPr>
            <w:t>3</w:t>
          </w:r>
          <w:r>
            <w:rPr>
              <w:rFonts w:hint="eastAsia" w:ascii="楷体" w:hAnsi="楷体" w:eastAsia="楷体" w:cs="楷体"/>
              <w:b/>
              <w:bCs/>
              <w:color w:val="auto"/>
              <w:sz w:val="30"/>
              <w:szCs w:val="30"/>
              <w:highlight w:val="none"/>
            </w:rPr>
            <w:t>2</w:t>
          </w:r>
          <w:r>
            <w:rPr>
              <w:rFonts w:hint="eastAsia" w:ascii="楷体" w:hAnsi="楷体" w:eastAsia="楷体" w:cs="楷体"/>
              <w:b/>
              <w:bCs/>
              <w:color w:val="auto"/>
              <w:sz w:val="30"/>
              <w:szCs w:val="30"/>
              <w:highlight w:val="none"/>
            </w:rPr>
            <w:fldChar w:fldCharType="end"/>
          </w:r>
        </w:p>
        <w:p>
          <w:pPr>
            <w:pStyle w:val="68"/>
            <w:tabs>
              <w:tab w:val="right" w:leader="dot" w:pos="9412"/>
            </w:tabs>
            <w:spacing w:line="480" w:lineRule="auto"/>
            <w:rPr>
              <w:rFonts w:hint="eastAsia" w:ascii="楷体" w:hAnsi="楷体" w:eastAsia="楷体" w:cs="楷体"/>
              <w:b/>
              <w:bCs/>
              <w:color w:val="auto"/>
              <w:sz w:val="30"/>
              <w:szCs w:val="30"/>
              <w:highlight w:val="none"/>
              <w:lang w:eastAsia="zh-CN"/>
            </w:rPr>
          </w:pPr>
          <w:r>
            <w:rPr>
              <w:color w:val="auto"/>
              <w:highlight w:val="none"/>
            </w:rPr>
            <w:fldChar w:fldCharType="begin"/>
          </w:r>
          <w:r>
            <w:rPr>
              <w:color w:val="auto"/>
              <w:highlight w:val="none"/>
            </w:rPr>
            <w:instrText xml:space="preserve"> HYPERLINK \l "_Toc1515_WPSOffice_Level1" </w:instrText>
          </w:r>
          <w:r>
            <w:rPr>
              <w:color w:val="auto"/>
              <w:highlight w:val="none"/>
            </w:rPr>
            <w:fldChar w:fldCharType="separate"/>
          </w:r>
          <w:sdt>
            <w:sdtPr>
              <w:rPr>
                <w:rFonts w:hint="eastAsia" w:ascii="楷体" w:hAnsi="楷体" w:eastAsia="楷体" w:cs="楷体"/>
                <w:b/>
                <w:bCs/>
                <w:color w:val="auto"/>
                <w:kern w:val="2"/>
                <w:sz w:val="30"/>
                <w:szCs w:val="30"/>
                <w:highlight w:val="none"/>
              </w:rPr>
              <w:id w:val="-817114666"/>
              <w:placeholder>
                <w:docPart w:val="{60dc598b-85d7-427f-9f66-09e90b8ef25c}"/>
              </w:placeholder>
              <w15:color w:val="509DF3"/>
            </w:sdtPr>
            <w:sdtEndPr>
              <w:rPr>
                <w:rFonts w:hint="eastAsia" w:ascii="楷体" w:hAnsi="楷体" w:eastAsia="楷体" w:cs="楷体"/>
                <w:b/>
                <w:bCs/>
                <w:color w:val="auto"/>
                <w:kern w:val="2"/>
                <w:sz w:val="30"/>
                <w:szCs w:val="30"/>
                <w:highlight w:val="none"/>
              </w:rPr>
            </w:sdtEndPr>
            <w:sdtContent>
              <w:r>
                <w:rPr>
                  <w:rFonts w:hint="eastAsia" w:ascii="楷体" w:hAnsi="楷体" w:eastAsia="楷体" w:cs="楷体"/>
                  <w:b/>
                  <w:bCs/>
                  <w:color w:val="auto"/>
                  <w:sz w:val="30"/>
                  <w:szCs w:val="30"/>
                  <w:highlight w:val="none"/>
                </w:rPr>
                <w:t>第五章  拟签订的合同文本</w:t>
              </w:r>
            </w:sdtContent>
          </w:sdt>
          <w:r>
            <w:rPr>
              <w:rFonts w:hint="eastAsia" w:ascii="楷体" w:hAnsi="楷体" w:eastAsia="楷体" w:cs="楷体"/>
              <w:b/>
              <w:bCs/>
              <w:color w:val="auto"/>
              <w:sz w:val="30"/>
              <w:szCs w:val="30"/>
              <w:highlight w:val="none"/>
            </w:rPr>
            <w:tab/>
          </w:r>
          <w:r>
            <w:rPr>
              <w:rFonts w:hint="eastAsia" w:ascii="楷体" w:hAnsi="楷体" w:eastAsia="楷体" w:cs="楷体"/>
              <w:b/>
              <w:bCs/>
              <w:color w:val="auto"/>
              <w:sz w:val="30"/>
              <w:szCs w:val="30"/>
              <w:highlight w:val="none"/>
              <w:lang w:val="en-US" w:eastAsia="zh-CN"/>
            </w:rPr>
            <w:t>36</w:t>
          </w:r>
          <w:r>
            <w:rPr>
              <w:rFonts w:hint="eastAsia" w:ascii="楷体" w:hAnsi="楷体" w:eastAsia="楷体" w:cs="楷体"/>
              <w:b/>
              <w:bCs/>
              <w:color w:val="auto"/>
              <w:sz w:val="30"/>
              <w:szCs w:val="30"/>
              <w:highlight w:val="none"/>
            </w:rPr>
            <w:fldChar w:fldCharType="end"/>
          </w:r>
        </w:p>
        <w:p>
          <w:pPr>
            <w:pStyle w:val="68"/>
            <w:tabs>
              <w:tab w:val="right" w:leader="dot" w:pos="9412"/>
            </w:tabs>
            <w:spacing w:line="480" w:lineRule="auto"/>
            <w:rPr>
              <w:rFonts w:ascii="楷体" w:hAnsi="楷体" w:eastAsia="楷体" w:cs="楷体"/>
              <w:b/>
              <w:bCs/>
              <w:color w:val="auto"/>
              <w:sz w:val="30"/>
              <w:szCs w:val="30"/>
              <w:highlight w:val="none"/>
            </w:rPr>
          </w:pPr>
          <w:r>
            <w:rPr>
              <w:color w:val="auto"/>
              <w:highlight w:val="none"/>
            </w:rPr>
            <w:fldChar w:fldCharType="begin"/>
          </w:r>
          <w:r>
            <w:rPr>
              <w:color w:val="auto"/>
              <w:highlight w:val="none"/>
            </w:rPr>
            <w:instrText xml:space="preserve"> HYPERLINK \l "_Toc28513_WPSOffice_Level1" </w:instrText>
          </w:r>
          <w:r>
            <w:rPr>
              <w:color w:val="auto"/>
              <w:highlight w:val="none"/>
            </w:rPr>
            <w:fldChar w:fldCharType="separate"/>
          </w:r>
          <w:sdt>
            <w:sdtPr>
              <w:rPr>
                <w:rFonts w:hint="eastAsia" w:ascii="楷体" w:hAnsi="楷体" w:eastAsia="楷体" w:cs="楷体"/>
                <w:b/>
                <w:bCs/>
                <w:color w:val="auto"/>
                <w:kern w:val="2"/>
                <w:sz w:val="30"/>
                <w:szCs w:val="30"/>
                <w:highlight w:val="none"/>
              </w:rPr>
              <w:id w:val="1868713775"/>
              <w:placeholder>
                <w:docPart w:val="{a89b4e71-711f-42e7-8210-915b7069dd1a}"/>
              </w:placeholder>
              <w15:color w:val="509DF3"/>
            </w:sdtPr>
            <w:sdtEndPr>
              <w:rPr>
                <w:rFonts w:hint="eastAsia" w:ascii="楷体" w:hAnsi="楷体" w:eastAsia="楷体" w:cs="楷体"/>
                <w:b/>
                <w:bCs/>
                <w:color w:val="auto"/>
                <w:kern w:val="2"/>
                <w:sz w:val="30"/>
                <w:szCs w:val="30"/>
                <w:highlight w:val="none"/>
              </w:rPr>
            </w:sdtEndPr>
            <w:sdtContent>
              <w:r>
                <w:rPr>
                  <w:rFonts w:hint="eastAsia" w:ascii="楷体" w:hAnsi="楷体" w:eastAsia="楷体" w:cs="楷体"/>
                  <w:b/>
                  <w:bCs/>
                  <w:color w:val="auto"/>
                  <w:sz w:val="30"/>
                  <w:szCs w:val="30"/>
                  <w:highlight w:val="none"/>
                </w:rPr>
                <w:t>第六章  投标文件格式</w:t>
              </w:r>
            </w:sdtContent>
          </w:sdt>
          <w:r>
            <w:rPr>
              <w:rFonts w:hint="eastAsia" w:ascii="楷体" w:hAnsi="楷体" w:eastAsia="楷体" w:cs="楷体"/>
              <w:b/>
              <w:bCs/>
              <w:color w:val="auto"/>
              <w:sz w:val="30"/>
              <w:szCs w:val="30"/>
              <w:highlight w:val="none"/>
            </w:rPr>
            <w:tab/>
          </w:r>
          <w:r>
            <w:rPr>
              <w:rFonts w:hint="eastAsia" w:ascii="楷体" w:hAnsi="楷体" w:eastAsia="楷体" w:cs="楷体"/>
              <w:b/>
              <w:bCs/>
              <w:color w:val="auto"/>
              <w:sz w:val="30"/>
              <w:szCs w:val="30"/>
              <w:highlight w:val="none"/>
              <w:lang w:val="en-US" w:eastAsia="zh-CN"/>
            </w:rPr>
            <w:t>5</w:t>
          </w:r>
          <w:r>
            <w:rPr>
              <w:rFonts w:hint="eastAsia" w:ascii="楷体" w:hAnsi="楷体" w:eastAsia="楷体" w:cs="楷体"/>
              <w:b/>
              <w:bCs/>
              <w:color w:val="auto"/>
              <w:sz w:val="30"/>
              <w:szCs w:val="30"/>
              <w:highlight w:val="none"/>
            </w:rPr>
            <w:fldChar w:fldCharType="end"/>
          </w:r>
          <w:bookmarkEnd w:id="3"/>
          <w:r>
            <w:rPr>
              <w:rFonts w:hint="eastAsia" w:ascii="楷体" w:hAnsi="楷体" w:eastAsia="楷体" w:cs="楷体"/>
              <w:b/>
              <w:bCs/>
              <w:color w:val="auto"/>
              <w:sz w:val="30"/>
              <w:szCs w:val="30"/>
              <w:highlight w:val="none"/>
              <w:lang w:val="en-US" w:eastAsia="zh-CN"/>
            </w:rPr>
            <w:t>0</w:t>
          </w:r>
        </w:p>
      </w:sdtContent>
    </w:sdt>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Style w:val="52"/>
          <w:rFonts w:hint="eastAsia"/>
          <w:sz w:val="32"/>
          <w:szCs w:val="32"/>
        </w:rPr>
      </w:pPr>
    </w:p>
    <w:p>
      <w:pPr>
        <w:jc w:val="center"/>
        <w:outlineLvl w:val="0"/>
        <w:rPr>
          <w:rFonts w:hint="eastAsia" w:asciiTheme="majorEastAsia" w:hAnsiTheme="majorEastAsia" w:eastAsiaTheme="majorEastAsia" w:cstheme="majorEastAsia"/>
          <w:b/>
          <w:color w:val="auto"/>
          <w:spacing w:val="-6"/>
          <w:sz w:val="32"/>
          <w:szCs w:val="32"/>
          <w:highlight w:val="none"/>
        </w:rPr>
      </w:pPr>
      <w:r>
        <w:rPr>
          <w:rStyle w:val="52"/>
          <w:rFonts w:hint="eastAsia"/>
          <w:sz w:val="32"/>
          <w:szCs w:val="32"/>
        </w:rPr>
        <w:t>第一章  投标邀请</w:t>
      </w:r>
      <w:bookmarkEnd w:id="0"/>
      <w:bookmarkEnd w:id="1"/>
      <w:bookmarkEnd w:id="2"/>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根据《中华人民共和国政府采购法》等有关规定，浙江</w:t>
      </w:r>
      <w:r>
        <w:rPr>
          <w:rFonts w:hint="eastAsia" w:asciiTheme="majorEastAsia" w:hAnsiTheme="majorEastAsia" w:eastAsiaTheme="majorEastAsia" w:cstheme="majorEastAsia"/>
          <w:color w:val="auto"/>
          <w:sz w:val="24"/>
          <w:szCs w:val="24"/>
          <w:highlight w:val="none"/>
          <w:lang w:eastAsia="zh-CN"/>
        </w:rPr>
        <w:t>新诚信工程咨询</w:t>
      </w:r>
      <w:r>
        <w:rPr>
          <w:rFonts w:hint="eastAsia" w:asciiTheme="majorEastAsia" w:hAnsiTheme="majorEastAsia" w:eastAsiaTheme="majorEastAsia" w:cstheme="majorEastAsia"/>
          <w:color w:val="auto"/>
          <w:sz w:val="24"/>
          <w:szCs w:val="24"/>
          <w:highlight w:val="none"/>
        </w:rPr>
        <w:t>有限公司受</w:t>
      </w:r>
      <w:r>
        <w:rPr>
          <w:rFonts w:hint="eastAsia" w:asciiTheme="majorEastAsia" w:hAnsiTheme="majorEastAsia" w:eastAsiaTheme="majorEastAsia" w:cstheme="majorEastAsia"/>
          <w:color w:val="auto"/>
          <w:sz w:val="24"/>
          <w:szCs w:val="24"/>
          <w:highlight w:val="none"/>
          <w:lang w:eastAsia="zh-CN"/>
        </w:rPr>
        <w:t>杭州市中策职业学校</w:t>
      </w:r>
      <w:r>
        <w:rPr>
          <w:rFonts w:hint="eastAsia" w:asciiTheme="majorEastAsia" w:hAnsiTheme="majorEastAsia" w:eastAsiaTheme="majorEastAsia" w:cstheme="majorEastAsia"/>
          <w:color w:val="auto"/>
          <w:sz w:val="24"/>
          <w:szCs w:val="24"/>
          <w:highlight w:val="none"/>
          <w:lang w:val="en-US" w:eastAsia="zh-CN"/>
        </w:rPr>
        <w:t>的</w:t>
      </w:r>
      <w:r>
        <w:rPr>
          <w:rFonts w:hint="eastAsia" w:asciiTheme="majorEastAsia" w:hAnsiTheme="majorEastAsia" w:eastAsiaTheme="majorEastAsia" w:cstheme="majorEastAsia"/>
          <w:color w:val="auto"/>
          <w:sz w:val="24"/>
          <w:szCs w:val="24"/>
          <w:highlight w:val="none"/>
        </w:rPr>
        <w:t>委托，现就</w:t>
      </w:r>
      <w:r>
        <w:rPr>
          <w:rFonts w:hint="eastAsia" w:asciiTheme="majorEastAsia" w:hAnsiTheme="majorEastAsia" w:eastAsiaTheme="majorEastAsia" w:cstheme="majorEastAsia"/>
          <w:color w:val="auto"/>
          <w:sz w:val="24"/>
          <w:szCs w:val="24"/>
          <w:highlight w:val="none"/>
          <w:lang w:val="en-US" w:eastAsia="zh-CN"/>
        </w:rPr>
        <w:t>杭州市中策职业学校垃圾分类桶采购项目</w:t>
      </w:r>
      <w:r>
        <w:rPr>
          <w:rFonts w:hint="eastAsia" w:asciiTheme="majorEastAsia" w:hAnsiTheme="majorEastAsia" w:eastAsiaTheme="majorEastAsia" w:cstheme="majorEastAsia"/>
          <w:color w:val="auto"/>
          <w:sz w:val="24"/>
          <w:szCs w:val="24"/>
          <w:highlight w:val="none"/>
        </w:rPr>
        <w:t>进行公开招标（线上电子招投标），欢迎国内合格的</w:t>
      </w:r>
      <w:r>
        <w:rPr>
          <w:rFonts w:hint="eastAsia" w:asciiTheme="majorEastAsia" w:hAnsiTheme="majorEastAsia" w:eastAsiaTheme="majorEastAsia" w:cstheme="majorEastAsia"/>
          <w:color w:val="auto"/>
          <w:sz w:val="24"/>
          <w:szCs w:val="24"/>
          <w:highlight w:val="none"/>
          <w:lang w:val="en-US" w:eastAsia="zh-CN"/>
        </w:rPr>
        <w:t>投标人</w:t>
      </w:r>
      <w:r>
        <w:rPr>
          <w:rFonts w:hint="eastAsia" w:asciiTheme="majorEastAsia" w:hAnsiTheme="majorEastAsia" w:eastAsiaTheme="majorEastAsia" w:cstheme="majorEastAsia"/>
          <w:color w:val="auto"/>
          <w:sz w:val="24"/>
          <w:szCs w:val="24"/>
          <w:highlight w:val="none"/>
        </w:rPr>
        <w:t>前来投标。</w:t>
      </w:r>
    </w:p>
    <w:p>
      <w:pPr>
        <w:pageBreakBefore w:val="0"/>
        <w:numPr>
          <w:ilvl w:val="0"/>
          <w:numId w:val="2"/>
        </w:numPr>
        <w:kinsoku/>
        <w:overflowPunct/>
        <w:topLinePunct w:val="0"/>
        <w:bidi w:val="0"/>
        <w:spacing w:line="500" w:lineRule="exact"/>
        <w:outlineLvl w:val="1"/>
        <w:rPr>
          <w:rFonts w:hint="eastAsia" w:asciiTheme="majorEastAsia" w:hAnsiTheme="majorEastAsia" w:eastAsiaTheme="majorEastAsia" w:cstheme="majorEastAsia"/>
          <w:b/>
          <w:color w:val="auto"/>
          <w:sz w:val="24"/>
          <w:szCs w:val="24"/>
          <w:highlight w:val="none"/>
        </w:rPr>
      </w:pPr>
      <w:bookmarkStart w:id="5" w:name="_Toc15626"/>
      <w:r>
        <w:rPr>
          <w:rFonts w:hint="eastAsia" w:asciiTheme="majorEastAsia" w:hAnsiTheme="majorEastAsia" w:eastAsiaTheme="majorEastAsia" w:cstheme="majorEastAsia"/>
          <w:b/>
          <w:color w:val="auto"/>
          <w:sz w:val="24"/>
          <w:szCs w:val="24"/>
          <w:highlight w:val="none"/>
        </w:rPr>
        <w:t>招标项目名称：</w:t>
      </w:r>
      <w:bookmarkEnd w:id="5"/>
    </w:p>
    <w:p>
      <w:pPr>
        <w:pageBreakBefore w:val="0"/>
        <w:numPr>
          <w:ilvl w:val="0"/>
          <w:numId w:val="0"/>
        </w:numPr>
        <w:kinsoku/>
        <w:overflowPunct/>
        <w:topLinePunct w:val="0"/>
        <w:bidi w:val="0"/>
        <w:spacing w:line="500" w:lineRule="exact"/>
        <w:ind w:leftChars="0"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6" w:name="_Toc10676"/>
      <w:r>
        <w:rPr>
          <w:rFonts w:hint="eastAsia" w:asciiTheme="majorEastAsia" w:hAnsiTheme="majorEastAsia" w:eastAsiaTheme="majorEastAsia" w:cstheme="majorEastAsia"/>
          <w:color w:val="auto"/>
          <w:sz w:val="24"/>
          <w:szCs w:val="24"/>
          <w:highlight w:val="none"/>
          <w:lang w:val="en-US" w:eastAsia="zh-CN"/>
        </w:rPr>
        <w:t>垃圾分类桶采购项目</w:t>
      </w:r>
    </w:p>
    <w:p>
      <w:pPr>
        <w:pageBreakBefore w:val="0"/>
        <w:numPr>
          <w:ilvl w:val="0"/>
          <w:numId w:val="0"/>
        </w:numPr>
        <w:kinsoku/>
        <w:overflowPunct/>
        <w:topLinePunct w:val="0"/>
        <w:bidi w:val="0"/>
        <w:spacing w:line="500" w:lineRule="exact"/>
        <w:outlineLvl w:val="1"/>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二、</w:t>
      </w:r>
      <w:r>
        <w:rPr>
          <w:rFonts w:hint="eastAsia" w:asciiTheme="majorEastAsia" w:hAnsiTheme="majorEastAsia" w:eastAsiaTheme="majorEastAsia" w:cstheme="majorEastAsia"/>
          <w:b/>
          <w:color w:val="auto"/>
          <w:sz w:val="24"/>
          <w:szCs w:val="24"/>
          <w:highlight w:val="none"/>
        </w:rPr>
        <w:t>招标项目编号：</w:t>
      </w:r>
      <w:bookmarkEnd w:id="6"/>
    </w:p>
    <w:p>
      <w:pPr>
        <w:pageBreakBefore w:val="0"/>
        <w:numPr>
          <w:ilvl w:val="0"/>
          <w:numId w:val="0"/>
        </w:numPr>
        <w:kinsoku/>
        <w:overflowPunct/>
        <w:topLinePunct w:val="0"/>
        <w:bidi w:val="0"/>
        <w:spacing w:line="500" w:lineRule="exact"/>
        <w:ind w:leftChars="0"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7" w:name="_Toc10429"/>
      <w:r>
        <w:rPr>
          <w:rFonts w:hint="eastAsia" w:asciiTheme="majorEastAsia" w:hAnsiTheme="majorEastAsia" w:eastAsiaTheme="majorEastAsia" w:cstheme="majorEastAsia"/>
          <w:color w:val="auto"/>
          <w:sz w:val="24"/>
          <w:szCs w:val="24"/>
          <w:highlight w:val="none"/>
          <w:lang w:val="en-US" w:eastAsia="zh-CN"/>
        </w:rPr>
        <w:t>ZJXCX-2020-00</w:t>
      </w:r>
      <w:bookmarkEnd w:id="7"/>
      <w:bookmarkStart w:id="8" w:name="_Toc31605"/>
      <w:r>
        <w:rPr>
          <w:rFonts w:hint="eastAsia" w:asciiTheme="majorEastAsia" w:hAnsiTheme="majorEastAsia" w:eastAsiaTheme="majorEastAsia" w:cstheme="majorEastAsia"/>
          <w:color w:val="auto"/>
          <w:sz w:val="24"/>
          <w:szCs w:val="24"/>
          <w:highlight w:val="none"/>
          <w:lang w:val="en-US" w:eastAsia="zh-CN"/>
        </w:rPr>
        <w:t>2</w:t>
      </w:r>
    </w:p>
    <w:p>
      <w:pPr>
        <w:pageBreakBefore w:val="0"/>
        <w:numPr>
          <w:ilvl w:val="0"/>
          <w:numId w:val="0"/>
        </w:numPr>
        <w:kinsoku/>
        <w:overflowPunct/>
        <w:topLinePunct w:val="0"/>
        <w:bidi w:val="0"/>
        <w:spacing w:line="500" w:lineRule="exact"/>
        <w:outlineLvl w:val="1"/>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三、</w:t>
      </w:r>
      <w:r>
        <w:rPr>
          <w:rFonts w:hint="eastAsia" w:asciiTheme="majorEastAsia" w:hAnsiTheme="majorEastAsia" w:eastAsiaTheme="majorEastAsia" w:cstheme="majorEastAsia"/>
          <w:b/>
          <w:color w:val="auto"/>
          <w:sz w:val="24"/>
          <w:szCs w:val="24"/>
          <w:highlight w:val="none"/>
        </w:rPr>
        <w:t>采购组织类型：</w:t>
      </w:r>
      <w:bookmarkEnd w:id="8"/>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b/>
          <w:color w:val="auto"/>
          <w:sz w:val="24"/>
          <w:szCs w:val="24"/>
          <w:highlight w:val="none"/>
        </w:rPr>
      </w:pPr>
      <w:bookmarkStart w:id="9" w:name="_Toc7491"/>
      <w:r>
        <w:rPr>
          <w:rFonts w:hint="eastAsia" w:asciiTheme="majorEastAsia" w:hAnsiTheme="majorEastAsia" w:eastAsiaTheme="majorEastAsia" w:cstheme="majorEastAsia"/>
          <w:color w:val="auto"/>
          <w:sz w:val="24"/>
          <w:szCs w:val="24"/>
          <w:highlight w:val="none"/>
        </w:rPr>
        <w:t>分散采购委托代理</w:t>
      </w:r>
      <w:bookmarkEnd w:id="9"/>
    </w:p>
    <w:p>
      <w:pPr>
        <w:pageBreakBefore w:val="0"/>
        <w:kinsoku/>
        <w:overflowPunct/>
        <w:topLinePunct w:val="0"/>
        <w:bidi w:val="0"/>
        <w:spacing w:line="500" w:lineRule="exact"/>
        <w:outlineLvl w:val="1"/>
        <w:rPr>
          <w:rFonts w:hint="eastAsia"/>
        </w:rPr>
      </w:pPr>
      <w:bookmarkStart w:id="10" w:name="_Toc3498"/>
      <w:r>
        <w:rPr>
          <w:rFonts w:hint="eastAsia"/>
        </w:rPr>
        <w:t>四、</w:t>
      </w:r>
      <w:r>
        <w:rPr>
          <w:rFonts w:hint="eastAsia" w:asciiTheme="majorEastAsia" w:hAnsiTheme="majorEastAsia" w:eastAsiaTheme="majorEastAsia" w:cstheme="majorEastAsia"/>
          <w:b/>
          <w:color w:val="auto"/>
          <w:sz w:val="24"/>
          <w:szCs w:val="24"/>
          <w:highlight w:val="none"/>
        </w:rPr>
        <w:t>招标项目概况</w:t>
      </w:r>
      <w:r>
        <w:rPr>
          <w:rFonts w:hint="eastAsia"/>
        </w:rPr>
        <w:t>：</w:t>
      </w:r>
      <w:bookmarkEnd w:id="10"/>
    </w:p>
    <w:tbl>
      <w:tblPr>
        <w:tblStyle w:val="24"/>
        <w:tblW w:w="10335"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86"/>
        <w:gridCol w:w="1019"/>
        <w:gridCol w:w="750"/>
        <w:gridCol w:w="1530"/>
        <w:gridCol w:w="2145"/>
        <w:gridCol w:w="133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序号</w:t>
            </w:r>
          </w:p>
        </w:tc>
        <w:tc>
          <w:tcPr>
            <w:tcW w:w="1486"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名称</w:t>
            </w:r>
          </w:p>
        </w:tc>
        <w:tc>
          <w:tcPr>
            <w:tcW w:w="101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数量</w:t>
            </w:r>
          </w:p>
        </w:tc>
        <w:tc>
          <w:tcPr>
            <w:tcW w:w="7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单位</w:t>
            </w:r>
          </w:p>
        </w:tc>
        <w:tc>
          <w:tcPr>
            <w:tcW w:w="153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是否允许采购进口产品</w:t>
            </w:r>
          </w:p>
        </w:tc>
        <w:tc>
          <w:tcPr>
            <w:tcW w:w="214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简要规格描述或标项基本概况介绍</w:t>
            </w:r>
          </w:p>
        </w:tc>
        <w:tc>
          <w:tcPr>
            <w:tcW w:w="133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预算金额</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(万元)</w:t>
            </w:r>
          </w:p>
        </w:tc>
        <w:tc>
          <w:tcPr>
            <w:tcW w:w="136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最高限价</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lang w:val="en-US" w:eastAsia="zh-CN"/>
              </w:rPr>
              <w:t>1</w:t>
            </w:r>
          </w:p>
        </w:tc>
        <w:tc>
          <w:tcPr>
            <w:tcW w:w="1486"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lang w:val="en-US" w:eastAsia="zh-CN"/>
              </w:rPr>
            </w:pPr>
            <w:r>
              <w:rPr>
                <w:rFonts w:hint="eastAsia" w:ascii="宋体" w:hAnsi="宋体" w:cs="宋体"/>
                <w:sz w:val="21"/>
                <w:szCs w:val="21"/>
                <w:lang w:val="en-US" w:eastAsia="zh-CN"/>
              </w:rPr>
              <w:t>垃圾分类桶</w:t>
            </w:r>
          </w:p>
        </w:tc>
        <w:tc>
          <w:tcPr>
            <w:tcW w:w="1019" w:type="dxa"/>
            <w:vAlign w:val="center"/>
          </w:tcPr>
          <w:p>
            <w:pPr>
              <w:keepNext w:val="0"/>
              <w:keepLines w:val="0"/>
              <w:pageBreakBefore w:val="0"/>
              <w:kinsoku/>
              <w:overflowPunct/>
              <w:topLinePunct w:val="0"/>
              <w:bidi w:val="0"/>
              <w:adjustRightInd/>
              <w:spacing w:line="500" w:lineRule="exact"/>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见清单</w:t>
            </w:r>
          </w:p>
        </w:tc>
        <w:tc>
          <w:tcPr>
            <w:tcW w:w="7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lang w:val="en-US" w:eastAsia="zh-CN"/>
              </w:rPr>
              <w:t>只</w:t>
            </w:r>
          </w:p>
        </w:tc>
        <w:tc>
          <w:tcPr>
            <w:tcW w:w="153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否</w:t>
            </w:r>
          </w:p>
        </w:tc>
        <w:tc>
          <w:tcPr>
            <w:tcW w:w="214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详见采购需求</w:t>
            </w:r>
          </w:p>
        </w:tc>
        <w:tc>
          <w:tcPr>
            <w:tcW w:w="1335" w:type="dxa"/>
            <w:vAlign w:val="center"/>
          </w:tcPr>
          <w:p>
            <w:pPr>
              <w:keepNext w:val="0"/>
              <w:keepLines w:val="0"/>
              <w:pageBreakBefore w:val="0"/>
              <w:kinsoku/>
              <w:overflowPunct/>
              <w:topLinePunct w:val="0"/>
              <w:bidi w:val="0"/>
              <w:adjustRightInd/>
              <w:spacing w:line="500" w:lineRule="exact"/>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83.0000</w:t>
            </w:r>
          </w:p>
        </w:tc>
        <w:tc>
          <w:tcPr>
            <w:tcW w:w="1365" w:type="dxa"/>
            <w:vAlign w:val="center"/>
          </w:tcPr>
          <w:p>
            <w:pPr>
              <w:keepNext w:val="0"/>
              <w:keepLines w:val="0"/>
              <w:pageBreakBefore w:val="0"/>
              <w:kinsoku/>
              <w:overflowPunct/>
              <w:topLinePunct w:val="0"/>
              <w:bidi w:val="0"/>
              <w:adjustRightInd/>
              <w:spacing w:line="500" w:lineRule="exact"/>
              <w:jc w:val="center"/>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83.0000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lang w:val="en-US" w:eastAsia="zh-CN"/>
              </w:rPr>
            </w:pPr>
          </w:p>
        </w:tc>
        <w:tc>
          <w:tcPr>
            <w:tcW w:w="1486"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lang w:val="en-US" w:eastAsia="zh-CN"/>
              </w:rPr>
            </w:pPr>
          </w:p>
        </w:tc>
        <w:tc>
          <w:tcPr>
            <w:tcW w:w="1019" w:type="dxa"/>
            <w:vAlign w:val="center"/>
          </w:tcPr>
          <w:p>
            <w:pPr>
              <w:keepNext w:val="0"/>
              <w:keepLines w:val="0"/>
              <w:pageBreakBefore w:val="0"/>
              <w:kinsoku/>
              <w:overflowPunct/>
              <w:topLinePunct w:val="0"/>
              <w:bidi w:val="0"/>
              <w:adjustRightInd/>
              <w:spacing w:line="500" w:lineRule="exact"/>
              <w:jc w:val="center"/>
              <w:rPr>
                <w:rFonts w:hint="default" w:asciiTheme="majorEastAsia" w:hAnsiTheme="majorEastAsia" w:eastAsiaTheme="majorEastAsia" w:cstheme="majorEastAsia"/>
                <w:color w:val="auto"/>
                <w:sz w:val="21"/>
                <w:szCs w:val="21"/>
                <w:highlight w:val="none"/>
                <w:lang w:val="en-US" w:eastAsia="zh-CN"/>
              </w:rPr>
            </w:pPr>
          </w:p>
        </w:tc>
        <w:tc>
          <w:tcPr>
            <w:tcW w:w="7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lang w:eastAsia="zh-CN"/>
              </w:rPr>
            </w:pPr>
          </w:p>
        </w:tc>
        <w:tc>
          <w:tcPr>
            <w:tcW w:w="153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lang w:val="en-US" w:eastAsia="zh-CN"/>
              </w:rPr>
            </w:pPr>
          </w:p>
        </w:tc>
        <w:tc>
          <w:tcPr>
            <w:tcW w:w="214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1"/>
                <w:szCs w:val="21"/>
                <w:highlight w:val="none"/>
              </w:rPr>
            </w:pPr>
          </w:p>
        </w:tc>
        <w:tc>
          <w:tcPr>
            <w:tcW w:w="1335" w:type="dxa"/>
            <w:vAlign w:val="center"/>
          </w:tcPr>
          <w:p>
            <w:pPr>
              <w:keepNext w:val="0"/>
              <w:keepLines w:val="0"/>
              <w:pageBreakBefore w:val="0"/>
              <w:kinsoku/>
              <w:overflowPunct/>
              <w:topLinePunct w:val="0"/>
              <w:bidi w:val="0"/>
              <w:adjustRightInd/>
              <w:spacing w:line="500" w:lineRule="exact"/>
              <w:jc w:val="center"/>
              <w:rPr>
                <w:rFonts w:hint="default" w:asciiTheme="majorEastAsia" w:hAnsiTheme="majorEastAsia" w:eastAsiaTheme="majorEastAsia" w:cstheme="majorEastAsia"/>
                <w:color w:val="auto"/>
                <w:sz w:val="21"/>
                <w:szCs w:val="21"/>
                <w:highlight w:val="none"/>
                <w:lang w:val="en-US" w:eastAsia="zh-CN"/>
              </w:rPr>
            </w:pPr>
          </w:p>
        </w:tc>
        <w:tc>
          <w:tcPr>
            <w:tcW w:w="1365" w:type="dxa"/>
            <w:vAlign w:val="center"/>
          </w:tcPr>
          <w:p>
            <w:pPr>
              <w:keepNext w:val="0"/>
              <w:keepLines w:val="0"/>
              <w:pageBreakBefore w:val="0"/>
              <w:kinsoku/>
              <w:overflowPunct/>
              <w:topLinePunct w:val="0"/>
              <w:bidi w:val="0"/>
              <w:adjustRightInd/>
              <w:spacing w:line="500" w:lineRule="exact"/>
              <w:jc w:val="center"/>
              <w:rPr>
                <w:rFonts w:hint="default" w:asciiTheme="majorEastAsia" w:hAnsiTheme="majorEastAsia" w:eastAsiaTheme="majorEastAsia" w:cstheme="majorEastAsia"/>
                <w:color w:val="auto"/>
                <w:sz w:val="21"/>
                <w:szCs w:val="21"/>
                <w:highlight w:val="none"/>
                <w:lang w:val="en-US" w:eastAsia="zh-CN"/>
              </w:rPr>
            </w:pPr>
          </w:p>
        </w:tc>
      </w:tr>
    </w:tbl>
    <w:p>
      <w:pPr>
        <w:pageBreakBefore w:val="0"/>
        <w:kinsoku/>
        <w:overflowPunct/>
        <w:topLinePunct w:val="0"/>
        <w:bidi w:val="0"/>
        <w:spacing w:line="500" w:lineRule="exact"/>
        <w:outlineLvl w:val="1"/>
        <w:rPr>
          <w:rFonts w:hint="eastAsia" w:asciiTheme="majorEastAsia" w:hAnsiTheme="majorEastAsia" w:eastAsiaTheme="majorEastAsia" w:cstheme="majorEastAsia"/>
          <w:b/>
          <w:color w:val="auto"/>
          <w:sz w:val="24"/>
          <w:szCs w:val="24"/>
          <w:highlight w:val="none"/>
        </w:rPr>
      </w:pPr>
      <w:bookmarkStart w:id="11" w:name="_Toc4084"/>
      <w:r>
        <w:rPr>
          <w:rFonts w:hint="eastAsia" w:asciiTheme="majorEastAsia" w:hAnsiTheme="majorEastAsia" w:eastAsiaTheme="majorEastAsia" w:cstheme="majorEastAsia"/>
          <w:b/>
          <w:color w:val="auto"/>
          <w:sz w:val="24"/>
          <w:szCs w:val="24"/>
          <w:highlight w:val="none"/>
        </w:rPr>
        <w:t>五、采购需求：</w:t>
      </w:r>
      <w:r>
        <w:rPr>
          <w:rFonts w:hint="eastAsia" w:asciiTheme="majorEastAsia" w:hAnsiTheme="majorEastAsia" w:eastAsiaTheme="majorEastAsia" w:cstheme="majorEastAsia"/>
          <w:color w:val="auto"/>
          <w:sz w:val="24"/>
          <w:szCs w:val="24"/>
          <w:highlight w:val="none"/>
        </w:rPr>
        <w:t>详见</w:t>
      </w:r>
      <w:r>
        <w:rPr>
          <w:rFonts w:hint="eastAsia" w:asciiTheme="majorEastAsia" w:hAnsiTheme="majorEastAsia" w:eastAsiaTheme="majorEastAsia" w:cstheme="majorEastAsia"/>
          <w:color w:val="auto"/>
          <w:sz w:val="24"/>
          <w:szCs w:val="24"/>
          <w:highlight w:val="none"/>
          <w:lang w:val="en-US" w:eastAsia="zh-CN"/>
        </w:rPr>
        <w:t>招标文件</w:t>
      </w:r>
      <w:bookmarkEnd w:id="11"/>
    </w:p>
    <w:p>
      <w:pPr>
        <w:pageBreakBefore w:val="0"/>
        <w:kinsoku/>
        <w:overflowPunct/>
        <w:topLinePunct w:val="0"/>
        <w:bidi w:val="0"/>
        <w:spacing w:line="500" w:lineRule="exact"/>
        <w:outlineLvl w:val="1"/>
        <w:rPr>
          <w:rFonts w:hint="eastAsia"/>
        </w:rPr>
      </w:pPr>
      <w:bookmarkStart w:id="12" w:name="_Toc20426"/>
      <w:r>
        <w:rPr>
          <w:rFonts w:hint="eastAsia"/>
        </w:rPr>
        <w:t>六、</w:t>
      </w:r>
      <w:r>
        <w:rPr>
          <w:rFonts w:hint="eastAsia" w:asciiTheme="majorEastAsia" w:hAnsiTheme="majorEastAsia" w:eastAsiaTheme="majorEastAsia" w:cstheme="majorEastAsia"/>
          <w:b/>
          <w:color w:val="auto"/>
          <w:sz w:val="24"/>
          <w:szCs w:val="24"/>
          <w:highlight w:val="none"/>
        </w:rPr>
        <w:t>投标供应商资格要求：</w:t>
      </w:r>
      <w:bookmarkEnd w:id="12"/>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1.符合《中华人民共和国政府采购法》第二十二条规定的投标人资格条件：</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（一）具有独立承担民事责任的能力；</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（二）具有良好的商业信誉和健全的财务会计制度；</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（三）具有履行合同所必需的设备和专业技术能力；</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（四）有依法缴纳税收和社会保障资金的良好记录；</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（五）参加政府采购活动前三年内，在经营活动中没有重大违法记录；</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（六）法律、行政法规规定的其他条件。</w:t>
      </w:r>
    </w:p>
    <w:p>
      <w:pPr>
        <w:keepNext w:val="0"/>
        <w:keepLines w:val="0"/>
        <w:pageBreakBefore w:val="0"/>
        <w:kinsoku/>
        <w:overflowPunct/>
        <w:topLinePunct w:val="0"/>
        <w:bidi w:val="0"/>
        <w:adjustRightInd/>
        <w:spacing w:line="500" w:lineRule="exact"/>
        <w:ind w:firstLine="482" w:firstLineChars="20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投标人特定资格条件：</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本项目不接受联合体投标。</w:t>
      </w:r>
    </w:p>
    <w:p>
      <w:pPr>
        <w:pageBreakBefore w:val="0"/>
        <w:kinsoku/>
        <w:overflowPunct/>
        <w:topLinePunct w:val="0"/>
        <w:bidi w:val="0"/>
        <w:spacing w:line="500" w:lineRule="exact"/>
        <w:outlineLvl w:val="1"/>
        <w:rPr>
          <w:rFonts w:hint="eastAsia"/>
        </w:rPr>
      </w:pPr>
      <w:bookmarkStart w:id="13" w:name="_Toc14490"/>
      <w:r>
        <w:rPr>
          <w:rFonts w:hint="eastAsia"/>
        </w:rPr>
        <w:t>七、</w:t>
      </w:r>
      <w:r>
        <w:rPr>
          <w:rFonts w:hint="eastAsia" w:asciiTheme="majorEastAsia" w:hAnsiTheme="majorEastAsia" w:eastAsiaTheme="majorEastAsia" w:cstheme="majorEastAsia"/>
          <w:b/>
          <w:color w:val="auto"/>
          <w:sz w:val="24"/>
          <w:szCs w:val="24"/>
          <w:highlight w:val="none"/>
        </w:rPr>
        <w:t>招标文件的获取时间、地址、方式及售价：</w:t>
      </w:r>
      <w:bookmarkEnd w:id="13"/>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1.获取时间：</w:t>
      </w:r>
      <w:r>
        <w:rPr>
          <w:rFonts w:hint="eastAsia" w:asciiTheme="majorEastAsia" w:hAnsiTheme="majorEastAsia" w:eastAsiaTheme="majorEastAsia" w:cstheme="majorEastAsia"/>
          <w:color w:val="auto"/>
          <w:sz w:val="24"/>
          <w:szCs w:val="24"/>
          <w:highlight w:val="none"/>
          <w:lang w:eastAsia="zh-CN"/>
        </w:rPr>
        <w:t>2020年</w:t>
      </w:r>
      <w:r>
        <w:rPr>
          <w:rFonts w:hint="eastAsia" w:asciiTheme="majorEastAsia" w:hAnsiTheme="majorEastAsia" w:eastAsiaTheme="majorEastAsia" w:cstheme="majorEastAsia"/>
          <w:color w:val="auto"/>
          <w:sz w:val="24"/>
          <w:szCs w:val="24"/>
          <w:highlight w:val="none"/>
          <w:lang w:val="en-US" w:eastAsia="zh-CN"/>
        </w:rPr>
        <w:t>7</w:t>
      </w:r>
      <w:r>
        <w:rPr>
          <w:rFonts w:hint="eastAsia" w:asciiTheme="majorEastAsia" w:hAnsiTheme="majorEastAsia" w:eastAsiaTheme="majorEastAsia" w:cstheme="majorEastAsia"/>
          <w:color w:val="auto"/>
          <w:sz w:val="24"/>
          <w:szCs w:val="24"/>
          <w:highlight w:val="none"/>
          <w:lang w:eastAsia="zh-CN"/>
        </w:rPr>
        <w:t>月</w:t>
      </w:r>
      <w:r>
        <w:rPr>
          <w:rFonts w:hint="eastAsia" w:asciiTheme="majorEastAsia" w:hAnsiTheme="majorEastAsia" w:eastAsiaTheme="majorEastAsia" w:cstheme="majorEastAsia"/>
          <w:color w:val="auto"/>
          <w:sz w:val="24"/>
          <w:szCs w:val="24"/>
          <w:highlight w:val="none"/>
          <w:lang w:val="en-US" w:eastAsia="zh-CN"/>
        </w:rPr>
        <w:t>28</w:t>
      </w:r>
      <w:r>
        <w:rPr>
          <w:rFonts w:hint="eastAsia" w:asciiTheme="majorEastAsia" w:hAnsiTheme="majorEastAsia" w:eastAsiaTheme="majorEastAsia" w:cstheme="majorEastAsia"/>
          <w:color w:val="auto"/>
          <w:sz w:val="24"/>
          <w:szCs w:val="24"/>
          <w:highlight w:val="none"/>
          <w:lang w:eastAsia="zh-CN"/>
        </w:rPr>
        <w:t>日</w:t>
      </w:r>
      <w:r>
        <w:rPr>
          <w:rFonts w:hint="eastAsia" w:asciiTheme="majorEastAsia" w:hAnsiTheme="majorEastAsia" w:eastAsiaTheme="majorEastAsia" w:cstheme="majorEastAsia"/>
          <w:color w:val="auto"/>
          <w:sz w:val="24"/>
          <w:szCs w:val="24"/>
          <w:highlight w:val="none"/>
        </w:rPr>
        <w:t>至</w:t>
      </w:r>
      <w:r>
        <w:rPr>
          <w:rFonts w:hint="eastAsia" w:asciiTheme="majorEastAsia" w:hAnsiTheme="majorEastAsia" w:eastAsiaTheme="majorEastAsia" w:cstheme="majorEastAsia"/>
          <w:color w:val="auto"/>
          <w:sz w:val="24"/>
          <w:szCs w:val="24"/>
          <w:highlight w:val="none"/>
          <w:lang w:eastAsia="zh-CN"/>
        </w:rPr>
        <w:t>2020年</w:t>
      </w:r>
      <w:r>
        <w:rPr>
          <w:rFonts w:hint="eastAsia" w:asciiTheme="majorEastAsia" w:hAnsiTheme="majorEastAsia" w:eastAsiaTheme="majorEastAsia" w:cstheme="majorEastAsia"/>
          <w:color w:val="auto"/>
          <w:sz w:val="24"/>
          <w:szCs w:val="24"/>
          <w:highlight w:val="none"/>
          <w:lang w:val="en-US" w:eastAsia="zh-CN"/>
        </w:rPr>
        <w:t>8</w:t>
      </w:r>
      <w:r>
        <w:rPr>
          <w:rFonts w:hint="eastAsia" w:asciiTheme="majorEastAsia" w:hAnsiTheme="majorEastAsia" w:eastAsiaTheme="majorEastAsia" w:cstheme="majorEastAsia"/>
          <w:color w:val="auto"/>
          <w:sz w:val="24"/>
          <w:szCs w:val="24"/>
          <w:highlight w:val="none"/>
          <w:lang w:eastAsia="zh-CN"/>
        </w:rPr>
        <w:t>月</w:t>
      </w:r>
      <w:r>
        <w:rPr>
          <w:rFonts w:hint="eastAsia" w:asciiTheme="majorEastAsia" w:hAnsiTheme="majorEastAsia" w:eastAsiaTheme="majorEastAsia" w:cstheme="majorEastAsia"/>
          <w:color w:val="auto"/>
          <w:sz w:val="24"/>
          <w:szCs w:val="24"/>
          <w:highlight w:val="none"/>
          <w:lang w:val="en-US" w:eastAsia="zh-CN"/>
        </w:rPr>
        <w:t>18</w:t>
      </w:r>
      <w:r>
        <w:rPr>
          <w:rFonts w:hint="eastAsia" w:asciiTheme="majorEastAsia" w:hAnsiTheme="majorEastAsia" w:eastAsiaTheme="majorEastAsia" w:cstheme="majorEastAsia"/>
          <w:color w:val="auto"/>
          <w:sz w:val="24"/>
          <w:szCs w:val="24"/>
          <w:highlight w:val="none"/>
          <w:lang w:eastAsia="zh-CN"/>
        </w:rPr>
        <w:t>日</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2.地址：政府采购云平台（https://login.zcygov.cn）</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3.方式：</w:t>
      </w:r>
      <w:r>
        <w:rPr>
          <w:rFonts w:hint="eastAsia" w:asciiTheme="majorEastAsia" w:hAnsiTheme="majorEastAsia" w:eastAsiaTheme="majorEastAsia" w:cstheme="majorEastAsia"/>
          <w:color w:val="auto"/>
          <w:sz w:val="24"/>
          <w:szCs w:val="24"/>
          <w:highlight w:val="none"/>
          <w:lang w:val="en-US" w:eastAsia="zh-CN"/>
        </w:rPr>
        <w:t>在线</w:t>
      </w:r>
      <w:r>
        <w:rPr>
          <w:rFonts w:hint="eastAsia" w:asciiTheme="majorEastAsia" w:hAnsiTheme="majorEastAsia" w:eastAsiaTheme="majorEastAsia" w:cstheme="majorEastAsia"/>
          <w:color w:val="auto"/>
          <w:sz w:val="24"/>
          <w:szCs w:val="24"/>
          <w:highlight w:val="none"/>
        </w:rPr>
        <w:t>获取（潜在投标人登陆政府采购云平台，进入“项目采购”，在“获取采购文件”菜单中选择项目后“申请获取采购文件”）</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4.售价：</w:t>
      </w:r>
      <w:r>
        <w:rPr>
          <w:rFonts w:hint="eastAsia" w:asciiTheme="majorEastAsia" w:hAnsiTheme="majorEastAsia" w:eastAsiaTheme="majorEastAsia" w:cstheme="majorEastAsia"/>
          <w:color w:val="auto"/>
          <w:sz w:val="24"/>
          <w:szCs w:val="24"/>
          <w:highlight w:val="none"/>
          <w:lang w:val="en-US" w:eastAsia="zh-CN"/>
        </w:rPr>
        <w:t>免费</w:t>
      </w:r>
    </w:p>
    <w:p>
      <w:pPr>
        <w:keepNext w:val="0"/>
        <w:keepLines w:val="0"/>
        <w:pageBreakBefore w:val="0"/>
        <w:kinsoku/>
        <w:overflowPunct/>
        <w:topLinePunct w:val="0"/>
        <w:bidi w:val="0"/>
        <w:adjustRightInd/>
        <w:spacing w:line="500" w:lineRule="exact"/>
        <w:ind w:firstLine="482" w:firstLineChars="20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备注：</w:t>
      </w:r>
    </w:p>
    <w:p>
      <w:pPr>
        <w:keepNext w:val="0"/>
        <w:keepLines w:val="0"/>
        <w:pageBreakBefore w:val="0"/>
        <w:kinsoku/>
        <w:overflowPunct/>
        <w:topLinePunct w:val="0"/>
        <w:bidi w:val="0"/>
        <w:adjustRightInd/>
        <w:spacing w:line="500" w:lineRule="exact"/>
        <w:ind w:firstLine="482" w:firstLineChars="20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lang w:eastAsia="zh-CN"/>
        </w:rPr>
        <w:t>（</w:t>
      </w:r>
      <w:r>
        <w:rPr>
          <w:rFonts w:hint="eastAsia" w:asciiTheme="majorEastAsia" w:hAnsiTheme="majorEastAsia" w:eastAsiaTheme="majorEastAsia" w:cstheme="majorEastAsia"/>
          <w:b/>
          <w:color w:val="auto"/>
          <w:sz w:val="24"/>
          <w:szCs w:val="24"/>
          <w:highlight w:val="none"/>
        </w:rPr>
        <w:t>1）获取招标文件截止时间之后潜在投标人依然可以获取招标文件，如对招标文件有质疑的应在规定的质疑期限内提出；</w:t>
      </w:r>
    </w:p>
    <w:p>
      <w:pPr>
        <w:keepNext w:val="0"/>
        <w:keepLines w:val="0"/>
        <w:pageBreakBefore w:val="0"/>
        <w:kinsoku/>
        <w:overflowPunct/>
        <w:topLinePunct w:val="0"/>
        <w:bidi w:val="0"/>
        <w:adjustRightInd/>
        <w:spacing w:line="500" w:lineRule="exact"/>
        <w:ind w:firstLine="482"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sz w:val="24"/>
          <w:szCs w:val="24"/>
          <w:highlight w:val="none"/>
          <w:lang w:eastAsia="zh-CN"/>
        </w:rPr>
        <w:t>（</w:t>
      </w:r>
      <w:r>
        <w:rPr>
          <w:rFonts w:hint="eastAsia" w:asciiTheme="majorEastAsia" w:hAnsiTheme="majorEastAsia" w:eastAsiaTheme="majorEastAsia" w:cstheme="majorEastAsia"/>
          <w:b/>
          <w:color w:val="auto"/>
          <w:sz w:val="24"/>
          <w:szCs w:val="24"/>
          <w:highlight w:val="none"/>
        </w:rPr>
        <w:t>2）公告规定的招标文件获取方式为依法获取招标文件的方式，未按照公告规定的方式获取招标文件的，不得对招标文件提起质疑、投诉。</w:t>
      </w:r>
    </w:p>
    <w:p>
      <w:pPr>
        <w:keepNext w:val="0"/>
        <w:keepLines w:val="0"/>
        <w:pageBreakBefore w:val="0"/>
        <w:kinsoku/>
        <w:overflowPunct/>
        <w:topLinePunct w:val="0"/>
        <w:bidi w:val="0"/>
        <w:adjustRightInd/>
        <w:spacing w:line="500" w:lineRule="exact"/>
        <w:outlineLvl w:val="1"/>
        <w:rPr>
          <w:rFonts w:hint="eastAsia" w:asciiTheme="majorEastAsia" w:hAnsiTheme="majorEastAsia" w:eastAsiaTheme="majorEastAsia" w:cstheme="majorEastAsia"/>
          <w:b/>
          <w:color w:val="auto"/>
          <w:sz w:val="24"/>
          <w:szCs w:val="24"/>
          <w:highlight w:val="none"/>
          <w:lang w:eastAsia="zh-CN"/>
        </w:rPr>
      </w:pPr>
      <w:bookmarkStart w:id="14" w:name="_Toc20449"/>
      <w:r>
        <w:rPr>
          <w:rFonts w:hint="eastAsia" w:asciiTheme="majorEastAsia" w:hAnsiTheme="majorEastAsia" w:eastAsiaTheme="majorEastAsia" w:cstheme="majorEastAsia"/>
          <w:b/>
          <w:color w:val="auto"/>
          <w:sz w:val="24"/>
          <w:szCs w:val="24"/>
          <w:highlight w:val="none"/>
        </w:rPr>
        <w:t>八、投标人获取招标文件时应提交的资料：</w:t>
      </w:r>
      <w:r>
        <w:rPr>
          <w:rFonts w:hint="eastAsia" w:asciiTheme="majorEastAsia" w:hAnsiTheme="majorEastAsia" w:eastAsiaTheme="majorEastAsia" w:cstheme="majorEastAsia"/>
          <w:color w:val="auto"/>
          <w:sz w:val="24"/>
          <w:szCs w:val="24"/>
          <w:highlight w:val="none"/>
          <w:lang w:val="en-US" w:eastAsia="zh-CN"/>
        </w:rPr>
        <w:t>无</w:t>
      </w:r>
      <w:bookmarkEnd w:id="14"/>
    </w:p>
    <w:p>
      <w:pPr>
        <w:keepNext w:val="0"/>
        <w:keepLines w:val="0"/>
        <w:pageBreakBefore w:val="0"/>
        <w:kinsoku/>
        <w:overflowPunct/>
        <w:topLinePunct w:val="0"/>
        <w:bidi w:val="0"/>
        <w:adjustRightInd/>
        <w:spacing w:line="500" w:lineRule="exact"/>
        <w:outlineLvl w:val="1"/>
        <w:rPr>
          <w:rFonts w:hint="eastAsia" w:asciiTheme="majorEastAsia" w:hAnsiTheme="majorEastAsia" w:eastAsiaTheme="majorEastAsia" w:cstheme="majorEastAsia"/>
          <w:color w:val="auto"/>
          <w:sz w:val="24"/>
          <w:szCs w:val="24"/>
          <w:highlight w:val="none"/>
          <w:lang w:eastAsia="zh-CN"/>
        </w:rPr>
      </w:pPr>
      <w:bookmarkStart w:id="15" w:name="_Toc29911"/>
      <w:r>
        <w:rPr>
          <w:rFonts w:hint="eastAsia" w:asciiTheme="majorEastAsia" w:hAnsiTheme="majorEastAsia" w:eastAsiaTheme="majorEastAsia" w:cstheme="majorEastAsia"/>
          <w:b/>
          <w:color w:val="auto"/>
          <w:sz w:val="24"/>
          <w:szCs w:val="24"/>
          <w:highlight w:val="none"/>
        </w:rPr>
        <w:t>九、投标截止时间：</w:t>
      </w:r>
      <w:r>
        <w:rPr>
          <w:rFonts w:hint="eastAsia" w:asciiTheme="majorEastAsia" w:hAnsiTheme="majorEastAsia" w:eastAsiaTheme="majorEastAsia" w:cstheme="majorEastAsia"/>
          <w:color w:val="auto"/>
          <w:sz w:val="24"/>
          <w:szCs w:val="24"/>
          <w:highlight w:val="none"/>
          <w:lang w:eastAsia="zh-CN"/>
        </w:rPr>
        <w:t>2020年</w:t>
      </w:r>
      <w:r>
        <w:rPr>
          <w:rFonts w:hint="eastAsia" w:asciiTheme="majorEastAsia" w:hAnsiTheme="majorEastAsia" w:eastAsiaTheme="majorEastAsia" w:cstheme="majorEastAsia"/>
          <w:color w:val="auto"/>
          <w:sz w:val="24"/>
          <w:szCs w:val="24"/>
          <w:highlight w:val="none"/>
          <w:lang w:val="en-US" w:eastAsia="zh-CN"/>
        </w:rPr>
        <w:t>8</w:t>
      </w:r>
      <w:r>
        <w:rPr>
          <w:rFonts w:hint="eastAsia" w:asciiTheme="majorEastAsia" w:hAnsiTheme="majorEastAsia" w:eastAsiaTheme="majorEastAsia" w:cstheme="majorEastAsia"/>
          <w:color w:val="auto"/>
          <w:sz w:val="24"/>
          <w:szCs w:val="24"/>
          <w:highlight w:val="none"/>
          <w:lang w:eastAsia="zh-CN"/>
        </w:rPr>
        <w:t>月</w:t>
      </w:r>
      <w:r>
        <w:rPr>
          <w:rFonts w:hint="eastAsia" w:asciiTheme="majorEastAsia" w:hAnsiTheme="majorEastAsia" w:eastAsiaTheme="majorEastAsia" w:cstheme="majorEastAsia"/>
          <w:color w:val="auto"/>
          <w:sz w:val="24"/>
          <w:szCs w:val="24"/>
          <w:highlight w:val="none"/>
          <w:lang w:val="en-US" w:eastAsia="zh-CN"/>
        </w:rPr>
        <w:t>18</w:t>
      </w:r>
      <w:r>
        <w:rPr>
          <w:rFonts w:hint="eastAsia" w:asciiTheme="majorEastAsia" w:hAnsiTheme="majorEastAsia" w:eastAsiaTheme="majorEastAsia" w:cstheme="majorEastAsia"/>
          <w:color w:val="auto"/>
          <w:sz w:val="24"/>
          <w:szCs w:val="24"/>
          <w:highlight w:val="none"/>
          <w:lang w:eastAsia="zh-CN"/>
        </w:rPr>
        <w:t>日上午9:30:00</w:t>
      </w:r>
      <w:bookmarkEnd w:id="15"/>
    </w:p>
    <w:p>
      <w:pPr>
        <w:keepNext w:val="0"/>
        <w:keepLines w:val="0"/>
        <w:pageBreakBefore w:val="0"/>
        <w:kinsoku/>
        <w:overflowPunct/>
        <w:topLinePunct w:val="0"/>
        <w:bidi w:val="0"/>
        <w:adjustRightInd/>
        <w:spacing w:line="500" w:lineRule="exact"/>
        <w:outlineLvl w:val="1"/>
        <w:rPr>
          <w:rFonts w:hint="eastAsia" w:asciiTheme="majorEastAsia" w:hAnsiTheme="majorEastAsia" w:eastAsiaTheme="majorEastAsia" w:cstheme="majorEastAsia"/>
          <w:color w:val="auto"/>
          <w:sz w:val="24"/>
          <w:szCs w:val="24"/>
          <w:highlight w:val="none"/>
        </w:rPr>
      </w:pPr>
      <w:bookmarkStart w:id="16" w:name="_Toc26054"/>
      <w:r>
        <w:rPr>
          <w:rFonts w:hint="eastAsia" w:asciiTheme="majorEastAsia" w:hAnsiTheme="majorEastAsia" w:eastAsiaTheme="majorEastAsia" w:cstheme="majorEastAsia"/>
          <w:b/>
          <w:color w:val="auto"/>
          <w:sz w:val="24"/>
          <w:szCs w:val="24"/>
          <w:highlight w:val="none"/>
        </w:rPr>
        <w:t>十、投标地址</w:t>
      </w:r>
      <w:r>
        <w:rPr>
          <w:rFonts w:hint="eastAsia" w:asciiTheme="majorEastAsia" w:hAnsiTheme="majorEastAsia" w:eastAsiaTheme="majorEastAsia" w:cstheme="majorEastAsia"/>
          <w:b/>
          <w:color w:val="auto"/>
          <w:sz w:val="24"/>
          <w:szCs w:val="24"/>
          <w:highlight w:val="none"/>
          <w:lang w:eastAsia="zh-CN"/>
        </w:rPr>
        <w:t>、</w:t>
      </w:r>
      <w:r>
        <w:rPr>
          <w:rFonts w:hint="eastAsia" w:asciiTheme="majorEastAsia" w:hAnsiTheme="majorEastAsia" w:eastAsiaTheme="majorEastAsia" w:cstheme="majorEastAsia"/>
          <w:b/>
          <w:color w:val="auto"/>
          <w:sz w:val="24"/>
          <w:szCs w:val="24"/>
          <w:highlight w:val="none"/>
          <w:lang w:val="en-US" w:eastAsia="zh-CN"/>
        </w:rPr>
        <w:t>方式</w:t>
      </w:r>
      <w:r>
        <w:rPr>
          <w:rFonts w:hint="eastAsia" w:asciiTheme="majorEastAsia" w:hAnsiTheme="majorEastAsia" w:eastAsiaTheme="majorEastAsia" w:cstheme="majorEastAsia"/>
          <w:b/>
          <w:color w:val="auto"/>
          <w:sz w:val="24"/>
          <w:szCs w:val="24"/>
          <w:highlight w:val="none"/>
        </w:rPr>
        <w:t>：</w:t>
      </w:r>
      <w:r>
        <w:rPr>
          <w:rFonts w:hint="eastAsia" w:asciiTheme="majorEastAsia" w:hAnsiTheme="majorEastAsia" w:eastAsiaTheme="majorEastAsia" w:cstheme="majorEastAsia"/>
          <w:color w:val="auto"/>
          <w:sz w:val="24"/>
          <w:szCs w:val="24"/>
          <w:highlight w:val="none"/>
        </w:rPr>
        <w:t>通过政府采购云平台在线电子投标</w:t>
      </w:r>
      <w:bookmarkEnd w:id="16"/>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1"/>
        <w:rPr>
          <w:rFonts w:hint="eastAsia" w:asciiTheme="majorEastAsia" w:hAnsiTheme="majorEastAsia" w:eastAsiaTheme="majorEastAsia" w:cstheme="majorEastAsia"/>
          <w:color w:val="auto"/>
          <w:sz w:val="24"/>
          <w:szCs w:val="24"/>
          <w:highlight w:val="none"/>
        </w:rPr>
      </w:pPr>
      <w:bookmarkStart w:id="17" w:name="_Toc21238"/>
      <w:r>
        <w:rPr>
          <w:rFonts w:hint="eastAsia" w:asciiTheme="majorEastAsia" w:hAnsiTheme="majorEastAsia" w:eastAsiaTheme="majorEastAsia" w:cstheme="majorEastAsia"/>
          <w:color w:val="auto"/>
          <w:sz w:val="24"/>
          <w:szCs w:val="24"/>
          <w:highlight w:val="none"/>
        </w:rPr>
        <w:t>备注：</w:t>
      </w:r>
      <w:bookmarkEnd w:id="17"/>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1"/>
        <w:rPr>
          <w:rFonts w:hint="eastAsia" w:asciiTheme="majorEastAsia" w:hAnsiTheme="majorEastAsia" w:eastAsiaTheme="majorEastAsia" w:cstheme="majorEastAsia"/>
          <w:color w:val="auto"/>
          <w:sz w:val="24"/>
          <w:szCs w:val="24"/>
          <w:highlight w:val="none"/>
        </w:rPr>
      </w:pPr>
      <w:bookmarkStart w:id="18" w:name="_Toc27934"/>
      <w:r>
        <w:rPr>
          <w:rFonts w:hint="eastAsia" w:asciiTheme="majorEastAsia" w:hAnsiTheme="majorEastAsia" w:eastAsiaTheme="majorEastAsia" w:cstheme="majorEastAsia"/>
          <w:color w:val="auto"/>
          <w:sz w:val="24"/>
          <w:szCs w:val="24"/>
          <w:highlight w:val="none"/>
        </w:rPr>
        <w:t>1）投标人未按规定编制加密或者投标截止时间后上传的投标文件政府采购云平台将予以拒收；</w:t>
      </w:r>
      <w:bookmarkEnd w:id="18"/>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1"/>
        <w:rPr>
          <w:rFonts w:hint="eastAsia" w:asciiTheme="majorEastAsia" w:hAnsiTheme="majorEastAsia" w:eastAsiaTheme="majorEastAsia" w:cstheme="majorEastAsia"/>
          <w:color w:val="auto"/>
          <w:sz w:val="24"/>
          <w:szCs w:val="24"/>
          <w:highlight w:val="none"/>
        </w:rPr>
      </w:pPr>
      <w:bookmarkStart w:id="19" w:name="_Toc21609"/>
      <w:r>
        <w:rPr>
          <w:rFonts w:hint="eastAsia" w:asciiTheme="majorEastAsia" w:hAnsiTheme="majorEastAsia" w:eastAsiaTheme="majorEastAsia" w:cstheme="majorEastAsia"/>
          <w:color w:val="auto"/>
          <w:sz w:val="24"/>
          <w:szCs w:val="24"/>
          <w:highlight w:val="none"/>
        </w:rPr>
        <w:t>2）投标人逾期送达或者未密封包装的备份投标文件采购代理机构将予以拒收。</w:t>
      </w:r>
      <w:bookmarkEnd w:id="19"/>
    </w:p>
    <w:p>
      <w:pPr>
        <w:pageBreakBefore w:val="0"/>
        <w:kinsoku/>
        <w:overflowPunct/>
        <w:topLinePunct w:val="0"/>
        <w:bidi w:val="0"/>
        <w:spacing w:line="500" w:lineRule="exact"/>
        <w:outlineLvl w:val="1"/>
        <w:rPr>
          <w:rFonts w:hint="eastAsia" w:asciiTheme="majorEastAsia" w:hAnsiTheme="majorEastAsia" w:eastAsiaTheme="majorEastAsia" w:cstheme="majorEastAsia"/>
          <w:b/>
          <w:color w:val="auto"/>
          <w:sz w:val="24"/>
          <w:szCs w:val="24"/>
          <w:highlight w:val="none"/>
        </w:rPr>
      </w:pPr>
      <w:bookmarkStart w:id="20" w:name="_Toc11377"/>
      <w:r>
        <w:rPr>
          <w:rFonts w:hint="eastAsia" w:asciiTheme="majorEastAsia" w:hAnsiTheme="majorEastAsia" w:eastAsiaTheme="majorEastAsia" w:cstheme="majorEastAsia"/>
          <w:b/>
          <w:color w:val="auto"/>
          <w:sz w:val="24"/>
          <w:szCs w:val="24"/>
          <w:highlight w:val="none"/>
        </w:rPr>
        <w:t>十一、开标时间：</w:t>
      </w:r>
      <w:bookmarkEnd w:id="20"/>
    </w:p>
    <w:p>
      <w:pPr>
        <w:pageBreakBefore w:val="0"/>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2020年</w:t>
      </w:r>
      <w:r>
        <w:rPr>
          <w:rFonts w:hint="eastAsia" w:asciiTheme="majorEastAsia" w:hAnsiTheme="majorEastAsia" w:eastAsiaTheme="majorEastAsia" w:cstheme="majorEastAsia"/>
          <w:color w:val="auto"/>
          <w:sz w:val="24"/>
          <w:szCs w:val="24"/>
          <w:highlight w:val="none"/>
          <w:lang w:val="en-US" w:eastAsia="zh-CN"/>
        </w:rPr>
        <w:t>8</w:t>
      </w:r>
      <w:r>
        <w:rPr>
          <w:rFonts w:hint="eastAsia" w:asciiTheme="majorEastAsia" w:hAnsiTheme="majorEastAsia" w:eastAsiaTheme="majorEastAsia" w:cstheme="majorEastAsia"/>
          <w:color w:val="auto"/>
          <w:sz w:val="24"/>
          <w:szCs w:val="24"/>
          <w:highlight w:val="none"/>
          <w:lang w:eastAsia="zh-CN"/>
        </w:rPr>
        <w:t>月</w:t>
      </w:r>
      <w:r>
        <w:rPr>
          <w:rFonts w:hint="eastAsia" w:asciiTheme="majorEastAsia" w:hAnsiTheme="majorEastAsia" w:eastAsiaTheme="majorEastAsia" w:cstheme="majorEastAsia"/>
          <w:color w:val="auto"/>
          <w:sz w:val="24"/>
          <w:szCs w:val="24"/>
          <w:highlight w:val="none"/>
          <w:lang w:val="en-US" w:eastAsia="zh-CN"/>
        </w:rPr>
        <w:t>18</w:t>
      </w:r>
      <w:r>
        <w:rPr>
          <w:rFonts w:hint="eastAsia" w:asciiTheme="majorEastAsia" w:hAnsiTheme="majorEastAsia" w:eastAsiaTheme="majorEastAsia" w:cstheme="majorEastAsia"/>
          <w:color w:val="auto"/>
          <w:sz w:val="24"/>
          <w:szCs w:val="24"/>
          <w:highlight w:val="none"/>
          <w:lang w:eastAsia="zh-CN"/>
        </w:rPr>
        <w:t>日</w:t>
      </w:r>
      <w:r>
        <w:rPr>
          <w:rFonts w:hint="eastAsia" w:asciiTheme="majorEastAsia" w:hAnsiTheme="majorEastAsia" w:eastAsiaTheme="majorEastAsia" w:cstheme="majorEastAsia"/>
          <w:color w:val="auto"/>
          <w:sz w:val="24"/>
          <w:szCs w:val="24"/>
          <w:highlight w:val="none"/>
          <w:lang w:val="en-US" w:eastAsia="zh-CN"/>
        </w:rPr>
        <w:t>上</w:t>
      </w:r>
      <w:r>
        <w:rPr>
          <w:rFonts w:hint="eastAsia" w:asciiTheme="majorEastAsia" w:hAnsiTheme="majorEastAsia" w:eastAsiaTheme="majorEastAsia" w:cstheme="majorEastAsia"/>
          <w:color w:val="auto"/>
          <w:sz w:val="24"/>
          <w:szCs w:val="24"/>
          <w:highlight w:val="none"/>
          <w:lang w:eastAsia="zh-CN"/>
        </w:rPr>
        <w:t>午9:30:00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1"/>
        <w:rPr>
          <w:rFonts w:hint="eastAsia" w:asciiTheme="majorEastAsia" w:hAnsiTheme="majorEastAsia" w:eastAsiaTheme="majorEastAsia" w:cstheme="majorEastAsia"/>
          <w:color w:val="auto"/>
          <w:sz w:val="24"/>
          <w:szCs w:val="24"/>
          <w:highlight w:val="none"/>
          <w:lang w:eastAsia="zh-CN"/>
        </w:rPr>
      </w:pPr>
      <w:bookmarkStart w:id="21" w:name="_Toc11532"/>
      <w:r>
        <w:rPr>
          <w:rFonts w:hint="eastAsia" w:asciiTheme="majorEastAsia" w:hAnsiTheme="majorEastAsia" w:eastAsiaTheme="majorEastAsia" w:cstheme="majorEastAsia"/>
          <w:color w:val="auto"/>
          <w:sz w:val="24"/>
          <w:szCs w:val="24"/>
          <w:highlight w:val="none"/>
          <w:lang w:eastAsia="zh-CN"/>
        </w:rPr>
        <w:t>备注：投标人应在开标时间在线参加开标并按时解密电子加密投标文件。</w:t>
      </w:r>
      <w:bookmarkEnd w:id="21"/>
    </w:p>
    <w:p>
      <w:pPr>
        <w:pageBreakBefore w:val="0"/>
        <w:numPr>
          <w:ilvl w:val="0"/>
          <w:numId w:val="3"/>
        </w:numPr>
        <w:kinsoku/>
        <w:overflowPunct/>
        <w:topLinePunct w:val="0"/>
        <w:bidi w:val="0"/>
        <w:spacing w:line="500" w:lineRule="exact"/>
        <w:outlineLvl w:val="1"/>
        <w:rPr>
          <w:rFonts w:hint="eastAsia" w:asciiTheme="majorEastAsia" w:hAnsiTheme="majorEastAsia" w:eastAsiaTheme="majorEastAsia" w:cstheme="majorEastAsia"/>
          <w:b/>
          <w:color w:val="auto"/>
          <w:sz w:val="24"/>
          <w:szCs w:val="24"/>
          <w:highlight w:val="none"/>
        </w:rPr>
      </w:pPr>
      <w:bookmarkStart w:id="22" w:name="_Toc14804"/>
      <w:r>
        <w:rPr>
          <w:rFonts w:hint="eastAsia" w:asciiTheme="majorEastAsia" w:hAnsiTheme="majorEastAsia" w:eastAsiaTheme="majorEastAsia" w:cstheme="majorEastAsia"/>
          <w:b/>
          <w:color w:val="auto"/>
          <w:sz w:val="24"/>
          <w:szCs w:val="24"/>
          <w:highlight w:val="none"/>
        </w:rPr>
        <w:t>开标地址：</w:t>
      </w:r>
      <w:bookmarkEnd w:id="22"/>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浙江新诚信工程咨询有限公司开标</w:t>
      </w:r>
      <w:r>
        <w:rPr>
          <w:rFonts w:hint="eastAsia" w:asciiTheme="majorEastAsia" w:hAnsiTheme="majorEastAsia" w:eastAsiaTheme="majorEastAsia" w:cstheme="majorEastAsia"/>
          <w:color w:val="auto"/>
          <w:sz w:val="24"/>
          <w:szCs w:val="24"/>
          <w:highlight w:val="none"/>
        </w:rPr>
        <w:t>室</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杭州市</w:t>
      </w:r>
      <w:r>
        <w:rPr>
          <w:rFonts w:hint="eastAsia" w:asciiTheme="majorEastAsia" w:hAnsiTheme="majorEastAsia" w:eastAsiaTheme="majorEastAsia" w:cstheme="majorEastAsia"/>
          <w:color w:val="auto"/>
          <w:sz w:val="24"/>
          <w:szCs w:val="24"/>
          <w:highlight w:val="none"/>
          <w:lang w:eastAsia="zh-CN"/>
        </w:rPr>
        <w:t>拱墅区湖墅南路</w:t>
      </w:r>
      <w:r>
        <w:rPr>
          <w:rFonts w:hint="eastAsia" w:asciiTheme="majorEastAsia" w:hAnsiTheme="majorEastAsia" w:eastAsiaTheme="majorEastAsia" w:cstheme="majorEastAsia"/>
          <w:color w:val="auto"/>
          <w:sz w:val="24"/>
          <w:szCs w:val="24"/>
          <w:highlight w:val="none"/>
          <w:lang w:val="en-US" w:eastAsia="zh-CN"/>
        </w:rPr>
        <w:t>356号锦绣大厦9F</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w:t>
      </w:r>
    </w:p>
    <w:p>
      <w:pPr>
        <w:pageBreakBefore w:val="0"/>
        <w:numPr>
          <w:ilvl w:val="0"/>
          <w:numId w:val="0"/>
        </w:numPr>
        <w:kinsoku/>
        <w:overflowPunct/>
        <w:topLinePunct w:val="0"/>
        <w:bidi w:val="0"/>
        <w:spacing w:line="500" w:lineRule="exact"/>
        <w:ind w:leftChars="0"/>
        <w:outlineLvl w:val="1"/>
        <w:rPr>
          <w:rFonts w:hint="eastAsia" w:asciiTheme="majorEastAsia" w:hAnsiTheme="majorEastAsia" w:eastAsiaTheme="majorEastAsia" w:cstheme="majorEastAsia"/>
          <w:b/>
          <w:color w:val="auto"/>
          <w:sz w:val="24"/>
          <w:szCs w:val="24"/>
          <w:highlight w:val="yellow"/>
        </w:rPr>
      </w:pPr>
      <w:bookmarkStart w:id="23" w:name="_Toc11682"/>
      <w:r>
        <w:rPr>
          <w:rFonts w:hint="eastAsia" w:asciiTheme="majorEastAsia" w:hAnsiTheme="majorEastAsia" w:eastAsiaTheme="majorEastAsia" w:cstheme="majorEastAsia"/>
          <w:b/>
          <w:color w:val="auto"/>
          <w:sz w:val="24"/>
          <w:szCs w:val="24"/>
          <w:highlight w:val="none"/>
          <w:lang w:eastAsia="zh-CN"/>
        </w:rPr>
        <w:t>十三、</w:t>
      </w:r>
      <w:r>
        <w:rPr>
          <w:rFonts w:hint="eastAsia" w:asciiTheme="majorEastAsia" w:hAnsiTheme="majorEastAsia" w:eastAsiaTheme="majorEastAsia" w:cstheme="majorEastAsia"/>
          <w:b/>
          <w:color w:val="auto"/>
          <w:sz w:val="24"/>
          <w:szCs w:val="24"/>
          <w:highlight w:val="none"/>
        </w:rPr>
        <w:t>公告期限：</w:t>
      </w:r>
      <w:bookmarkEnd w:id="23"/>
    </w:p>
    <w:p>
      <w:pPr>
        <w:pageBreakBefore w:val="0"/>
        <w:numPr>
          <w:ilvl w:val="0"/>
          <w:numId w:val="0"/>
        </w:numPr>
        <w:kinsoku/>
        <w:overflowPunct/>
        <w:topLinePunct w:val="0"/>
        <w:bidi w:val="0"/>
        <w:spacing w:line="500" w:lineRule="exact"/>
        <w:ind w:leftChars="0" w:firstLine="480" w:firstLineChars="200"/>
        <w:rPr>
          <w:rFonts w:hint="eastAsia" w:asciiTheme="majorEastAsia" w:hAnsiTheme="majorEastAsia" w:eastAsiaTheme="majorEastAsia" w:cstheme="majorEastAsia"/>
          <w:b/>
          <w:color w:val="auto"/>
          <w:sz w:val="24"/>
          <w:szCs w:val="24"/>
          <w:highlight w:val="yellow"/>
        </w:rPr>
      </w:pPr>
      <w:r>
        <w:rPr>
          <w:rFonts w:hint="eastAsia" w:asciiTheme="majorEastAsia" w:hAnsiTheme="majorEastAsia" w:eastAsiaTheme="majorEastAsia" w:cstheme="majorEastAsia"/>
          <w:color w:val="auto"/>
          <w:sz w:val="24"/>
          <w:szCs w:val="24"/>
          <w:highlight w:val="none"/>
          <w:lang w:eastAsia="zh-CN"/>
        </w:rPr>
        <w:t>2020年</w:t>
      </w:r>
      <w:r>
        <w:rPr>
          <w:rFonts w:hint="eastAsia" w:asciiTheme="majorEastAsia" w:hAnsiTheme="majorEastAsia" w:eastAsiaTheme="majorEastAsia" w:cstheme="majorEastAsia"/>
          <w:color w:val="auto"/>
          <w:sz w:val="24"/>
          <w:szCs w:val="24"/>
          <w:highlight w:val="none"/>
          <w:lang w:val="en-US" w:eastAsia="zh-CN"/>
        </w:rPr>
        <w:t>8</w:t>
      </w:r>
      <w:r>
        <w:rPr>
          <w:rFonts w:hint="eastAsia" w:asciiTheme="majorEastAsia" w:hAnsiTheme="majorEastAsia" w:eastAsiaTheme="majorEastAsia" w:cstheme="majorEastAsia"/>
          <w:color w:val="auto"/>
          <w:sz w:val="24"/>
          <w:szCs w:val="24"/>
          <w:highlight w:val="none"/>
          <w:lang w:eastAsia="zh-CN"/>
        </w:rPr>
        <w:t>月</w:t>
      </w:r>
      <w:r>
        <w:rPr>
          <w:rFonts w:hint="eastAsia" w:asciiTheme="majorEastAsia" w:hAnsiTheme="majorEastAsia" w:eastAsiaTheme="majorEastAsia" w:cstheme="majorEastAsia"/>
          <w:color w:val="auto"/>
          <w:sz w:val="24"/>
          <w:szCs w:val="24"/>
          <w:highlight w:val="none"/>
          <w:lang w:val="en-US" w:eastAsia="zh-CN"/>
        </w:rPr>
        <w:t>18</w:t>
      </w:r>
      <w:r>
        <w:rPr>
          <w:rFonts w:hint="eastAsia" w:asciiTheme="majorEastAsia" w:hAnsiTheme="majorEastAsia" w:eastAsiaTheme="majorEastAsia" w:cstheme="majorEastAsia"/>
          <w:color w:val="auto"/>
          <w:sz w:val="24"/>
          <w:szCs w:val="24"/>
          <w:highlight w:val="none"/>
          <w:lang w:eastAsia="zh-CN"/>
        </w:rPr>
        <w:t>日上午9:30:00止</w:t>
      </w:r>
    </w:p>
    <w:p>
      <w:pPr>
        <w:pageBreakBefore w:val="0"/>
        <w:kinsoku/>
        <w:overflowPunct/>
        <w:topLinePunct w:val="0"/>
        <w:bidi w:val="0"/>
        <w:spacing w:line="500" w:lineRule="exact"/>
        <w:outlineLvl w:val="1"/>
        <w:rPr>
          <w:rFonts w:hint="eastAsia"/>
          <w:lang w:val="en-US" w:eastAsia="zh-CN"/>
        </w:rPr>
      </w:pPr>
      <w:bookmarkStart w:id="24" w:name="_Toc29174"/>
      <w:r>
        <w:rPr>
          <w:rFonts w:hint="eastAsia"/>
          <w:lang w:val="en-US" w:eastAsia="zh-CN"/>
        </w:rPr>
        <w:t>十四、</w:t>
      </w:r>
      <w:r>
        <w:rPr>
          <w:rFonts w:hint="eastAsia" w:asciiTheme="majorEastAsia" w:hAnsiTheme="majorEastAsia" w:eastAsiaTheme="majorEastAsia" w:cstheme="majorEastAsia"/>
          <w:b/>
          <w:color w:val="auto"/>
          <w:sz w:val="24"/>
          <w:szCs w:val="24"/>
          <w:highlight w:val="none"/>
          <w:lang w:val="en-US" w:eastAsia="zh-CN"/>
        </w:rPr>
        <w:t>在线电子投标说明：</w:t>
      </w:r>
      <w:bookmarkEnd w:id="24"/>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政采云电子交易客户端（政采云投标客户端）请自行前往“浙江政府采购网-下载专区-电子交易客户端”进行下载，通过政府采购云平台参与在线电子投标时如遇平台技术问题详询400-881-7190。</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CA驱动和申领流程”进行查阅；</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3.投标人应当在投标截止时间前将在政采云电子交易客户端（政采云投标客户端）生成的电子加密投标文件上传至政府采购云平台；</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投标人名称并加盖公章。</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备注：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投标人可通过浙江省“电子交易/不见面开评标”学习专题提前进行专题学习，熟悉操作，避免影响采购活动（https://edu.zcygov.cn/luban/e-biding）。</w:t>
      </w:r>
    </w:p>
    <w:p>
      <w:pPr>
        <w:pageBreakBefore w:val="0"/>
        <w:kinsoku/>
        <w:overflowPunct/>
        <w:topLinePunct w:val="0"/>
        <w:bidi w:val="0"/>
        <w:spacing w:line="500" w:lineRule="exact"/>
        <w:outlineLvl w:val="1"/>
        <w:rPr>
          <w:rFonts w:hint="eastAsia"/>
        </w:rPr>
      </w:pPr>
      <w:bookmarkStart w:id="25" w:name="_Toc15151"/>
      <w:r>
        <w:rPr>
          <w:rFonts w:hint="eastAsia"/>
        </w:rPr>
        <w:t>十</w:t>
      </w:r>
      <w:r>
        <w:rPr>
          <w:rFonts w:hint="eastAsia"/>
          <w:lang w:val="en-US" w:eastAsia="zh-CN"/>
        </w:rPr>
        <w:t>五</w:t>
      </w:r>
      <w:r>
        <w:rPr>
          <w:rFonts w:hint="eastAsia"/>
        </w:rPr>
        <w:t>、</w:t>
      </w:r>
      <w:r>
        <w:rPr>
          <w:rFonts w:hint="eastAsia" w:asciiTheme="majorEastAsia" w:hAnsiTheme="majorEastAsia" w:eastAsiaTheme="majorEastAsia" w:cstheme="majorEastAsia"/>
          <w:b/>
          <w:bCs w:val="0"/>
          <w:color w:val="auto"/>
          <w:sz w:val="24"/>
          <w:szCs w:val="24"/>
          <w:highlight w:val="none"/>
        </w:rPr>
        <w:t>其他事项：</w:t>
      </w:r>
      <w:bookmarkEnd w:id="25"/>
    </w:p>
    <w:p>
      <w:pPr>
        <w:pageBreakBefore w:val="0"/>
        <w:kinsoku/>
        <w:overflowPunct/>
        <w:topLinePunct w:val="0"/>
        <w:bidi w:val="0"/>
        <w:spacing w:line="500" w:lineRule="exact"/>
        <w:ind w:firstLine="560" w:firstLineChars="200"/>
        <w:rPr>
          <w:rFonts w:hint="eastAsia" w:asciiTheme="majorEastAsia" w:hAnsiTheme="majorEastAsia" w:eastAsiaTheme="majorEastAsia" w:cstheme="majorEastAsia"/>
          <w:b/>
          <w:bCs w:val="0"/>
          <w:color w:val="auto"/>
          <w:sz w:val="24"/>
          <w:szCs w:val="24"/>
          <w:highlight w:val="none"/>
        </w:rPr>
      </w:pPr>
      <w:r>
        <w:rPr>
          <w:rFonts w:hint="eastAsia"/>
        </w:rPr>
        <w:t>1.</w:t>
      </w:r>
      <w:r>
        <w:rPr>
          <w:rFonts w:hint="eastAsia" w:asciiTheme="majorEastAsia" w:hAnsiTheme="majorEastAsia" w:eastAsiaTheme="majorEastAsia" w:cstheme="majorEastAsia"/>
          <w:b/>
          <w:bCs w:val="0"/>
          <w:color w:val="auto"/>
          <w:sz w:val="24"/>
          <w:szCs w:val="24"/>
          <w:highlight w:val="none"/>
        </w:rPr>
        <w:t>质疑和投诉</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投标人依法获取招标文件后认为招标文件使自己的权益受到损害的，可以自收到招标文件之日（获取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ageBreakBefore w:val="0"/>
        <w:kinsoku/>
        <w:overflowPunct/>
        <w:topLinePunct w:val="0"/>
        <w:bidi w:val="0"/>
        <w:spacing w:line="500" w:lineRule="exact"/>
        <w:ind w:firstLine="560" w:firstLineChars="200"/>
        <w:rPr>
          <w:rFonts w:hint="eastAsia" w:asciiTheme="majorEastAsia" w:hAnsiTheme="majorEastAsia" w:eastAsiaTheme="majorEastAsia" w:cstheme="majorEastAsia"/>
          <w:b/>
          <w:bCs w:val="0"/>
          <w:color w:val="auto"/>
          <w:sz w:val="24"/>
          <w:szCs w:val="24"/>
          <w:highlight w:val="none"/>
        </w:rPr>
      </w:pPr>
      <w:r>
        <w:rPr>
          <w:rFonts w:hint="eastAsia"/>
        </w:rPr>
        <w:t>2.</w:t>
      </w:r>
      <w:r>
        <w:rPr>
          <w:rFonts w:hint="eastAsia" w:asciiTheme="majorEastAsia" w:hAnsiTheme="majorEastAsia" w:eastAsiaTheme="majorEastAsia" w:cstheme="majorEastAsia"/>
          <w:b/>
          <w:bCs w:val="0"/>
          <w:color w:val="auto"/>
          <w:sz w:val="24"/>
          <w:szCs w:val="24"/>
          <w:highlight w:val="none"/>
        </w:rPr>
        <w:t>采购项目需要落实的政府采购政策</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1）政府采购促进中小企业发展</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2）政府采购支持监狱企业发展</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3）政府采购促进残疾人就业</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4）政府强制采购节能产品</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5）政府优先采购节能、环保产品</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6）政府采购进口产品</w:t>
      </w:r>
    </w:p>
    <w:p>
      <w:pPr>
        <w:pageBreakBefore w:val="0"/>
        <w:kinsoku/>
        <w:overflowPunct/>
        <w:topLinePunct w:val="0"/>
        <w:bidi w:val="0"/>
        <w:spacing w:line="500" w:lineRule="exact"/>
        <w:ind w:firstLine="560" w:firstLineChars="200"/>
        <w:rPr>
          <w:rFonts w:hint="eastAsia" w:asciiTheme="majorEastAsia" w:hAnsiTheme="majorEastAsia" w:eastAsiaTheme="majorEastAsia" w:cstheme="majorEastAsia"/>
          <w:b/>
          <w:bCs w:val="0"/>
          <w:color w:val="auto"/>
          <w:sz w:val="24"/>
          <w:szCs w:val="24"/>
          <w:highlight w:val="none"/>
        </w:rPr>
      </w:pPr>
      <w:r>
        <w:rPr>
          <w:rFonts w:hint="eastAsia"/>
        </w:rPr>
        <w:t>3.</w:t>
      </w:r>
      <w:r>
        <w:rPr>
          <w:rFonts w:hint="eastAsia" w:asciiTheme="majorEastAsia" w:hAnsiTheme="majorEastAsia" w:eastAsiaTheme="majorEastAsia" w:cstheme="majorEastAsia"/>
          <w:b/>
          <w:bCs w:val="0"/>
          <w:color w:val="auto"/>
          <w:sz w:val="24"/>
          <w:szCs w:val="24"/>
          <w:highlight w:val="none"/>
        </w:rPr>
        <w:t>信用记录</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根据财库[2016]125号《关于在政府采购活动中查询及使用信用记录有关问题的通知》要求，采购代理机构会对投标人信用记录进行查询并甄别。</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1）信用信息查询的截止时点：投标截止时间；</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2）查询渠道：“信用中国”（www.creditchina.gov.cn）、“中国政府采购网”（www.ccgp.gov.cn）；</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3）信用信息查询记录和证据留存具体方式：采购代理机构经办人和监督人员将查询网页打印、签字与其他采购文件一并保存；</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4）信用信息的使用规则：投标人存在不良信用记录的，其投标将被作为无效投标处理。</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不良信用记录指：被列入失信被执行人、重大税收违法案件当事人名单、政府采购严重违法失信行为记录名单。</w:t>
      </w:r>
    </w:p>
    <w:p>
      <w:pPr>
        <w:keepNext w:val="0"/>
        <w:keepLines w:val="0"/>
        <w:pageBreakBefore w:val="0"/>
        <w:kinsoku/>
        <w:overflowPunct/>
        <w:topLinePunct w:val="0"/>
        <w:bidi w:val="0"/>
        <w:adjustRightInd/>
        <w:spacing w:line="500" w:lineRule="exact"/>
        <w:ind w:firstLine="560" w:firstLineChars="200"/>
        <w:rPr>
          <w:rFonts w:hint="eastAsia" w:asciiTheme="majorEastAsia" w:hAnsiTheme="majorEastAsia" w:eastAsiaTheme="majorEastAsia" w:cstheme="majorEastAsia"/>
          <w:b/>
          <w:bCs w:val="0"/>
          <w:color w:val="auto"/>
          <w:sz w:val="24"/>
          <w:szCs w:val="24"/>
          <w:highlight w:val="none"/>
        </w:rPr>
      </w:pPr>
      <w:r>
        <w:rPr>
          <w:rFonts w:hint="eastAsia"/>
        </w:rPr>
        <w:t>4.</w:t>
      </w:r>
      <w:r>
        <w:rPr>
          <w:rFonts w:hint="eastAsia" w:asciiTheme="majorEastAsia" w:hAnsiTheme="majorEastAsia" w:eastAsiaTheme="majorEastAsia" w:cstheme="majorEastAsia"/>
          <w:b/>
          <w:bCs w:val="0"/>
          <w:color w:val="auto"/>
          <w:sz w:val="24"/>
          <w:szCs w:val="24"/>
          <w:highlight w:val="none"/>
        </w:rPr>
        <w:t>投标保证金</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本项目无投标保证金</w:t>
      </w:r>
    </w:p>
    <w:p>
      <w:pPr>
        <w:keepNext w:val="0"/>
        <w:keepLines w:val="0"/>
        <w:pageBreakBefore w:val="0"/>
        <w:kinsoku/>
        <w:overflowPunct/>
        <w:topLinePunct w:val="0"/>
        <w:bidi w:val="0"/>
        <w:adjustRightInd/>
        <w:spacing w:line="500" w:lineRule="exact"/>
        <w:outlineLvl w:val="1"/>
        <w:rPr>
          <w:rFonts w:hint="eastAsia" w:asciiTheme="majorEastAsia" w:hAnsiTheme="majorEastAsia" w:eastAsiaTheme="majorEastAsia" w:cstheme="majorEastAsia"/>
          <w:b/>
          <w:color w:val="auto"/>
          <w:sz w:val="24"/>
          <w:szCs w:val="24"/>
          <w:highlight w:val="none"/>
        </w:rPr>
      </w:pPr>
      <w:bookmarkStart w:id="26" w:name="_Toc31896"/>
      <w:r>
        <w:rPr>
          <w:rFonts w:hint="eastAsia" w:asciiTheme="majorEastAsia" w:hAnsiTheme="majorEastAsia" w:eastAsiaTheme="majorEastAsia" w:cstheme="majorEastAsia"/>
          <w:b/>
          <w:color w:val="auto"/>
          <w:sz w:val="24"/>
          <w:szCs w:val="24"/>
          <w:highlight w:val="none"/>
        </w:rPr>
        <w:t>十</w:t>
      </w:r>
      <w:r>
        <w:rPr>
          <w:rFonts w:hint="eastAsia" w:asciiTheme="majorEastAsia" w:hAnsiTheme="majorEastAsia" w:eastAsiaTheme="majorEastAsia" w:cstheme="majorEastAsia"/>
          <w:b/>
          <w:color w:val="auto"/>
          <w:sz w:val="24"/>
          <w:szCs w:val="24"/>
          <w:highlight w:val="none"/>
          <w:lang w:val="en-US" w:eastAsia="zh-CN"/>
        </w:rPr>
        <w:t>六</w:t>
      </w:r>
      <w:r>
        <w:rPr>
          <w:rFonts w:hint="eastAsia" w:asciiTheme="majorEastAsia" w:hAnsiTheme="majorEastAsia" w:eastAsiaTheme="majorEastAsia" w:cstheme="majorEastAsia"/>
          <w:b/>
          <w:color w:val="auto"/>
          <w:sz w:val="24"/>
          <w:szCs w:val="24"/>
          <w:highlight w:val="none"/>
        </w:rPr>
        <w:t>、联系方式：</w:t>
      </w:r>
      <w:bookmarkEnd w:id="26"/>
    </w:p>
    <w:p>
      <w:pPr>
        <w:pageBreakBefore w:val="0"/>
        <w:numPr>
          <w:ilvl w:val="0"/>
          <w:numId w:val="0"/>
        </w:numPr>
        <w:kinsoku/>
        <w:overflowPunct/>
        <w:topLinePunct w:val="0"/>
        <w:bidi w:val="0"/>
        <w:spacing w:line="500" w:lineRule="exact"/>
        <w:ind w:firstLine="480" w:firstLineChars="200"/>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1.采购人名称：杭州市中策职业学校</w:t>
      </w:r>
    </w:p>
    <w:p>
      <w:pPr>
        <w:pageBreakBefore w:val="0"/>
        <w:numPr>
          <w:ilvl w:val="0"/>
          <w:numId w:val="0"/>
        </w:numPr>
        <w:kinsoku/>
        <w:overflowPunct/>
        <w:topLinePunct w:val="0"/>
        <w:bidi w:val="0"/>
        <w:spacing w:line="500" w:lineRule="exact"/>
        <w:ind w:firstLine="480" w:firstLineChars="200"/>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地址：杭州市拱墅区霞湾巷65号</w:t>
      </w:r>
    </w:p>
    <w:p>
      <w:pPr>
        <w:pageBreakBefore w:val="0"/>
        <w:numPr>
          <w:ilvl w:val="0"/>
          <w:numId w:val="0"/>
        </w:numPr>
        <w:kinsoku/>
        <w:overflowPunct/>
        <w:topLinePunct w:val="0"/>
        <w:bidi w:val="0"/>
        <w:spacing w:line="500" w:lineRule="exact"/>
        <w:ind w:firstLine="480" w:firstLineChars="200"/>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联系人：沈老师</w:t>
      </w:r>
    </w:p>
    <w:p>
      <w:pPr>
        <w:pageBreakBefore w:val="0"/>
        <w:numPr>
          <w:ilvl w:val="0"/>
          <w:numId w:val="0"/>
        </w:numPr>
        <w:kinsoku/>
        <w:overflowPunct/>
        <w:topLinePunct w:val="0"/>
        <w:bidi w:val="0"/>
        <w:spacing w:line="500" w:lineRule="exact"/>
        <w:ind w:firstLine="480" w:firstLineChars="200"/>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联系方法：</w:t>
      </w:r>
      <w:r>
        <w:rPr>
          <w:rFonts w:hint="eastAsia" w:ascii="宋体" w:hAnsi="宋体" w:cs="宋体"/>
          <w:color w:val="333333"/>
          <w:sz w:val="24"/>
          <w:szCs w:val="24"/>
          <w:shd w:val="clear" w:color="auto" w:fill="FFFFFF"/>
          <w:lang w:val="en-US" w:eastAsia="zh-CN"/>
        </w:rPr>
        <w:t>0571-88316348</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2.采购代理机构名称：浙江新诚信工程咨询有限公司</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地址：杭州市拱墅区湖墅南路356号锦绣大厦9F</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业务及备份投标文件递交联系人：陈旭</w:t>
      </w:r>
    </w:p>
    <w:p>
      <w:pPr>
        <w:pageBreakBefore w:val="0"/>
        <w:numPr>
          <w:ilvl w:val="0"/>
          <w:numId w:val="0"/>
        </w:numPr>
        <w:kinsoku/>
        <w:overflowPunct/>
        <w:topLinePunct w:val="0"/>
        <w:bidi w:val="0"/>
        <w:spacing w:line="500" w:lineRule="exact"/>
        <w:ind w:firstLine="480" w:firstLineChars="200"/>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联系方法：057186994958，18072942468</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邮箱：282916357@qq.com</w:t>
      </w:r>
    </w:p>
    <w:p>
      <w:pPr>
        <w:pageBreakBefore w:val="0"/>
        <w:numPr>
          <w:ilvl w:val="0"/>
          <w:numId w:val="0"/>
        </w:numPr>
        <w:kinsoku/>
        <w:overflowPunct/>
        <w:topLinePunct w:val="0"/>
        <w:bidi w:val="0"/>
        <w:spacing w:line="500" w:lineRule="exact"/>
        <w:ind w:firstLine="480" w:firstLineChars="200"/>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3.同级政府采购监督管理部门：杭州市财政局政府采购监管处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联系人：</w:t>
      </w:r>
    </w:p>
    <w:p>
      <w:pPr>
        <w:pageBreakBefore w:val="0"/>
        <w:numPr>
          <w:ilvl w:val="0"/>
          <w:numId w:val="0"/>
        </w:numPr>
        <w:kinsoku/>
        <w:overflowPunct/>
        <w:topLinePunct w:val="0"/>
        <w:bidi w:val="0"/>
        <w:spacing w:line="500" w:lineRule="exact"/>
        <w:ind w:firstLine="480" w:firstLineChars="200"/>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监督投诉电话：0571-</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地址：杭州市</w:t>
      </w:r>
    </w:p>
    <w:p>
      <w:pPr>
        <w:pStyle w:val="2"/>
        <w:bidi w:val="0"/>
        <w:jc w:val="center"/>
        <w:rPr>
          <w:rFonts w:hint="eastAsia" w:asciiTheme="majorEastAsia" w:hAnsiTheme="majorEastAsia" w:eastAsiaTheme="majorEastAsia" w:cstheme="majorEastAsia"/>
          <w:b/>
          <w:color w:val="auto"/>
          <w:sz w:val="24"/>
          <w:szCs w:val="24"/>
          <w:highlight w:val="none"/>
        </w:rPr>
      </w:pPr>
      <w:bookmarkStart w:id="27" w:name="_Toc3001"/>
      <w:bookmarkStart w:id="28" w:name="_Toc16175"/>
      <w:bookmarkStart w:id="29" w:name="_Toc530"/>
      <w:r>
        <w:rPr>
          <w:rFonts w:hint="eastAsia" w:asciiTheme="majorEastAsia" w:hAnsiTheme="majorEastAsia" w:eastAsiaTheme="majorEastAsia" w:cstheme="majorEastAsia"/>
          <w:color w:val="auto"/>
          <w:sz w:val="32"/>
          <w:szCs w:val="32"/>
          <w:highlight w:val="none"/>
          <w:lang w:eastAsia="zh-CN"/>
        </w:rPr>
        <w:t>第二章</w:t>
      </w:r>
      <w:r>
        <w:rPr>
          <w:rFonts w:hint="eastAsia" w:asciiTheme="majorEastAsia" w:hAnsiTheme="majorEastAsia" w:eastAsiaTheme="majorEastAsia" w:cstheme="majorEastAsia"/>
          <w:color w:val="auto"/>
          <w:sz w:val="32"/>
          <w:szCs w:val="32"/>
          <w:highlight w:val="none"/>
          <w:lang w:val="en-US" w:eastAsia="zh-CN"/>
        </w:rPr>
        <w:t xml:space="preserve">  </w:t>
      </w:r>
      <w:r>
        <w:rPr>
          <w:rStyle w:val="52"/>
          <w:rFonts w:hint="eastAsia"/>
          <w:b/>
          <w:bCs/>
          <w:sz w:val="32"/>
          <w:szCs w:val="32"/>
        </w:rPr>
        <w:t>采购需求</w:t>
      </w:r>
      <w:bookmarkEnd w:id="27"/>
      <w:bookmarkEnd w:id="28"/>
      <w:bookmarkEnd w:id="29"/>
    </w:p>
    <w:p>
      <w:pPr>
        <w:pStyle w:val="3"/>
        <w:pageBreakBefore w:val="0"/>
        <w:numPr>
          <w:ilvl w:val="0"/>
          <w:numId w:val="0"/>
        </w:numPr>
        <w:kinsoku/>
        <w:overflowPunct/>
        <w:topLinePunct w:val="0"/>
        <w:bidi w:val="0"/>
        <w:spacing w:line="500" w:lineRule="exact"/>
        <w:jc w:val="both"/>
        <w:rPr>
          <w:rFonts w:hint="eastAsia" w:asciiTheme="majorEastAsia" w:hAnsiTheme="majorEastAsia" w:eastAsiaTheme="majorEastAsia" w:cstheme="majorEastAsia"/>
          <w:b/>
          <w:color w:val="auto"/>
          <w:sz w:val="24"/>
          <w:szCs w:val="24"/>
          <w:highlight w:val="none"/>
        </w:rPr>
      </w:pPr>
      <w:bookmarkStart w:id="30" w:name="_Toc29106"/>
      <w:r>
        <w:rPr>
          <w:rFonts w:hint="eastAsia" w:asciiTheme="majorEastAsia" w:hAnsiTheme="majorEastAsia" w:eastAsiaTheme="majorEastAsia" w:cstheme="majorEastAsia"/>
          <w:b/>
          <w:color w:val="auto"/>
          <w:sz w:val="24"/>
          <w:szCs w:val="24"/>
          <w:highlight w:val="none"/>
        </w:rPr>
        <w:t>一、为落实政府采购政策需满足的要求：</w:t>
      </w:r>
      <w:bookmarkEnd w:id="30"/>
    </w:p>
    <w:tbl>
      <w:tblPr>
        <w:tblStyle w:val="24"/>
        <w:tblW w:w="1002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701"/>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序号</w:t>
            </w:r>
          </w:p>
        </w:tc>
        <w:tc>
          <w:tcPr>
            <w:tcW w:w="170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政策名称</w:t>
            </w:r>
          </w:p>
        </w:tc>
        <w:tc>
          <w:tcPr>
            <w:tcW w:w="754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p>
        </w:tc>
        <w:tc>
          <w:tcPr>
            <w:tcW w:w="170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政府采购促进中小企业发展</w:t>
            </w:r>
          </w:p>
        </w:tc>
        <w:tc>
          <w:tcPr>
            <w:tcW w:w="7540"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w:t>
            </w:r>
          </w:p>
        </w:tc>
        <w:tc>
          <w:tcPr>
            <w:tcW w:w="170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政府采购支持监狱企业发展</w:t>
            </w:r>
          </w:p>
        </w:tc>
        <w:tc>
          <w:tcPr>
            <w:tcW w:w="7540"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w:t>
            </w:r>
          </w:p>
        </w:tc>
        <w:tc>
          <w:tcPr>
            <w:tcW w:w="170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政府采购促进残疾人就业</w:t>
            </w:r>
          </w:p>
        </w:tc>
        <w:tc>
          <w:tcPr>
            <w:tcW w:w="7540"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w:t>
            </w:r>
          </w:p>
        </w:tc>
        <w:tc>
          <w:tcPr>
            <w:tcW w:w="170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政府采购鼓励</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节能产品</w:t>
            </w:r>
          </w:p>
        </w:tc>
        <w:tc>
          <w:tcPr>
            <w:tcW w:w="7540" w:type="dxa"/>
            <w:vAlign w:val="center"/>
          </w:tcPr>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优先采购节能产品：提供材料详见招标文件第六章“商务和技术文件”；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w:t>
            </w:r>
          </w:p>
        </w:tc>
        <w:tc>
          <w:tcPr>
            <w:tcW w:w="170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政府采购鼓励</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环保产品</w:t>
            </w:r>
          </w:p>
        </w:tc>
        <w:tc>
          <w:tcPr>
            <w:tcW w:w="7540" w:type="dxa"/>
            <w:vAlign w:val="center"/>
          </w:tcPr>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优先采购环保产品：提供材料详见招标文件第六章“商务和技术文件”；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6</w:t>
            </w:r>
          </w:p>
        </w:tc>
        <w:tc>
          <w:tcPr>
            <w:tcW w:w="170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政府采购进口</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产品</w:t>
            </w:r>
          </w:p>
        </w:tc>
        <w:tc>
          <w:tcPr>
            <w:tcW w:w="7540" w:type="dxa"/>
            <w:vAlign w:val="center"/>
          </w:tcPr>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eastAsia="zh-CN"/>
              </w:rPr>
              <w:t>不</w:t>
            </w:r>
            <w:r>
              <w:rPr>
                <w:rFonts w:hint="eastAsia" w:asciiTheme="majorEastAsia" w:hAnsiTheme="majorEastAsia" w:eastAsiaTheme="majorEastAsia" w:cstheme="majorEastAsia"/>
                <w:color w:val="auto"/>
                <w:sz w:val="24"/>
                <w:szCs w:val="24"/>
                <w:highlight w:val="none"/>
              </w:rPr>
              <w:t>允许采购进口产品</w:t>
            </w:r>
          </w:p>
        </w:tc>
      </w:tr>
    </w:tbl>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ind w:left="272" w:hanging="272" w:hangingChars="113"/>
        <w:outlineLvl w:val="1"/>
        <w:rPr>
          <w:rFonts w:hint="eastAsia" w:asciiTheme="majorEastAsia" w:hAnsiTheme="majorEastAsia" w:eastAsiaTheme="majorEastAsia" w:cstheme="majorEastAsia"/>
          <w:b/>
          <w:color w:val="auto"/>
          <w:sz w:val="24"/>
          <w:szCs w:val="24"/>
          <w:highlight w:val="none"/>
        </w:rPr>
      </w:pPr>
      <w:bookmarkStart w:id="31" w:name="_Toc19222"/>
      <w:r>
        <w:rPr>
          <w:rFonts w:hint="eastAsia" w:asciiTheme="majorEastAsia" w:hAnsiTheme="majorEastAsia" w:eastAsiaTheme="majorEastAsia" w:cstheme="majorEastAsia"/>
          <w:b/>
          <w:color w:val="auto"/>
          <w:sz w:val="24"/>
          <w:szCs w:val="24"/>
          <w:highlight w:val="none"/>
        </w:rPr>
        <w:t>二、采购资金的支付方式、时间、条件：</w:t>
      </w:r>
      <w:bookmarkEnd w:id="31"/>
    </w:p>
    <w:tbl>
      <w:tblPr>
        <w:tblStyle w:val="24"/>
        <w:tblW w:w="97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45"/>
        <w:gridCol w:w="79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w:t>
            </w:r>
            <w:r>
              <w:rPr>
                <w:rFonts w:hint="eastAsia" w:asciiTheme="majorEastAsia" w:hAnsiTheme="majorEastAsia" w:eastAsiaTheme="majorEastAsia" w:cstheme="majorEastAsia"/>
                <w:b/>
                <w:color w:val="auto"/>
                <w:spacing w:val="-6"/>
                <w:sz w:val="24"/>
                <w:szCs w:val="24"/>
                <w:highlight w:val="none"/>
                <w:lang w:eastAsia="zh-CN"/>
              </w:rPr>
              <w:t>履约保证金</w:t>
            </w:r>
          </w:p>
        </w:tc>
        <w:tc>
          <w:tcPr>
            <w:tcW w:w="79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z w:val="24"/>
                <w:szCs w:val="24"/>
                <w:highlight w:val="none"/>
                <w:lang w:eastAsia="zh-CN"/>
              </w:rPr>
              <w:t>中标人在合同签订后7个工作日内，须向采购人交纳中标总金额的</w:t>
            </w:r>
            <w:r>
              <w:rPr>
                <w:rFonts w:hint="eastAsia" w:asciiTheme="majorEastAsia" w:hAnsiTheme="majorEastAsia" w:eastAsiaTheme="majorEastAsia" w:cstheme="majorEastAsia"/>
                <w:color w:val="auto"/>
                <w:sz w:val="24"/>
                <w:szCs w:val="24"/>
                <w:highlight w:val="none"/>
                <w:lang w:val="en-US" w:eastAsia="zh-CN"/>
              </w:rPr>
              <w:t>5</w:t>
            </w:r>
            <w:r>
              <w:rPr>
                <w:rFonts w:hint="eastAsia" w:asciiTheme="majorEastAsia" w:hAnsiTheme="majorEastAsia" w:eastAsiaTheme="majorEastAsia" w:cstheme="majorEastAsia"/>
                <w:color w:val="auto"/>
                <w:sz w:val="24"/>
                <w:szCs w:val="24"/>
                <w:highlight w:val="none"/>
                <w:lang w:eastAsia="zh-CN"/>
              </w:rPr>
              <w:t>%作为履约保证金。履约保证金在货物验收合格后</w:t>
            </w:r>
            <w:r>
              <w:rPr>
                <w:rFonts w:hint="eastAsia" w:asciiTheme="majorEastAsia" w:hAnsiTheme="majorEastAsia" w:eastAsiaTheme="majorEastAsia" w:cstheme="majorEastAsia"/>
                <w:color w:val="auto"/>
                <w:sz w:val="24"/>
                <w:szCs w:val="24"/>
                <w:highlight w:val="none"/>
                <w:lang w:val="en-US" w:eastAsia="zh-CN"/>
              </w:rPr>
              <w:t>24</w:t>
            </w:r>
            <w:r>
              <w:rPr>
                <w:rFonts w:hint="eastAsia" w:asciiTheme="majorEastAsia" w:hAnsiTheme="majorEastAsia" w:eastAsiaTheme="majorEastAsia" w:cstheme="majorEastAsia"/>
                <w:color w:val="auto"/>
                <w:sz w:val="24"/>
                <w:szCs w:val="24"/>
                <w:highlight w:val="none"/>
                <w:lang w:eastAsia="zh-CN"/>
              </w:rPr>
              <w:t>个月，无发现有质量问题和维护问题，凭中标人开具的正规收据全额无息退还。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3" w:hRule="atLeast"/>
        </w:trPr>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▲付款方式</w:t>
            </w:r>
          </w:p>
        </w:tc>
        <w:tc>
          <w:tcPr>
            <w:tcW w:w="79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pacing w:val="-6"/>
                <w:sz w:val="24"/>
                <w:szCs w:val="24"/>
                <w:highlight w:val="none"/>
              </w:rPr>
              <w:t>1</w:t>
            </w:r>
            <w:r>
              <w:rPr>
                <w:rFonts w:hint="eastAsia" w:asciiTheme="majorEastAsia" w:hAnsiTheme="majorEastAsia" w:eastAsiaTheme="majorEastAsia" w:cstheme="majorEastAsia"/>
                <w:color w:val="auto"/>
                <w:sz w:val="24"/>
                <w:szCs w:val="24"/>
                <w:highlight w:val="none"/>
                <w:lang w:eastAsia="zh-CN"/>
              </w:rPr>
              <w:t>.合同生效、具备支付条件后15天内，</w:t>
            </w:r>
            <w:r>
              <w:rPr>
                <w:rFonts w:hint="eastAsia" w:asciiTheme="majorEastAsia" w:hAnsiTheme="majorEastAsia" w:eastAsiaTheme="majorEastAsia" w:cstheme="majorEastAsia"/>
                <w:color w:val="auto"/>
                <w:sz w:val="24"/>
                <w:szCs w:val="24"/>
                <w:highlight w:val="none"/>
                <w:lang w:val="en-US" w:eastAsia="zh-CN"/>
              </w:rPr>
              <w:t>采购人</w:t>
            </w:r>
            <w:r>
              <w:rPr>
                <w:rFonts w:hint="eastAsia" w:asciiTheme="majorEastAsia" w:hAnsiTheme="majorEastAsia" w:eastAsiaTheme="majorEastAsia" w:cstheme="majorEastAsia"/>
                <w:color w:val="auto"/>
                <w:sz w:val="24"/>
                <w:szCs w:val="24"/>
                <w:highlight w:val="none"/>
                <w:lang w:eastAsia="zh-CN"/>
              </w:rPr>
              <w:t>凭</w:t>
            </w:r>
            <w:r>
              <w:rPr>
                <w:rFonts w:hint="eastAsia" w:asciiTheme="majorEastAsia" w:hAnsiTheme="majorEastAsia" w:eastAsiaTheme="majorEastAsia" w:cstheme="majorEastAsia"/>
                <w:color w:val="auto"/>
                <w:sz w:val="24"/>
                <w:szCs w:val="24"/>
                <w:highlight w:val="none"/>
                <w:lang w:val="en-US" w:eastAsia="zh-CN"/>
              </w:rPr>
              <w:t>中标人</w:t>
            </w:r>
            <w:r>
              <w:rPr>
                <w:rFonts w:hint="eastAsia" w:asciiTheme="majorEastAsia" w:hAnsiTheme="majorEastAsia" w:eastAsiaTheme="majorEastAsia" w:cstheme="majorEastAsia"/>
                <w:color w:val="auto"/>
                <w:sz w:val="24"/>
                <w:szCs w:val="24"/>
                <w:highlight w:val="none"/>
                <w:lang w:eastAsia="zh-CN"/>
              </w:rPr>
              <w:t>开具的发票支付30%预付款给中标人，双方另有注明的除外。</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2.中标人按照采购人要求将货物送至指定地点，经验收合格后，负责</w:t>
            </w:r>
            <w:r>
              <w:rPr>
                <w:rFonts w:hint="eastAsia" w:asciiTheme="majorEastAsia" w:hAnsiTheme="majorEastAsia" w:eastAsiaTheme="majorEastAsia" w:cstheme="majorEastAsia"/>
                <w:color w:val="auto"/>
                <w:sz w:val="24"/>
                <w:szCs w:val="24"/>
                <w:highlight w:val="none"/>
                <w:lang w:val="en-US" w:eastAsia="zh-CN"/>
              </w:rPr>
              <w:t>统一</w:t>
            </w:r>
            <w:r>
              <w:rPr>
                <w:rFonts w:hint="eastAsia" w:asciiTheme="majorEastAsia" w:hAnsiTheme="majorEastAsia" w:eastAsiaTheme="majorEastAsia" w:cstheme="majorEastAsia"/>
                <w:color w:val="auto"/>
                <w:sz w:val="24"/>
                <w:szCs w:val="24"/>
                <w:highlight w:val="none"/>
                <w:lang w:eastAsia="zh-CN"/>
              </w:rPr>
              <w:t>发放和台账登记</w:t>
            </w:r>
            <w:r>
              <w:rPr>
                <w:rFonts w:hint="eastAsia" w:asciiTheme="majorEastAsia" w:hAnsiTheme="majorEastAsia" w:eastAsiaTheme="majorEastAsia" w:cstheme="majorEastAsia"/>
                <w:color w:val="auto"/>
                <w:sz w:val="24"/>
                <w:szCs w:val="24"/>
                <w:highlight w:val="none"/>
                <w:lang w:val="en-US" w:eastAsia="zh-CN"/>
              </w:rPr>
              <w:t>等</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eastAsia="zh-CN"/>
              </w:rPr>
              <w:t>3.中标人向采购人开具符合法律、法规规范及行业要求的真实、有效的增值税普通发票（进口免税产品须提供免表及报关单并符合税务部门的相关开票规定）。</w:t>
            </w:r>
          </w:p>
          <w:p>
            <w:pPr>
              <w:keepNext w:val="0"/>
              <w:keepLines w:val="0"/>
              <w:pageBreakBefore w:val="0"/>
              <w:kinsoku/>
              <w:overflowPunct/>
              <w:topLinePunct w:val="0"/>
              <w:bidi w:val="0"/>
              <w:adjustRightInd/>
              <w:spacing w:line="500" w:lineRule="exact"/>
              <w:rPr>
                <w:rFonts w:hint="default" w:asciiTheme="majorEastAsia" w:hAnsiTheme="majorEastAsia" w:eastAsiaTheme="majorEastAsia" w:cstheme="majorEastAsia"/>
                <w:color w:val="auto"/>
                <w:spacing w:val="-6"/>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eastAsia="zh-CN"/>
              </w:rPr>
              <w:t>4.采购人凭中标人的供货发票，验收单、</w:t>
            </w:r>
            <w:r>
              <w:rPr>
                <w:rFonts w:hint="eastAsia" w:asciiTheme="majorEastAsia" w:hAnsiTheme="majorEastAsia" w:eastAsiaTheme="majorEastAsia" w:cstheme="majorEastAsia"/>
                <w:color w:val="auto"/>
                <w:sz w:val="24"/>
                <w:szCs w:val="24"/>
                <w:highlight w:val="none"/>
                <w:lang w:val="en-US" w:eastAsia="zh-CN"/>
              </w:rPr>
              <w:t>发放台账登记表</w:t>
            </w:r>
            <w:r>
              <w:rPr>
                <w:rFonts w:hint="eastAsia" w:asciiTheme="majorEastAsia" w:hAnsiTheme="majorEastAsia" w:eastAsiaTheme="majorEastAsia" w:cstheme="majorEastAsia"/>
                <w:color w:val="auto"/>
                <w:sz w:val="24"/>
                <w:szCs w:val="24"/>
                <w:highlight w:val="none"/>
                <w:lang w:eastAsia="zh-CN"/>
              </w:rPr>
              <w:t>等支付凭证办理相关支付手续，向中标人支付全部合同价款。</w:t>
            </w:r>
          </w:p>
        </w:tc>
      </w:tr>
    </w:tbl>
    <w:p>
      <w:pPr>
        <w:keepNext w:val="0"/>
        <w:keepLines w:val="0"/>
        <w:pageBreakBefore w:val="0"/>
        <w:kinsoku/>
        <w:overflowPunct/>
        <w:topLinePunct w:val="0"/>
        <w:bidi w:val="0"/>
        <w:adjustRightInd/>
        <w:spacing w:line="500" w:lineRule="exact"/>
        <w:ind w:left="272" w:hanging="272" w:hangingChars="113"/>
        <w:rPr>
          <w:rFonts w:hint="eastAsia" w:asciiTheme="majorEastAsia" w:hAnsiTheme="majorEastAsia" w:eastAsiaTheme="majorEastAsia" w:cstheme="majorEastAsia"/>
          <w:b/>
          <w:color w:val="auto"/>
          <w:sz w:val="24"/>
          <w:szCs w:val="24"/>
          <w:highlight w:val="none"/>
        </w:rPr>
      </w:pPr>
    </w:p>
    <w:p>
      <w:pPr>
        <w:keepNext w:val="0"/>
        <w:keepLines w:val="0"/>
        <w:pageBreakBefore w:val="0"/>
        <w:kinsoku/>
        <w:overflowPunct/>
        <w:topLinePunct w:val="0"/>
        <w:bidi w:val="0"/>
        <w:adjustRightInd/>
        <w:spacing w:line="500" w:lineRule="exact"/>
        <w:ind w:left="272" w:hanging="272" w:hangingChars="113"/>
        <w:outlineLvl w:val="1"/>
        <w:rPr>
          <w:rFonts w:hint="eastAsia" w:asciiTheme="majorEastAsia" w:hAnsiTheme="majorEastAsia" w:eastAsiaTheme="majorEastAsia" w:cstheme="majorEastAsia"/>
          <w:b/>
          <w:color w:val="auto"/>
          <w:sz w:val="24"/>
          <w:szCs w:val="24"/>
          <w:highlight w:val="none"/>
        </w:rPr>
      </w:pPr>
      <w:bookmarkStart w:id="32" w:name="_Toc3285"/>
      <w:r>
        <w:rPr>
          <w:rFonts w:hint="eastAsia" w:asciiTheme="majorEastAsia" w:hAnsiTheme="majorEastAsia" w:eastAsiaTheme="majorEastAsia" w:cstheme="majorEastAsia"/>
          <w:b/>
          <w:color w:val="auto"/>
          <w:sz w:val="24"/>
          <w:szCs w:val="24"/>
          <w:highlight w:val="none"/>
        </w:rPr>
        <w:t>三、服务要求</w:t>
      </w:r>
      <w:r>
        <w:rPr>
          <w:rFonts w:hint="eastAsia" w:asciiTheme="majorEastAsia" w:hAnsiTheme="majorEastAsia" w:eastAsiaTheme="majorEastAsia" w:cstheme="majorEastAsia"/>
          <w:b/>
          <w:color w:val="auto"/>
          <w:spacing w:val="-6"/>
          <w:sz w:val="24"/>
          <w:szCs w:val="24"/>
          <w:highlight w:val="none"/>
        </w:rPr>
        <w:t>（技术要求里另有注明的以技术要求为准）</w:t>
      </w:r>
      <w:r>
        <w:rPr>
          <w:rFonts w:hint="eastAsia" w:asciiTheme="majorEastAsia" w:hAnsiTheme="majorEastAsia" w:eastAsiaTheme="majorEastAsia" w:cstheme="majorEastAsia"/>
          <w:b/>
          <w:color w:val="auto"/>
          <w:sz w:val="24"/>
          <w:szCs w:val="24"/>
          <w:highlight w:val="none"/>
        </w:rPr>
        <w:t>：</w:t>
      </w:r>
      <w:bookmarkEnd w:id="32"/>
    </w:p>
    <w:tbl>
      <w:tblPr>
        <w:tblStyle w:val="24"/>
        <w:tblW w:w="978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0"/>
        <w:gridCol w:w="80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质保期</w:t>
            </w:r>
          </w:p>
        </w:tc>
        <w:tc>
          <w:tcPr>
            <w:tcW w:w="8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lang w:val="en-US" w:eastAsia="zh-CN"/>
              </w:rPr>
              <w:t>2</w:t>
            </w:r>
            <w:r>
              <w:rPr>
                <w:rFonts w:hint="eastAsia" w:asciiTheme="majorEastAsia" w:hAnsiTheme="majorEastAsia" w:eastAsiaTheme="majorEastAsia" w:cstheme="majorEastAsia"/>
                <w:color w:val="auto"/>
                <w:spacing w:val="-6"/>
                <w:sz w:val="24"/>
                <w:szCs w:val="24"/>
                <w:highlight w:val="none"/>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z w:val="24"/>
                <w:szCs w:val="24"/>
                <w:highlight w:val="none"/>
              </w:rPr>
              <w:t>服务标准</w:t>
            </w:r>
          </w:p>
        </w:tc>
        <w:tc>
          <w:tcPr>
            <w:tcW w:w="8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z w:val="24"/>
                <w:szCs w:val="24"/>
                <w:highlight w:val="none"/>
              </w:rPr>
              <w:t>质保期内因货物本身缺陷造成各种故障</w:t>
            </w:r>
            <w:r>
              <w:rPr>
                <w:rFonts w:hint="eastAsia" w:asciiTheme="majorEastAsia" w:hAnsiTheme="majorEastAsia" w:eastAsiaTheme="majorEastAsia" w:cstheme="majorEastAsia"/>
                <w:color w:val="auto"/>
                <w:sz w:val="24"/>
                <w:szCs w:val="24"/>
                <w:highlight w:val="none"/>
                <w:lang w:eastAsia="zh-CN"/>
              </w:rPr>
              <w:t>、破损等</w:t>
            </w:r>
            <w:r>
              <w:rPr>
                <w:rFonts w:hint="eastAsia" w:asciiTheme="majorEastAsia" w:hAnsiTheme="majorEastAsia" w:eastAsiaTheme="majorEastAsia" w:cstheme="majorEastAsia"/>
                <w:color w:val="auto"/>
                <w:sz w:val="24"/>
                <w:szCs w:val="24"/>
                <w:highlight w:val="none"/>
              </w:rPr>
              <w:t>应由中标人免费予以更换，否则将扣除</w:t>
            </w:r>
            <w:r>
              <w:rPr>
                <w:rFonts w:hint="eastAsia" w:asciiTheme="majorEastAsia" w:hAnsiTheme="majorEastAsia" w:eastAsiaTheme="majorEastAsia" w:cstheme="majorEastAsia"/>
                <w:color w:val="auto"/>
                <w:sz w:val="24"/>
                <w:szCs w:val="24"/>
                <w:highlight w:val="none"/>
                <w:lang w:eastAsia="zh-CN"/>
              </w:rPr>
              <w:t>履约保证金</w:t>
            </w:r>
            <w:r>
              <w:rPr>
                <w:rFonts w:hint="eastAsia" w:asciiTheme="majorEastAsia" w:hAnsiTheme="majorEastAsia" w:eastAsiaTheme="majorEastAsia" w:cstheme="majorEastAsia"/>
                <w:color w:val="auto"/>
                <w:sz w:val="24"/>
                <w:szCs w:val="24"/>
                <w:highlight w:val="none"/>
              </w:rPr>
              <w:t>作为对采购人的补偿。质保期满后，</w:t>
            </w:r>
            <w:r>
              <w:rPr>
                <w:rFonts w:hint="eastAsia" w:asciiTheme="majorEastAsia" w:hAnsiTheme="majorEastAsia" w:eastAsiaTheme="majorEastAsia" w:cstheme="majorEastAsia"/>
                <w:color w:val="auto"/>
                <w:sz w:val="24"/>
                <w:szCs w:val="24"/>
                <w:highlight w:val="none"/>
                <w:lang w:eastAsia="zh-CN"/>
              </w:rPr>
              <w:t>发生故障的</w:t>
            </w:r>
            <w:r>
              <w:rPr>
                <w:rFonts w:hint="eastAsia" w:asciiTheme="majorEastAsia" w:hAnsiTheme="majorEastAsia" w:eastAsiaTheme="majorEastAsia" w:cstheme="majorEastAsia"/>
                <w:color w:val="auto"/>
                <w:sz w:val="24"/>
                <w:szCs w:val="24"/>
                <w:highlight w:val="none"/>
              </w:rPr>
              <w:t>仅收取零配件成本费用，免人工费、差旅费</w:t>
            </w:r>
            <w:r>
              <w:rPr>
                <w:rFonts w:hint="eastAsia" w:asciiTheme="majorEastAsia" w:hAnsiTheme="majorEastAsia" w:eastAsiaTheme="majorEastAsia" w:cstheme="majorEastAsia"/>
                <w:color w:val="auto"/>
                <w:sz w:val="24"/>
                <w:szCs w:val="24"/>
                <w:highlight w:val="none"/>
                <w:lang w:eastAsia="zh-CN"/>
              </w:rPr>
              <w:t>，破损的调换单价不变</w:t>
            </w:r>
            <w:r>
              <w:rPr>
                <w:rFonts w:hint="eastAsia" w:asciiTheme="majorEastAsia" w:hAnsiTheme="majorEastAsia" w:eastAsiaTheme="majorEastAsia" w:cstheme="maj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服务效率</w:t>
            </w:r>
          </w:p>
        </w:tc>
        <w:tc>
          <w:tcPr>
            <w:tcW w:w="8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合同货物</w:t>
            </w:r>
            <w:r>
              <w:rPr>
                <w:rFonts w:hint="eastAsia" w:asciiTheme="majorEastAsia" w:hAnsiTheme="majorEastAsia" w:eastAsiaTheme="majorEastAsia" w:cstheme="majorEastAsia"/>
                <w:color w:val="auto"/>
                <w:sz w:val="24"/>
                <w:szCs w:val="24"/>
                <w:highlight w:val="none"/>
                <w:lang w:eastAsia="zh-CN"/>
              </w:rPr>
              <w:t>发生</w:t>
            </w:r>
            <w:r>
              <w:rPr>
                <w:rFonts w:hint="eastAsia" w:asciiTheme="majorEastAsia" w:hAnsiTheme="majorEastAsia" w:eastAsiaTheme="majorEastAsia" w:cstheme="majorEastAsia"/>
                <w:color w:val="auto"/>
                <w:sz w:val="24"/>
                <w:szCs w:val="24"/>
                <w:highlight w:val="none"/>
              </w:rPr>
              <w:t>出现故障</w:t>
            </w:r>
            <w:r>
              <w:rPr>
                <w:rFonts w:hint="eastAsia" w:asciiTheme="majorEastAsia" w:hAnsiTheme="majorEastAsia" w:eastAsiaTheme="majorEastAsia" w:cstheme="majorEastAsia"/>
                <w:color w:val="auto"/>
                <w:sz w:val="24"/>
                <w:szCs w:val="24"/>
                <w:highlight w:val="none"/>
                <w:lang w:eastAsia="zh-CN"/>
              </w:rPr>
              <w:t>或破损</w:t>
            </w:r>
            <w:r>
              <w:rPr>
                <w:rFonts w:hint="eastAsia" w:asciiTheme="majorEastAsia" w:hAnsiTheme="majorEastAsia" w:eastAsiaTheme="majorEastAsia" w:cstheme="majorEastAsia"/>
                <w:color w:val="auto"/>
                <w:sz w:val="24"/>
                <w:szCs w:val="24"/>
                <w:highlight w:val="none"/>
              </w:rPr>
              <w:t>后，中标人接到采购人通知应在不超过2小时内做出响应，不超过2个工作日内解决故障</w:t>
            </w:r>
            <w:r>
              <w:rPr>
                <w:rFonts w:hint="eastAsia" w:asciiTheme="majorEastAsia" w:hAnsiTheme="majorEastAsia" w:eastAsiaTheme="majorEastAsia" w:cstheme="majorEastAsia"/>
                <w:color w:val="auto"/>
                <w:sz w:val="24"/>
                <w:szCs w:val="24"/>
                <w:highlight w:val="none"/>
                <w:lang w:eastAsia="zh-CN"/>
              </w:rPr>
              <w:t>或调换</w:t>
            </w:r>
            <w:r>
              <w:rPr>
                <w:rFonts w:hint="eastAsia" w:asciiTheme="majorEastAsia" w:hAnsiTheme="majorEastAsia" w:eastAsiaTheme="majorEastAsia" w:cstheme="maj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交付时间和地点</w:t>
            </w:r>
          </w:p>
        </w:tc>
        <w:tc>
          <w:tcPr>
            <w:tcW w:w="8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交付时间：合同签订后30日内交付并</w:t>
            </w:r>
            <w:r>
              <w:rPr>
                <w:rFonts w:hint="eastAsia" w:asciiTheme="majorEastAsia" w:hAnsiTheme="majorEastAsia" w:eastAsiaTheme="majorEastAsia" w:cstheme="majorEastAsia"/>
                <w:color w:val="auto"/>
                <w:spacing w:val="-6"/>
                <w:sz w:val="24"/>
                <w:szCs w:val="24"/>
                <w:highlight w:val="none"/>
                <w:lang w:val="en-US" w:eastAsia="zh-CN"/>
              </w:rPr>
              <w:t>发放</w:t>
            </w:r>
            <w:r>
              <w:rPr>
                <w:rFonts w:hint="eastAsia" w:asciiTheme="majorEastAsia" w:hAnsiTheme="majorEastAsia" w:eastAsiaTheme="majorEastAsia" w:cstheme="majorEastAsia"/>
                <w:color w:val="auto"/>
                <w:spacing w:val="-6"/>
                <w:sz w:val="24"/>
                <w:szCs w:val="24"/>
                <w:highlight w:val="none"/>
              </w:rPr>
              <w:t>完毕。</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验收标准</w:t>
            </w:r>
          </w:p>
        </w:tc>
        <w:tc>
          <w:tcPr>
            <w:tcW w:w="8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2.投标人应于投标文件中提供合同货物的验收标准和检测办法，并在验收中提供采购人认可的相应检测手段，验收标准应符合中国有关的国家、地方、行业的标准，如若中标，经采购人确认后作为验收的依据。</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3.如中标人委托国内代理（或其他机构</w:t>
            </w:r>
            <w:r>
              <w:rPr>
                <w:rFonts w:hint="eastAsia" w:asciiTheme="majorEastAsia" w:hAnsiTheme="majorEastAsia" w:eastAsiaTheme="majorEastAsia" w:cstheme="majorEastAsia"/>
                <w:color w:val="000000" w:themeColor="text1"/>
                <w:sz w:val="24"/>
                <w:szCs w:val="24"/>
                <w:highlight w:val="none"/>
              </w:rPr>
              <w:t>）</w:t>
            </w:r>
            <w:r>
              <w:rPr>
                <w:rFonts w:hint="eastAsia" w:asciiTheme="majorEastAsia" w:hAnsiTheme="majorEastAsia" w:eastAsiaTheme="majorEastAsia" w:cstheme="majorEastAsia"/>
                <w:color w:val="000000" w:themeColor="text1"/>
                <w:spacing w:val="-6"/>
                <w:sz w:val="24"/>
                <w:szCs w:val="24"/>
                <w:highlight w:val="none"/>
                <w:lang w:eastAsia="zh-CN"/>
              </w:rPr>
              <w:t>负责</w:t>
            </w:r>
            <w:r>
              <w:rPr>
                <w:rFonts w:hint="eastAsia" w:asciiTheme="majorEastAsia" w:hAnsiTheme="majorEastAsia" w:eastAsiaTheme="majorEastAsia" w:cstheme="majorEastAsia"/>
                <w:color w:val="000000" w:themeColor="text1"/>
                <w:spacing w:val="-6"/>
                <w:sz w:val="24"/>
                <w:szCs w:val="24"/>
                <w:highlight w:val="none"/>
                <w:lang w:val="en-US" w:eastAsia="zh-CN"/>
              </w:rPr>
              <w:t>统一</w:t>
            </w:r>
            <w:r>
              <w:rPr>
                <w:rFonts w:hint="eastAsia" w:asciiTheme="majorEastAsia" w:hAnsiTheme="majorEastAsia" w:eastAsiaTheme="majorEastAsia" w:cstheme="majorEastAsia"/>
                <w:color w:val="000000" w:themeColor="text1"/>
                <w:spacing w:val="-6"/>
                <w:sz w:val="24"/>
                <w:szCs w:val="24"/>
                <w:highlight w:val="none"/>
                <w:lang w:eastAsia="zh-CN"/>
              </w:rPr>
              <w:t>发放和台账登记</w:t>
            </w:r>
            <w:r>
              <w:rPr>
                <w:rFonts w:hint="eastAsia" w:asciiTheme="majorEastAsia" w:hAnsiTheme="majorEastAsia" w:eastAsiaTheme="majorEastAsia" w:cstheme="majorEastAsia"/>
                <w:color w:val="000000" w:themeColor="text1"/>
                <w:spacing w:val="-6"/>
                <w:sz w:val="24"/>
                <w:szCs w:val="24"/>
                <w:highlight w:val="none"/>
                <w:lang w:val="en-US" w:eastAsia="zh-CN"/>
              </w:rPr>
              <w:t>等</w:t>
            </w:r>
            <w:r>
              <w:rPr>
                <w:rFonts w:hint="eastAsia" w:asciiTheme="majorEastAsia" w:hAnsiTheme="majorEastAsia" w:eastAsiaTheme="majorEastAsia" w:cstheme="majorEastAsia"/>
                <w:color w:val="000000" w:themeColor="text1"/>
                <w:sz w:val="24"/>
                <w:szCs w:val="24"/>
                <w:highlight w:val="none"/>
              </w:rPr>
              <w:t>，</w:t>
            </w:r>
            <w:r>
              <w:rPr>
                <w:rFonts w:hint="eastAsia" w:asciiTheme="majorEastAsia" w:hAnsiTheme="majorEastAsia" w:eastAsiaTheme="majorEastAsia" w:cstheme="majorEastAsia"/>
                <w:color w:val="auto"/>
                <w:sz w:val="24"/>
                <w:szCs w:val="24"/>
                <w:highlight w:val="none"/>
              </w:rPr>
              <w:t>应在签约时指明，但中标人仍要对合同货物质量</w:t>
            </w:r>
            <w:r>
              <w:rPr>
                <w:rFonts w:hint="eastAsia" w:asciiTheme="majorEastAsia" w:hAnsiTheme="majorEastAsia" w:eastAsiaTheme="majorEastAsia" w:cstheme="majorEastAsia"/>
                <w:color w:val="auto"/>
                <w:sz w:val="24"/>
                <w:szCs w:val="24"/>
                <w:highlight w:val="none"/>
                <w:lang w:val="en-US" w:eastAsia="zh-CN"/>
              </w:rPr>
              <w:t>及发放工作</w:t>
            </w:r>
            <w:r>
              <w:rPr>
                <w:rFonts w:hint="eastAsia" w:asciiTheme="majorEastAsia" w:hAnsiTheme="majorEastAsia" w:eastAsiaTheme="majorEastAsia" w:cstheme="majorEastAsia"/>
                <w:color w:val="auto"/>
                <w:sz w:val="24"/>
                <w:szCs w:val="24"/>
                <w:highlight w:val="none"/>
              </w:rPr>
              <w:t>负全部责任。</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4.验收费用由中标人承担。</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采购人根据招标文件内的技术参数、要求等方面对产品进行验收，并有权力组织第三方专家组进行验收。对垃圾分类桶的原材料及各项指标等采购人如认为有必要，可送到检测部门进行检测，检测结果只要有一项带</w:t>
            </w:r>
            <w:r>
              <w:rPr>
                <w:rFonts w:hint="eastAsia" w:ascii="宋体" w:hAnsi="宋体" w:cs="宋体"/>
                <w:b w:val="0"/>
                <w:bCs w:val="0"/>
                <w:sz w:val="24"/>
                <w:szCs w:val="24"/>
                <w:highlight w:val="none"/>
                <w:lang w:eastAsia="zh-CN"/>
              </w:rPr>
              <w:t>▲</w:t>
            </w:r>
            <w:r>
              <w:rPr>
                <w:rFonts w:hint="eastAsia" w:asciiTheme="majorEastAsia" w:hAnsiTheme="majorEastAsia" w:eastAsiaTheme="majorEastAsia" w:cstheme="majorEastAsia"/>
                <w:color w:val="auto"/>
                <w:sz w:val="24"/>
                <w:szCs w:val="24"/>
                <w:highlight w:val="none"/>
                <w:lang w:val="en-US" w:eastAsia="zh-CN"/>
              </w:rPr>
              <w:t>指标不合格，将视为验收不合格。</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6.验收时需提供垃圾分类桶技术参数等，否则视为验收不合格。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z w:val="24"/>
                <w:szCs w:val="24"/>
                <w:highlight w:val="none"/>
              </w:rPr>
              <w:t>其他技术、服务要求</w:t>
            </w:r>
          </w:p>
        </w:tc>
        <w:tc>
          <w:tcPr>
            <w:tcW w:w="8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1.培训：</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1.1 中标人应对</w:t>
            </w:r>
            <w:r>
              <w:rPr>
                <w:rFonts w:hint="eastAsia" w:asciiTheme="majorEastAsia" w:hAnsiTheme="majorEastAsia" w:eastAsiaTheme="majorEastAsia" w:cstheme="majorEastAsia"/>
                <w:color w:val="auto"/>
                <w:sz w:val="24"/>
                <w:szCs w:val="24"/>
                <w:highlight w:val="none"/>
                <w:lang w:eastAsia="zh-CN"/>
              </w:rPr>
              <w:t>采购</w:t>
            </w:r>
            <w:r>
              <w:rPr>
                <w:rFonts w:hint="eastAsia" w:asciiTheme="majorEastAsia" w:hAnsiTheme="majorEastAsia" w:eastAsiaTheme="majorEastAsia" w:cstheme="majorEastAsia"/>
                <w:color w:val="auto"/>
                <w:sz w:val="24"/>
                <w:szCs w:val="24"/>
                <w:highlight w:val="none"/>
              </w:rPr>
              <w:t>人的操作人员免费进行</w:t>
            </w:r>
            <w:r>
              <w:rPr>
                <w:rFonts w:hint="eastAsia" w:asciiTheme="majorEastAsia" w:hAnsiTheme="majorEastAsia" w:eastAsiaTheme="majorEastAsia" w:cstheme="majorEastAsia"/>
                <w:color w:val="auto"/>
                <w:sz w:val="24"/>
                <w:szCs w:val="24"/>
                <w:highlight w:val="none"/>
                <w:lang w:eastAsia="zh-CN"/>
              </w:rPr>
              <w:t>示范</w:t>
            </w:r>
            <w:r>
              <w:rPr>
                <w:rFonts w:hint="eastAsia" w:asciiTheme="majorEastAsia" w:hAnsiTheme="majorEastAsia" w:eastAsiaTheme="majorEastAsia" w:cstheme="majorEastAsia"/>
                <w:color w:val="auto"/>
                <w:sz w:val="24"/>
                <w:szCs w:val="24"/>
                <w:highlight w:val="none"/>
              </w:rPr>
              <w:t>培训。</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1.2 中标人应提供相应</w:t>
            </w:r>
            <w:r>
              <w:rPr>
                <w:rFonts w:hint="eastAsia" w:asciiTheme="majorEastAsia" w:hAnsiTheme="majorEastAsia" w:eastAsiaTheme="majorEastAsia" w:cstheme="majorEastAsia"/>
                <w:color w:val="auto"/>
                <w:sz w:val="24"/>
                <w:szCs w:val="24"/>
                <w:highlight w:val="none"/>
                <w:lang w:val="en-US" w:eastAsia="zh-CN"/>
              </w:rPr>
              <w:t>的示范</w:t>
            </w:r>
            <w:r>
              <w:rPr>
                <w:rFonts w:hint="eastAsia" w:asciiTheme="majorEastAsia" w:hAnsiTheme="majorEastAsia" w:eastAsiaTheme="majorEastAsia" w:cstheme="majorEastAsia"/>
                <w:color w:val="auto"/>
                <w:sz w:val="24"/>
                <w:szCs w:val="24"/>
                <w:highlight w:val="none"/>
              </w:rPr>
              <w:t>培训计划。</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1.3 中标人应对上述内容的实现方式、地点、人数、时间在投标文件中详细说明。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lang w:val="en-US" w:eastAsia="zh-CN"/>
              </w:rPr>
              <w:t>发放及台账登记</w:t>
            </w:r>
            <w:r>
              <w:rPr>
                <w:rFonts w:hint="eastAsia" w:asciiTheme="majorEastAsia" w:hAnsiTheme="majorEastAsia" w:eastAsiaTheme="majorEastAsia" w:cstheme="majorEastAsia"/>
                <w:color w:val="auto"/>
                <w:sz w:val="24"/>
                <w:szCs w:val="24"/>
                <w:highlight w:val="none"/>
              </w:rPr>
              <w:t>：</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 xml:space="preserve">.1 </w:t>
            </w:r>
            <w:r>
              <w:rPr>
                <w:rFonts w:hint="eastAsia" w:asciiTheme="majorEastAsia" w:hAnsiTheme="majorEastAsia" w:eastAsiaTheme="majorEastAsia" w:cstheme="majorEastAsia"/>
                <w:color w:val="auto"/>
                <w:sz w:val="24"/>
                <w:szCs w:val="24"/>
                <w:highlight w:val="none"/>
                <w:lang w:val="en-US" w:eastAsia="zh-CN"/>
              </w:rPr>
              <w:t>发放</w:t>
            </w:r>
            <w:r>
              <w:rPr>
                <w:rFonts w:hint="eastAsia" w:asciiTheme="majorEastAsia" w:hAnsiTheme="majorEastAsia" w:eastAsiaTheme="majorEastAsia" w:cstheme="majorEastAsia"/>
                <w:color w:val="auto"/>
                <w:sz w:val="24"/>
                <w:szCs w:val="24"/>
                <w:highlight w:val="none"/>
              </w:rPr>
              <w:t>地点：采购人指定地点。</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 xml:space="preserve">.2 </w:t>
            </w:r>
            <w:r>
              <w:rPr>
                <w:rFonts w:hint="eastAsia" w:asciiTheme="majorEastAsia" w:hAnsiTheme="majorEastAsia" w:eastAsiaTheme="majorEastAsia" w:cstheme="majorEastAsia"/>
                <w:color w:val="auto"/>
                <w:sz w:val="24"/>
                <w:szCs w:val="24"/>
                <w:highlight w:val="none"/>
                <w:lang w:val="en-US" w:eastAsia="zh-CN"/>
              </w:rPr>
              <w:t>发放及台账登记</w:t>
            </w:r>
            <w:r>
              <w:rPr>
                <w:rFonts w:hint="eastAsia" w:asciiTheme="majorEastAsia" w:hAnsiTheme="majorEastAsia" w:eastAsiaTheme="majorEastAsia" w:cstheme="majorEastAsia"/>
                <w:color w:val="auto"/>
                <w:sz w:val="24"/>
                <w:szCs w:val="24"/>
                <w:highlight w:val="none"/>
              </w:rPr>
              <w:t>完成时间：接到采购人通知后在7日内完成</w:t>
            </w:r>
            <w:r>
              <w:rPr>
                <w:rFonts w:hint="eastAsia" w:asciiTheme="majorEastAsia" w:hAnsiTheme="majorEastAsia" w:eastAsiaTheme="majorEastAsia" w:cstheme="majorEastAsia"/>
                <w:color w:val="auto"/>
                <w:sz w:val="24"/>
                <w:szCs w:val="24"/>
                <w:highlight w:val="none"/>
                <w:lang w:val="en-US" w:eastAsia="zh-CN"/>
              </w:rPr>
              <w:t>发放及台账登记</w:t>
            </w:r>
            <w:r>
              <w:rPr>
                <w:rFonts w:hint="eastAsia" w:asciiTheme="majorEastAsia" w:hAnsiTheme="majorEastAsia" w:eastAsiaTheme="majorEastAsia" w:cstheme="majorEastAsia"/>
                <w:color w:val="auto"/>
                <w:sz w:val="24"/>
                <w:szCs w:val="24"/>
                <w:highlight w:val="none"/>
              </w:rPr>
              <w:t>，如在规定的时间内由于中标人的原因不能完成</w:t>
            </w:r>
            <w:r>
              <w:rPr>
                <w:rFonts w:hint="eastAsia" w:asciiTheme="majorEastAsia" w:hAnsiTheme="majorEastAsia" w:eastAsiaTheme="majorEastAsia" w:cstheme="majorEastAsia"/>
                <w:color w:val="auto"/>
                <w:sz w:val="24"/>
                <w:szCs w:val="24"/>
                <w:highlight w:val="none"/>
                <w:lang w:val="en-US" w:eastAsia="zh-CN"/>
              </w:rPr>
              <w:t>发放及台账登记</w:t>
            </w:r>
            <w:r>
              <w:rPr>
                <w:rFonts w:hint="eastAsia" w:asciiTheme="majorEastAsia" w:hAnsiTheme="majorEastAsia" w:eastAsiaTheme="majorEastAsia" w:cstheme="majorEastAsia"/>
                <w:color w:val="auto"/>
                <w:sz w:val="24"/>
                <w:szCs w:val="24"/>
                <w:highlight w:val="none"/>
              </w:rPr>
              <w:t>，中标人应承担由此给采购人造成的损失。</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 xml:space="preserve">.3 </w:t>
            </w:r>
            <w:r>
              <w:rPr>
                <w:rFonts w:hint="eastAsia" w:asciiTheme="majorEastAsia" w:hAnsiTheme="majorEastAsia" w:eastAsiaTheme="majorEastAsia" w:cstheme="majorEastAsia"/>
                <w:color w:val="auto"/>
                <w:sz w:val="24"/>
                <w:szCs w:val="24"/>
                <w:highlight w:val="none"/>
                <w:lang w:val="en-US" w:eastAsia="zh-CN"/>
              </w:rPr>
              <w:t>发放及台账登记</w:t>
            </w:r>
            <w:r>
              <w:rPr>
                <w:rFonts w:hint="eastAsia" w:asciiTheme="majorEastAsia" w:hAnsiTheme="majorEastAsia" w:eastAsiaTheme="majorEastAsia" w:cstheme="majorEastAsia"/>
                <w:color w:val="auto"/>
                <w:sz w:val="24"/>
                <w:szCs w:val="24"/>
                <w:highlight w:val="none"/>
              </w:rPr>
              <w:t>标准：</w:t>
            </w:r>
            <w:r>
              <w:rPr>
                <w:rFonts w:hint="eastAsia" w:asciiTheme="majorEastAsia" w:hAnsiTheme="majorEastAsia" w:eastAsiaTheme="majorEastAsia" w:cstheme="majorEastAsia"/>
                <w:color w:val="auto"/>
                <w:sz w:val="24"/>
                <w:szCs w:val="24"/>
                <w:highlight w:val="none"/>
                <w:lang w:val="en-US" w:eastAsia="zh-CN"/>
              </w:rPr>
              <w:t>按学校的有关要求建立发放台账登记，台账中至少需明确发放物名称、发放对象、数量、发放时间及接收人的签字和有关信息。</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color w:val="auto"/>
                <w:sz w:val="24"/>
                <w:szCs w:val="24"/>
                <w:highlight w:val="none"/>
              </w:rPr>
              <w:t xml:space="preserve">.4 </w:t>
            </w:r>
            <w:r>
              <w:rPr>
                <w:rFonts w:hint="eastAsia" w:asciiTheme="majorEastAsia" w:hAnsiTheme="majorEastAsia" w:eastAsiaTheme="majorEastAsia" w:cstheme="majorEastAsia"/>
                <w:color w:val="auto"/>
                <w:sz w:val="24"/>
                <w:szCs w:val="24"/>
                <w:highlight w:val="none"/>
                <w:lang w:val="en-US" w:eastAsia="zh-CN"/>
              </w:rPr>
              <w:t>对特殊人群，</w:t>
            </w:r>
            <w:r>
              <w:rPr>
                <w:rFonts w:hint="eastAsia" w:asciiTheme="majorEastAsia" w:hAnsiTheme="majorEastAsia" w:eastAsiaTheme="majorEastAsia" w:cstheme="majorEastAsia"/>
                <w:color w:val="auto"/>
                <w:sz w:val="24"/>
                <w:szCs w:val="24"/>
                <w:highlight w:val="none"/>
              </w:rPr>
              <w:t>中标人免费提供合同货物的</w:t>
            </w:r>
            <w:r>
              <w:rPr>
                <w:rFonts w:hint="eastAsia" w:asciiTheme="majorEastAsia" w:hAnsiTheme="majorEastAsia" w:eastAsiaTheme="majorEastAsia" w:cstheme="majorEastAsia"/>
                <w:color w:val="auto"/>
                <w:sz w:val="24"/>
                <w:szCs w:val="24"/>
                <w:highlight w:val="none"/>
                <w:lang w:val="en-US" w:eastAsia="zh-CN"/>
              </w:rPr>
              <w:t>送货上门</w:t>
            </w:r>
            <w:r>
              <w:rPr>
                <w:rFonts w:hint="eastAsia" w:asciiTheme="majorEastAsia" w:hAnsiTheme="majorEastAsia" w:eastAsiaTheme="majorEastAsia" w:cstheme="majorEastAsia"/>
                <w:color w:val="auto"/>
                <w:sz w:val="24"/>
                <w:szCs w:val="24"/>
                <w:highlight w:val="none"/>
              </w:rPr>
              <w:t>服务</w:t>
            </w:r>
            <w:r>
              <w:rPr>
                <w:rFonts w:hint="eastAsia" w:asciiTheme="majorEastAsia" w:hAnsiTheme="majorEastAsia" w:eastAsiaTheme="majorEastAsia" w:cstheme="majorEastAsia"/>
                <w:color w:val="auto"/>
                <w:sz w:val="24"/>
                <w:szCs w:val="24"/>
                <w:highlight w:val="none"/>
                <w:lang w:val="en-US" w:eastAsia="zh-CN"/>
              </w:rPr>
              <w:t>及示范培训</w:t>
            </w:r>
            <w:r>
              <w:rPr>
                <w:rFonts w:hint="eastAsia" w:asciiTheme="majorEastAsia" w:hAnsiTheme="majorEastAsia" w:eastAsiaTheme="majorEastAsia" w:cstheme="majorEastAsia"/>
                <w:color w:val="auto"/>
                <w:sz w:val="24"/>
                <w:szCs w:val="24"/>
                <w:highlight w:val="none"/>
              </w:rPr>
              <w:t>。</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3.中标人在安装垃圾分类桶过程中，如需对外包装进行拆装的，则拆装中所产生的一切费用由中标人负责，并负责将废弃的外包装物带离现场。</w:t>
            </w:r>
          </w:p>
        </w:tc>
      </w:tr>
    </w:tbl>
    <w:p>
      <w:pPr>
        <w:jc w:val="center"/>
        <w:rPr>
          <w:rFonts w:hint="eastAsia"/>
          <w:b/>
          <w:bCs/>
          <w:sz w:val="21"/>
          <w:szCs w:val="21"/>
          <w:lang w:val="en-US" w:eastAsia="zh-CN"/>
        </w:rPr>
      </w:pPr>
    </w:p>
    <w:p>
      <w:pPr>
        <w:keepNext w:val="0"/>
        <w:keepLines w:val="0"/>
        <w:pageBreakBefore w:val="0"/>
        <w:numPr>
          <w:ilvl w:val="0"/>
          <w:numId w:val="4"/>
        </w:numPr>
        <w:kinsoku/>
        <w:overflowPunct/>
        <w:topLinePunct w:val="0"/>
        <w:bidi w:val="0"/>
        <w:adjustRightInd/>
        <w:spacing w:line="500" w:lineRule="exact"/>
        <w:ind w:left="272" w:hanging="272" w:hangingChars="113"/>
        <w:outlineLvl w:val="1"/>
        <w:rPr>
          <w:rFonts w:hint="eastAsia" w:asciiTheme="majorEastAsia" w:hAnsiTheme="majorEastAsia" w:eastAsiaTheme="majorEastAsia" w:cstheme="majorEastAsia"/>
          <w:b/>
          <w:color w:val="auto"/>
          <w:sz w:val="24"/>
          <w:szCs w:val="24"/>
          <w:highlight w:val="none"/>
          <w:lang w:val="en-US" w:eastAsia="zh-CN"/>
        </w:rPr>
      </w:pPr>
      <w:r>
        <w:rPr>
          <w:rFonts w:hint="eastAsia" w:asciiTheme="majorEastAsia" w:hAnsiTheme="majorEastAsia" w:eastAsiaTheme="majorEastAsia" w:cstheme="majorEastAsia"/>
          <w:b/>
          <w:color w:val="auto"/>
          <w:sz w:val="24"/>
          <w:szCs w:val="24"/>
          <w:highlight w:val="none"/>
          <w:lang w:val="en-US" w:eastAsia="zh-CN"/>
        </w:rPr>
        <w:t>采购清单</w:t>
      </w:r>
    </w:p>
    <w:p>
      <w:pPr>
        <w:keepNext w:val="0"/>
        <w:keepLines w:val="0"/>
        <w:pageBreakBefore w:val="0"/>
        <w:numPr>
          <w:ilvl w:val="0"/>
          <w:numId w:val="0"/>
        </w:numPr>
        <w:kinsoku/>
        <w:overflowPunct/>
        <w:topLinePunct w:val="0"/>
        <w:bidi w:val="0"/>
        <w:adjustRightInd/>
        <w:spacing w:line="500" w:lineRule="exact"/>
        <w:ind w:leftChars="-113"/>
        <w:outlineLvl w:val="1"/>
        <w:rPr>
          <w:rFonts w:hint="eastAsia"/>
          <w:b w:val="0"/>
          <w:bCs w:val="0"/>
          <w:sz w:val="21"/>
          <w:szCs w:val="21"/>
          <w:lang w:val="en-US" w:eastAsia="zh-CN"/>
        </w:rPr>
      </w:pPr>
      <w:r>
        <w:rPr>
          <w:rFonts w:hint="eastAsia" w:asciiTheme="majorEastAsia" w:hAnsiTheme="majorEastAsia" w:eastAsiaTheme="majorEastAsia" w:cstheme="majorEastAsia"/>
          <w:b/>
          <w:color w:val="auto"/>
          <w:sz w:val="24"/>
          <w:szCs w:val="24"/>
          <w:highlight w:val="none"/>
          <w:lang w:val="en-US" w:eastAsia="zh-CN"/>
        </w:rPr>
        <w:t xml:space="preserve">   （见附件一）</w:t>
      </w:r>
    </w:p>
    <w:p>
      <w:pPr>
        <w:keepNext w:val="0"/>
        <w:keepLines w:val="0"/>
        <w:pageBreakBefore w:val="0"/>
        <w:numPr>
          <w:ilvl w:val="0"/>
          <w:numId w:val="5"/>
        </w:numPr>
        <w:kinsoku/>
        <w:overflowPunct/>
        <w:topLinePunct w:val="0"/>
        <w:bidi w:val="0"/>
        <w:adjustRightInd/>
        <w:spacing w:line="500" w:lineRule="exact"/>
        <w:ind w:left="272" w:hanging="272" w:hangingChars="113"/>
        <w:outlineLvl w:val="1"/>
        <w:rPr>
          <w:rFonts w:hint="eastAsia" w:asciiTheme="majorEastAsia" w:hAnsiTheme="majorEastAsia" w:eastAsiaTheme="majorEastAsia" w:cstheme="majorEastAsia"/>
          <w:b/>
          <w:color w:val="auto"/>
          <w:sz w:val="24"/>
          <w:szCs w:val="24"/>
          <w:highlight w:val="none"/>
          <w:lang w:val="en-US" w:eastAsia="zh-CN"/>
        </w:rPr>
      </w:pPr>
      <w:r>
        <w:rPr>
          <w:rFonts w:hint="eastAsia" w:asciiTheme="majorEastAsia" w:hAnsiTheme="majorEastAsia" w:eastAsiaTheme="majorEastAsia" w:cstheme="majorEastAsia"/>
          <w:b/>
          <w:color w:val="auto"/>
          <w:sz w:val="24"/>
          <w:szCs w:val="24"/>
          <w:highlight w:val="none"/>
          <w:lang w:val="en-US" w:eastAsia="zh-CN"/>
        </w:rPr>
        <w:t>技术参数</w:t>
      </w:r>
    </w:p>
    <w:p>
      <w:pPr>
        <w:keepNext w:val="0"/>
        <w:keepLines w:val="0"/>
        <w:pageBreakBefore w:val="0"/>
        <w:numPr>
          <w:ilvl w:val="0"/>
          <w:numId w:val="0"/>
        </w:numPr>
        <w:kinsoku/>
        <w:overflowPunct/>
        <w:topLinePunct w:val="0"/>
        <w:bidi w:val="0"/>
        <w:adjustRightInd/>
        <w:spacing w:line="500" w:lineRule="exact"/>
        <w:ind w:leftChars="-113"/>
        <w:outlineLvl w:val="1"/>
        <w:rPr>
          <w:rFonts w:hint="eastAsia" w:asciiTheme="majorEastAsia" w:hAnsiTheme="majorEastAsia" w:eastAsiaTheme="majorEastAsia" w:cstheme="majorEastAsia"/>
          <w:b/>
          <w:color w:val="auto"/>
          <w:sz w:val="24"/>
          <w:szCs w:val="24"/>
          <w:highlight w:val="none"/>
          <w:lang w:val="en-US" w:eastAsia="zh-CN"/>
        </w:rPr>
      </w:pPr>
      <w:r>
        <w:rPr>
          <w:rFonts w:hint="eastAsia" w:asciiTheme="majorEastAsia" w:hAnsiTheme="majorEastAsia" w:eastAsiaTheme="majorEastAsia" w:cstheme="majorEastAsia"/>
          <w:b/>
          <w:color w:val="auto"/>
          <w:sz w:val="24"/>
          <w:szCs w:val="24"/>
          <w:highlight w:val="none"/>
          <w:lang w:val="en-US" w:eastAsia="zh-CN"/>
        </w:rPr>
        <w:t xml:space="preserve">    (见附件二）</w:t>
      </w:r>
      <w:bookmarkStart w:id="33" w:name="_Toc32661"/>
      <w:bookmarkStart w:id="34" w:name="_Toc30526"/>
      <w:bookmarkStart w:id="35" w:name="_Toc1404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b/>
          <w:bCs/>
          <w:sz w:val="21"/>
          <w:szCs w:val="21"/>
          <w:lang w:val="en-US" w:eastAsia="zh-CN"/>
        </w:rPr>
      </w:pPr>
      <w:r>
        <w:rPr>
          <w:rFonts w:hint="eastAsia" w:asciiTheme="majorEastAsia" w:hAnsiTheme="majorEastAsia" w:eastAsiaTheme="majorEastAsia" w:cstheme="majorEastAsia"/>
          <w:b/>
          <w:color w:val="auto"/>
          <w:sz w:val="24"/>
          <w:szCs w:val="24"/>
          <w:highlight w:val="none"/>
          <w:lang w:val="en-US" w:eastAsia="zh-CN"/>
        </w:rPr>
        <w:t>六</w:t>
      </w:r>
      <w:r>
        <w:rPr>
          <w:rFonts w:hint="eastAsia"/>
          <w:b/>
          <w:bCs/>
          <w:sz w:val="21"/>
          <w:szCs w:val="21"/>
          <w:lang w:val="en-US" w:eastAsia="zh-CN"/>
        </w:rPr>
        <w:t>、</w:t>
      </w:r>
      <w:r>
        <w:rPr>
          <w:rFonts w:hint="eastAsia"/>
          <w:b/>
          <w:bCs/>
          <w:sz w:val="24"/>
          <w:szCs w:val="24"/>
          <w:lang w:val="en-US" w:eastAsia="zh-CN"/>
        </w:rPr>
        <w:t>样品提供要求</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eastAsia="zh-CN"/>
        </w:rPr>
        <w:t>提供符合参数的</w:t>
      </w:r>
      <w:r>
        <w:rPr>
          <w:rFonts w:hint="eastAsia" w:ascii="宋体" w:hAnsi="宋体" w:eastAsia="宋体" w:cs="宋体"/>
          <w:sz w:val="21"/>
          <w:szCs w:val="21"/>
          <w:lang w:val="en-US" w:eastAsia="zh-CN"/>
        </w:rPr>
        <w:t>样品桶</w:t>
      </w:r>
      <w:r>
        <w:rPr>
          <w:rFonts w:hint="eastAsia" w:ascii="宋体" w:hAnsi="宋体" w:cs="宋体"/>
          <w:sz w:val="21"/>
          <w:szCs w:val="21"/>
          <w:lang w:val="en-US" w:eastAsia="zh-CN"/>
        </w:rPr>
        <w:t>各1只（共</w:t>
      </w:r>
      <w:r>
        <w:rPr>
          <w:rFonts w:hint="eastAsia" w:ascii="宋体" w:hAnsi="宋体" w:eastAsia="宋体" w:cs="宋体"/>
          <w:sz w:val="21"/>
          <w:szCs w:val="21"/>
          <w:lang w:val="en-US" w:eastAsia="zh-CN"/>
        </w:rPr>
        <w:t>3只</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，未提供样品或</w:t>
      </w:r>
      <w:r>
        <w:rPr>
          <w:rFonts w:hint="eastAsia" w:ascii="宋体" w:hAnsi="宋体" w:cs="宋体"/>
          <w:sz w:val="21"/>
          <w:szCs w:val="21"/>
          <w:lang w:val="en-US" w:eastAsia="zh-CN"/>
        </w:rPr>
        <w:t>样品</w:t>
      </w:r>
      <w:r>
        <w:rPr>
          <w:rFonts w:hint="eastAsia" w:ascii="宋体" w:hAnsi="宋体" w:eastAsia="宋体" w:cs="宋体"/>
          <w:sz w:val="21"/>
          <w:szCs w:val="21"/>
          <w:lang w:val="en-US" w:eastAsia="zh-CN"/>
        </w:rPr>
        <w:t>提供不全的样品分为0分</w:t>
      </w:r>
      <w:r>
        <w:rPr>
          <w:rFonts w:hint="eastAsia" w:ascii="宋体" w:hAnsi="宋体" w:cs="宋体"/>
          <w:sz w:val="21"/>
          <w:szCs w:val="21"/>
          <w:lang w:val="en-US" w:eastAsia="zh-CN"/>
        </w:rPr>
        <w:t>，带</w:t>
      </w:r>
      <w:r>
        <w:rPr>
          <w:rFonts w:hint="eastAsia" w:ascii="宋体" w:hAnsi="宋体" w:cs="宋体"/>
          <w:sz w:val="21"/>
          <w:szCs w:val="21"/>
          <w:lang w:eastAsia="zh-CN"/>
        </w:rPr>
        <w:t>▲标记的参数为强制性指标，无▲标记的参数</w:t>
      </w:r>
      <w:r>
        <w:rPr>
          <w:rFonts w:hint="eastAsia" w:ascii="宋体" w:hAnsi="宋体" w:cs="宋体"/>
          <w:sz w:val="21"/>
          <w:szCs w:val="21"/>
          <w:highlight w:val="none"/>
          <w:lang w:val="en-US" w:eastAsia="zh-CN"/>
        </w:rPr>
        <w:t>为辅助指标；后期供货</w:t>
      </w:r>
      <w:r>
        <w:rPr>
          <w:rFonts w:hint="eastAsia" w:ascii="宋体" w:hAnsi="宋体" w:eastAsia="宋体" w:cs="宋体"/>
          <w:sz w:val="21"/>
          <w:szCs w:val="21"/>
          <w:highlight w:val="none"/>
          <w:lang w:eastAsia="zh-CN"/>
        </w:rPr>
        <w:t>分类</w:t>
      </w:r>
      <w:r>
        <w:rPr>
          <w:rFonts w:hint="eastAsia" w:ascii="宋体" w:hAnsi="宋体" w:eastAsia="宋体" w:cs="宋体"/>
          <w:sz w:val="21"/>
          <w:szCs w:val="21"/>
          <w:lang w:eastAsia="zh-CN"/>
        </w:rPr>
        <w:t>标识及颜色按</w:t>
      </w:r>
      <w:r>
        <w:rPr>
          <w:rFonts w:hint="eastAsia" w:ascii="宋体" w:hAnsi="宋体" w:eastAsia="宋体" w:cs="宋体"/>
          <w:sz w:val="21"/>
          <w:szCs w:val="21"/>
          <w:lang w:val="en-US" w:eastAsia="zh-CN"/>
        </w:rPr>
        <w:t>采购人要求</w:t>
      </w:r>
      <w:r>
        <w:rPr>
          <w:rFonts w:hint="eastAsia" w:ascii="宋体" w:hAnsi="宋体" w:eastAsia="宋体" w:cs="宋体"/>
          <w:sz w:val="21"/>
          <w:szCs w:val="21"/>
          <w:lang w:eastAsia="zh-CN"/>
        </w:rPr>
        <w:t>执行。</w:t>
      </w:r>
    </w:p>
    <w:p>
      <w:pPr>
        <w:spacing w:line="360" w:lineRule="auto"/>
        <w:rPr>
          <w:rFonts w:hint="eastAsia" w:ascii="宋体" w:hAnsi="宋体" w:eastAsia="宋体" w:cs="宋体"/>
          <w:sz w:val="21"/>
          <w:szCs w:val="21"/>
          <w:lang w:val="en-US" w:eastAsia="zh-CN"/>
        </w:rPr>
      </w:pPr>
      <w:r>
        <w:rPr>
          <w:rFonts w:hint="eastAsia" w:ascii="宋体" w:hAnsi="宋体" w:cs="宋体"/>
          <w:sz w:val="21"/>
          <w:szCs w:val="21"/>
          <w:lang w:eastAsia="zh-CN"/>
        </w:rPr>
        <w:t>▲</w:t>
      </w:r>
      <w:r>
        <w:rPr>
          <w:rFonts w:hint="eastAsia" w:ascii="宋体" w:hAnsi="宋体" w:eastAsia="宋体" w:cs="宋体"/>
          <w:sz w:val="21"/>
          <w:szCs w:val="21"/>
          <w:lang w:val="en-US" w:eastAsia="zh-CN"/>
        </w:rPr>
        <w:t>样品1：30L分类</w:t>
      </w:r>
      <w:r>
        <w:rPr>
          <w:rFonts w:hint="eastAsia" w:ascii="宋体" w:hAnsi="宋体" w:cs="宋体"/>
          <w:sz w:val="21"/>
          <w:szCs w:val="21"/>
          <w:lang w:val="en-US" w:eastAsia="zh-CN"/>
        </w:rPr>
        <w:t>垃圾分类桶</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本色</w:t>
      </w:r>
      <w:r>
        <w:rPr>
          <w:rFonts w:hint="eastAsia" w:ascii="宋体" w:hAnsi="宋体" w:eastAsia="宋体" w:cs="宋体"/>
          <w:sz w:val="21"/>
          <w:szCs w:val="21"/>
          <w:lang w:val="en-US" w:eastAsia="zh-CN"/>
        </w:rPr>
        <w:t>）1只</w:t>
      </w:r>
      <w:r>
        <w:rPr>
          <w:rFonts w:hint="eastAsia" w:ascii="宋体" w:hAnsi="宋体" w:cs="宋体"/>
          <w:sz w:val="21"/>
          <w:szCs w:val="21"/>
          <w:lang w:val="en-US" w:eastAsia="zh-CN"/>
        </w:rPr>
        <w:t>（未提供本色桶的按照废标处理）</w:t>
      </w:r>
      <w:r>
        <w:rPr>
          <w:rFonts w:hint="eastAsia" w:ascii="宋体" w:hAnsi="宋体" w:eastAsia="宋体" w:cs="宋体"/>
          <w:sz w:val="21"/>
          <w:szCs w:val="21"/>
          <w:lang w:val="en-US" w:eastAsia="zh-CN"/>
        </w:rPr>
        <w:t>；</w:t>
      </w:r>
    </w:p>
    <w:p>
      <w:pPr>
        <w:spacing w:line="360" w:lineRule="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eastAsia="宋体" w:cs="宋体"/>
          <w:sz w:val="21"/>
          <w:szCs w:val="21"/>
          <w:lang w:val="en-US" w:eastAsia="zh-CN"/>
        </w:rPr>
        <w:t>样品2：</w:t>
      </w:r>
      <w:r>
        <w:rPr>
          <w:rFonts w:hint="eastAsia" w:ascii="宋体" w:hAnsi="宋体" w:eastAsia="宋体" w:cs="宋体"/>
          <w:sz w:val="21"/>
          <w:szCs w:val="21"/>
          <w:lang w:eastAsia="zh-CN"/>
        </w:rPr>
        <w:t>三分类不锈钢果壳箱（灰绿蓝）</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只。</w:t>
      </w:r>
    </w:p>
    <w:p>
      <w:pPr>
        <w:spacing w:line="360" w:lineRule="auto"/>
        <w:rPr>
          <w:rFonts w:hint="eastAsia" w:ascii="宋体" w:hAnsi="宋体" w:eastAsia="宋体" w:cs="宋体"/>
          <w:sz w:val="21"/>
          <w:szCs w:val="21"/>
          <w:lang w:eastAsia="zh-CN"/>
        </w:rPr>
      </w:pPr>
      <w:r>
        <w:rPr>
          <w:rFonts w:hint="eastAsia" w:ascii="宋体" w:hAnsi="宋体" w:cs="宋体"/>
          <w:sz w:val="21"/>
          <w:szCs w:val="21"/>
          <w:lang w:eastAsia="zh-CN"/>
        </w:rPr>
        <w:t>▲</w:t>
      </w:r>
      <w:r>
        <w:rPr>
          <w:rFonts w:hint="eastAsia" w:ascii="宋体" w:hAnsi="宋体" w:eastAsia="宋体" w:cs="宋体"/>
          <w:sz w:val="21"/>
          <w:szCs w:val="21"/>
          <w:lang w:val="en-US" w:eastAsia="zh-CN"/>
        </w:rPr>
        <w:t>样品3：</w:t>
      </w:r>
      <w:r>
        <w:rPr>
          <w:rFonts w:hint="eastAsia" w:ascii="宋体" w:hAnsi="宋体" w:eastAsia="宋体" w:cs="宋体"/>
          <w:sz w:val="21"/>
          <w:szCs w:val="21"/>
          <w:lang w:eastAsia="zh-CN"/>
        </w:rPr>
        <w:t>四分类不锈钢果壳箱</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b w:val="0"/>
          <w:bCs w:val="0"/>
          <w:sz w:val="21"/>
          <w:szCs w:val="21"/>
          <w:lang w:val="en-US" w:eastAsia="zh-CN"/>
        </w:rPr>
      </w:pPr>
    </w:p>
    <w:p>
      <w:pPr>
        <w:keepNext w:val="0"/>
        <w:keepLines w:val="0"/>
        <w:pageBreakBefore w:val="0"/>
        <w:numPr>
          <w:ilvl w:val="0"/>
          <w:numId w:val="0"/>
        </w:numPr>
        <w:kinsoku/>
        <w:overflowPunct/>
        <w:topLinePunct w:val="0"/>
        <w:bidi w:val="0"/>
        <w:adjustRightInd/>
        <w:spacing w:line="500" w:lineRule="exact"/>
        <w:ind w:leftChars="-113"/>
        <w:outlineLvl w:val="1"/>
        <w:rPr>
          <w:rFonts w:hint="default" w:asciiTheme="majorEastAsia" w:hAnsiTheme="majorEastAsia" w:eastAsiaTheme="majorEastAsia" w:cstheme="majorEastAsia"/>
          <w:b/>
          <w:color w:val="auto"/>
          <w:sz w:val="24"/>
          <w:szCs w:val="24"/>
          <w:highlight w:val="none"/>
          <w:lang w:val="en-US" w:eastAsia="zh-CN"/>
        </w:rPr>
      </w:pPr>
    </w:p>
    <w:p>
      <w:pPr>
        <w:keepNext w:val="0"/>
        <w:keepLines w:val="0"/>
        <w:pageBreakBefore w:val="0"/>
        <w:numPr>
          <w:ilvl w:val="0"/>
          <w:numId w:val="0"/>
        </w:numPr>
        <w:kinsoku/>
        <w:overflowPunct/>
        <w:topLinePunct w:val="0"/>
        <w:bidi w:val="0"/>
        <w:adjustRightInd/>
        <w:spacing w:line="500" w:lineRule="exact"/>
        <w:ind w:leftChars="-113" w:firstLine="3855" w:firstLineChars="1200"/>
        <w:outlineLvl w:val="1"/>
        <w:rPr>
          <w:rStyle w:val="52"/>
          <w:rFonts w:hint="eastAsia"/>
          <w:b/>
          <w:bCs/>
          <w:sz w:val="32"/>
          <w:szCs w:val="32"/>
        </w:rPr>
      </w:pPr>
      <w:r>
        <w:rPr>
          <w:rFonts w:hint="eastAsia" w:asciiTheme="majorEastAsia" w:hAnsiTheme="majorEastAsia" w:eastAsiaTheme="majorEastAsia" w:cstheme="majorEastAsia"/>
          <w:b/>
          <w:color w:val="auto"/>
          <w:sz w:val="32"/>
          <w:szCs w:val="32"/>
          <w:highlight w:val="none"/>
        </w:rPr>
        <w:t xml:space="preserve">第三章  </w:t>
      </w:r>
      <w:r>
        <w:rPr>
          <w:rStyle w:val="52"/>
          <w:rFonts w:hint="eastAsia"/>
          <w:b/>
          <w:bCs/>
          <w:sz w:val="32"/>
          <w:szCs w:val="32"/>
        </w:rPr>
        <w:t>投标人须知</w:t>
      </w:r>
      <w:bookmarkEnd w:id="33"/>
      <w:bookmarkEnd w:id="34"/>
      <w:bookmarkEnd w:id="35"/>
    </w:p>
    <w:p>
      <w:pPr>
        <w:keepNext w:val="0"/>
        <w:keepLines w:val="0"/>
        <w:pageBreakBefore w:val="0"/>
        <w:kinsoku/>
        <w:overflowPunct/>
        <w:topLinePunct w:val="0"/>
        <w:bidi w:val="0"/>
        <w:adjustRightInd/>
        <w:spacing w:line="500" w:lineRule="exact"/>
        <w:ind w:left="238"/>
        <w:jc w:val="center"/>
        <w:outlineLvl w:val="1"/>
        <w:rPr>
          <w:rFonts w:hint="eastAsia" w:asciiTheme="majorEastAsia" w:hAnsiTheme="majorEastAsia" w:eastAsiaTheme="majorEastAsia" w:cstheme="majorEastAsia"/>
          <w:b/>
          <w:color w:val="auto"/>
          <w:sz w:val="24"/>
          <w:szCs w:val="24"/>
          <w:highlight w:val="none"/>
        </w:rPr>
      </w:pPr>
      <w:bookmarkStart w:id="36" w:name="_Toc18881"/>
      <w:r>
        <w:rPr>
          <w:rFonts w:hint="eastAsia" w:asciiTheme="majorEastAsia" w:hAnsiTheme="majorEastAsia" w:eastAsiaTheme="majorEastAsia" w:cstheme="majorEastAsia"/>
          <w:b/>
          <w:color w:val="auto"/>
          <w:sz w:val="24"/>
          <w:szCs w:val="24"/>
          <w:highlight w:val="none"/>
        </w:rPr>
        <w:t>投标人须知前附表</w:t>
      </w:r>
      <w:bookmarkEnd w:id="36"/>
    </w:p>
    <w:tbl>
      <w:tblPr>
        <w:tblStyle w:val="24"/>
        <w:tblW w:w="96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7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序号</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采购人：杭州市中策职业学校</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项目名称：垃圾分类桶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投标报价：</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1.投标报价是指一次性报出不得更改的价格；</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2.本次投标采用人民币报价。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投标费用：</w:t>
            </w:r>
          </w:p>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1.不论投标结果如何，投标人均应自行承担所有与投标有关的全部费用；</w:t>
            </w:r>
          </w:p>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z w:val="24"/>
                <w:szCs w:val="24"/>
                <w:highlight w:val="none"/>
              </w:rPr>
              <w:t>2.中标人在中标通知书发出后七个工作日内，向采购代理机构交纳代理服务费。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投标文件份数：</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sz w:val="24"/>
                <w:szCs w:val="24"/>
                <w:highlight w:val="none"/>
              </w:rPr>
              <w:t>电子加密投标文件：政府采购云平台在线上传一份；备份投标文件：密封包装后EMS或顺丰邮寄形式递交一份（邮寄地址：杭州市</w:t>
            </w:r>
            <w:r>
              <w:rPr>
                <w:rFonts w:hint="eastAsia" w:asciiTheme="majorEastAsia" w:hAnsiTheme="majorEastAsia" w:eastAsiaTheme="majorEastAsia" w:cstheme="majorEastAsia"/>
                <w:b/>
                <w:color w:val="auto"/>
                <w:sz w:val="24"/>
                <w:szCs w:val="24"/>
                <w:highlight w:val="none"/>
                <w:lang w:eastAsia="zh-CN"/>
              </w:rPr>
              <w:t>拱墅区湖墅南路</w:t>
            </w:r>
            <w:r>
              <w:rPr>
                <w:rFonts w:hint="eastAsia" w:asciiTheme="majorEastAsia" w:hAnsiTheme="majorEastAsia" w:eastAsiaTheme="majorEastAsia" w:cstheme="majorEastAsia"/>
                <w:b/>
                <w:color w:val="auto"/>
                <w:sz w:val="24"/>
                <w:szCs w:val="24"/>
                <w:highlight w:val="none"/>
                <w:lang w:val="en-US" w:eastAsia="zh-CN"/>
              </w:rPr>
              <w:t>356号锦绣大厦9F</w:t>
            </w:r>
            <w:r>
              <w:rPr>
                <w:rFonts w:hint="eastAsia" w:asciiTheme="majorEastAsia" w:hAnsiTheme="majorEastAsia" w:eastAsiaTheme="majorEastAsia" w:cstheme="majorEastAsia"/>
                <w:b/>
                <w:color w:val="auto"/>
                <w:sz w:val="24"/>
                <w:szCs w:val="24"/>
                <w:highlight w:val="none"/>
              </w:rPr>
              <w:t>浙江</w:t>
            </w:r>
            <w:r>
              <w:rPr>
                <w:rFonts w:hint="eastAsia" w:asciiTheme="majorEastAsia" w:hAnsiTheme="majorEastAsia" w:eastAsiaTheme="majorEastAsia" w:cstheme="majorEastAsia"/>
                <w:b/>
                <w:color w:val="auto"/>
                <w:sz w:val="24"/>
                <w:szCs w:val="24"/>
                <w:highlight w:val="none"/>
                <w:lang w:eastAsia="zh-CN"/>
              </w:rPr>
              <w:t>新诚信工程咨询</w:t>
            </w:r>
            <w:r>
              <w:rPr>
                <w:rFonts w:hint="eastAsia" w:asciiTheme="majorEastAsia" w:hAnsiTheme="majorEastAsia" w:eastAsiaTheme="majorEastAsia" w:cstheme="majorEastAsia"/>
                <w:b/>
                <w:color w:val="auto"/>
                <w:sz w:val="24"/>
                <w:szCs w:val="24"/>
                <w:highlight w:val="none"/>
              </w:rPr>
              <w:t>有限公司</w:t>
            </w:r>
            <w:r>
              <w:rPr>
                <w:rFonts w:hint="eastAsia" w:asciiTheme="majorEastAsia" w:hAnsiTheme="majorEastAsia" w:eastAsiaTheme="majorEastAsia" w:cstheme="majorEastAsia"/>
                <w:b/>
                <w:color w:val="auto"/>
                <w:sz w:val="24"/>
                <w:szCs w:val="24"/>
                <w:highlight w:val="none"/>
                <w:lang w:val="en-US" w:eastAsia="zh-CN"/>
              </w:rPr>
              <w:t>张妍</w:t>
            </w:r>
            <w:r>
              <w:rPr>
                <w:rFonts w:hint="eastAsia" w:asciiTheme="majorEastAsia" w:hAnsiTheme="majorEastAsia" w:eastAsiaTheme="majorEastAsia" w:cstheme="majorEastAsia"/>
                <w:b/>
                <w:color w:val="auto"/>
                <w:sz w:val="24"/>
                <w:szCs w:val="24"/>
                <w:highlight w:val="none"/>
              </w:rPr>
              <w:t>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5</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sz w:val="24"/>
                <w:szCs w:val="24"/>
                <w:highlight w:val="none"/>
              </w:rPr>
              <w:t>资格审查要求的资格证明材料(均需加盖公章)：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（1）有效的法人或者其他组织的营业执照等证明文件（复印件），自然人的身份证明；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（2）2019年7月（含）以后任意一月的财务状况报告（复印件）或开标前三个月内出具的银行资信证明；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（3）2019年12月至2020年7月任意一月依法缴纳税收的证明材料（依法免税的投标人，应提供相应文件证明其依法免税）；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（4）2019年12月至2020年7月任意一月依法缴纳社会保障资金的证明材料（依法不需要缴纳社会保障资金的投标人，应提供相应文件证明其依法不需要缴纳社会保障资金）；</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（5）具有履行合同所必需的设备和专业技术能力的承诺函；</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（6）参加政府采购活动前3年内在经营活动中没有重大违法记录的书面声明；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（7）投标人特定资格条件（如有）。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6</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sz w:val="24"/>
                <w:szCs w:val="24"/>
                <w:highlight w:val="none"/>
              </w:rPr>
              <w:t>投标有效期：</w:t>
            </w:r>
            <w:r>
              <w:rPr>
                <w:rFonts w:hint="eastAsia" w:asciiTheme="majorEastAsia" w:hAnsiTheme="majorEastAsia" w:eastAsiaTheme="majorEastAsia" w:cstheme="majorEastAsia"/>
                <w:color w:val="auto"/>
                <w:sz w:val="24"/>
                <w:szCs w:val="24"/>
                <w:highlight w:val="none"/>
                <w:lang w:val="en-US" w:eastAsia="zh-CN"/>
              </w:rPr>
              <w:t>从提交投标文件的截止之日起90天。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7</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8</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评标结果公示：评标结果公示于浙江政府采购网（</w:t>
            </w:r>
            <w:r>
              <w:rPr>
                <w:rFonts w:hint="eastAsia" w:asciiTheme="majorEastAsia" w:hAnsiTheme="majorEastAsia" w:eastAsiaTheme="majorEastAsia" w:cstheme="majorEastAsia"/>
                <w:color w:val="auto"/>
                <w:sz w:val="24"/>
                <w:szCs w:val="24"/>
                <w:highlight w:val="none"/>
              </w:rPr>
              <w:fldChar w:fldCharType="begin"/>
            </w:r>
            <w:r>
              <w:rPr>
                <w:rFonts w:hint="eastAsia" w:asciiTheme="majorEastAsia" w:hAnsiTheme="majorEastAsia" w:eastAsiaTheme="majorEastAsia" w:cstheme="majorEastAsia"/>
                <w:color w:val="auto"/>
                <w:sz w:val="24"/>
                <w:szCs w:val="24"/>
                <w:highlight w:val="none"/>
              </w:rPr>
              <w:instrText xml:space="preserve"> HYPERLINK "http://www.zjzfcg.gov.cn/" </w:instrText>
            </w:r>
            <w:r>
              <w:rPr>
                <w:rFonts w:hint="eastAsia" w:asciiTheme="majorEastAsia" w:hAnsiTheme="majorEastAsia" w:eastAsiaTheme="majorEastAsia" w:cstheme="majorEastAsia"/>
                <w:color w:val="auto"/>
                <w:sz w:val="24"/>
                <w:szCs w:val="24"/>
                <w:highlight w:val="none"/>
              </w:rPr>
              <w:fldChar w:fldCharType="separate"/>
            </w:r>
            <w:r>
              <w:rPr>
                <w:rFonts w:hint="eastAsia" w:asciiTheme="majorEastAsia" w:hAnsiTheme="majorEastAsia" w:eastAsiaTheme="majorEastAsia" w:cstheme="majorEastAsia"/>
                <w:color w:val="auto"/>
                <w:sz w:val="24"/>
                <w:szCs w:val="24"/>
                <w:highlight w:val="none"/>
              </w:rPr>
              <w:t>http://www.zjzfcg.gov.cn</w:t>
            </w:r>
            <w:r>
              <w:rPr>
                <w:rFonts w:hint="eastAsia" w:asciiTheme="majorEastAsia" w:hAnsiTheme="majorEastAsia" w:eastAsiaTheme="majorEastAsia" w:cstheme="majorEastAsia"/>
                <w:color w:val="auto"/>
                <w:sz w:val="24"/>
                <w:szCs w:val="24"/>
                <w:highlight w:val="none"/>
              </w:rPr>
              <w:fldChar w:fldCharType="end"/>
            </w:r>
            <w:r>
              <w:rPr>
                <w:rFonts w:hint="eastAsia" w:asciiTheme="majorEastAsia" w:hAnsiTheme="majorEastAsia" w:eastAsiaTheme="majorEastAsia" w:cstheme="majorEastAsia"/>
                <w:color w:val="auto"/>
                <w:sz w:val="24"/>
                <w:szCs w:val="24"/>
                <w:highlight w:val="none"/>
              </w:rPr>
              <w:t>）等相关网站或媒体。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lang w:val="en-US" w:eastAsia="zh-CN"/>
              </w:rPr>
              <w:t>9</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签订合同：中标通知书发出之日起30日内。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1</w:t>
            </w:r>
            <w:r>
              <w:rPr>
                <w:rFonts w:hint="eastAsia" w:asciiTheme="majorEastAsia" w:hAnsiTheme="majorEastAsia" w:eastAsiaTheme="majorEastAsia" w:cstheme="majorEastAsia"/>
                <w:color w:val="auto"/>
                <w:sz w:val="24"/>
                <w:szCs w:val="24"/>
                <w:highlight w:val="none"/>
                <w:lang w:val="en-US" w:eastAsia="zh-CN"/>
              </w:rPr>
              <w:t>0</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支付代理服务费：中标通知书发出之日起7个工作日内；</w:t>
            </w:r>
          </w:p>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11</w:t>
            </w:r>
          </w:p>
        </w:tc>
        <w:tc>
          <w:tcPr>
            <w:tcW w:w="8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spacing w:line="500" w:lineRule="exact"/>
              <w:textAlignment w:val="bottom"/>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pPr>
        <w:pStyle w:val="3"/>
        <w:bidi w:val="0"/>
        <w:jc w:val="center"/>
        <w:rPr>
          <w:rStyle w:val="39"/>
          <w:rFonts w:hint="eastAsia"/>
          <w:b/>
          <w:bCs/>
        </w:rPr>
      </w:pPr>
      <w:r>
        <w:rPr>
          <w:rFonts w:hint="eastAsia" w:asciiTheme="majorEastAsia" w:hAnsiTheme="majorEastAsia" w:eastAsiaTheme="majorEastAsia" w:cstheme="majorEastAsia"/>
          <w:b/>
          <w:color w:val="auto"/>
          <w:spacing w:val="-6"/>
          <w:sz w:val="24"/>
          <w:szCs w:val="24"/>
          <w:highlight w:val="none"/>
        </w:rPr>
        <w:br w:type="page"/>
      </w:r>
      <w:bookmarkStart w:id="37" w:name="_Toc24178"/>
      <w:r>
        <w:rPr>
          <w:rStyle w:val="39"/>
          <w:rFonts w:hint="eastAsia"/>
          <w:b/>
          <w:bCs/>
        </w:rPr>
        <w:t>一、总  则</w:t>
      </w:r>
      <w:bookmarkEnd w:id="37"/>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（一） 适用范围</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本招标文件适用于杭州市中策职业学校垃圾分类桶采购项目的招标、评标、定标、验收、合同履约、付款等（法律、法规另有规定的，从其规定）。</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（二） 定义</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1.“采购人”系指杭州市中策职业学校；</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2.“采购代理机构”系指组织本次招标的浙江新诚信工程咨询有限公司；</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3.“投标人”系指是指响应招标、参加投标竞争的法人、其他组织或者自然人；</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4.“书面形式”包括信函、传真、电子邮件等；</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6.“公章”除特殊说明外系指政采云电子交易客户端（政采云投标客户端）中投标人的电子签章；</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7.“▲”系指实质性要求条款，投标人应当做出实质性响应。</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（三） 招标方式</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本次招标采用公开招标方式进行。</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（四） 投标委托</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如投标人代表不是法定代表人，须有附有法定代表人资格证明书的法定代表人授权委托书（格式详见投标文件第六章），投标人因未在线参加开标而导致电子加密投标文件无法按时解密等一切后果由投标人自行承担。</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（五） 投标费用</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1.不论投标结果如何，投标人均应自行承担所有与投标有关的全部费用；</w:t>
      </w:r>
    </w:p>
    <w:p>
      <w:pPr>
        <w:keepNext w:val="0"/>
        <w:keepLines w:val="0"/>
        <w:pageBreakBefore w:val="0"/>
        <w:kinsoku/>
        <w:overflowPunct/>
        <w:topLinePunct w:val="0"/>
        <w:autoSpaceDE w:val="0"/>
        <w:autoSpaceDN w:val="0"/>
        <w:bidi w:val="0"/>
        <w:adjustRightInd/>
        <w:spacing w:line="500" w:lineRule="exact"/>
        <w:ind w:firstLine="480" w:firstLineChars="200"/>
        <w:textAlignment w:val="bottom"/>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2.中标人在中标通知书发出之日起7个工作日内，向采购代理机构交纳代理服务费，收费标准：</w:t>
      </w:r>
    </w:p>
    <w:tbl>
      <w:tblPr>
        <w:tblStyle w:val="24"/>
        <w:tblW w:w="844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3969"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1"/>
                <w:szCs w:val="21"/>
                <w:highlight w:val="none"/>
              </w:rPr>
            </w:pPr>
            <w:r>
              <w:rPr>
                <w:rFonts w:hint="eastAsia" w:asciiTheme="majorEastAsia" w:hAnsiTheme="majorEastAsia" w:eastAsiaTheme="majorEastAsia" w:cstheme="majorEastAsia"/>
                <w:color w:val="auto"/>
                <w:spacing w:val="-6"/>
                <w:sz w:val="21"/>
                <w:szCs w:val="21"/>
                <w:highlight w:val="none"/>
              </w:rPr>
              <w:t>中标金额（万元）</w:t>
            </w:r>
          </w:p>
        </w:tc>
        <w:tc>
          <w:tcPr>
            <w:tcW w:w="4474"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1"/>
                <w:szCs w:val="21"/>
                <w:highlight w:val="none"/>
              </w:rPr>
            </w:pPr>
            <w:r>
              <w:rPr>
                <w:rFonts w:hint="eastAsia" w:asciiTheme="majorEastAsia" w:hAnsiTheme="majorEastAsia" w:eastAsiaTheme="majorEastAsia" w:cstheme="majorEastAsia"/>
                <w:color w:val="auto"/>
                <w:spacing w:val="-6"/>
                <w:sz w:val="21"/>
                <w:szCs w:val="21"/>
                <w:highlight w:val="none"/>
              </w:rPr>
              <w:t>收费标准（费率，%）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969"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1"/>
                <w:szCs w:val="21"/>
                <w:highlight w:val="none"/>
              </w:rPr>
            </w:pPr>
            <w:r>
              <w:rPr>
                <w:rFonts w:hint="eastAsia" w:asciiTheme="majorEastAsia" w:hAnsiTheme="majorEastAsia" w:eastAsiaTheme="majorEastAsia" w:cstheme="majorEastAsia"/>
                <w:color w:val="auto"/>
                <w:spacing w:val="-6"/>
                <w:sz w:val="21"/>
                <w:szCs w:val="21"/>
                <w:highlight w:val="none"/>
              </w:rPr>
              <w:t>100以内</w:t>
            </w:r>
          </w:p>
        </w:tc>
        <w:tc>
          <w:tcPr>
            <w:tcW w:w="4474"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1"/>
                <w:szCs w:val="21"/>
                <w:highlight w:val="none"/>
                <w:lang w:val="en-US" w:eastAsia="zh-CN"/>
              </w:rPr>
            </w:pPr>
            <w:r>
              <w:rPr>
                <w:rFonts w:hint="eastAsia" w:asciiTheme="majorEastAsia" w:hAnsiTheme="majorEastAsia" w:eastAsiaTheme="majorEastAsia" w:cstheme="majorEastAsia"/>
                <w:color w:val="auto"/>
                <w:spacing w:val="-6"/>
                <w:sz w:val="21"/>
                <w:szCs w:val="21"/>
                <w:highlight w:val="none"/>
              </w:rPr>
              <w:t>1.</w:t>
            </w:r>
            <w:r>
              <w:rPr>
                <w:rFonts w:hint="eastAsia" w:asciiTheme="majorEastAsia" w:hAnsiTheme="majorEastAsia" w:eastAsiaTheme="majorEastAsia" w:cstheme="majorEastAsia"/>
                <w:color w:val="auto"/>
                <w:spacing w:val="-6"/>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1"/>
                <w:szCs w:val="21"/>
                <w:highlight w:val="none"/>
              </w:rPr>
            </w:pPr>
            <w:r>
              <w:rPr>
                <w:rFonts w:hint="eastAsia" w:asciiTheme="majorEastAsia" w:hAnsiTheme="majorEastAsia" w:eastAsiaTheme="majorEastAsia" w:cstheme="majorEastAsia"/>
                <w:color w:val="auto"/>
                <w:spacing w:val="-6"/>
                <w:sz w:val="21"/>
                <w:szCs w:val="21"/>
                <w:highlight w:val="none"/>
              </w:rPr>
              <w:t>100-500</w:t>
            </w:r>
          </w:p>
        </w:tc>
        <w:tc>
          <w:tcPr>
            <w:tcW w:w="4474"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1"/>
                <w:szCs w:val="21"/>
                <w:highlight w:val="none"/>
                <w:lang w:val="en-US" w:eastAsia="zh-CN"/>
              </w:rPr>
            </w:pPr>
            <w:r>
              <w:rPr>
                <w:rFonts w:hint="eastAsia" w:asciiTheme="majorEastAsia" w:hAnsiTheme="majorEastAsia" w:eastAsiaTheme="majorEastAsia" w:cstheme="majorEastAsia"/>
                <w:color w:val="auto"/>
                <w:spacing w:val="-6"/>
                <w:sz w:val="21"/>
                <w:szCs w:val="21"/>
                <w:highlight w:val="none"/>
                <w:lang w:val="en-US" w:eastAsia="zh-CN"/>
              </w:rPr>
              <w:t>1.10</w:t>
            </w:r>
          </w:p>
        </w:tc>
      </w:tr>
    </w:tbl>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（六） 联合体投标</w:t>
      </w:r>
    </w:p>
    <w:p>
      <w:pPr>
        <w:keepNext w:val="0"/>
        <w:keepLines w:val="0"/>
        <w:pageBreakBefore w:val="0"/>
        <w:kinsoku/>
        <w:overflowPunct/>
        <w:topLinePunct w:val="0"/>
        <w:bidi w:val="0"/>
        <w:adjustRightInd/>
        <w:spacing w:line="500" w:lineRule="exact"/>
        <w:ind w:firstLine="456" w:firstLineChars="200"/>
        <w:jc w:val="lef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本项目不接受联合体投标。</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（七） 转包与分包</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1.本项目不允许转包；</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2.投标人根据招标文件的规定和采购项目的实际情况，拟在中标后将中标项目的非主体、非关键性工作分包的，应当在投标文件中载明分包承担主体，分包承担主体应当具备相应资质条件且不得再次分包。</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kern w:val="0"/>
          <w:sz w:val="24"/>
          <w:szCs w:val="24"/>
          <w:highlight w:val="none"/>
        </w:rPr>
      </w:pPr>
      <w:r>
        <w:rPr>
          <w:rFonts w:hint="eastAsia" w:asciiTheme="majorEastAsia" w:hAnsiTheme="majorEastAsia" w:eastAsiaTheme="majorEastAsia" w:cstheme="majorEastAsia"/>
          <w:b/>
          <w:color w:val="auto"/>
          <w:spacing w:val="-6"/>
          <w:kern w:val="0"/>
          <w:sz w:val="24"/>
          <w:szCs w:val="24"/>
          <w:highlight w:val="none"/>
        </w:rPr>
        <w:t>（八） 特别说明</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▲1.投标人应仔细阅读招标文件的所有内容，按照招标文件的要求提交投标文件，并对所提供的全部资料的真实性承担法律责任。</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▲2.单位负责人为同一人或者存在直接控股、管理关系的不同供应商，不得参加同一合同项下的政府采购活动。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▲3.为采购项目提供整体设计、规范编制或者项目管理、监理、检测等服务的供应商，不得再参加该采购项目的其他采购活动。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b/>
          <w:bCs/>
          <w:color w:val="auto"/>
          <w:sz w:val="24"/>
          <w:szCs w:val="24"/>
          <w:highlight w:val="none"/>
          <w:u w:val="single"/>
          <w:lang w:val="en-US" w:eastAsia="zh-CN"/>
        </w:rPr>
      </w:pPr>
      <w:r>
        <w:rPr>
          <w:rFonts w:hint="eastAsia" w:asciiTheme="majorEastAsia" w:hAnsiTheme="majorEastAsia" w:eastAsiaTheme="majorEastAsia" w:cstheme="majorEastAsia"/>
          <w:color w:val="auto"/>
          <w:sz w:val="24"/>
          <w:szCs w:val="24"/>
          <w:highlight w:val="none"/>
          <w:lang w:val="en-US" w:eastAsia="zh-CN"/>
        </w:rPr>
        <w:t>▲4.</w:t>
      </w:r>
      <w:r>
        <w:rPr>
          <w:rFonts w:hint="eastAsia" w:asciiTheme="majorEastAsia" w:hAnsiTheme="majorEastAsia" w:eastAsiaTheme="majorEastAsia" w:cstheme="majorEastAsia"/>
          <w:b/>
          <w:bCs/>
          <w:color w:val="auto"/>
          <w:sz w:val="24"/>
          <w:szCs w:val="24"/>
          <w:highlight w:val="none"/>
          <w:u w:val="single"/>
          <w:lang w:val="en-US" w:eastAsia="zh-CN"/>
        </w:rPr>
        <w:t>投标人授权代表必须为投标人本单位在职职工，并提供2019年12月至2020年7月任意一月社保缴纳证明。</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非单一产品采购项目，多家投标人提供的核心产品品牌相同的，按前款规定处理。</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kern w:val="0"/>
          <w:sz w:val="24"/>
          <w:szCs w:val="24"/>
          <w:highlight w:val="none"/>
        </w:rPr>
      </w:pPr>
      <w:r>
        <w:rPr>
          <w:rFonts w:hint="eastAsia" w:asciiTheme="majorEastAsia" w:hAnsiTheme="majorEastAsia" w:eastAsiaTheme="majorEastAsia" w:cstheme="majorEastAsia"/>
          <w:b/>
          <w:color w:val="auto"/>
          <w:spacing w:val="-6"/>
          <w:kern w:val="0"/>
          <w:sz w:val="24"/>
          <w:szCs w:val="24"/>
          <w:highlight w:val="none"/>
        </w:rPr>
        <w:t>（九） 质疑和投诉</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投标人认为招标文件、招标过程和中标结果使自己的权益受到损害的，可以在知道或者应知其权益受到损害之日起七个工作日内，以书面形式向采购人或采购代理机构提出质疑。质疑投标人对采购人、采购代理机构的答复不满意或者采购人、采购代理机构未在规定的时间内作出答复的，可以在答复期满后十五个工作日内向同级政府采购监督管理部门投诉。</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w:t>
      </w:r>
      <w:r>
        <w:rPr>
          <w:rFonts w:hint="eastAsia" w:asciiTheme="majorEastAsia" w:hAnsiTheme="majorEastAsia" w:eastAsiaTheme="majorEastAsia" w:cstheme="majorEastAsia"/>
          <w:b/>
          <w:bCs/>
          <w:color w:val="auto"/>
          <w:sz w:val="24"/>
          <w:szCs w:val="24"/>
          <w:highlight w:val="none"/>
          <w:lang w:val="en-US" w:eastAsia="zh-CN"/>
        </w:rPr>
        <w:t>投标人提出质疑应当提交质疑函和必要的证明材料，质疑函范本请到“浙江政府采购网下载专区”下载，质疑函应当包括下列内容：</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（一）供应商的姓名或者名称、地址、邮编、联系人及联系电话；</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（二）质疑项目的名称、编号；</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（三）具体、明确的质疑事项和与质疑事项相关的请求；</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（四）事实依据；</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（五）必要的法律依据；</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（六）提出质疑的日期。</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投标人为自然人的，应当由本人签字；投标人为法人或者其他组织的，应当由法定代表人、主要负责人，或者其授权代表签字或者盖章，并加盖公章。</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3.提出质疑的供应商应当是参与本项目招标活动的投标人。投标人在法定质疑期内应一次性提出针对同一采购程序环节的质疑。</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4.根据《政府采购质疑和投诉办法》第三十七条的规定，投诉人在全国范围12个月内三次以上投诉查无实据的，由财政部门列入不良行为记录名单。</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投诉人有下列行为之一的，属于虚假、恶意投诉，由财政部门列入不良行为记录名单，禁止其1至3年内参加政府采购活动：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（一）捏造事实；</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（二）提供虚假材料；</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（三）以非法手段取得证明材料。证据来源的合法性存在明显疑问，投诉人无法证明其取得方式合法的，视为以非法手段取得证明材料。</w:t>
      </w:r>
    </w:p>
    <w:p>
      <w:pPr>
        <w:pStyle w:val="3"/>
        <w:bidi w:val="0"/>
        <w:jc w:val="center"/>
        <w:rPr>
          <w:rStyle w:val="39"/>
          <w:rFonts w:hint="eastAsia"/>
          <w:b/>
          <w:bCs/>
          <w:spacing w:val="0"/>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38" w:name="_Toc899"/>
      <w:r>
        <w:rPr>
          <w:rStyle w:val="39"/>
          <w:rFonts w:hint="eastAsia"/>
          <w:b/>
          <w:bCs/>
          <w:spacing w:val="0"/>
          <w:lang w:val="en-US" w:eastAsia="zh-CN" w:bidi="ar-SA"/>
        </w:rPr>
        <w:t>二、招标文件</w:t>
      </w:r>
      <w:bookmarkEnd w:id="38"/>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（一） 招标文件的构成。本招标文件由以下部分组成：</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1.投标邀请</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2.采购需求</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3.投标人须知</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4.评标办法及评分标准</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5.拟签订的合同文本</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6.投标文件格式</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7.本项目招标文件的澄清、答复、修改、补充的内容</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（二） 投标人的风险</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投标人没有按照招标文件要求提供全部资料，或者投标人没有对招标文件在各方面作出实质性响应是投标人的风险，并可能导致其投标被拒绝。</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（三） 招标文件的澄清与修改</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1.采购人或者采购代理机构可以对已发出的招标文件进行必要的澄清或者修改，澄清或者修改会在原公告发布媒体上发布澄清公告，澄清或者修改的内容为招标文件的组成部分。</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招标文件的修改将以书面形式通知所有获取招标文件的投标人，并对其具有约束力。投标人在收到上述通知后，应立即向采购代理机构回函确认。若无书面回函确认，视同投标人已收到招标文件修改的通知，并受其约束。</w:t>
      </w:r>
    </w:p>
    <w:p>
      <w:pPr>
        <w:pStyle w:val="3"/>
        <w:bidi w:val="0"/>
        <w:jc w:val="center"/>
        <w:rPr>
          <w:rStyle w:val="39"/>
          <w:rFonts w:hint="eastAsia"/>
          <w:b/>
          <w:bCs/>
          <w:spacing w:val="0"/>
          <w:lang w:val="en-US" w:eastAsia="zh-CN" w:bidi="ar-SA"/>
        </w:rPr>
      </w:pPr>
      <w:r>
        <w:rPr>
          <w:rFonts w:hint="eastAsia" w:asciiTheme="majorEastAsia" w:hAnsiTheme="majorEastAsia" w:eastAsiaTheme="majorEastAsia" w:cstheme="majorEastAsia"/>
          <w:color w:val="auto"/>
          <w:spacing w:val="-6"/>
          <w:sz w:val="24"/>
          <w:szCs w:val="24"/>
          <w:highlight w:val="none"/>
        </w:rPr>
        <w:br w:type="page"/>
      </w:r>
      <w:bookmarkStart w:id="39" w:name="_Toc18770"/>
      <w:r>
        <w:rPr>
          <w:rStyle w:val="39"/>
          <w:rFonts w:hint="eastAsia"/>
          <w:b/>
          <w:bCs/>
          <w:spacing w:val="0"/>
          <w:lang w:val="en-US" w:eastAsia="zh-CN" w:bidi="ar-SA"/>
        </w:rPr>
        <w:t>三、投标文件的编制</w:t>
      </w:r>
      <w:bookmarkEnd w:id="39"/>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（一） 投标文件的组成</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投标文件由</w:t>
      </w:r>
      <w:r>
        <w:rPr>
          <w:rFonts w:hint="eastAsia" w:asciiTheme="majorEastAsia" w:hAnsiTheme="majorEastAsia" w:eastAsiaTheme="majorEastAsia" w:cstheme="majorEastAsia"/>
          <w:b/>
          <w:bCs/>
          <w:color w:val="auto"/>
          <w:sz w:val="24"/>
          <w:szCs w:val="24"/>
          <w:highlight w:val="none"/>
          <w:lang w:val="en-US" w:eastAsia="zh-CN"/>
        </w:rPr>
        <w:t>报价文件、资格文件及商务和技术文件</w:t>
      </w:r>
      <w:r>
        <w:rPr>
          <w:rFonts w:hint="eastAsia" w:asciiTheme="majorEastAsia" w:hAnsiTheme="majorEastAsia" w:eastAsiaTheme="majorEastAsia" w:cstheme="majorEastAsia"/>
          <w:color w:val="auto"/>
          <w:sz w:val="24"/>
          <w:szCs w:val="24"/>
          <w:highlight w:val="none"/>
          <w:lang w:val="en-US" w:eastAsia="zh-CN"/>
        </w:rPr>
        <w:t>两部分组成（格式详见招标文件第六章）。</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1.报价文件：</w:t>
      </w:r>
      <w:r>
        <w:rPr>
          <w:rFonts w:hint="eastAsia" w:asciiTheme="majorEastAsia" w:hAnsiTheme="majorEastAsia" w:eastAsiaTheme="majorEastAsia" w:cstheme="majorEastAsia"/>
          <w:b/>
          <w:bCs/>
          <w:color w:val="auto"/>
          <w:sz w:val="24"/>
          <w:szCs w:val="24"/>
          <w:highlight w:val="none"/>
          <w:lang w:val="en-US" w:eastAsia="zh-CN"/>
        </w:rPr>
        <w:t>（单独密封，如开标时发生报价泄露，自行承担相关责任）</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（1）开标一览表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（2）投标报价明细表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（3）投标人企业类型声明函</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（4）小微企业资格证明材料、监狱企业资格证明材料（若属于小微、监狱企业）</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w:t>
      </w:r>
      <w:bookmarkStart w:id="40" w:name="OLE_LINK14"/>
      <w:bookmarkStart w:id="41" w:name="OLE_LINK13"/>
      <w:r>
        <w:rPr>
          <w:rFonts w:hint="eastAsia" w:asciiTheme="majorEastAsia" w:hAnsiTheme="majorEastAsia" w:eastAsiaTheme="majorEastAsia" w:cstheme="majorEastAsia"/>
          <w:color w:val="auto"/>
          <w:sz w:val="24"/>
          <w:szCs w:val="24"/>
          <w:highlight w:val="none"/>
          <w:lang w:val="en-US" w:eastAsia="zh-CN"/>
        </w:rPr>
        <w:t>残疾人福利性单位声明函</w:t>
      </w:r>
      <w:bookmarkEnd w:id="40"/>
      <w:bookmarkEnd w:id="41"/>
      <w:r>
        <w:rPr>
          <w:rFonts w:hint="eastAsia" w:asciiTheme="majorEastAsia" w:hAnsiTheme="majorEastAsia" w:eastAsiaTheme="majorEastAsia" w:cstheme="majorEastAsia"/>
          <w:color w:val="auto"/>
          <w:sz w:val="24"/>
          <w:szCs w:val="24"/>
          <w:highlight w:val="none"/>
          <w:lang w:val="en-US" w:eastAsia="zh-CN"/>
        </w:rPr>
        <w:t>（若属于残疾人福利性单位）</w:t>
      </w:r>
    </w:p>
    <w:p>
      <w:pPr>
        <w:keepNext w:val="0"/>
        <w:keepLines w:val="0"/>
        <w:pageBreakBefore w:val="0"/>
        <w:kinsoku/>
        <w:overflowPunct/>
        <w:topLinePunct w:val="0"/>
        <w:bidi w:val="0"/>
        <w:adjustRightInd/>
        <w:spacing w:line="500" w:lineRule="exact"/>
        <w:ind w:firstLine="456" w:firstLineChars="200"/>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w:t>
      </w:r>
      <w:r>
        <w:rPr>
          <w:rFonts w:hint="eastAsia" w:asciiTheme="majorEastAsia" w:hAnsiTheme="majorEastAsia" w:eastAsiaTheme="majorEastAsia" w:cstheme="majorEastAsia"/>
          <w:b/>
          <w:color w:val="auto"/>
          <w:spacing w:val="-6"/>
          <w:sz w:val="24"/>
          <w:szCs w:val="24"/>
          <w:highlight w:val="none"/>
        </w:rPr>
        <w:t>2</w:t>
      </w:r>
      <w:r>
        <w:rPr>
          <w:rFonts w:hint="eastAsia" w:asciiTheme="majorEastAsia" w:hAnsiTheme="majorEastAsia" w:eastAsiaTheme="majorEastAsia" w:cstheme="majorEastAsia"/>
          <w:b/>
          <w:color w:val="auto"/>
          <w:spacing w:val="-6"/>
          <w:sz w:val="24"/>
          <w:szCs w:val="24"/>
          <w:highlight w:val="none"/>
          <w:lang w:val="en-US" w:eastAsia="zh-CN"/>
        </w:rPr>
        <w:t>.</w:t>
      </w:r>
      <w:r>
        <w:rPr>
          <w:rFonts w:hint="eastAsia" w:asciiTheme="majorEastAsia" w:hAnsiTheme="majorEastAsia" w:eastAsiaTheme="majorEastAsia" w:cstheme="majorEastAsia"/>
          <w:b/>
          <w:color w:val="auto"/>
          <w:spacing w:val="-6"/>
          <w:sz w:val="24"/>
          <w:szCs w:val="24"/>
          <w:highlight w:val="none"/>
        </w:rPr>
        <w:t>资格文件：</w:t>
      </w:r>
    </w:p>
    <w:p>
      <w:pPr>
        <w:keepNext w:val="0"/>
        <w:keepLines w:val="0"/>
        <w:pageBreakBefore w:val="0"/>
        <w:kinsoku/>
        <w:overflowPunct/>
        <w:topLinePunct w:val="0"/>
        <w:bidi w:val="0"/>
        <w:adjustRightInd/>
        <w:spacing w:line="500" w:lineRule="exact"/>
        <w:ind w:firstLine="458" w:firstLineChars="200"/>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资格审查要求的资格证明材料(均需加盖公章)：</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（1）有效的法人或者其他组织的营业执照等证明文件（复印件），自然人的身份证明；</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（2）2018年12月（含）以后任意一月的财务状况报告（复印件）或开标前三个月内出具的银行资信证明；</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（3）2019年12月至2020年7月任意一月依法缴纳税收的证明材料（依法免税的投标人，应提供相应文件证明其依法免税）；</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（4）2019年12月至2020年7月任意一月依法缴纳社会保障资金的证明材料（依法不需要缴纳社会保障资金的投标人，应提供相应文件证明其依法不需要缴纳社会保障资金）；</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（5）具有履行合同所必需的设备和专业技术能力的承诺函；</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（6）参加政府采购活动前3年内在经营活动中没有重大违法记录的书面声明；</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（7）投标人特定资格条件（如有）。</w:t>
      </w:r>
    </w:p>
    <w:p>
      <w:pPr>
        <w:keepNext w:val="0"/>
        <w:keepLines w:val="0"/>
        <w:pageBreakBefore w:val="0"/>
        <w:kinsoku/>
        <w:overflowPunct/>
        <w:topLinePunct w:val="0"/>
        <w:bidi w:val="0"/>
        <w:adjustRightInd/>
        <w:spacing w:line="500" w:lineRule="exact"/>
        <w:ind w:firstLine="458" w:firstLineChars="200"/>
        <w:jc w:val="lef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lang w:val="en-US" w:eastAsia="zh-CN"/>
        </w:rPr>
        <w:t>3.</w:t>
      </w:r>
      <w:r>
        <w:rPr>
          <w:rFonts w:hint="eastAsia" w:asciiTheme="majorEastAsia" w:hAnsiTheme="majorEastAsia" w:eastAsiaTheme="majorEastAsia" w:cstheme="majorEastAsia"/>
          <w:b/>
          <w:color w:val="auto"/>
          <w:spacing w:val="-6"/>
          <w:sz w:val="24"/>
          <w:szCs w:val="24"/>
          <w:highlight w:val="none"/>
        </w:rPr>
        <w:t>商务和技术文件：</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A.商务文件：</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（1）投标函</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（2）法定代表人资格证明书、法定代表人授权委托书</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b/>
          <w:bCs/>
          <w:color w:val="auto"/>
          <w:sz w:val="24"/>
          <w:szCs w:val="24"/>
          <w:highlight w:val="none"/>
          <w:lang w:val="en-US" w:eastAsia="zh-CN"/>
        </w:rPr>
        <w:t>2019年12月至2020年7月任意一月投标授权代表社保缴纳证明</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（4）投标声明书</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（5）投标人情况介绍</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（6）投标人自2016年1月1日以来（以合同签订时间为准）相关成功案例和业绩证明（项目实施情况一览表、合同复印件）（原件现场备查）</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（7）节能、环保产品证明材料</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（8）投标人需要说明的其他文件和材料</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B.技术文件</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（1）采购需求偏离表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（2）标的物配置清单（不含报价）、原厂出厂配置表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（3）投标产品技术支持材料</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（4）项目实施方案</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（5）项目实施人员</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（6）设备投入情况</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（7）售后服务方案</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（二） 投标文件的签署和份数</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Theme="majorEastAsia" w:hAnsiTheme="majorEastAsia" w:eastAsiaTheme="majorEastAsia" w:cstheme="majorEastAsia"/>
          <w:b/>
          <w:bCs/>
          <w:color w:val="auto"/>
          <w:sz w:val="24"/>
          <w:szCs w:val="24"/>
          <w:highlight w:val="none"/>
          <w:lang w:val="en-US" w:eastAsia="zh-CN"/>
        </w:rPr>
        <w:t>其中资格文件、商务技术文件中不得出现投标报价，如因投标人原因提前泄露投标报价，是投标人的责任，该文件有可能被拒绝。</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2.投标文件须由投标人在规定位置盖章并由投标人代表签署，投标人应写全称。</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3.投标文件不得涂改，若有修改错漏处，须由投标人代表签字并加盖公章。投标文件因字迹潦草或表达不清所引起的后果由投标人负责。</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4.投标文件份数：</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电子加密投标文件：政府采购云平台在线上传一份；备份投标文件：密封包装后EMS或顺丰邮寄形式递交一份（邮寄地址：</w:t>
      </w:r>
      <w:r>
        <w:rPr>
          <w:rFonts w:hint="eastAsia" w:asciiTheme="majorEastAsia" w:hAnsiTheme="majorEastAsia" w:eastAsiaTheme="majorEastAsia" w:cstheme="majorEastAsia"/>
          <w:b/>
          <w:bCs/>
          <w:color w:val="auto"/>
          <w:sz w:val="24"/>
          <w:szCs w:val="24"/>
          <w:highlight w:val="none"/>
          <w:u w:val="single"/>
          <w:lang w:val="en-US" w:eastAsia="zh-CN"/>
        </w:rPr>
        <w:t>杭州市拱墅区湖墅南路356号锦绣大厦9F浙江新诚信工程咨询有限公司张妍收</w:t>
      </w:r>
      <w:r>
        <w:rPr>
          <w:rFonts w:hint="eastAsia" w:asciiTheme="majorEastAsia" w:hAnsiTheme="majorEastAsia" w:eastAsiaTheme="majorEastAsia" w:cstheme="majorEastAsia"/>
          <w:b/>
          <w:bCs/>
          <w:color w:val="auto"/>
          <w:sz w:val="24"/>
          <w:szCs w:val="24"/>
          <w:highlight w:val="none"/>
          <w:lang w:val="en-US" w:eastAsia="zh-CN"/>
        </w:rPr>
        <w:t>）。</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备注：</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投标人可通过浙江省“电子交易/不见面开评标”学习专题提前进行专题学习，熟悉操作，避免影响采购活动（https://edu.zcygov.cn/luban/e-biding）。</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（三） 投标文件的包装、递交、修改和撤回</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1.投标文件的上传、递交：</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（1）电子加密投标文件的上传：</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▲a.投标人应在投标截止时间前将电子加密投标文件成功上传至政府采购云平台，否则投标无效；</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b.电子加密投标文件成功上传后，投标人可自行打印投标文件接收回执。</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（2）备份投标文件的密封包装、递交：</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a.投标人在政府采购云平台完成电子加密投标文件的上传后，可以EMS或顺丰邮寄形式在投标截止时间前递交以介质（U盘）存储的数据电文形式的备份投标文件；</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b.备份投标文件应当密封包装并在包装上标注投标项目名称、投标人名称并加盖公章（非电子签章），投标人逾期送达或者未密封包装的备份投标文件采购代理机构将予以拒收；</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▲c.通过政府采购云平台成功上传的电子加密投标文件已按时解密的，备份投标文件自动失效。投标截止时间前，投标人仅递交备份投标文件而未将电子加密投标文件成功上传至政府采购云平台的，投标无效。</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备注：</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投标人可通过浙江省“电子交易/不见面开评标”学习专题提前进行专题学习，熟悉操作，避免影响采购活动（https://edu.zcygov.cn/luban/e-biding）。</w:t>
      </w:r>
    </w:p>
    <w:p>
      <w:pPr>
        <w:pageBreakBefore w:val="0"/>
        <w:numPr>
          <w:ilvl w:val="0"/>
          <w:numId w:val="0"/>
        </w:numPr>
        <w:kinsoku/>
        <w:overflowPunct/>
        <w:topLinePunct w:val="0"/>
        <w:bidi w:val="0"/>
        <w:spacing w:line="500" w:lineRule="exact"/>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（四） 投标文件的语言及计量</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pageBreakBefore w:val="0"/>
        <w:numPr>
          <w:ilvl w:val="0"/>
          <w:numId w:val="0"/>
        </w:numPr>
        <w:kinsoku/>
        <w:overflowPunct/>
        <w:topLinePunct w:val="0"/>
        <w:bidi w:val="0"/>
        <w:spacing w:line="500" w:lineRule="exact"/>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（五） 投标报价</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1.本次投标采用人民币报价。</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2.投标报价是指一次性报出不得更改的价格，投标报价应按招标文件中相关附表格式填写。</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3.投标报价是履行合同的最终价格，应包括完成所有产品供货及履行所有规定服务所产生的全部费用。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4.投标文件只允许有一个报价，有选择的报价将不予接受。</w:t>
      </w:r>
    </w:p>
    <w:p>
      <w:pPr>
        <w:pageBreakBefore w:val="0"/>
        <w:numPr>
          <w:ilvl w:val="0"/>
          <w:numId w:val="0"/>
        </w:numPr>
        <w:kinsoku/>
        <w:overflowPunct/>
        <w:topLinePunct w:val="0"/>
        <w:bidi w:val="0"/>
        <w:spacing w:line="500" w:lineRule="exact"/>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（六） 投标有效期</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w:t>
      </w:r>
      <w:r>
        <w:rPr>
          <w:rFonts w:hint="eastAsia" w:asciiTheme="majorEastAsia" w:hAnsiTheme="majorEastAsia" w:eastAsiaTheme="majorEastAsia" w:cstheme="majorEastAsia"/>
          <w:b/>
          <w:bCs/>
          <w:color w:val="auto"/>
          <w:sz w:val="24"/>
          <w:szCs w:val="24"/>
          <w:highlight w:val="none"/>
          <w:lang w:val="en-US" w:eastAsia="zh-CN"/>
        </w:rPr>
        <w:t>从提交投标文件的截止之日起算90天。</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2.在原投标有效期满之前，如果出现特殊情况，采购人或采购代理机构以书面形式通知投标人延长投标有效期。</w:t>
      </w:r>
    </w:p>
    <w:p>
      <w:pPr>
        <w:pageBreakBefore w:val="0"/>
        <w:numPr>
          <w:ilvl w:val="0"/>
          <w:numId w:val="0"/>
        </w:numPr>
        <w:kinsoku/>
        <w:overflowPunct/>
        <w:topLinePunct w:val="0"/>
        <w:bidi w:val="0"/>
        <w:spacing w:line="500" w:lineRule="exact"/>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（七） 投标无效的情形</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1.在资格审查时，如发现下列情形之一的，投标文件将被视为无效：</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（1）资格证明材料不全的，或者不符合招标文件要求的；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（2）投标人不具备招标文件中规定的资格要求的；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（3）经查询存在不良信用记录的。</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2.在符合性审查、商务和技术评审时，如发现下列情形之一的，投标文件将被视为无效：</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（1）资格文件及商务和技术文件未按要求签署、盖章的；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 xml:space="preserve">（2）未提供或未按要求提供投标函、法定代表人资格证明书、法定代表人授权委托书、投标声明书； </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（3）法定代表人委托授权代表参加投标但未提供投标授权代表社保缴纳证明的；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（4）未提供或未如实提供采购需求偏离表的；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（5）明显不符合招标文件要求，或者与招标文件中标“▲”的项目发生实质性偏离的；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（6）未提供或未如实提供投标货物的技术参数，或者投标文件标明的响应或偏离与事实不符或虚假投标的；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（7）投标技术方案不明确，存在一个或一个以上备选（替代）投标方案的；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（8）投标文件含有采购人不能接受的附加条件的；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（9）法律、法规和招标文件规定的其他无效情形。</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3.在报价评审时，如发现下列情形之一的，投标文件将被视为无效：</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（1）报价文件未按要求签署、盖章的；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（2）未按照招标文件标明的币种报价的；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（3）报价明细有缺漏项，或者与招标文件要求不一致的；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（4）报价超过招标文件中规定的预算金额或者最高限价的；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（5）报价具有选择性，或者开标价格与投标文件承诺的优惠（折扣）价格不一致的；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（6）报价明显低于其他通过符合性审查投标人的报价（有可能影响产品质量或者不能诚信履约的），投标人在评标现场合理的时间内无法提供书面说明（必要时提交相关证明材料）证明其报价合理性的；</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4.有下列情形之一的，视为投标人串通投标，其投标无效，由采购人或采购代理机构上报政府采购监督管理部门，视情列入不良行为记录名单，在一至三年内禁止参加政府采购活动：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（1）不同投标人的投标文件由同一单位或者个人编制；</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（2）不同投标人委托同一单位或者个人办理投标事宜；</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（3）不同投标人的投标文件载明的项目管理成员或者联系人员为同一人；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（4）不同投标人的投标文件异常一致或者投标报价呈规律性差异；</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（5）不同投标人的投标文件相互混装。</w:t>
      </w:r>
    </w:p>
    <w:p>
      <w:pPr>
        <w:pStyle w:val="3"/>
        <w:bidi w:val="0"/>
        <w:jc w:val="center"/>
        <w:rPr>
          <w:rStyle w:val="39"/>
          <w:rFonts w:hint="eastAsia"/>
          <w:b/>
          <w:bCs/>
          <w:spacing w:val="0"/>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42" w:name="_Toc32143"/>
      <w:r>
        <w:rPr>
          <w:rStyle w:val="39"/>
          <w:rFonts w:hint="eastAsia"/>
          <w:b/>
          <w:bCs/>
          <w:spacing w:val="0"/>
          <w:lang w:val="en-US" w:eastAsia="zh-CN" w:bidi="ar-SA"/>
        </w:rPr>
        <w:t>四、开  标</w:t>
      </w:r>
      <w:bookmarkEnd w:id="42"/>
    </w:p>
    <w:p>
      <w:pPr>
        <w:pStyle w:val="11"/>
        <w:keepNext w:val="0"/>
        <w:keepLines w:val="0"/>
        <w:pageBreakBefore w:val="0"/>
        <w:kinsoku/>
        <w:overflowPunct/>
        <w:topLinePunct w:val="0"/>
        <w:bidi w:val="0"/>
        <w:adjustRightInd/>
        <w:spacing w:line="500" w:lineRule="exact"/>
        <w:ind w:firstLine="0"/>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（一） 开标准备</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1.制订开标、评审工作的组织方案，落实工作场地、设施，检查录音录像采集设备运行情况。</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2.通知或邀请相关单位和人员出席开标、评审活动（按规定由相关监管部门或其授权机构随机抽取、通知的政府采购评审专家除外）。</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3.准备政府采购项目的相关文件资料，如项目政府采购预算确认书（计划）、专家抽取有关凭证、项目书面说明、采购文件、补充文件及质疑答复情况、现场工作所需的相关登记表单、评审工作底稿等。</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4.其他应准备的事项。</w:t>
      </w:r>
    </w:p>
    <w:p>
      <w:pPr>
        <w:pStyle w:val="11"/>
        <w:keepNext w:val="0"/>
        <w:keepLines w:val="0"/>
        <w:pageBreakBefore w:val="0"/>
        <w:kinsoku/>
        <w:overflowPunct/>
        <w:topLinePunct w:val="0"/>
        <w:bidi w:val="0"/>
        <w:adjustRightInd/>
        <w:spacing w:line="500" w:lineRule="exact"/>
        <w:ind w:firstLine="0"/>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（二） 开标程序</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采购代理机构按照招标文件规定的时间、地点和程序组织开标，开标原则上应采取先开启资格文件及商务和技术文件、后开启报价文件的顺序进行。具体按以下程序进行：</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1.开启开标场地的录音录像采集设备，并确保其正常运行。</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2.核验出席开标活动现场的各相关单位人员身份，并组织其分别登记、签到，无关人员可拒绝其进入现场。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3.政府采购云平台在线进行投标文件签收，并向投标人出具签收回执。</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4.主持人宣布开标，介绍开标现场的人员情况，宣读递交投标文件的投标人名单、开标纪律、应当回避的情形等注意事项，组织投标人签署不存在影响公平竞争的《政府采购活动现场确认声明书》。</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开启投标文件后，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7.商务和技术评审结束后，宣告商务和技术评审无效投标人名称及理由，公布经商务和技术评审符合采购需求的投标人名单，采用综合评分法的，公布其商务和技术得分情况。</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8.开启投标人报价文件，通过发送邮件形式公布开标一览表有关内容，同时当场制作开标记录表，投标人通过发送邮件形式签字确认，唱标人、记录人和现场监督员现场签字确认（不予确认的应说明理由，否则视为无异议）。唱标结束后，由评标委员会对报价的合理性、准确性等进行审查核实。</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9.评标结束后，通过发送邮件形式公布中标候选人名单，及采购人最终确定中标人名单的时间和公告方式等。</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特别说明：如遇政府采购云平台电子化开标或评审程序调整的，按调整后程序执行。</w:t>
      </w:r>
    </w:p>
    <w:p>
      <w:pPr>
        <w:pStyle w:val="11"/>
        <w:keepNext w:val="0"/>
        <w:keepLines w:val="0"/>
        <w:pageBreakBefore w:val="0"/>
        <w:kinsoku/>
        <w:overflowPunct/>
        <w:topLinePunct w:val="0"/>
        <w:bidi w:val="0"/>
        <w:adjustRightInd/>
        <w:spacing w:line="500" w:lineRule="exact"/>
        <w:ind w:firstLine="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color w:val="auto"/>
          <w:spacing w:val="-6"/>
          <w:sz w:val="24"/>
          <w:szCs w:val="24"/>
          <w:highlight w:val="none"/>
        </w:rPr>
        <w:br w:type="page"/>
      </w:r>
    </w:p>
    <w:p>
      <w:pPr>
        <w:pStyle w:val="3"/>
        <w:bidi w:val="0"/>
        <w:jc w:val="center"/>
        <w:rPr>
          <w:rFonts w:hint="eastAsia"/>
        </w:rPr>
      </w:pPr>
      <w:bookmarkStart w:id="43" w:name="_Toc8646"/>
      <w:r>
        <w:rPr>
          <w:rFonts w:hint="eastAsia"/>
        </w:rPr>
        <w:t>五、评  标</w:t>
      </w:r>
      <w:bookmarkEnd w:id="43"/>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（一） 组建评标委员会</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本项目评标委员会依据相关法律法规组建，成员人数为5人以上单数。</w:t>
      </w:r>
    </w:p>
    <w:p>
      <w:pPr>
        <w:pStyle w:val="11"/>
        <w:keepNext w:val="0"/>
        <w:keepLines w:val="0"/>
        <w:pageBreakBefore w:val="0"/>
        <w:kinsoku/>
        <w:overflowPunct/>
        <w:topLinePunct w:val="0"/>
        <w:bidi w:val="0"/>
        <w:adjustRightInd/>
        <w:spacing w:line="500" w:lineRule="exact"/>
        <w:ind w:firstLine="0"/>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（二） 评标的方式</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本项目采用不公开方式评标，评标的依据为招标文件和投标文件。</w:t>
      </w:r>
    </w:p>
    <w:p>
      <w:pPr>
        <w:pStyle w:val="11"/>
        <w:keepNext w:val="0"/>
        <w:keepLines w:val="0"/>
        <w:pageBreakBefore w:val="0"/>
        <w:kinsoku/>
        <w:overflowPunct/>
        <w:topLinePunct w:val="0"/>
        <w:bidi w:val="0"/>
        <w:adjustRightInd/>
        <w:spacing w:line="500" w:lineRule="exact"/>
        <w:ind w:firstLine="0"/>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（三） 评标程序</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采购代理机构按照招标文件规定的时间、地点及程序组织评标。评标活动一般应按以下程序组织开展：</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1.开启评标场地的录音录像采集设备，并确保其正常运行。</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2.核验出席评标活动现场的评标委员会各成员身份，并要求其分别登记、签到，按规定统一收缴、保存其通讯工具，无关人员一律拒绝其进入评标现场。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3.介绍评标现场的人员情况，宣布评标工作纪律，告知评标委员会应当回避情形，组织推选评标委员会组长。</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4.通报依法获取招标文件的投标人名单及资格预审情况（如有），宣读最终提交投标文件且通过资格审查的投标人名单，组织评标委员会各位成员签订《政府采购评审人员廉洁自律承诺书》。</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根据需要简要介绍招标文件（含补充文件）制定及质疑答复情况、按书面陈述项目基本情况及评标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6.评标委员会组长组织评标委员会独立评审。评标委员会对拟认定为投标文件无效的，应组织相关投标人代表通过发送邮件（或通过政府采购云平台在线答复）形式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7.做好评标现场相关记录，协助评标委员会组长做好评标报告起草、有关内容电脑文字录入等工作，并要求评标委员会各成员签字确认。</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8.评标结束后，采购代理机构交还评审人员及其他现场相关人员的通讯工具。</w:t>
      </w:r>
    </w:p>
    <w:p>
      <w:pPr>
        <w:pStyle w:val="11"/>
        <w:keepNext w:val="0"/>
        <w:keepLines w:val="0"/>
        <w:pageBreakBefore w:val="0"/>
        <w:kinsoku/>
        <w:overflowPunct/>
        <w:topLinePunct w:val="0"/>
        <w:bidi w:val="0"/>
        <w:adjustRightInd/>
        <w:spacing w:line="500" w:lineRule="exact"/>
        <w:ind w:firstLine="0"/>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（四） 澄清问题的形式</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对于投标文件中含义不明确、同类问题表述不一致或者有明显文字和计算错误的内容，评标委员会应当以书面（或通过政府采购云平台在线询标）形式要求投标人作出必要的澄清、说明或者补正。</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fldChar w:fldCharType="begin"/>
      </w:r>
      <w:r>
        <w:rPr>
          <w:rFonts w:hint="eastAsia" w:asciiTheme="majorEastAsia" w:hAnsiTheme="majorEastAsia" w:eastAsiaTheme="majorEastAsia" w:cstheme="majorEastAsia"/>
          <w:color w:val="auto"/>
          <w:sz w:val="24"/>
          <w:szCs w:val="24"/>
          <w:highlight w:val="none"/>
          <w:lang w:val="en-US" w:eastAsia="zh-CN"/>
        </w:rPr>
        <w:instrText xml:space="preserve"> HYPERLINK "mailto: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采用书面形式的澄清、说明或者更正，投标人应在规定时间内（不得少于半小时）通过指定的电子邮箱（282916357@qq.com）或传真号码（0571-" </w:instrText>
      </w:r>
      <w:r>
        <w:rPr>
          <w:rFonts w:hint="eastAsia" w:asciiTheme="majorEastAsia" w:hAnsiTheme="majorEastAsia" w:eastAsiaTheme="majorEastAsia" w:cstheme="majorEastAsia"/>
          <w:color w:val="auto"/>
          <w:sz w:val="24"/>
          <w:szCs w:val="24"/>
          <w:highlight w:val="none"/>
          <w:lang w:val="en-US" w:eastAsia="zh-CN"/>
        </w:rPr>
        <w:fldChar w:fldCharType="separate"/>
      </w:r>
      <w:r>
        <w:rPr>
          <w:rFonts w:hint="eastAsia" w:asciiTheme="majorEastAsia" w:hAnsiTheme="majorEastAsia" w:eastAsiaTheme="majorEastAsia" w:cstheme="majorEastAsia"/>
          <w:color w:val="auto"/>
          <w:sz w:val="24"/>
          <w:szCs w:val="24"/>
          <w:highlight w:val="none"/>
          <w:lang w:val="en-US" w:eastAsia="zh-CN"/>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r>
        <w:rPr>
          <w:rFonts w:hint="eastAsia" w:asciiTheme="majorEastAsia" w:hAnsiTheme="majorEastAsia" w:eastAsiaTheme="majorEastAsia" w:cstheme="majorEastAsia"/>
          <w:b/>
          <w:bCs/>
          <w:color w:val="auto"/>
          <w:sz w:val="24"/>
          <w:szCs w:val="24"/>
          <w:highlight w:val="none"/>
          <w:lang w:val="en-US" w:eastAsia="zh-CN"/>
        </w:rPr>
        <w:t>采用书面形式的澄清、说明或者更正，投标人应在规定时间内（不得少于半小时）通过指定的电子邮箱（282916357@qq.com）或传真号码</w:t>
      </w:r>
      <w:r>
        <w:rPr>
          <w:rFonts w:hint="eastAsia" w:asciiTheme="majorEastAsia" w:hAnsiTheme="majorEastAsia" w:eastAsiaTheme="majorEastAsia" w:cstheme="majorEastAsia"/>
          <w:color w:val="auto"/>
          <w:sz w:val="24"/>
          <w:szCs w:val="24"/>
          <w:highlight w:val="none"/>
          <w:lang w:val="en-US" w:eastAsia="zh-CN"/>
        </w:rPr>
        <w:t>（0571-</w:t>
      </w:r>
      <w:r>
        <w:rPr>
          <w:rFonts w:hint="eastAsia" w:asciiTheme="majorEastAsia" w:hAnsiTheme="majorEastAsia" w:eastAsiaTheme="majorEastAsia" w:cstheme="majorEastAsia"/>
          <w:color w:val="auto"/>
          <w:sz w:val="24"/>
          <w:szCs w:val="24"/>
          <w:highlight w:val="none"/>
          <w:lang w:val="en-US" w:eastAsia="zh-CN"/>
        </w:rPr>
        <w:fldChar w:fldCharType="end"/>
      </w:r>
      <w:r>
        <w:rPr>
          <w:rFonts w:hint="eastAsia" w:asciiTheme="majorEastAsia" w:hAnsiTheme="majorEastAsia" w:eastAsiaTheme="majorEastAsia" w:cstheme="majorEastAsia"/>
          <w:color w:val="auto"/>
          <w:sz w:val="24"/>
          <w:szCs w:val="24"/>
          <w:highlight w:val="none"/>
          <w:lang w:val="en-US" w:eastAsia="zh-CN"/>
        </w:rPr>
        <w:t>86994958）</w:t>
      </w:r>
      <w:r>
        <w:rPr>
          <w:rFonts w:hint="eastAsia" w:asciiTheme="majorEastAsia" w:hAnsiTheme="majorEastAsia" w:eastAsiaTheme="majorEastAsia" w:cstheme="majorEastAsia"/>
          <w:b/>
          <w:bCs/>
          <w:color w:val="auto"/>
          <w:sz w:val="24"/>
          <w:szCs w:val="24"/>
          <w:highlight w:val="none"/>
          <w:lang w:val="en-US" w:eastAsia="zh-CN"/>
        </w:rPr>
        <w:t>提交。</w:t>
      </w:r>
    </w:p>
    <w:p>
      <w:pPr>
        <w:pStyle w:val="11"/>
        <w:keepNext w:val="0"/>
        <w:keepLines w:val="0"/>
        <w:pageBreakBefore w:val="0"/>
        <w:kinsoku/>
        <w:overflowPunct/>
        <w:topLinePunct w:val="0"/>
        <w:bidi w:val="0"/>
        <w:adjustRightInd/>
        <w:spacing w:line="500" w:lineRule="exact"/>
        <w:ind w:firstLine="0"/>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（五） 错误修正</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投标文件报价出现前后不一致的，除招标文件另有规定外，按照下列规定修正：</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（一）投标文件中开标一览表内容与投标文件中相应内容不一致的，以开标一览表为准；</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（二）大写金额和小写金额不一致的，以大写金额为准；</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（三）单价金额小数点或者百分比有明显错位的，以开标一览表的总价为准，并修改单价；</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（四）总价金额与按单价汇总金额不一致的，以单价金额计算结果为准。</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同时出现两种以上不一致的，按照前款规定的顺序修正。修正后的报价按照（四）澄清问题的形式第二款的规定经投标人确认后产生约束力，投标人不确认的，其投标无效。</w:t>
      </w:r>
    </w:p>
    <w:p>
      <w:pPr>
        <w:pStyle w:val="11"/>
        <w:keepNext w:val="0"/>
        <w:keepLines w:val="0"/>
        <w:pageBreakBefore w:val="0"/>
        <w:kinsoku/>
        <w:overflowPunct/>
        <w:topLinePunct w:val="0"/>
        <w:bidi w:val="0"/>
        <w:adjustRightInd/>
        <w:spacing w:line="500" w:lineRule="exact"/>
        <w:ind w:firstLine="0"/>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（六） 评标原则和评标办法</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2.评标中因评标委员会成员缺席、回避或者健康等特殊原因导致评标委员会组成不符合规定的，依法补足后继续评标。被更换的评标委员会成员所作出的评标意见无效。</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3.评标委员会成员对需要共同认定的事项存在争议的，应当按照少数服从多数的原则作出结论。持不同意见的评标委员会成员应当在评标报告上签署不同意见及理由，否则视为同意评标报告。</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4.评标办法。本项目评标办法是综合评分法，具体评标内容及评分标准等详见《第四章：评标办法及评分标准》。</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（七） 定 标</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1.采购代理机构自评审结束之日起2个工作日内将评审报告送交采购人。采购人收到评审报告之日起5个工作日内在评审报告推荐的中标候选人中按顺序确定中标供应商。</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2.采购代理机构自中标供应商确定之日起2个工作日内，发出中标通知书，并在浙江政府采购网（</w:t>
      </w:r>
      <w:r>
        <w:rPr>
          <w:rFonts w:hint="eastAsia" w:asciiTheme="majorEastAsia" w:hAnsiTheme="majorEastAsia" w:eastAsiaTheme="majorEastAsia" w:cstheme="majorEastAsia"/>
          <w:color w:val="auto"/>
          <w:sz w:val="24"/>
          <w:szCs w:val="24"/>
          <w:highlight w:val="none"/>
          <w:lang w:val="en-US" w:eastAsia="zh-CN"/>
        </w:rPr>
        <w:fldChar w:fldCharType="begin"/>
      </w:r>
      <w:r>
        <w:rPr>
          <w:rFonts w:hint="eastAsia" w:asciiTheme="majorEastAsia" w:hAnsiTheme="majorEastAsia" w:eastAsiaTheme="majorEastAsia" w:cstheme="majorEastAsia"/>
          <w:color w:val="auto"/>
          <w:sz w:val="24"/>
          <w:szCs w:val="24"/>
          <w:highlight w:val="none"/>
          <w:lang w:val="en-US" w:eastAsia="zh-CN"/>
        </w:rPr>
        <w:instrText xml:space="preserve"> HYPERLINK "http://www.zjzfcg.gov.cn/" </w:instrText>
      </w:r>
      <w:r>
        <w:rPr>
          <w:rFonts w:hint="eastAsia" w:asciiTheme="majorEastAsia" w:hAnsiTheme="majorEastAsia" w:eastAsiaTheme="majorEastAsia" w:cstheme="majorEastAsia"/>
          <w:color w:val="auto"/>
          <w:sz w:val="24"/>
          <w:szCs w:val="24"/>
          <w:highlight w:val="none"/>
          <w:lang w:val="en-US" w:eastAsia="zh-CN"/>
        </w:rPr>
        <w:fldChar w:fldCharType="separate"/>
      </w:r>
      <w:r>
        <w:rPr>
          <w:rFonts w:hint="eastAsia" w:asciiTheme="majorEastAsia" w:hAnsiTheme="majorEastAsia" w:eastAsiaTheme="majorEastAsia" w:cstheme="majorEastAsia"/>
          <w:color w:val="auto"/>
          <w:sz w:val="24"/>
          <w:szCs w:val="24"/>
          <w:highlight w:val="none"/>
          <w:lang w:val="en-US" w:eastAsia="zh-CN"/>
        </w:rPr>
        <w:t>http://www.zjzfcg.gov.cn</w:t>
      </w:r>
      <w:r>
        <w:rPr>
          <w:rFonts w:hint="eastAsia" w:asciiTheme="majorEastAsia" w:hAnsiTheme="majorEastAsia" w:eastAsiaTheme="majorEastAsia" w:cstheme="majorEastAsia"/>
          <w:color w:val="auto"/>
          <w:sz w:val="24"/>
          <w:szCs w:val="24"/>
          <w:highlight w:val="none"/>
          <w:lang w:val="en-US" w:eastAsia="zh-CN"/>
        </w:rPr>
        <w:fldChar w:fldCharType="end"/>
      </w:r>
      <w:r>
        <w:rPr>
          <w:rFonts w:hint="eastAsia" w:asciiTheme="majorEastAsia" w:hAnsiTheme="majorEastAsia" w:eastAsiaTheme="majorEastAsia" w:cstheme="majorEastAsia"/>
          <w:color w:val="auto"/>
          <w:sz w:val="24"/>
          <w:szCs w:val="24"/>
          <w:highlight w:val="none"/>
          <w:lang w:val="en-US" w:eastAsia="zh-CN"/>
        </w:rPr>
        <w:t>）等相关网站或媒体上公告中标结果，招标文件随中标结果同时公告。</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
          <w:bCs/>
          <w:color w:val="auto"/>
          <w:spacing w:val="-6"/>
          <w:sz w:val="24"/>
          <w:szCs w:val="24"/>
          <w:highlight w:val="none"/>
        </w:rPr>
        <w:t>（八） 合同授予</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rPr>
      </w:pPr>
      <w:r>
        <w:rPr>
          <w:rFonts w:hint="eastAsia" w:asciiTheme="majorEastAsia" w:hAnsiTheme="majorEastAsia" w:eastAsiaTheme="majorEastAsia" w:cstheme="majorEastAsia"/>
          <w:b/>
          <w:bCs/>
          <w:color w:val="auto"/>
          <w:spacing w:val="-6"/>
          <w:sz w:val="24"/>
          <w:szCs w:val="24"/>
          <w:highlight w:val="none"/>
        </w:rPr>
        <w:br w:type="page"/>
      </w:r>
    </w:p>
    <w:p>
      <w:pPr>
        <w:pStyle w:val="3"/>
        <w:bidi w:val="0"/>
        <w:jc w:val="center"/>
        <w:rPr>
          <w:rFonts w:hint="eastAsia"/>
        </w:rPr>
      </w:pPr>
      <w:bookmarkStart w:id="44" w:name="_Toc15500"/>
      <w:r>
        <w:rPr>
          <w:rFonts w:hint="eastAsia"/>
        </w:rPr>
        <w:t>六、可中止电子交易活动的情形</w:t>
      </w:r>
      <w:bookmarkEnd w:id="44"/>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采购过程中出现以下情形，导致电子交易平台无法正常运行，或者无法保证电子交易的公平、公正和安全时，采购代理机构可中止电子交易活动：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1.电子交易平台发生故障而无法登录访问的；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2.电子交易平台应用或数据库出现错误，不能进行正常操作的；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3.电子交易平台发现严重安全漏洞，有潜在泄密危险的；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4.病毒发作导致不能进行正常操作的；</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5.其他无法保证电子交易的公平、公正和安全的情况。</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出现前款规定情形，不影响采购公平、公正性的，采购代理机构可以待上述情形消除后继续组织电子交易活动；影响或可能影响采购公平、公正性的，应当重新采购。</w:t>
      </w:r>
    </w:p>
    <w:p>
      <w:pPr>
        <w:pStyle w:val="2"/>
        <w:bidi w:val="0"/>
        <w:jc w:val="center"/>
        <w:rPr>
          <w:rStyle w:val="52"/>
          <w:rFonts w:hint="eastAsia"/>
          <w:b/>
          <w:bCs/>
          <w:sz w:val="32"/>
          <w:szCs w:val="32"/>
          <w:lang w:val="en-US" w:eastAsia="zh-CN"/>
        </w:rPr>
      </w:pPr>
      <w:r>
        <w:rPr>
          <w:rFonts w:hint="eastAsia" w:asciiTheme="majorEastAsia" w:hAnsiTheme="majorEastAsia" w:eastAsiaTheme="majorEastAsia" w:cstheme="majorEastAsia"/>
          <w:b/>
          <w:bCs/>
          <w:color w:val="auto"/>
          <w:spacing w:val="-6"/>
          <w:sz w:val="24"/>
          <w:szCs w:val="24"/>
          <w:highlight w:val="none"/>
        </w:rPr>
        <w:br w:type="page"/>
      </w:r>
      <w:bookmarkStart w:id="45" w:name="_Toc23444"/>
      <w:bookmarkStart w:id="46" w:name="_Toc13188"/>
      <w:bookmarkStart w:id="47" w:name="_Toc14187"/>
      <w:r>
        <w:rPr>
          <w:rStyle w:val="52"/>
          <w:rFonts w:hint="eastAsia"/>
          <w:b/>
          <w:bCs/>
          <w:sz w:val="32"/>
          <w:szCs w:val="32"/>
          <w:lang w:val="en-US" w:eastAsia="zh-CN"/>
        </w:rPr>
        <w:t>第四章  评标办法及评分标准</w:t>
      </w:r>
      <w:bookmarkEnd w:id="45"/>
      <w:bookmarkEnd w:id="46"/>
      <w:bookmarkEnd w:id="47"/>
    </w:p>
    <w:p>
      <w:pPr>
        <w:keepNext w:val="0"/>
        <w:keepLines w:val="0"/>
        <w:pageBreakBefore w:val="0"/>
        <w:kinsoku/>
        <w:wordWrap/>
        <w:overflowPunct/>
        <w:topLinePunct w:val="0"/>
        <w:autoSpaceDE/>
        <w:autoSpaceDN/>
        <w:bidi w:val="0"/>
        <w:adjustRightInd/>
        <w:snapToGrid/>
        <w:spacing w:line="500" w:lineRule="exact"/>
        <w:textAlignment w:val="auto"/>
        <w:outlineLvl w:val="1"/>
        <w:rPr>
          <w:rFonts w:hint="eastAsia" w:asciiTheme="majorEastAsia" w:hAnsiTheme="majorEastAsia" w:eastAsiaTheme="majorEastAsia" w:cstheme="majorEastAsia"/>
          <w:b/>
          <w:color w:val="auto"/>
          <w:spacing w:val="-6"/>
          <w:sz w:val="24"/>
          <w:szCs w:val="24"/>
          <w:highlight w:val="none"/>
        </w:rPr>
      </w:pPr>
      <w:bookmarkStart w:id="48" w:name="_Toc231"/>
      <w:r>
        <w:rPr>
          <w:rFonts w:hint="eastAsia" w:asciiTheme="majorEastAsia" w:hAnsiTheme="majorEastAsia" w:eastAsiaTheme="majorEastAsia" w:cstheme="majorEastAsia"/>
          <w:b/>
          <w:color w:val="auto"/>
          <w:spacing w:val="-6"/>
          <w:sz w:val="24"/>
          <w:szCs w:val="24"/>
          <w:highlight w:val="none"/>
        </w:rPr>
        <w:t>一、总则</w:t>
      </w:r>
      <w:bookmarkEnd w:id="48"/>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评分过程中采用四舍五入法，并保留小数2位。</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投标人评标综合得分=商务分+技术分+价格分</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商务和技术分按照评标委员会成员的独立评分结果的算术平均分计算，计算公式为：商务分、技术分=（评标委员会所有成员评分合计数）/（评标委员会组成人员数）</w:t>
      </w:r>
    </w:p>
    <w:p>
      <w:pPr>
        <w:keepNext w:val="0"/>
        <w:keepLines w:val="0"/>
        <w:pageBreakBefore w:val="0"/>
        <w:numPr>
          <w:ilvl w:val="0"/>
          <w:numId w:val="2"/>
        </w:numPr>
        <w:kinsoku/>
        <w:wordWrap/>
        <w:overflowPunct/>
        <w:topLinePunct w:val="0"/>
        <w:autoSpaceDE/>
        <w:autoSpaceDN/>
        <w:bidi w:val="0"/>
        <w:adjustRightInd/>
        <w:snapToGrid/>
        <w:spacing w:line="500" w:lineRule="exact"/>
        <w:ind w:left="0" w:leftChars="0" w:firstLine="0" w:firstLineChars="0"/>
        <w:textAlignment w:val="auto"/>
        <w:outlineLvl w:val="1"/>
        <w:rPr>
          <w:rFonts w:hint="eastAsia" w:asciiTheme="majorEastAsia" w:hAnsiTheme="majorEastAsia" w:eastAsiaTheme="majorEastAsia" w:cstheme="majorEastAsia"/>
          <w:b/>
          <w:color w:val="auto"/>
          <w:spacing w:val="-6"/>
          <w:sz w:val="24"/>
          <w:szCs w:val="24"/>
          <w:highlight w:val="none"/>
        </w:rPr>
      </w:pPr>
      <w:bookmarkStart w:id="49" w:name="_Toc25376"/>
      <w:r>
        <w:rPr>
          <w:rFonts w:hint="eastAsia" w:asciiTheme="majorEastAsia" w:hAnsiTheme="majorEastAsia" w:eastAsiaTheme="majorEastAsia" w:cstheme="majorEastAsia"/>
          <w:b/>
          <w:color w:val="auto"/>
          <w:spacing w:val="-6"/>
          <w:sz w:val="24"/>
          <w:szCs w:val="24"/>
          <w:highlight w:val="none"/>
        </w:rPr>
        <w:t>评标内容及标准</w:t>
      </w:r>
      <w:bookmarkEnd w:id="49"/>
    </w:p>
    <w:tbl>
      <w:tblPr>
        <w:tblStyle w:val="25"/>
        <w:tblW w:w="10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762"/>
        <w:gridCol w:w="7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b/>
                <w:color w:val="auto"/>
                <w:spacing w:val="0"/>
                <w:kern w:val="0"/>
                <w:sz w:val="21"/>
                <w:szCs w:val="21"/>
                <w:highlight w:val="none"/>
              </w:rPr>
              <w:t>评审因素</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b/>
                <w:color w:val="auto"/>
                <w:spacing w:val="0"/>
                <w:kern w:val="0"/>
                <w:sz w:val="21"/>
                <w:szCs w:val="21"/>
                <w:highlight w:val="none"/>
              </w:rPr>
              <w:t>分值</w:t>
            </w:r>
          </w:p>
        </w:tc>
        <w:tc>
          <w:tcPr>
            <w:tcW w:w="799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b/>
                <w:color w:val="auto"/>
                <w:spacing w:val="0"/>
                <w:kern w:val="0"/>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278"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b/>
                <w:color w:val="auto"/>
                <w:spacing w:val="0"/>
                <w:kern w:val="0"/>
                <w:sz w:val="21"/>
                <w:szCs w:val="21"/>
                <w:highlight w:val="none"/>
              </w:rPr>
              <w:t>价格分（</w:t>
            </w:r>
            <w:r>
              <w:rPr>
                <w:rFonts w:hint="eastAsia" w:ascii="宋体" w:hAnsi="宋体" w:eastAsia="宋体" w:cs="宋体"/>
                <w:b/>
                <w:color w:val="auto"/>
                <w:spacing w:val="0"/>
                <w:kern w:val="0"/>
                <w:sz w:val="21"/>
                <w:szCs w:val="21"/>
                <w:highlight w:val="none"/>
                <w:lang w:val="en-US" w:eastAsia="zh-CN"/>
              </w:rPr>
              <w:t>30</w:t>
            </w:r>
            <w:r>
              <w:rPr>
                <w:rFonts w:hint="eastAsia" w:ascii="宋体" w:hAnsi="宋体" w:eastAsia="宋体" w:cs="宋体"/>
                <w:b/>
                <w:color w:val="auto"/>
                <w:spacing w:val="0"/>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color w:val="auto"/>
                <w:spacing w:val="0"/>
                <w:kern w:val="0"/>
                <w:sz w:val="21"/>
                <w:szCs w:val="21"/>
                <w:highlight w:val="none"/>
              </w:rPr>
              <w:t>投标报价</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rPr>
            </w:pPr>
            <w:r>
              <w:rPr>
                <w:rFonts w:hint="eastAsia" w:ascii="宋体" w:hAnsi="宋体" w:eastAsia="宋体" w:cs="宋体"/>
                <w:color w:val="auto"/>
                <w:spacing w:val="0"/>
                <w:kern w:val="0"/>
                <w:sz w:val="21"/>
                <w:szCs w:val="21"/>
                <w:highlight w:val="none"/>
                <w:lang w:val="en-US" w:eastAsia="zh-CN"/>
              </w:rPr>
              <w:t>30</w:t>
            </w:r>
          </w:p>
        </w:tc>
        <w:tc>
          <w:tcPr>
            <w:tcW w:w="7998" w:type="dxa"/>
            <w:noWrap w:val="0"/>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pacing w:val="0"/>
                <w:kern w:val="0"/>
                <w:sz w:val="21"/>
                <w:szCs w:val="21"/>
                <w:highlight w:val="none"/>
                <w:lang w:val="en-US" w:eastAsia="zh-CN"/>
              </w:rPr>
            </w:pPr>
            <w:r>
              <w:rPr>
                <w:rFonts w:hint="eastAsia" w:ascii="宋体" w:hAnsi="宋体" w:eastAsia="宋体" w:cs="宋体"/>
                <w:color w:val="auto"/>
                <w:spacing w:val="0"/>
                <w:kern w:val="0"/>
                <w:sz w:val="21"/>
                <w:szCs w:val="21"/>
                <w:highlight w:val="none"/>
                <w:lang w:val="en-US" w:eastAsia="zh-CN"/>
              </w:rPr>
              <w:t>价格分采用合理低价优先法计算，即：经评审后满足招标文件要求且投标价格最低的投标报价为评标基准价。</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宋体" w:hAnsi="宋体" w:eastAsia="宋体" w:cs="宋体"/>
                <w:color w:val="auto"/>
                <w:spacing w:val="0"/>
                <w:kern w:val="0"/>
                <w:sz w:val="21"/>
                <w:szCs w:val="21"/>
                <w:highlight w:val="none"/>
                <w:lang w:val="en-US" w:eastAsia="zh-CN"/>
              </w:rPr>
            </w:pPr>
            <w:r>
              <w:rPr>
                <w:rFonts w:hint="eastAsia" w:ascii="宋体" w:hAnsi="宋体" w:eastAsia="宋体" w:cs="宋体"/>
                <w:color w:val="auto"/>
                <w:spacing w:val="0"/>
                <w:kern w:val="0"/>
                <w:sz w:val="21"/>
                <w:szCs w:val="21"/>
                <w:highlight w:val="none"/>
                <w:lang w:val="en-US" w:eastAsia="zh-CN"/>
              </w:rPr>
              <w:t>价格分按照下列公式计算：价格分=（评标基准价/投标报价）×30%×100</w:t>
            </w:r>
            <w:r>
              <w:rPr>
                <w:rFonts w:hint="eastAsia" w:ascii="宋体" w:hAnsi="宋体" w:cs="宋体"/>
                <w:color w:val="auto"/>
                <w:spacing w:val="0"/>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278"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b/>
                <w:color w:val="auto"/>
                <w:spacing w:val="0"/>
                <w:kern w:val="0"/>
                <w:sz w:val="21"/>
                <w:szCs w:val="21"/>
                <w:highlight w:val="none"/>
              </w:rPr>
              <w:t>技术分（</w:t>
            </w:r>
            <w:r>
              <w:rPr>
                <w:rFonts w:hint="eastAsia" w:ascii="宋体" w:hAnsi="宋体" w:cs="宋体"/>
                <w:b/>
                <w:color w:val="auto"/>
                <w:spacing w:val="0"/>
                <w:kern w:val="0"/>
                <w:sz w:val="21"/>
                <w:szCs w:val="21"/>
                <w:highlight w:val="none"/>
                <w:lang w:val="en-US" w:eastAsia="zh-CN"/>
              </w:rPr>
              <w:t>42</w:t>
            </w:r>
            <w:r>
              <w:rPr>
                <w:rFonts w:hint="eastAsia" w:ascii="宋体" w:hAnsi="宋体" w:eastAsia="宋体" w:cs="宋体"/>
                <w:b/>
                <w:color w:val="auto"/>
                <w:spacing w:val="0"/>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rPr>
            </w:pPr>
            <w:r>
              <w:rPr>
                <w:rFonts w:hint="eastAsia" w:ascii="宋体" w:hAnsi="宋体" w:eastAsia="宋体" w:cs="宋体"/>
                <w:color w:val="auto"/>
                <w:spacing w:val="0"/>
                <w:kern w:val="0"/>
                <w:sz w:val="21"/>
                <w:szCs w:val="21"/>
                <w:highlight w:val="none"/>
                <w:lang w:eastAsia="zh-CN"/>
              </w:rPr>
              <w:t>样品</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pacing w:val="0"/>
                <w:kern w:val="0"/>
                <w:sz w:val="21"/>
                <w:szCs w:val="21"/>
                <w:highlight w:val="none"/>
                <w:lang w:val="en-US" w:eastAsia="zh-CN" w:bidi="ar-SA"/>
              </w:rPr>
            </w:pPr>
            <w:r>
              <w:rPr>
                <w:rFonts w:hint="eastAsia" w:ascii="宋体" w:hAnsi="宋体" w:cs="宋体"/>
                <w:color w:val="auto"/>
                <w:spacing w:val="0"/>
                <w:kern w:val="0"/>
                <w:sz w:val="21"/>
                <w:szCs w:val="21"/>
                <w:highlight w:val="none"/>
                <w:lang w:val="en-US" w:eastAsia="zh-CN"/>
              </w:rPr>
              <w:t>18</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整体设计结构及外观成形工艺质量，横向比较，最高得</w:t>
            </w:r>
            <w:r>
              <w:rPr>
                <w:rFonts w:hint="eastAsia" w:ascii="宋体" w:hAnsi="宋体" w:cs="宋体"/>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分；带“▲”条款为重要条款，样品不满足带“▲”要求的每有一项扣</w:t>
            </w: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分，其他条款不满足的每有一项扣1分</w:t>
            </w:r>
            <w:r>
              <w:rPr>
                <w:rFonts w:hint="eastAsia" w:ascii="宋体" w:hAnsi="宋体" w:cs="宋体"/>
                <w:color w:val="000000"/>
                <w:kern w:val="0"/>
                <w:sz w:val="21"/>
                <w:szCs w:val="21"/>
                <w:lang w:val="en-US" w:eastAsia="zh-CN" w:bidi="ar"/>
              </w:rPr>
              <w:t>，扣完为止</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产品设计的合理性及美观度，横向比较，最高得</w:t>
            </w: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箱体表面印刷标识完整度及规范性，横向比较，最高得</w:t>
            </w: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b/>
                <w:bCs/>
                <w:color w:val="auto"/>
                <w:spacing w:val="0"/>
                <w:kern w:val="0"/>
                <w:sz w:val="21"/>
                <w:szCs w:val="21"/>
                <w:highlight w:val="none"/>
                <w:lang w:eastAsia="zh-CN"/>
              </w:rPr>
              <w:t>（</w:t>
            </w:r>
            <w:r>
              <w:rPr>
                <w:rFonts w:hint="eastAsia" w:ascii="宋体" w:hAnsi="宋体" w:eastAsia="宋体" w:cs="宋体"/>
                <w:b/>
                <w:bCs/>
                <w:sz w:val="21"/>
                <w:szCs w:val="21"/>
                <w:lang w:val="en-US" w:eastAsia="zh-CN"/>
              </w:rPr>
              <w:t>未提供样品</w:t>
            </w:r>
            <w:r>
              <w:rPr>
                <w:rFonts w:hint="eastAsia" w:ascii="宋体" w:hAnsi="宋体" w:cs="宋体"/>
                <w:b/>
                <w:bCs/>
                <w:sz w:val="21"/>
                <w:szCs w:val="21"/>
                <w:lang w:val="en-US" w:eastAsia="zh-CN"/>
              </w:rPr>
              <w:t>或样品</w:t>
            </w:r>
            <w:r>
              <w:rPr>
                <w:rFonts w:hint="eastAsia" w:ascii="宋体" w:hAnsi="宋体" w:eastAsia="宋体" w:cs="宋体"/>
                <w:b/>
                <w:bCs/>
                <w:sz w:val="21"/>
                <w:szCs w:val="21"/>
                <w:lang w:val="en-US" w:eastAsia="zh-CN"/>
              </w:rPr>
              <w:t>提供不全的样品分为0分</w:t>
            </w:r>
            <w:r>
              <w:rPr>
                <w:rFonts w:hint="eastAsia" w:ascii="宋体" w:hAnsi="宋体" w:cs="宋体"/>
                <w:b/>
                <w:bCs/>
                <w:color w:val="auto"/>
                <w:spacing w:val="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eastAsia="zh-CN"/>
              </w:rPr>
            </w:pPr>
            <w:r>
              <w:rPr>
                <w:rFonts w:hint="eastAsia" w:ascii="宋体" w:hAnsi="宋体" w:cs="宋体"/>
                <w:color w:val="auto"/>
                <w:spacing w:val="0"/>
                <w:kern w:val="0"/>
                <w:sz w:val="21"/>
                <w:szCs w:val="21"/>
                <w:highlight w:val="none"/>
                <w:lang w:eastAsia="zh-CN"/>
              </w:rPr>
              <w:t>设施布点方案</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宋体" w:hAnsi="宋体" w:cs="宋体"/>
                <w:color w:val="auto"/>
                <w:spacing w:val="0"/>
                <w:kern w:val="0"/>
                <w:sz w:val="21"/>
                <w:szCs w:val="21"/>
                <w:highlight w:val="none"/>
                <w:lang w:val="en-US" w:eastAsia="zh-CN"/>
              </w:rPr>
            </w:pPr>
            <w:r>
              <w:rPr>
                <w:rFonts w:hint="eastAsia" w:ascii="宋体" w:hAnsi="宋体" w:cs="宋体"/>
                <w:color w:val="auto"/>
                <w:spacing w:val="0"/>
                <w:kern w:val="0"/>
                <w:sz w:val="21"/>
                <w:szCs w:val="21"/>
                <w:highlight w:val="none"/>
                <w:lang w:val="en-US" w:eastAsia="zh-CN"/>
              </w:rPr>
              <w:t>4</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根据投标人提供的垃圾分类桶</w:t>
            </w:r>
            <w:r>
              <w:rPr>
                <w:rFonts w:hint="eastAsia" w:ascii="宋体" w:hAnsi="宋体" w:eastAsia="宋体" w:cs="宋体"/>
                <w:color w:val="000000"/>
                <w:kern w:val="0"/>
                <w:sz w:val="21"/>
                <w:szCs w:val="21"/>
                <w:lang w:val="en-US" w:eastAsia="zh-CN" w:bidi="ar"/>
              </w:rPr>
              <w:t>布点</w:t>
            </w:r>
            <w:r>
              <w:rPr>
                <w:rFonts w:hint="eastAsia" w:ascii="宋体" w:hAnsi="宋体" w:cs="宋体"/>
                <w:color w:val="000000"/>
                <w:kern w:val="0"/>
                <w:sz w:val="21"/>
                <w:szCs w:val="21"/>
                <w:lang w:val="en-US" w:eastAsia="zh-CN" w:bidi="ar"/>
              </w:rPr>
              <w:t>方案的科学性、</w:t>
            </w:r>
            <w:r>
              <w:rPr>
                <w:rFonts w:hint="eastAsia" w:ascii="宋体" w:hAnsi="宋体" w:eastAsia="宋体" w:cs="宋体"/>
                <w:color w:val="000000"/>
                <w:kern w:val="0"/>
                <w:sz w:val="21"/>
                <w:szCs w:val="21"/>
                <w:lang w:val="en-US" w:eastAsia="zh-CN" w:bidi="ar"/>
              </w:rPr>
              <w:t>合理</w:t>
            </w:r>
            <w:r>
              <w:rPr>
                <w:rFonts w:hint="eastAsia" w:ascii="宋体" w:hAnsi="宋体" w:cs="宋体"/>
                <w:color w:val="000000"/>
                <w:kern w:val="0"/>
                <w:sz w:val="21"/>
                <w:szCs w:val="21"/>
                <w:lang w:val="en-US" w:eastAsia="zh-CN" w:bidi="ar"/>
              </w:rPr>
              <w:t>性等方面综合评议（0-4分）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color w:val="auto"/>
                <w:spacing w:val="0"/>
                <w:kern w:val="0"/>
                <w:sz w:val="21"/>
                <w:szCs w:val="21"/>
                <w:highlight w:val="none"/>
              </w:rPr>
              <w:t>项目实施</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eastAsia="宋体" w:cs="宋体"/>
                <w:color w:val="auto"/>
                <w:spacing w:val="0"/>
                <w:kern w:val="0"/>
                <w:sz w:val="21"/>
                <w:szCs w:val="21"/>
                <w:highlight w:val="none"/>
              </w:rPr>
              <w:t>方案</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cs="宋体"/>
                <w:color w:val="auto"/>
                <w:spacing w:val="0"/>
                <w:kern w:val="0"/>
                <w:sz w:val="21"/>
                <w:szCs w:val="21"/>
                <w:highlight w:val="none"/>
                <w:lang w:val="en-US" w:eastAsia="zh-CN"/>
              </w:rPr>
              <w:t>3</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pacing w:val="0"/>
                <w:kern w:val="0"/>
                <w:sz w:val="21"/>
                <w:szCs w:val="21"/>
                <w:highlight w:val="yellow"/>
                <w:lang w:val="en-US" w:eastAsia="zh-CN" w:bidi="ar-SA"/>
              </w:rPr>
            </w:pPr>
            <w:r>
              <w:rPr>
                <w:rFonts w:hint="eastAsia" w:ascii="宋体" w:hAnsi="宋体" w:eastAsia="宋体" w:cs="宋体"/>
                <w:color w:val="000000"/>
                <w:kern w:val="0"/>
                <w:sz w:val="21"/>
                <w:szCs w:val="21"/>
                <w:lang w:val="en-US" w:eastAsia="zh-CN" w:bidi="ar"/>
              </w:rPr>
              <w:t>包括总体施工部署，生产工艺流程、说明，工期供货措施，施工时间进度表，运输、现场管理计划，质量保证所做措施等，根据方案的科学性、严密性、合理性等方面综合评议。（0-</w:t>
            </w:r>
            <w:r>
              <w:rPr>
                <w:rFonts w:hint="eastAsia" w:ascii="宋体" w:hAnsi="宋体" w:cs="宋体"/>
                <w:color w:val="000000"/>
                <w:kern w:val="0"/>
                <w:sz w:val="21"/>
                <w:szCs w:val="21"/>
                <w:lang w:val="en-US" w:eastAsia="zh-CN" w:bidi="ar"/>
              </w:rPr>
              <w:t>3分</w:t>
            </w:r>
            <w:r>
              <w:rPr>
                <w:rFonts w:hint="eastAsia" w:ascii="宋体" w:hAnsi="宋体" w:eastAsia="宋体" w:cs="宋体"/>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cs="宋体"/>
                <w:color w:val="auto"/>
                <w:spacing w:val="0"/>
                <w:kern w:val="0"/>
                <w:sz w:val="21"/>
                <w:szCs w:val="21"/>
                <w:highlight w:val="none"/>
                <w:lang w:val="en-US" w:eastAsia="zh-CN"/>
              </w:rPr>
              <w:t>检测报告</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cs="宋体"/>
                <w:color w:val="auto"/>
                <w:spacing w:val="0"/>
                <w:kern w:val="0"/>
                <w:sz w:val="21"/>
                <w:szCs w:val="21"/>
                <w:highlight w:val="none"/>
                <w:lang w:val="en-US" w:eastAsia="zh-CN"/>
              </w:rPr>
              <w:t>3</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提供</w:t>
            </w:r>
            <w:r>
              <w:rPr>
                <w:rFonts w:hint="eastAsia" w:ascii="宋体" w:hAnsi="宋体" w:cs="宋体"/>
                <w:color w:val="000000"/>
                <w:kern w:val="0"/>
                <w:sz w:val="21"/>
                <w:szCs w:val="21"/>
                <w:highlight w:val="none"/>
                <w:lang w:val="en-US" w:eastAsia="zh-CN" w:bidi="ar"/>
              </w:rPr>
              <w:t>具备CMA及CNAS资质认定的国家级检测机构出具的由</w:t>
            </w:r>
            <w:r>
              <w:rPr>
                <w:rFonts w:hint="eastAsia" w:ascii="宋体" w:hAnsi="宋体" w:eastAsia="宋体" w:cs="宋体"/>
                <w:color w:val="000000"/>
                <w:kern w:val="0"/>
                <w:sz w:val="21"/>
                <w:szCs w:val="21"/>
                <w:highlight w:val="none"/>
                <w:lang w:val="en-US" w:eastAsia="zh-CN" w:bidi="ar"/>
              </w:rPr>
              <w:t>投标人委托检测的</w:t>
            </w:r>
            <w:r>
              <w:rPr>
                <w:rFonts w:hint="eastAsia" w:ascii="宋体" w:hAnsi="宋体" w:cs="宋体"/>
                <w:color w:val="000000"/>
                <w:kern w:val="0"/>
                <w:sz w:val="21"/>
                <w:szCs w:val="21"/>
                <w:highlight w:val="none"/>
                <w:lang w:val="en-US" w:eastAsia="zh-CN" w:bidi="ar"/>
              </w:rPr>
              <w:t>2020年度亚克力板V0级防火检测</w:t>
            </w:r>
            <w:r>
              <w:rPr>
                <w:rFonts w:hint="eastAsia" w:ascii="宋体" w:hAnsi="宋体" w:eastAsia="宋体" w:cs="宋体"/>
                <w:color w:val="000000"/>
                <w:kern w:val="0"/>
                <w:sz w:val="21"/>
                <w:szCs w:val="21"/>
                <w:highlight w:val="none"/>
                <w:lang w:val="en-US" w:eastAsia="zh-CN" w:bidi="ar"/>
              </w:rPr>
              <w:t>合格</w:t>
            </w:r>
            <w:r>
              <w:rPr>
                <w:rFonts w:hint="eastAsia" w:ascii="宋体" w:hAnsi="宋体" w:cs="宋体"/>
                <w:color w:val="000000"/>
                <w:kern w:val="0"/>
                <w:sz w:val="21"/>
                <w:szCs w:val="21"/>
                <w:highlight w:val="none"/>
                <w:lang w:val="en-US" w:eastAsia="zh-CN" w:bidi="ar"/>
              </w:rPr>
              <w:t>的检测</w:t>
            </w:r>
            <w:r>
              <w:rPr>
                <w:rFonts w:hint="eastAsia" w:ascii="宋体" w:hAnsi="宋体" w:eastAsia="宋体" w:cs="宋体"/>
                <w:color w:val="000000"/>
                <w:kern w:val="0"/>
                <w:sz w:val="21"/>
                <w:szCs w:val="21"/>
                <w:highlight w:val="none"/>
                <w:lang w:val="en-US" w:eastAsia="zh-CN" w:bidi="ar"/>
              </w:rPr>
              <w:t>报告</w:t>
            </w:r>
            <w:r>
              <w:rPr>
                <w:rFonts w:hint="eastAsia" w:ascii="宋体" w:hAnsi="宋体" w:cs="宋体"/>
                <w:color w:val="000000"/>
                <w:kern w:val="0"/>
                <w:sz w:val="21"/>
                <w:szCs w:val="21"/>
                <w:highlight w:val="none"/>
                <w:lang w:val="en-US" w:eastAsia="zh-CN" w:bidi="ar"/>
              </w:rPr>
              <w:t>的得3分。</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cs="宋体"/>
                <w:b/>
                <w:bCs/>
                <w:color w:val="000000"/>
                <w:kern w:val="0"/>
                <w:sz w:val="21"/>
                <w:szCs w:val="21"/>
                <w:highlight w:val="none"/>
                <w:lang w:val="en-US" w:eastAsia="zh-CN" w:bidi="ar"/>
              </w:rPr>
              <w:t>（开标时提供原件，未提供原件或非投标人委托检测的本项不得分）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eastAsia="宋体" w:cs="宋体"/>
                <w:color w:val="auto"/>
                <w:spacing w:val="0"/>
                <w:kern w:val="0"/>
                <w:sz w:val="21"/>
                <w:szCs w:val="21"/>
                <w:highlight w:val="none"/>
                <w:lang w:eastAsia="zh-CN"/>
              </w:rPr>
              <w:t>项目组人员</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cs="宋体"/>
                <w:color w:val="auto"/>
                <w:spacing w:val="0"/>
                <w:kern w:val="0"/>
                <w:sz w:val="21"/>
                <w:szCs w:val="21"/>
                <w:highlight w:val="none"/>
                <w:lang w:val="en-US" w:eastAsia="zh-CN"/>
              </w:rPr>
              <w:t>8</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1、提供项目组所有人员履历</w:t>
            </w:r>
            <w:r>
              <w:rPr>
                <w:rFonts w:hint="eastAsia" w:ascii="宋体" w:hAnsi="宋体" w:cs="宋体"/>
                <w:color w:val="000000"/>
                <w:kern w:val="0"/>
                <w:sz w:val="21"/>
                <w:szCs w:val="21"/>
                <w:lang w:val="en-US" w:eastAsia="zh-CN" w:bidi="ar"/>
              </w:rPr>
              <w:t>的得2</w:t>
            </w:r>
            <w:r>
              <w:rPr>
                <w:rFonts w:hint="eastAsia" w:ascii="宋体" w:hAnsi="宋体" w:eastAsia="宋体" w:cs="宋体"/>
                <w:color w:val="000000"/>
                <w:kern w:val="0"/>
                <w:sz w:val="21"/>
                <w:szCs w:val="21"/>
                <w:lang w:val="en-US" w:eastAsia="zh-CN" w:bidi="ar"/>
              </w:rPr>
              <w:t>分（项目组所有人员必须在投标人缴纳社保的清单中，提供</w:t>
            </w:r>
            <w:r>
              <w:rPr>
                <w:rFonts w:hint="eastAsia" w:ascii="宋体" w:hAnsi="宋体" w:cs="宋体"/>
                <w:color w:val="000000"/>
                <w:kern w:val="0"/>
                <w:sz w:val="21"/>
                <w:szCs w:val="21"/>
                <w:lang w:val="en-US" w:eastAsia="zh-CN" w:bidi="ar"/>
              </w:rPr>
              <w:t>近三个月连续的</w:t>
            </w:r>
            <w:r>
              <w:rPr>
                <w:rFonts w:hint="eastAsia" w:ascii="宋体" w:hAnsi="宋体" w:eastAsia="宋体" w:cs="宋体"/>
                <w:color w:val="000000"/>
                <w:kern w:val="0"/>
                <w:sz w:val="21"/>
                <w:szCs w:val="21"/>
                <w:lang w:val="en-US" w:eastAsia="zh-CN" w:bidi="ar"/>
              </w:rPr>
              <w:t>社保</w:t>
            </w:r>
            <w:r>
              <w:rPr>
                <w:rFonts w:hint="eastAsia" w:ascii="宋体" w:hAnsi="宋体" w:cs="宋体"/>
                <w:color w:val="000000"/>
                <w:kern w:val="0"/>
                <w:sz w:val="21"/>
                <w:szCs w:val="21"/>
                <w:lang w:val="en-US" w:eastAsia="zh-CN" w:bidi="ar"/>
              </w:rPr>
              <w:t>缴纳</w:t>
            </w:r>
            <w:r>
              <w:rPr>
                <w:rFonts w:hint="eastAsia" w:ascii="宋体" w:hAnsi="宋体" w:eastAsia="宋体" w:cs="宋体"/>
                <w:color w:val="000000"/>
                <w:kern w:val="0"/>
                <w:sz w:val="21"/>
                <w:szCs w:val="21"/>
                <w:lang w:val="en-US" w:eastAsia="zh-CN" w:bidi="ar"/>
              </w:rPr>
              <w:t>清单）</w:t>
            </w:r>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2、项目组人员具有工业和信息化部部属机构颁发的垃圾分类项目经理高级能力证书的得2分、智慧环卫工程师高级能力证书的得2分</w:t>
            </w:r>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3、项目组人员在区级及以上“三化四分”工作领导小组举办的垃圾分类技能竞赛中荣获优胜奖的得2分</w:t>
            </w:r>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bCs/>
                <w:color w:val="auto"/>
                <w:spacing w:val="0"/>
                <w:kern w:val="0"/>
                <w:sz w:val="21"/>
                <w:szCs w:val="21"/>
                <w:highlight w:val="yellow"/>
                <w:lang w:val="en-US" w:eastAsia="zh-CN" w:bidi="ar-SA"/>
              </w:rPr>
            </w:pPr>
            <w:r>
              <w:rPr>
                <w:rFonts w:hint="eastAsia" w:ascii="宋体" w:hAnsi="宋体" w:cs="宋体"/>
                <w:b/>
                <w:bCs/>
                <w:color w:val="000000"/>
                <w:kern w:val="0"/>
                <w:sz w:val="21"/>
                <w:szCs w:val="21"/>
                <w:lang w:val="en-US" w:eastAsia="zh-CN" w:bidi="ar"/>
              </w:rPr>
              <w:t>（开标时提供原件，未提供原件或非投标人所有的本项不得分）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color w:val="auto"/>
                <w:spacing w:val="0"/>
                <w:kern w:val="0"/>
                <w:sz w:val="21"/>
                <w:szCs w:val="21"/>
                <w:highlight w:val="none"/>
              </w:rPr>
              <w:t>售后服务</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eastAsia="宋体" w:cs="宋体"/>
                <w:color w:val="auto"/>
                <w:spacing w:val="0"/>
                <w:kern w:val="0"/>
                <w:sz w:val="21"/>
                <w:szCs w:val="21"/>
                <w:highlight w:val="none"/>
              </w:rPr>
              <w:t>方案</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bidi="ar-SA"/>
              </w:rPr>
            </w:pPr>
            <w:r>
              <w:rPr>
                <w:rFonts w:hint="eastAsia" w:ascii="宋体" w:hAnsi="宋体" w:cs="宋体"/>
                <w:color w:val="auto"/>
                <w:spacing w:val="0"/>
                <w:kern w:val="0"/>
                <w:sz w:val="21"/>
                <w:szCs w:val="21"/>
                <w:highlight w:val="none"/>
                <w:lang w:val="en-US" w:eastAsia="zh-CN"/>
              </w:rPr>
              <w:t>6</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1、根据投标人在项目所在地提供的售后服务机构类型及远近综合评议（0-</w:t>
            </w: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2、本地化服务能力比较，在有效期内上门服务的响应时间以及服务承诺的可行性、完整性，综合评议（0-</w:t>
            </w: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3、根据投标人提供的售后服务方案情况，送货能力、对交货后出现不合格产品等问题所采取的措施，质保期后的收费、服务措施等综合评议（0-</w:t>
            </w:r>
            <w:r>
              <w:rPr>
                <w:rFonts w:hint="eastAsia" w:ascii="宋体" w:hAnsi="宋体" w:cs="宋体"/>
                <w:color w:val="000000"/>
                <w:kern w:val="0"/>
                <w:sz w:val="21"/>
                <w:szCs w:val="21"/>
                <w:lang w:val="en-US" w:eastAsia="zh-CN" w:bidi="ar"/>
              </w:rPr>
              <w:t>2分</w:t>
            </w:r>
            <w:r>
              <w:rPr>
                <w:rFonts w:hint="eastAsia" w:ascii="宋体" w:hAnsi="宋体" w:eastAsia="宋体" w:cs="宋体"/>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278"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b/>
                <w:color w:val="auto"/>
                <w:spacing w:val="0"/>
                <w:kern w:val="0"/>
                <w:sz w:val="21"/>
                <w:szCs w:val="21"/>
                <w:highlight w:val="none"/>
              </w:rPr>
              <w:t>商务分（</w:t>
            </w:r>
            <w:r>
              <w:rPr>
                <w:rFonts w:hint="eastAsia" w:ascii="宋体" w:hAnsi="宋体" w:cs="宋体"/>
                <w:b/>
                <w:color w:val="auto"/>
                <w:spacing w:val="0"/>
                <w:kern w:val="0"/>
                <w:sz w:val="21"/>
                <w:szCs w:val="21"/>
                <w:highlight w:val="none"/>
                <w:lang w:val="en-US" w:eastAsia="zh-CN"/>
              </w:rPr>
              <w:t>28</w:t>
            </w:r>
            <w:r>
              <w:rPr>
                <w:rFonts w:hint="eastAsia" w:ascii="宋体" w:hAnsi="宋体" w:eastAsia="宋体" w:cs="宋体"/>
                <w:b/>
                <w:color w:val="auto"/>
                <w:spacing w:val="0"/>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eastAsia="zh-CN"/>
              </w:rPr>
            </w:pPr>
            <w:r>
              <w:rPr>
                <w:rFonts w:hint="eastAsia" w:ascii="宋体" w:hAnsi="宋体" w:eastAsia="宋体" w:cs="宋体"/>
                <w:color w:val="auto"/>
                <w:spacing w:val="0"/>
                <w:kern w:val="0"/>
                <w:sz w:val="21"/>
                <w:szCs w:val="21"/>
                <w:highlight w:val="none"/>
                <w:lang w:eastAsia="zh-CN"/>
              </w:rPr>
              <w:t>管理体系</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eastAsia="zh-CN"/>
              </w:rPr>
            </w:pPr>
            <w:r>
              <w:rPr>
                <w:rFonts w:hint="eastAsia" w:ascii="宋体" w:hAnsi="宋体" w:eastAsia="宋体" w:cs="宋体"/>
                <w:color w:val="auto"/>
                <w:spacing w:val="0"/>
                <w:kern w:val="0"/>
                <w:sz w:val="21"/>
                <w:szCs w:val="21"/>
                <w:highlight w:val="none"/>
                <w:lang w:val="en-US" w:eastAsia="zh-CN"/>
              </w:rPr>
              <w:t>6</w:t>
            </w:r>
          </w:p>
        </w:tc>
        <w:tc>
          <w:tcPr>
            <w:tcW w:w="7998" w:type="dxa"/>
            <w:noWrap w:val="0"/>
            <w:vAlign w:val="center"/>
          </w:tcPr>
          <w:p>
            <w:pPr>
              <w:spacing w:line="5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投标人具有有效的质量管理体系认证证书、有效的环境管理认证证书、有效的职业健康安全管理体系认证证书的</w:t>
            </w:r>
            <w:r>
              <w:rPr>
                <w:rFonts w:hint="eastAsia" w:ascii="宋体" w:hAnsi="宋体" w:cs="宋体"/>
                <w:sz w:val="21"/>
                <w:szCs w:val="21"/>
                <w:lang w:eastAsia="zh-CN"/>
              </w:rPr>
              <w:t>，</w:t>
            </w:r>
            <w:r>
              <w:rPr>
                <w:rFonts w:hint="eastAsia" w:ascii="宋体" w:hAnsi="宋体" w:eastAsia="宋体" w:cs="宋体"/>
                <w:sz w:val="21"/>
                <w:szCs w:val="21"/>
                <w:lang w:eastAsia="zh-CN"/>
              </w:rPr>
              <w:t>认证范围须包含</w:t>
            </w:r>
            <w:r>
              <w:rPr>
                <w:rFonts w:hint="eastAsia" w:ascii="宋体" w:hAnsi="宋体" w:eastAsia="宋体" w:cs="宋体"/>
                <w:b/>
                <w:bCs/>
                <w:sz w:val="21"/>
                <w:szCs w:val="21"/>
                <w:lang w:eastAsia="zh-CN"/>
              </w:rPr>
              <w:t>果壳箱</w:t>
            </w:r>
            <w:r>
              <w:rPr>
                <w:rFonts w:hint="eastAsia" w:ascii="宋体" w:hAnsi="宋体" w:eastAsia="宋体" w:cs="宋体"/>
                <w:sz w:val="21"/>
                <w:szCs w:val="21"/>
                <w:lang w:eastAsia="zh-CN"/>
              </w:rPr>
              <w:t>的设计</w:t>
            </w:r>
            <w:r>
              <w:rPr>
                <w:rFonts w:hint="eastAsia" w:ascii="宋体" w:hAnsi="宋体" w:cs="宋体"/>
                <w:sz w:val="21"/>
                <w:szCs w:val="21"/>
                <w:lang w:eastAsia="zh-CN"/>
              </w:rPr>
              <w:t>、</w:t>
            </w:r>
            <w:r>
              <w:rPr>
                <w:rFonts w:hint="eastAsia" w:ascii="宋体" w:hAnsi="宋体" w:eastAsia="宋体" w:cs="宋体"/>
                <w:sz w:val="21"/>
                <w:szCs w:val="21"/>
                <w:lang w:eastAsia="zh-CN"/>
              </w:rPr>
              <w:t>生产</w:t>
            </w:r>
            <w:r>
              <w:rPr>
                <w:rFonts w:hint="eastAsia" w:ascii="宋体" w:hAnsi="宋体" w:cs="宋体"/>
                <w:sz w:val="21"/>
                <w:szCs w:val="21"/>
                <w:lang w:eastAsia="zh-CN"/>
              </w:rPr>
              <w:t>（或</w:t>
            </w:r>
            <w:r>
              <w:rPr>
                <w:rFonts w:hint="eastAsia" w:ascii="宋体" w:hAnsi="宋体" w:eastAsia="宋体" w:cs="宋体"/>
                <w:sz w:val="21"/>
                <w:szCs w:val="21"/>
                <w:lang w:eastAsia="zh-CN"/>
              </w:rPr>
              <w:t>加工或组装</w:t>
            </w:r>
            <w:r>
              <w:rPr>
                <w:rFonts w:hint="eastAsia" w:ascii="宋体" w:hAnsi="宋体" w:cs="宋体"/>
                <w:sz w:val="21"/>
                <w:szCs w:val="21"/>
                <w:lang w:eastAsia="zh-CN"/>
              </w:rPr>
              <w:t>）</w:t>
            </w:r>
            <w:r>
              <w:rPr>
                <w:rFonts w:hint="eastAsia" w:ascii="宋体" w:hAnsi="宋体" w:eastAsia="宋体" w:cs="宋体"/>
                <w:sz w:val="21"/>
                <w:szCs w:val="21"/>
                <w:lang w:eastAsia="zh-CN"/>
              </w:rPr>
              <w:t>相关内容，无此内容</w:t>
            </w:r>
            <w:r>
              <w:rPr>
                <w:rFonts w:hint="eastAsia" w:ascii="宋体" w:hAnsi="宋体" w:cs="宋体"/>
                <w:sz w:val="21"/>
                <w:szCs w:val="21"/>
                <w:lang w:eastAsia="zh-CN"/>
              </w:rPr>
              <w:t>的</w:t>
            </w:r>
            <w:r>
              <w:rPr>
                <w:rFonts w:hint="eastAsia" w:ascii="宋体" w:hAnsi="宋体" w:eastAsia="宋体" w:cs="宋体"/>
                <w:sz w:val="21"/>
                <w:szCs w:val="21"/>
                <w:lang w:eastAsia="zh-CN"/>
              </w:rPr>
              <w:t>不得分</w:t>
            </w:r>
            <w:r>
              <w:rPr>
                <w:rFonts w:hint="eastAsia" w:ascii="宋体" w:hAnsi="宋体" w:cs="宋体"/>
                <w:sz w:val="21"/>
                <w:szCs w:val="21"/>
                <w:lang w:val="en-US" w:eastAsia="zh-CN"/>
              </w:rPr>
              <w:t>,不是</w:t>
            </w:r>
            <w:r>
              <w:rPr>
                <w:rFonts w:hint="eastAsia" w:ascii="宋体" w:hAnsi="宋体" w:eastAsia="宋体" w:cs="宋体"/>
                <w:b w:val="0"/>
                <w:bCs w:val="0"/>
                <w:sz w:val="21"/>
                <w:szCs w:val="21"/>
                <w:lang w:eastAsia="zh-CN"/>
              </w:rPr>
              <w:t>果壳箱</w:t>
            </w:r>
            <w:r>
              <w:rPr>
                <w:rFonts w:hint="eastAsia" w:ascii="宋体" w:hAnsi="宋体" w:cs="宋体"/>
                <w:b w:val="0"/>
                <w:bCs w:val="0"/>
                <w:sz w:val="21"/>
                <w:szCs w:val="21"/>
                <w:lang w:eastAsia="zh-CN"/>
              </w:rPr>
              <w:t>的</w:t>
            </w:r>
            <w:r>
              <w:rPr>
                <w:rFonts w:hint="eastAsia" w:ascii="宋体" w:hAnsi="宋体" w:cs="宋体"/>
                <w:sz w:val="21"/>
                <w:szCs w:val="21"/>
                <w:lang w:eastAsia="zh-CN"/>
              </w:rPr>
              <w:t>不得分，</w:t>
            </w:r>
            <w:r>
              <w:rPr>
                <w:rFonts w:hint="eastAsia" w:ascii="宋体" w:hAnsi="宋体" w:eastAsia="宋体" w:cs="宋体"/>
                <w:sz w:val="21"/>
                <w:szCs w:val="21"/>
                <w:lang w:eastAsia="zh-CN"/>
              </w:rPr>
              <w:t>证书无效</w:t>
            </w:r>
            <w:r>
              <w:rPr>
                <w:rFonts w:hint="eastAsia" w:ascii="宋体" w:hAnsi="宋体" w:cs="宋体"/>
                <w:sz w:val="21"/>
                <w:szCs w:val="21"/>
                <w:lang w:eastAsia="zh-CN"/>
              </w:rPr>
              <w:t>的</w:t>
            </w:r>
            <w:r>
              <w:rPr>
                <w:rFonts w:hint="eastAsia" w:ascii="宋体" w:hAnsi="宋体" w:eastAsia="宋体" w:cs="宋体"/>
                <w:sz w:val="21"/>
                <w:szCs w:val="21"/>
                <w:lang w:eastAsia="zh-CN"/>
              </w:rPr>
              <w:t>不得分，每提供1个证书得</w:t>
            </w:r>
            <w:r>
              <w:rPr>
                <w:rFonts w:hint="eastAsia" w:ascii="宋体" w:hAnsi="宋体" w:cs="宋体"/>
                <w:sz w:val="21"/>
                <w:szCs w:val="21"/>
                <w:lang w:val="en-US" w:eastAsia="zh-CN"/>
              </w:rPr>
              <w:t>2</w:t>
            </w:r>
            <w:r>
              <w:rPr>
                <w:rFonts w:hint="eastAsia" w:ascii="宋体" w:hAnsi="宋体" w:eastAsia="宋体" w:cs="宋体"/>
                <w:sz w:val="21"/>
                <w:szCs w:val="21"/>
                <w:lang w:eastAsia="zh-CN"/>
              </w:rPr>
              <w:t>分</w:t>
            </w:r>
            <w:r>
              <w:rPr>
                <w:rFonts w:hint="eastAsia" w:ascii="宋体" w:hAnsi="宋体" w:cs="宋体"/>
                <w:sz w:val="21"/>
                <w:szCs w:val="21"/>
                <w:lang w:eastAsia="zh-CN"/>
              </w:rPr>
              <w:t>，最多得</w:t>
            </w:r>
            <w:r>
              <w:rPr>
                <w:rFonts w:hint="eastAsia" w:ascii="宋体" w:hAnsi="宋体" w:cs="宋体"/>
                <w:sz w:val="21"/>
                <w:szCs w:val="21"/>
                <w:lang w:val="en-US" w:eastAsia="zh-CN"/>
              </w:rPr>
              <w:t>6分。</w:t>
            </w:r>
            <w:r>
              <w:rPr>
                <w:rFonts w:hint="eastAsia" w:ascii="宋体" w:hAnsi="宋体" w:eastAsia="宋体" w:cs="宋体"/>
                <w:sz w:val="21"/>
                <w:szCs w:val="21"/>
                <w:lang w:eastAsia="zh-CN"/>
              </w:rPr>
              <w:t>投标文件中提供有效的上述证书复印件</w:t>
            </w:r>
            <w:r>
              <w:rPr>
                <w:rFonts w:hint="eastAsia" w:ascii="宋体" w:hAnsi="宋体" w:cs="宋体"/>
                <w:sz w:val="21"/>
                <w:szCs w:val="21"/>
                <w:lang w:eastAsia="zh-CN"/>
              </w:rPr>
              <w:t>、认监委网站截图并附网址</w:t>
            </w:r>
            <w:r>
              <w:rPr>
                <w:rFonts w:hint="eastAsia" w:ascii="宋体" w:hAnsi="宋体" w:eastAsia="宋体" w:cs="宋体"/>
                <w:sz w:val="21"/>
                <w:szCs w:val="21"/>
                <w:lang w:eastAsia="zh-CN"/>
              </w:rPr>
              <w:t>；</w:t>
            </w:r>
          </w:p>
          <w:p>
            <w:pPr>
              <w:spacing w:line="560" w:lineRule="exact"/>
              <w:rPr>
                <w:rFonts w:hint="eastAsia" w:ascii="宋体" w:hAnsi="宋体" w:eastAsia="宋体" w:cs="宋体"/>
                <w:color w:val="auto"/>
                <w:spacing w:val="0"/>
                <w:kern w:val="0"/>
                <w:sz w:val="21"/>
                <w:szCs w:val="21"/>
                <w:highlight w:val="yellow"/>
              </w:rPr>
            </w:pPr>
            <w:r>
              <w:rPr>
                <w:rFonts w:hint="eastAsia" w:ascii="宋体" w:hAnsi="宋体" w:cs="宋体"/>
                <w:b/>
                <w:bCs/>
                <w:color w:val="000000"/>
                <w:kern w:val="0"/>
                <w:sz w:val="21"/>
                <w:szCs w:val="21"/>
                <w:lang w:val="en-US" w:eastAsia="zh-CN" w:bidi="ar"/>
              </w:rPr>
              <w:t>（开标时提供原件，未提供原件或非投标人所有的本项不得分）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高新技术</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color w:val="000000"/>
                <w:kern w:val="0"/>
                <w:sz w:val="21"/>
                <w:szCs w:val="21"/>
                <w:lang w:val="en-US" w:eastAsia="zh-CN" w:bidi="ar"/>
              </w:rPr>
              <w:t>企业</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rPr>
            </w:pPr>
            <w:r>
              <w:rPr>
                <w:rFonts w:hint="eastAsia" w:ascii="宋体" w:hAnsi="宋体" w:eastAsia="宋体" w:cs="宋体"/>
                <w:color w:val="auto"/>
                <w:spacing w:val="0"/>
                <w:kern w:val="0"/>
                <w:sz w:val="21"/>
                <w:szCs w:val="21"/>
                <w:highlight w:val="none"/>
                <w:lang w:val="en-US" w:eastAsia="zh-CN"/>
              </w:rPr>
              <w:t>3</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投标人具有政府科技部门颁发的</w:t>
            </w:r>
            <w:r>
              <w:rPr>
                <w:rFonts w:hint="eastAsia" w:ascii="宋体" w:hAnsi="宋体" w:eastAsia="宋体" w:cs="宋体"/>
                <w:sz w:val="21"/>
                <w:szCs w:val="21"/>
              </w:rPr>
              <w:t>高新</w:t>
            </w:r>
            <w:r>
              <w:rPr>
                <w:rFonts w:hint="eastAsia" w:ascii="宋体" w:hAnsi="宋体" w:eastAsia="宋体" w:cs="宋体"/>
                <w:sz w:val="21"/>
                <w:szCs w:val="21"/>
                <w:lang w:eastAsia="zh-CN"/>
              </w:rPr>
              <w:t>技术</w:t>
            </w:r>
            <w:r>
              <w:rPr>
                <w:rFonts w:hint="eastAsia" w:ascii="宋体" w:hAnsi="宋体" w:eastAsia="宋体" w:cs="宋体"/>
                <w:sz w:val="21"/>
                <w:szCs w:val="21"/>
              </w:rPr>
              <w:t>企业</w:t>
            </w:r>
            <w:r>
              <w:rPr>
                <w:rFonts w:hint="eastAsia" w:ascii="宋体" w:hAnsi="宋体" w:eastAsia="宋体" w:cs="宋体"/>
                <w:sz w:val="21"/>
                <w:szCs w:val="21"/>
                <w:lang w:eastAsia="zh-CN"/>
              </w:rPr>
              <w:t>证书的</w:t>
            </w:r>
            <w:r>
              <w:rPr>
                <w:rFonts w:hint="eastAsia" w:ascii="宋体" w:hAnsi="宋体" w:eastAsia="宋体" w:cs="宋体"/>
                <w:sz w:val="21"/>
                <w:szCs w:val="21"/>
              </w:rPr>
              <w:t>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eastAsia="zh-CN"/>
              </w:rPr>
              <w:t>，提供政府部门网站截图并附网址。</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1"/>
                <w:szCs w:val="21"/>
                <w:lang w:val="en-US" w:eastAsia="zh-CN"/>
              </w:rPr>
            </w:pPr>
            <w:r>
              <w:rPr>
                <w:rFonts w:hint="eastAsia" w:ascii="宋体" w:hAnsi="宋体" w:cs="宋体"/>
                <w:b/>
                <w:bCs/>
                <w:color w:val="000000"/>
                <w:kern w:val="0"/>
                <w:sz w:val="21"/>
                <w:szCs w:val="21"/>
                <w:lang w:val="en-US" w:eastAsia="zh-CN" w:bidi="ar"/>
              </w:rPr>
              <w:t>（开标时提供原件，未提供原件或非投标人所有的本项不得分）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rPr>
            </w:pPr>
            <w:r>
              <w:rPr>
                <w:rFonts w:hint="eastAsia" w:ascii="宋体" w:hAnsi="宋体" w:eastAsia="宋体" w:cs="宋体"/>
                <w:color w:val="000000"/>
                <w:kern w:val="0"/>
                <w:sz w:val="21"/>
                <w:szCs w:val="21"/>
                <w:lang w:val="en-US" w:eastAsia="zh-CN" w:bidi="ar"/>
              </w:rPr>
              <w:t>科技型中小企业</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val="en-US" w:eastAsia="zh-CN"/>
              </w:rPr>
            </w:pPr>
            <w:r>
              <w:rPr>
                <w:rFonts w:hint="eastAsia" w:ascii="宋体" w:hAnsi="宋体" w:eastAsia="宋体" w:cs="宋体"/>
                <w:color w:val="auto"/>
                <w:spacing w:val="0"/>
                <w:kern w:val="0"/>
                <w:sz w:val="21"/>
                <w:szCs w:val="21"/>
                <w:highlight w:val="none"/>
                <w:lang w:val="en-US" w:eastAsia="zh-CN"/>
              </w:rPr>
              <w:t>3</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投标人具有政府科技部门颁发的科技型中小企业证书的得3分，</w:t>
            </w:r>
            <w:r>
              <w:rPr>
                <w:rFonts w:hint="eastAsia" w:ascii="宋体" w:hAnsi="宋体" w:eastAsia="宋体" w:cs="宋体"/>
                <w:sz w:val="21"/>
                <w:szCs w:val="21"/>
                <w:lang w:eastAsia="zh-CN"/>
              </w:rPr>
              <w:t>提供政府部门网站截图并附网址</w:t>
            </w:r>
            <w:r>
              <w:rPr>
                <w:rFonts w:hint="eastAsia" w:ascii="宋体" w:hAnsi="宋体" w:eastAsia="宋体" w:cs="宋体"/>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1"/>
                <w:szCs w:val="21"/>
                <w:lang w:val="en-US" w:eastAsia="zh-CN"/>
              </w:rPr>
            </w:pPr>
            <w:r>
              <w:rPr>
                <w:rFonts w:hint="eastAsia" w:ascii="宋体" w:hAnsi="宋体" w:cs="宋体"/>
                <w:b/>
                <w:bCs/>
                <w:color w:val="000000"/>
                <w:kern w:val="0"/>
                <w:sz w:val="21"/>
                <w:szCs w:val="21"/>
                <w:lang w:val="en-US" w:eastAsia="zh-CN" w:bidi="ar"/>
              </w:rPr>
              <w:t>（开标时提供原件，未提供原件或非投标人所有的本项不得分）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rPr>
            </w:pPr>
            <w:r>
              <w:rPr>
                <w:rFonts w:hint="eastAsia" w:ascii="宋体" w:hAnsi="宋体" w:eastAsia="宋体" w:cs="宋体"/>
                <w:color w:val="000000"/>
                <w:kern w:val="0"/>
                <w:sz w:val="21"/>
                <w:szCs w:val="21"/>
                <w:lang w:val="en-US" w:eastAsia="zh-CN" w:bidi="ar"/>
              </w:rPr>
              <w:t>再生资源回收经营者</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pacing w:val="0"/>
                <w:kern w:val="0"/>
                <w:sz w:val="21"/>
                <w:szCs w:val="21"/>
                <w:highlight w:val="none"/>
                <w:lang w:eastAsia="zh-CN"/>
              </w:rPr>
            </w:pPr>
            <w:r>
              <w:rPr>
                <w:rFonts w:hint="eastAsia" w:ascii="宋体" w:hAnsi="宋体" w:eastAsia="宋体" w:cs="宋体"/>
                <w:color w:val="auto"/>
                <w:spacing w:val="0"/>
                <w:kern w:val="0"/>
                <w:sz w:val="21"/>
                <w:szCs w:val="21"/>
                <w:highlight w:val="none"/>
                <w:lang w:val="en-US" w:eastAsia="zh-CN"/>
              </w:rPr>
              <w:t>3</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cs="宋体"/>
                <w:sz w:val="21"/>
                <w:szCs w:val="21"/>
                <w:lang w:eastAsia="zh-CN"/>
              </w:rPr>
            </w:pPr>
            <w:r>
              <w:rPr>
                <w:rFonts w:hint="eastAsia" w:ascii="宋体" w:hAnsi="宋体" w:eastAsia="宋体" w:cs="宋体"/>
                <w:sz w:val="21"/>
                <w:szCs w:val="21"/>
                <w:lang w:eastAsia="zh-CN"/>
              </w:rPr>
              <w:t>投标人具有政府商务部门颁发的再生资源回收经营者备案登记证明的得</w:t>
            </w:r>
            <w:r>
              <w:rPr>
                <w:rFonts w:hint="eastAsia" w:ascii="宋体" w:hAnsi="宋体" w:eastAsia="宋体" w:cs="宋体"/>
                <w:sz w:val="21"/>
                <w:szCs w:val="21"/>
                <w:lang w:val="en-US" w:eastAsia="zh-CN"/>
              </w:rPr>
              <w:t>3分</w:t>
            </w:r>
            <w:r>
              <w:rPr>
                <w:rFonts w:hint="eastAsia" w:ascii="宋体" w:hAnsi="宋体" w:cs="宋体"/>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cs="宋体"/>
                <w:sz w:val="21"/>
                <w:szCs w:val="21"/>
                <w:lang w:eastAsia="zh-CN"/>
              </w:rPr>
            </w:pPr>
            <w:r>
              <w:rPr>
                <w:rFonts w:hint="eastAsia" w:ascii="宋体" w:hAnsi="宋体" w:cs="宋体"/>
                <w:b/>
                <w:bCs/>
                <w:color w:val="000000"/>
                <w:kern w:val="0"/>
                <w:sz w:val="21"/>
                <w:szCs w:val="21"/>
                <w:lang w:val="en-US" w:eastAsia="zh-CN" w:bidi="ar"/>
              </w:rPr>
              <w:t>（开标时提供原件，未提供原件或非投标人所有的本项不得分）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业绩</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pacing w:val="0"/>
                <w:kern w:val="0"/>
                <w:sz w:val="21"/>
                <w:szCs w:val="21"/>
                <w:highlight w:val="none"/>
                <w:lang w:val="en-US" w:eastAsia="zh-CN"/>
              </w:rPr>
            </w:pPr>
            <w:r>
              <w:rPr>
                <w:rFonts w:hint="eastAsia" w:ascii="宋体" w:hAnsi="宋体" w:cs="宋体"/>
                <w:color w:val="auto"/>
                <w:spacing w:val="0"/>
                <w:kern w:val="0"/>
                <w:sz w:val="21"/>
                <w:szCs w:val="21"/>
                <w:highlight w:val="none"/>
                <w:lang w:val="en-US" w:eastAsia="zh-CN"/>
              </w:rPr>
              <w:t>3</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投标人</w:t>
            </w:r>
            <w:r>
              <w:rPr>
                <w:rFonts w:hint="eastAsia" w:ascii="宋体" w:hAnsi="宋体" w:eastAsia="宋体" w:cs="宋体"/>
                <w:sz w:val="21"/>
                <w:szCs w:val="21"/>
                <w:lang w:eastAsia="zh-CN"/>
              </w:rPr>
              <w:t>需提供</w:t>
            </w:r>
            <w:r>
              <w:rPr>
                <w:rFonts w:hint="eastAsia" w:ascii="宋体" w:hAnsi="宋体" w:eastAsia="宋体" w:cs="宋体"/>
                <w:sz w:val="21"/>
                <w:szCs w:val="21"/>
              </w:rPr>
              <w:t>自 201</w:t>
            </w:r>
            <w:r>
              <w:rPr>
                <w:rFonts w:hint="eastAsia" w:ascii="宋体" w:hAnsi="宋体" w:cs="宋体"/>
                <w:sz w:val="21"/>
                <w:szCs w:val="21"/>
                <w:lang w:val="en-US" w:eastAsia="zh-CN"/>
              </w:rPr>
              <w:t>7</w:t>
            </w:r>
            <w:r>
              <w:rPr>
                <w:rFonts w:hint="eastAsia" w:ascii="宋体" w:hAnsi="宋体" w:eastAsia="宋体" w:cs="宋体"/>
                <w:sz w:val="21"/>
                <w:szCs w:val="21"/>
              </w:rPr>
              <w:t>年</w:t>
            </w:r>
            <w:r>
              <w:rPr>
                <w:rFonts w:hint="eastAsia" w:ascii="宋体" w:hAnsi="宋体" w:eastAsia="宋体" w:cs="宋体"/>
                <w:sz w:val="21"/>
                <w:szCs w:val="21"/>
                <w:lang w:val="en-US" w:eastAsia="zh-CN"/>
              </w:rPr>
              <w:t>1</w:t>
            </w:r>
            <w:r>
              <w:rPr>
                <w:rFonts w:hint="eastAsia" w:ascii="宋体" w:hAnsi="宋体" w:eastAsia="宋体" w:cs="宋体"/>
                <w:sz w:val="21"/>
                <w:szCs w:val="21"/>
              </w:rPr>
              <w:t>月1日以来（以合同签订时间为准）承担过</w:t>
            </w:r>
            <w:r>
              <w:rPr>
                <w:rFonts w:hint="eastAsia" w:ascii="宋体" w:hAnsi="宋体" w:eastAsia="宋体" w:cs="宋体"/>
                <w:sz w:val="21"/>
                <w:szCs w:val="21"/>
                <w:lang w:eastAsia="zh-CN"/>
              </w:rPr>
              <w:t>的同类采购</w:t>
            </w:r>
            <w:r>
              <w:rPr>
                <w:rFonts w:hint="eastAsia" w:ascii="宋体" w:hAnsi="宋体" w:eastAsia="宋体" w:cs="宋体"/>
                <w:sz w:val="21"/>
                <w:szCs w:val="21"/>
              </w:rPr>
              <w:t>项目</w:t>
            </w:r>
            <w:r>
              <w:rPr>
                <w:rFonts w:hint="eastAsia" w:ascii="宋体" w:hAnsi="宋体" w:eastAsia="宋体" w:cs="宋体"/>
                <w:sz w:val="21"/>
                <w:szCs w:val="21"/>
                <w:lang w:eastAsia="zh-CN"/>
              </w:rPr>
              <w:t>业绩，每提供</w:t>
            </w:r>
            <w:r>
              <w:rPr>
                <w:rFonts w:hint="eastAsia" w:ascii="宋体" w:hAnsi="宋体" w:eastAsia="宋体" w:cs="宋体"/>
                <w:sz w:val="21"/>
                <w:szCs w:val="21"/>
              </w:rPr>
              <w:t>一项得</w:t>
            </w:r>
            <w:r>
              <w:rPr>
                <w:rFonts w:hint="eastAsia" w:ascii="宋体" w:hAnsi="宋体" w:eastAsia="宋体" w:cs="宋体"/>
                <w:sz w:val="21"/>
                <w:szCs w:val="21"/>
                <w:lang w:val="en-US" w:eastAsia="zh-CN"/>
              </w:rPr>
              <w:t>1</w:t>
            </w:r>
            <w:r>
              <w:rPr>
                <w:rFonts w:hint="eastAsia" w:ascii="宋体" w:hAnsi="宋体" w:eastAsia="宋体" w:cs="宋体"/>
                <w:sz w:val="21"/>
                <w:szCs w:val="21"/>
              </w:rPr>
              <w:t>分，最多得</w:t>
            </w:r>
            <w:r>
              <w:rPr>
                <w:rFonts w:hint="eastAsia" w:ascii="宋体" w:hAnsi="宋体" w:cs="宋体"/>
                <w:sz w:val="21"/>
                <w:szCs w:val="21"/>
                <w:lang w:val="en-US" w:eastAsia="zh-CN"/>
              </w:rPr>
              <w:t>3</w:t>
            </w:r>
            <w:r>
              <w:rPr>
                <w:rFonts w:hint="eastAsia" w:ascii="宋体" w:hAnsi="宋体" w:eastAsia="宋体" w:cs="宋体"/>
                <w:sz w:val="21"/>
                <w:szCs w:val="21"/>
              </w:rPr>
              <w:t>分</w:t>
            </w:r>
            <w:r>
              <w:rPr>
                <w:rFonts w:hint="eastAsia" w:ascii="宋体" w:hAnsi="宋体" w:eastAsia="宋体" w:cs="宋体"/>
                <w:sz w:val="21"/>
                <w:szCs w:val="21"/>
                <w:lang w:eastAsia="zh-CN"/>
              </w:rPr>
              <w:t>。（投标文件中需提供</w:t>
            </w:r>
            <w:r>
              <w:rPr>
                <w:rFonts w:hint="eastAsia" w:ascii="宋体" w:hAnsi="宋体" w:eastAsia="宋体" w:cs="宋体"/>
                <w:sz w:val="21"/>
                <w:szCs w:val="21"/>
                <w:lang w:val="en-US" w:eastAsia="zh-CN"/>
              </w:rPr>
              <w:t>合同复印件</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质量及售后服务评价</w:t>
            </w:r>
          </w:p>
        </w:tc>
        <w:tc>
          <w:tcPr>
            <w:tcW w:w="76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宋体" w:hAnsi="宋体" w:eastAsia="宋体" w:cs="宋体"/>
                <w:color w:val="auto"/>
                <w:spacing w:val="0"/>
                <w:kern w:val="0"/>
                <w:sz w:val="21"/>
                <w:szCs w:val="21"/>
                <w:highlight w:val="none"/>
                <w:lang w:val="en-US" w:eastAsia="zh-CN"/>
              </w:rPr>
            </w:pPr>
            <w:r>
              <w:rPr>
                <w:rFonts w:hint="eastAsia" w:ascii="宋体" w:hAnsi="宋体" w:eastAsia="宋体" w:cs="宋体"/>
                <w:color w:val="auto"/>
                <w:spacing w:val="0"/>
                <w:kern w:val="0"/>
                <w:sz w:val="21"/>
                <w:szCs w:val="21"/>
                <w:highlight w:val="none"/>
                <w:lang w:val="en-US" w:eastAsia="zh-CN"/>
              </w:rPr>
              <w:t>10</w:t>
            </w:r>
          </w:p>
        </w:tc>
        <w:tc>
          <w:tcPr>
            <w:tcW w:w="7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投标人在实施上一年度区级及以上垃圾分类采购项目中，</w:t>
            </w:r>
            <w:r>
              <w:rPr>
                <w:rFonts w:hint="eastAsia" w:ascii="宋体" w:hAnsi="宋体" w:eastAsia="宋体" w:cs="宋体"/>
                <w:sz w:val="21"/>
                <w:szCs w:val="21"/>
                <w:lang w:eastAsia="zh-CN"/>
              </w:rPr>
              <w:t>获得</w:t>
            </w:r>
            <w:r>
              <w:rPr>
                <w:rFonts w:hint="eastAsia" w:ascii="宋体" w:hAnsi="宋体" w:cs="宋体"/>
                <w:sz w:val="21"/>
                <w:szCs w:val="21"/>
                <w:lang w:eastAsia="zh-CN"/>
              </w:rPr>
              <w:t>同一项目下一年度延续供应商，并需获得</w:t>
            </w:r>
            <w:r>
              <w:rPr>
                <w:rFonts w:hint="eastAsia" w:ascii="宋体" w:hAnsi="宋体" w:eastAsia="宋体" w:cs="宋体"/>
                <w:sz w:val="21"/>
                <w:szCs w:val="21"/>
                <w:lang w:eastAsia="zh-CN"/>
              </w:rPr>
              <w:t>该辖区内</w:t>
            </w:r>
            <w:r>
              <w:rPr>
                <w:rFonts w:hint="eastAsia" w:ascii="宋体" w:hAnsi="宋体" w:cs="宋体"/>
                <w:sz w:val="21"/>
                <w:szCs w:val="21"/>
                <w:lang w:eastAsia="zh-CN"/>
              </w:rPr>
              <w:t>对应政府</w:t>
            </w:r>
            <w:r>
              <w:rPr>
                <w:rFonts w:hint="eastAsia" w:ascii="宋体" w:hAnsi="宋体" w:eastAsia="宋体" w:cs="宋体"/>
                <w:sz w:val="21"/>
                <w:szCs w:val="21"/>
                <w:lang w:eastAsia="zh-CN"/>
              </w:rPr>
              <w:t>职能部门</w:t>
            </w:r>
            <w:r>
              <w:rPr>
                <w:rFonts w:hint="eastAsia" w:ascii="宋体" w:hAnsi="宋体" w:cs="宋体"/>
                <w:sz w:val="21"/>
                <w:szCs w:val="21"/>
                <w:lang w:eastAsia="zh-CN"/>
              </w:rPr>
              <w:t>（如区级项目对应的所属街道或区级局，市级项目对应的下属区政府或市级局，以此类推，下同）</w:t>
            </w:r>
            <w:r>
              <w:rPr>
                <w:rFonts w:hint="eastAsia" w:ascii="宋体" w:hAnsi="宋体" w:eastAsia="宋体" w:cs="宋体"/>
                <w:sz w:val="21"/>
                <w:szCs w:val="21"/>
                <w:lang w:eastAsia="zh-CN"/>
              </w:rPr>
              <w:t>对其产品及服务盖章认可的</w:t>
            </w:r>
            <w:r>
              <w:rPr>
                <w:rFonts w:hint="eastAsia" w:ascii="宋体" w:hAnsi="宋体" w:eastAsia="宋体" w:cs="宋体"/>
                <w:sz w:val="21"/>
                <w:szCs w:val="21"/>
                <w:lang w:val="en-US" w:eastAsia="zh-CN"/>
              </w:rPr>
              <w:t>，每提供一个</w:t>
            </w:r>
            <w:r>
              <w:rPr>
                <w:rFonts w:hint="eastAsia" w:ascii="宋体" w:hAnsi="宋体" w:eastAsia="宋体" w:cs="宋体"/>
                <w:sz w:val="21"/>
                <w:szCs w:val="21"/>
                <w:lang w:eastAsia="zh-CN"/>
              </w:rPr>
              <w:t>政府</w:t>
            </w:r>
            <w:r>
              <w:rPr>
                <w:rFonts w:hint="eastAsia" w:ascii="宋体" w:hAnsi="宋体" w:eastAsia="宋体" w:cs="宋体"/>
                <w:sz w:val="21"/>
                <w:szCs w:val="21"/>
                <w:lang w:val="en-US" w:eastAsia="zh-CN"/>
              </w:rPr>
              <w:t>职能部门有效盖章的得1分，最多得</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r>
              <w:rPr>
                <w:rFonts w:hint="eastAsia" w:ascii="宋体" w:hAnsi="宋体" w:eastAsia="宋体" w:cs="宋体"/>
                <w:b/>
                <w:bCs/>
                <w:sz w:val="21"/>
                <w:szCs w:val="21"/>
                <w:lang w:val="en-US" w:eastAsia="zh-CN"/>
              </w:rPr>
              <w:t>同一个</w:t>
            </w:r>
            <w:r>
              <w:rPr>
                <w:rFonts w:hint="eastAsia" w:ascii="宋体" w:hAnsi="宋体" w:eastAsia="宋体" w:cs="宋体"/>
                <w:b/>
                <w:bCs/>
                <w:sz w:val="21"/>
                <w:szCs w:val="21"/>
                <w:lang w:eastAsia="zh-CN"/>
              </w:rPr>
              <w:t>政府</w:t>
            </w:r>
            <w:r>
              <w:rPr>
                <w:rFonts w:hint="eastAsia" w:ascii="宋体" w:hAnsi="宋体" w:eastAsia="宋体" w:cs="宋体"/>
                <w:b/>
                <w:bCs/>
                <w:sz w:val="21"/>
                <w:szCs w:val="21"/>
                <w:lang w:val="en-US" w:eastAsia="zh-CN"/>
              </w:rPr>
              <w:t>职能部门</w:t>
            </w:r>
            <w:r>
              <w:rPr>
                <w:rFonts w:hint="eastAsia" w:ascii="宋体" w:hAnsi="宋体" w:cs="宋体"/>
                <w:b/>
                <w:bCs/>
                <w:sz w:val="21"/>
                <w:szCs w:val="21"/>
                <w:lang w:val="en-US" w:eastAsia="zh-CN"/>
              </w:rPr>
              <w:t>内不同科室</w:t>
            </w:r>
            <w:r>
              <w:rPr>
                <w:rFonts w:hint="eastAsia" w:ascii="宋体" w:hAnsi="宋体" w:eastAsia="宋体" w:cs="宋体"/>
                <w:b/>
                <w:bCs/>
                <w:sz w:val="21"/>
                <w:szCs w:val="21"/>
                <w:lang w:val="en-US" w:eastAsia="zh-CN"/>
              </w:rPr>
              <w:t>的盖章不重复计分</w:t>
            </w:r>
            <w:r>
              <w:rPr>
                <w:rFonts w:hint="eastAsia" w:ascii="宋体" w:hAnsi="宋体" w:eastAsia="宋体" w:cs="宋体"/>
                <w:sz w:val="21"/>
                <w:szCs w:val="21"/>
                <w:lang w:val="en-US" w:eastAsia="zh-CN"/>
              </w:rPr>
              <w:t>，</w:t>
            </w:r>
            <w:r>
              <w:rPr>
                <w:rFonts w:hint="eastAsia" w:ascii="宋体" w:hAnsi="宋体" w:cs="宋体"/>
                <w:b/>
                <w:bCs/>
                <w:sz w:val="21"/>
                <w:szCs w:val="21"/>
                <w:lang w:val="en-US" w:eastAsia="zh-CN"/>
              </w:rPr>
              <w:t>非延续供应商不得分</w:t>
            </w:r>
            <w:r>
              <w:rPr>
                <w:rFonts w:hint="eastAsia" w:ascii="宋体" w:hAnsi="宋体" w:cs="宋体"/>
                <w:sz w:val="21"/>
                <w:szCs w:val="21"/>
                <w:lang w:val="en-US" w:eastAsia="zh-CN"/>
              </w:rPr>
              <w:t>。投标文件提供</w:t>
            </w:r>
            <w:r>
              <w:rPr>
                <w:rFonts w:hint="eastAsia" w:ascii="宋体" w:hAnsi="宋体" w:eastAsia="宋体" w:cs="宋体"/>
                <w:sz w:val="21"/>
                <w:szCs w:val="21"/>
                <w:lang w:eastAsia="zh-CN"/>
              </w:rPr>
              <w:t>所属政府职能部门</w:t>
            </w:r>
            <w:r>
              <w:rPr>
                <w:rFonts w:hint="eastAsia" w:ascii="宋体" w:hAnsi="宋体" w:eastAsia="宋体" w:cs="宋体"/>
                <w:sz w:val="21"/>
                <w:szCs w:val="21"/>
                <w:lang w:val="en-US" w:eastAsia="zh-CN"/>
              </w:rPr>
              <w:t>盖章认可的证明文件</w:t>
            </w:r>
            <w:r>
              <w:rPr>
                <w:rFonts w:hint="eastAsia" w:ascii="宋体" w:hAnsi="宋体" w:cs="宋体"/>
                <w:sz w:val="21"/>
                <w:szCs w:val="21"/>
                <w:lang w:val="en-US" w:eastAsia="zh-CN"/>
              </w:rPr>
              <w:t>，</w:t>
            </w:r>
            <w:r>
              <w:rPr>
                <w:rFonts w:hint="eastAsia" w:ascii="宋体" w:hAnsi="宋体" w:cs="宋体"/>
                <w:b/>
                <w:bCs/>
                <w:sz w:val="21"/>
                <w:szCs w:val="21"/>
                <w:lang w:val="en-US" w:eastAsia="zh-CN"/>
              </w:rPr>
              <w:t>跨页盖章不得分。</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1"/>
                <w:szCs w:val="21"/>
                <w:lang w:eastAsia="zh-CN"/>
              </w:rPr>
            </w:pPr>
            <w:r>
              <w:rPr>
                <w:rFonts w:hint="eastAsia" w:ascii="宋体" w:hAnsi="宋体" w:cs="宋体"/>
                <w:b/>
                <w:bCs/>
                <w:color w:val="000000"/>
                <w:kern w:val="0"/>
                <w:sz w:val="21"/>
                <w:szCs w:val="21"/>
                <w:lang w:val="en-US" w:eastAsia="zh-CN" w:bidi="ar"/>
              </w:rPr>
              <w:t>（开标时提供原件：①该项目中标通知书；②该项目入围协议；③该项目入围延续协议；④</w:t>
            </w:r>
            <w:r>
              <w:rPr>
                <w:rFonts w:hint="eastAsia" w:ascii="宋体" w:hAnsi="宋体" w:eastAsia="宋体" w:cs="宋体"/>
                <w:b/>
                <w:bCs/>
                <w:sz w:val="21"/>
                <w:szCs w:val="21"/>
                <w:lang w:eastAsia="zh-CN"/>
              </w:rPr>
              <w:t>政府职能部门</w:t>
            </w:r>
            <w:r>
              <w:rPr>
                <w:rFonts w:hint="eastAsia" w:ascii="宋体" w:hAnsi="宋体" w:eastAsia="宋体" w:cs="宋体"/>
                <w:b/>
                <w:bCs/>
                <w:sz w:val="21"/>
                <w:szCs w:val="21"/>
                <w:lang w:val="en-US" w:eastAsia="zh-CN"/>
              </w:rPr>
              <w:t>盖章认可的证明文件</w:t>
            </w:r>
            <w:r>
              <w:rPr>
                <w:rFonts w:hint="eastAsia" w:ascii="宋体" w:hAnsi="宋体" w:cs="宋体"/>
                <w:b/>
                <w:bCs/>
                <w:sz w:val="21"/>
                <w:szCs w:val="21"/>
                <w:lang w:val="en-US" w:eastAsia="zh-CN"/>
              </w:rPr>
              <w:t>。</w:t>
            </w:r>
            <w:r>
              <w:rPr>
                <w:rFonts w:hint="eastAsia" w:ascii="宋体" w:hAnsi="宋体" w:cs="宋体"/>
                <w:b/>
                <w:bCs/>
                <w:color w:val="000000"/>
                <w:kern w:val="0"/>
                <w:sz w:val="21"/>
                <w:szCs w:val="21"/>
                <w:lang w:val="en-US" w:eastAsia="zh-CN" w:bidi="ar"/>
              </w:rPr>
              <w:t>未提供原件或缺少任一原件或非投标人所有的本项均不得分）</w:t>
            </w:r>
          </w:p>
        </w:tc>
      </w:tr>
    </w:tbl>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outlineLvl w:val="1"/>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说明：</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1、在投标文件中，投标人需提供上述证书或相关证明文件的复印件并加盖公章及法人代表人章或授权代表人签字，采购人在发布拟中标公告前，对评标委员会推荐的中标候选人所提供的证书及证明文件进行复核，中标候选人应在规定的时间内将原件送达采购人指定的地点（采购人电话通知），在规定的时间内未提供或上述证书及相关证明文件存在弄虚作假的，取消中标资格；由第二中标候选人进行替补，以此类推。</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2.根据《关于政府采购支持监狱企业发展有关问题的通知》（财库[2014]68号）的规定，投标人如为监狱企业并提交相关证明材料的，视同小型、微型企业；</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3.根据《关于促进残疾人就业政府采购政策的通知》（财库[2017]141号）的规定，投标人如为残疾人福利性单位并提交《残疾人福利性单位声明函》的，视同小型、微型企业；</w:t>
      </w:r>
    </w:p>
    <w:p>
      <w:pPr>
        <w:pageBreakBefore w:val="0"/>
        <w:numPr>
          <w:ilvl w:val="0"/>
          <w:numId w:val="0"/>
        </w:numPr>
        <w:kinsoku/>
        <w:overflowPunct/>
        <w:topLinePunct w:val="0"/>
        <w:bidi w:val="0"/>
        <w:spacing w:line="500" w:lineRule="exact"/>
        <w:ind w:firstLine="482" w:firstLineChars="200"/>
        <w:rPr>
          <w:rFonts w:hint="eastAsia" w:asciiTheme="majorEastAsia" w:hAnsiTheme="majorEastAsia" w:eastAsiaTheme="majorEastAsia" w:cstheme="majorEastAsia"/>
          <w:b/>
          <w:bCs/>
          <w:color w:val="auto"/>
          <w:sz w:val="24"/>
          <w:szCs w:val="24"/>
          <w:highlight w:val="none"/>
          <w:lang w:val="en-US" w:eastAsia="zh-CN"/>
        </w:rPr>
      </w:pPr>
      <w:r>
        <w:rPr>
          <w:rFonts w:hint="eastAsia" w:asciiTheme="majorEastAsia" w:hAnsiTheme="majorEastAsia" w:eastAsiaTheme="majorEastAsia" w:cstheme="majorEastAsia"/>
          <w:b/>
          <w:bCs/>
          <w:color w:val="auto"/>
          <w:sz w:val="24"/>
          <w:szCs w:val="24"/>
          <w:highlight w:val="none"/>
          <w:lang w:val="en-US" w:eastAsia="zh-CN"/>
        </w:rPr>
        <w:t>4.残疾人福利性单位属于小型、微型企业的，不重复享受政策。</w:t>
      </w:r>
    </w:p>
    <w:p>
      <w:pPr>
        <w:pStyle w:val="2"/>
        <w:bidi w:val="0"/>
        <w:jc w:val="center"/>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br w:type="page"/>
      </w:r>
      <w:bookmarkStart w:id="50" w:name="_Toc20339"/>
      <w:bookmarkStart w:id="51" w:name="_Toc31135"/>
      <w:bookmarkStart w:id="52" w:name="_Toc1696"/>
      <w:r>
        <w:rPr>
          <w:rStyle w:val="52"/>
          <w:rFonts w:hint="eastAsia"/>
          <w:b/>
          <w:bCs/>
          <w:sz w:val="32"/>
          <w:szCs w:val="32"/>
        </w:rPr>
        <w:t>第五章  拟签订的合同文本</w:t>
      </w:r>
      <w:bookmarkEnd w:id="50"/>
      <w:bookmarkEnd w:id="51"/>
      <w:bookmarkEnd w:id="52"/>
    </w:p>
    <w:p>
      <w:pPr>
        <w:keepNext w:val="0"/>
        <w:keepLines w:val="0"/>
        <w:pageBreakBefore w:val="0"/>
        <w:kinsoku/>
        <w:overflowPunct/>
        <w:topLinePunct w:val="0"/>
        <w:bidi w:val="0"/>
        <w:adjustRightInd/>
        <w:spacing w:line="500" w:lineRule="exact"/>
        <w:jc w:val="center"/>
        <w:outlineLvl w:val="1"/>
        <w:rPr>
          <w:rFonts w:hint="eastAsia" w:asciiTheme="majorEastAsia" w:hAnsiTheme="majorEastAsia" w:eastAsiaTheme="majorEastAsia" w:cstheme="majorEastAsia"/>
          <w:b/>
          <w:bCs/>
          <w:color w:val="auto"/>
          <w:sz w:val="24"/>
          <w:szCs w:val="24"/>
          <w:highlight w:val="none"/>
          <w:vertAlign w:val="subscript"/>
        </w:rPr>
      </w:pPr>
      <w:bookmarkStart w:id="53" w:name="_Toc21267"/>
      <w:r>
        <w:rPr>
          <w:rFonts w:hint="eastAsia" w:asciiTheme="majorEastAsia" w:hAnsiTheme="majorEastAsia" w:eastAsiaTheme="majorEastAsia" w:cstheme="majorEastAsia"/>
          <w:b/>
          <w:bCs/>
          <w:color w:val="auto"/>
          <w:sz w:val="24"/>
          <w:szCs w:val="24"/>
          <w:highlight w:val="none"/>
          <w:lang w:val="en-US" w:eastAsia="zh-CN"/>
        </w:rPr>
        <w:t>杭州市中策职业学校</w:t>
      </w:r>
      <w:r>
        <w:rPr>
          <w:rFonts w:hint="eastAsia" w:asciiTheme="majorEastAsia" w:hAnsiTheme="majorEastAsia" w:eastAsiaTheme="majorEastAsia" w:cstheme="majorEastAsia"/>
          <w:b/>
          <w:bCs/>
          <w:color w:val="auto"/>
          <w:sz w:val="24"/>
          <w:szCs w:val="24"/>
          <w:highlight w:val="none"/>
          <w:lang w:eastAsia="zh-CN"/>
        </w:rPr>
        <w:t>垃圾分类桶</w:t>
      </w:r>
      <w:r>
        <w:rPr>
          <w:rFonts w:hint="eastAsia" w:asciiTheme="majorEastAsia" w:hAnsiTheme="majorEastAsia" w:eastAsiaTheme="majorEastAsia" w:cstheme="majorEastAsia"/>
          <w:b/>
          <w:bCs/>
          <w:color w:val="auto"/>
          <w:sz w:val="24"/>
          <w:szCs w:val="24"/>
          <w:highlight w:val="none"/>
          <w:lang w:val="en-US" w:eastAsia="zh-CN"/>
        </w:rPr>
        <w:t>采购项目</w:t>
      </w:r>
      <w:r>
        <w:rPr>
          <w:rFonts w:hint="eastAsia" w:asciiTheme="majorEastAsia" w:hAnsiTheme="majorEastAsia" w:eastAsiaTheme="majorEastAsia" w:cstheme="majorEastAsia"/>
          <w:b/>
          <w:bCs/>
          <w:color w:val="auto"/>
          <w:sz w:val="24"/>
          <w:szCs w:val="24"/>
          <w:highlight w:val="none"/>
        </w:rPr>
        <w:t>采购合同（国内供货）</w:t>
      </w:r>
      <w:bookmarkEnd w:id="53"/>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pageBreakBefore w:val="0"/>
        <w:numPr>
          <w:ilvl w:val="0"/>
          <w:numId w:val="0"/>
        </w:numPr>
        <w:kinsoku/>
        <w:overflowPunct/>
        <w:topLinePunct w:val="0"/>
        <w:bidi w:val="0"/>
        <w:spacing w:line="500" w:lineRule="exact"/>
        <w:ind w:firstLine="480" w:firstLineChars="200"/>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甲  方：杭州市中策职业学校</w:t>
      </w:r>
    </w:p>
    <w:p>
      <w:pPr>
        <w:pageBreakBefore w:val="0"/>
        <w:numPr>
          <w:ilvl w:val="0"/>
          <w:numId w:val="0"/>
        </w:numPr>
        <w:kinsoku/>
        <w:overflowPunct/>
        <w:topLinePunct w:val="0"/>
        <w:bidi w:val="0"/>
        <w:spacing w:line="500" w:lineRule="exact"/>
        <w:ind w:firstLine="480" w:firstLineChars="200"/>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 xml:space="preserve">乙  方：                                   </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合同编号：</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标书编号：</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项目名称：</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需求部门：</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经费来源：</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经费代码：</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签约地点：</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根据《中华人民共和国政府采购法》、《中华人民共和国合同法》等有关法律法规精神，杭州市拱墅区人民政府祥符街道办事处（甲方）经过</w:t>
      </w:r>
      <w:r>
        <w:rPr>
          <w:rFonts w:hint="eastAsia" w:asciiTheme="majorEastAsia" w:hAnsiTheme="majorEastAsia" w:eastAsiaTheme="majorEastAsia" w:cstheme="majorEastAsia"/>
          <w:color w:val="auto"/>
          <w:sz w:val="24"/>
          <w:szCs w:val="24"/>
          <w:highlight w:val="none"/>
          <w:u w:val="single"/>
          <w:lang w:val="en-US" w:eastAsia="zh-CN"/>
        </w:rPr>
        <w:t xml:space="preserve"> 公开招标 </w:t>
      </w:r>
      <w:r>
        <w:rPr>
          <w:rFonts w:hint="eastAsia" w:asciiTheme="majorEastAsia" w:hAnsiTheme="majorEastAsia" w:eastAsiaTheme="majorEastAsia" w:cstheme="majorEastAsia"/>
          <w:color w:val="auto"/>
          <w:sz w:val="24"/>
          <w:szCs w:val="24"/>
          <w:highlight w:val="none"/>
          <w:lang w:val="en-US" w:eastAsia="zh-CN"/>
        </w:rPr>
        <w:t xml:space="preserve">采购方式，确定          </w:t>
      </w:r>
      <w:r>
        <w:rPr>
          <w:rFonts w:hint="eastAsia" w:asciiTheme="majorEastAsia" w:hAnsiTheme="majorEastAsia" w:eastAsiaTheme="majorEastAsia" w:cstheme="majorEastAsia"/>
          <w:color w:val="auto"/>
          <w:sz w:val="24"/>
          <w:szCs w:val="24"/>
          <w:highlight w:val="none"/>
          <w:u w:val="single"/>
          <w:lang w:val="en-US" w:eastAsia="zh-CN"/>
        </w:rPr>
        <w:t>（乙方）</w:t>
      </w:r>
      <w:r>
        <w:rPr>
          <w:rFonts w:hint="eastAsia" w:asciiTheme="majorEastAsia" w:hAnsiTheme="majorEastAsia" w:eastAsiaTheme="majorEastAsia" w:cstheme="majorEastAsia"/>
          <w:color w:val="auto"/>
          <w:sz w:val="24"/>
          <w:szCs w:val="24"/>
          <w:highlight w:val="none"/>
          <w:lang w:val="en-US" w:eastAsia="zh-CN"/>
        </w:rPr>
        <w:t>为供货单位，双方经协商达成以下条款：</w:t>
      </w: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54" w:name="_Toc12947"/>
      <w:r>
        <w:rPr>
          <w:rFonts w:hint="eastAsia" w:asciiTheme="majorEastAsia" w:hAnsiTheme="majorEastAsia" w:eastAsiaTheme="majorEastAsia" w:cstheme="majorEastAsia"/>
          <w:color w:val="auto"/>
          <w:sz w:val="24"/>
          <w:szCs w:val="24"/>
          <w:highlight w:val="none"/>
          <w:lang w:val="en-US" w:eastAsia="zh-CN"/>
        </w:rPr>
        <w:t>第一条：采购货物配置清单及合同价                      金额单位：元（人民币）</w:t>
      </w:r>
      <w:bookmarkEnd w:id="54"/>
    </w:p>
    <w:tbl>
      <w:tblPr>
        <w:tblStyle w:val="2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51"/>
        <w:gridCol w:w="907"/>
        <w:gridCol w:w="901"/>
        <w:gridCol w:w="1415"/>
        <w:gridCol w:w="1158"/>
        <w:gridCol w:w="1415"/>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编号</w:t>
            </w:r>
          </w:p>
        </w:tc>
        <w:tc>
          <w:tcPr>
            <w:tcW w:w="1151"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产品名称</w:t>
            </w: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型号</w:t>
            </w: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数量</w:t>
            </w: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单价</w:t>
            </w:r>
          </w:p>
        </w:tc>
        <w:tc>
          <w:tcPr>
            <w:tcW w:w="1158"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合计价格</w:t>
            </w: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预算号</w:t>
            </w:r>
          </w:p>
        </w:tc>
        <w:tc>
          <w:tcPr>
            <w:tcW w:w="1543"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执行号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1151"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1158" w:type="dxa"/>
            <w:tcBorders>
              <w:top w:val="single" w:color="auto" w:sz="4" w:space="0"/>
              <w:left w:val="single" w:color="auto" w:sz="4" w:space="0"/>
              <w:bottom w:val="single" w:color="auto" w:sz="4" w:space="0"/>
              <w:right w:val="single" w:color="auto" w:sz="4" w:space="0"/>
              <w:tl2br w:val="nil"/>
              <w:tr2bl w:val="nil"/>
            </w:tcBorders>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1415" w:type="dxa"/>
            <w:tcBorders>
              <w:top w:val="single" w:color="auto" w:sz="4" w:space="0"/>
              <w:left w:val="single" w:color="auto" w:sz="4" w:space="0"/>
              <w:bottom w:val="single" w:color="auto" w:sz="4" w:space="0"/>
              <w:right w:val="single" w:color="auto" w:sz="4" w:space="0"/>
              <w:tl2br w:val="nil"/>
              <w:tr2bl w:val="nil"/>
            </w:tcBorders>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1543" w:type="dxa"/>
            <w:tcBorders>
              <w:top w:val="single" w:color="auto" w:sz="4" w:space="0"/>
              <w:left w:val="single" w:color="auto" w:sz="4" w:space="0"/>
              <w:bottom w:val="single" w:color="auto" w:sz="4" w:space="0"/>
              <w:right w:val="single" w:color="auto" w:sz="4" w:space="0"/>
              <w:tl2br w:val="nil"/>
              <w:tr2bl w:val="nil"/>
            </w:tcBorders>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1151"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1158" w:type="dxa"/>
            <w:tcBorders>
              <w:top w:val="single" w:color="auto" w:sz="4" w:space="0"/>
              <w:left w:val="single" w:color="auto" w:sz="4" w:space="0"/>
              <w:bottom w:val="single" w:color="auto" w:sz="4" w:space="0"/>
              <w:right w:val="single" w:color="auto" w:sz="4" w:space="0"/>
              <w:tl2br w:val="nil"/>
              <w:tr2bl w:val="nil"/>
            </w:tcBorders>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1415" w:type="dxa"/>
            <w:tcBorders>
              <w:top w:val="single" w:color="auto" w:sz="4" w:space="0"/>
              <w:left w:val="single" w:color="auto" w:sz="4" w:space="0"/>
              <w:bottom w:val="single" w:color="auto" w:sz="4" w:space="0"/>
              <w:right w:val="single" w:color="auto" w:sz="4" w:space="0"/>
              <w:tl2br w:val="nil"/>
              <w:tr2bl w:val="nil"/>
            </w:tcBorders>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c>
          <w:tcPr>
            <w:tcW w:w="1543" w:type="dxa"/>
            <w:tcBorders>
              <w:top w:val="single" w:color="auto" w:sz="4" w:space="0"/>
              <w:left w:val="single" w:color="auto" w:sz="4" w:space="0"/>
              <w:bottom w:val="single" w:color="auto" w:sz="4" w:space="0"/>
              <w:right w:val="single" w:color="auto" w:sz="4" w:space="0"/>
              <w:tl2br w:val="nil"/>
              <w:tr2bl w:val="nil"/>
            </w:tcBorders>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0" w:type="dxa"/>
            <w:gridSpan w:val="8"/>
            <w:tcBorders>
              <w:top w:val="single" w:color="auto" w:sz="4" w:space="0"/>
              <w:left w:val="single" w:color="auto" w:sz="4" w:space="0"/>
              <w:bottom w:val="single" w:color="auto" w:sz="4" w:space="0"/>
              <w:right w:val="single" w:color="auto" w:sz="4" w:space="0"/>
              <w:tl2br w:val="nil"/>
              <w:tr2bl w:val="nil"/>
            </w:tcBorders>
          </w:tcPr>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合同总价人民币（大写）：                           ￥       。</w:t>
            </w:r>
          </w:p>
        </w:tc>
      </w:tr>
    </w:tbl>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注：1．设备型号、数量、配置要求等详见配置清单。</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2．以上合同总价包括运抵各使用单位的运费及发放、台账登记等所有费用。</w:t>
      </w: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55" w:name="_Toc18540"/>
      <w:r>
        <w:rPr>
          <w:rFonts w:hint="eastAsia" w:asciiTheme="majorEastAsia" w:hAnsiTheme="majorEastAsia" w:eastAsiaTheme="majorEastAsia" w:cstheme="majorEastAsia"/>
          <w:color w:val="auto"/>
          <w:sz w:val="24"/>
          <w:szCs w:val="24"/>
          <w:highlight w:val="none"/>
          <w:lang w:val="en-US" w:eastAsia="zh-CN"/>
        </w:rPr>
        <w:t>第二条：质量保证</w:t>
      </w:r>
      <w:bookmarkEnd w:id="55"/>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乙方保证本合同中所供应的国产商品是</w:t>
      </w:r>
      <w:r>
        <w:rPr>
          <w:rFonts w:hint="eastAsia" w:asciiTheme="majorEastAsia" w:hAnsiTheme="majorEastAsia" w:eastAsiaTheme="majorEastAsia" w:cstheme="majorEastAsia"/>
          <w:color w:val="auto"/>
          <w:sz w:val="24"/>
          <w:szCs w:val="24"/>
          <w:highlight w:val="none"/>
          <w:u w:val="single"/>
          <w:lang w:val="en-US" w:eastAsia="zh-CN"/>
        </w:rPr>
        <w:t xml:space="preserve"> 2020 </w:t>
      </w:r>
      <w:r>
        <w:rPr>
          <w:rFonts w:hint="eastAsia" w:asciiTheme="majorEastAsia" w:hAnsiTheme="majorEastAsia" w:eastAsiaTheme="majorEastAsia" w:cstheme="majorEastAsia"/>
          <w:color w:val="auto"/>
          <w:sz w:val="24"/>
          <w:szCs w:val="24"/>
          <w:highlight w:val="none"/>
          <w:lang w:val="en-US" w:eastAsia="zh-CN"/>
        </w:rPr>
        <w:t xml:space="preserve"> 年生产的，符合国家技术规格和质量标准的出厂原装合格产品。如发生所供商品与合同不符，甲方有权拒收或退货，由此产生的一切责任和后果由乙方承担。</w:t>
      </w: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56" w:name="_Toc16904"/>
      <w:r>
        <w:rPr>
          <w:rFonts w:hint="eastAsia" w:asciiTheme="majorEastAsia" w:hAnsiTheme="majorEastAsia" w:eastAsiaTheme="majorEastAsia" w:cstheme="majorEastAsia"/>
          <w:color w:val="auto"/>
          <w:sz w:val="24"/>
          <w:szCs w:val="24"/>
          <w:highlight w:val="none"/>
          <w:lang w:val="en-US" w:eastAsia="zh-CN"/>
        </w:rPr>
        <w:t>第三条：交货</w:t>
      </w:r>
      <w:bookmarkEnd w:id="56"/>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1．合同签订后，乙方应将商品安全运至甲方事先指定的地点，乙方负责安装、发放、台账登记，然后交甲方使用者验收，验收期</w:t>
      </w:r>
      <w:r>
        <w:rPr>
          <w:rFonts w:hint="eastAsia" w:asciiTheme="majorEastAsia" w:hAnsiTheme="majorEastAsia" w:eastAsiaTheme="majorEastAsia" w:cstheme="majorEastAsia"/>
          <w:color w:val="auto"/>
          <w:sz w:val="24"/>
          <w:szCs w:val="24"/>
          <w:highlight w:val="none"/>
          <w:u w:val="single"/>
          <w:lang w:val="en-US" w:eastAsia="zh-CN"/>
        </w:rPr>
        <w:t xml:space="preserve">为 15 </w:t>
      </w:r>
      <w:r>
        <w:rPr>
          <w:rFonts w:hint="eastAsia" w:asciiTheme="majorEastAsia" w:hAnsiTheme="majorEastAsia" w:eastAsiaTheme="majorEastAsia" w:cstheme="majorEastAsia"/>
          <w:color w:val="auto"/>
          <w:sz w:val="24"/>
          <w:szCs w:val="24"/>
          <w:highlight w:val="none"/>
          <w:lang w:val="en-US" w:eastAsia="zh-CN"/>
        </w:rPr>
        <w:t>日。</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2．在所提供商品交付使用时，乙方必须向甲方提供产品说明书、质量保证书、保修卡等必须具备的相关资料和必备的附件。并免费提供现场技术示范培训。</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3．交货时间</w:t>
      </w:r>
      <w:r>
        <w:rPr>
          <w:rFonts w:hint="eastAsia" w:asciiTheme="majorEastAsia" w:hAnsiTheme="majorEastAsia" w:eastAsiaTheme="majorEastAsia" w:cstheme="majorEastAsia"/>
          <w:color w:val="auto"/>
          <w:sz w:val="24"/>
          <w:szCs w:val="24"/>
          <w:highlight w:val="none"/>
          <w:u w:val="single"/>
          <w:lang w:val="en-US" w:eastAsia="zh-CN"/>
        </w:rPr>
        <w:t>：                  。</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交货地点</w:t>
      </w:r>
      <w:r>
        <w:rPr>
          <w:rFonts w:hint="eastAsia" w:asciiTheme="majorEastAsia" w:hAnsiTheme="majorEastAsia" w:eastAsiaTheme="majorEastAsia" w:cstheme="majorEastAsia"/>
          <w:color w:val="auto"/>
          <w:sz w:val="24"/>
          <w:szCs w:val="24"/>
          <w:highlight w:val="none"/>
          <w:u w:val="single"/>
          <w:lang w:val="en-US" w:eastAsia="zh-CN"/>
        </w:rPr>
        <w:t>：                   。</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u w:val="single"/>
          <w:lang w:val="en-US" w:eastAsia="zh-CN"/>
        </w:rPr>
      </w:pPr>
      <w:r>
        <w:rPr>
          <w:rFonts w:hint="eastAsia" w:asciiTheme="majorEastAsia" w:hAnsiTheme="majorEastAsia" w:eastAsiaTheme="majorEastAsia" w:cstheme="majorEastAsia"/>
          <w:color w:val="auto"/>
          <w:sz w:val="24"/>
          <w:szCs w:val="24"/>
          <w:highlight w:val="none"/>
          <w:lang w:val="en-US" w:eastAsia="zh-CN"/>
        </w:rPr>
        <w:t>使用方联系人及联系方式</w:t>
      </w:r>
      <w:r>
        <w:rPr>
          <w:rFonts w:hint="eastAsia" w:asciiTheme="majorEastAsia" w:hAnsiTheme="majorEastAsia" w:eastAsiaTheme="majorEastAsia" w:cstheme="majorEastAsia"/>
          <w:color w:val="auto"/>
          <w:sz w:val="24"/>
          <w:szCs w:val="24"/>
          <w:highlight w:val="none"/>
          <w:u w:val="single"/>
          <w:lang w:val="en-US" w:eastAsia="zh-CN"/>
        </w:rPr>
        <w:t>：                             。</w:t>
      </w: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57" w:name="_Toc23342"/>
      <w:r>
        <w:rPr>
          <w:rFonts w:hint="eastAsia" w:asciiTheme="majorEastAsia" w:hAnsiTheme="majorEastAsia" w:eastAsiaTheme="majorEastAsia" w:cstheme="majorEastAsia"/>
          <w:color w:val="auto"/>
          <w:sz w:val="24"/>
          <w:szCs w:val="24"/>
          <w:highlight w:val="none"/>
          <w:lang w:val="en-US" w:eastAsia="zh-CN"/>
        </w:rPr>
        <w:t>第四条：售后服务</w:t>
      </w:r>
      <w:bookmarkEnd w:id="57"/>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1．合同商品（系统）的质保期从验收合格之日起为</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lang w:val="en-US" w:eastAsia="zh-CN"/>
        </w:rPr>
        <w:t>年。质保期满后，乙方仍提供维修和调换、更换服务，收取成本费。</w:t>
      </w:r>
    </w:p>
    <w:p>
      <w:pPr>
        <w:pageBreakBefore w:val="0"/>
        <w:numPr>
          <w:ilvl w:val="0"/>
          <w:numId w:val="0"/>
        </w:numPr>
        <w:kinsoku/>
        <w:overflowPunct/>
        <w:topLinePunct w:val="0"/>
        <w:bidi w:val="0"/>
        <w:spacing w:line="500" w:lineRule="exact"/>
        <w:ind w:firstLine="480" w:firstLineChars="200"/>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2．其它优惠条件</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lang w:val="en-US" w:eastAsia="zh-CN"/>
        </w:rPr>
        <w:t>。</w:t>
      </w: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58" w:name="_Toc6011"/>
      <w:r>
        <w:rPr>
          <w:rFonts w:hint="eastAsia" w:asciiTheme="majorEastAsia" w:hAnsiTheme="majorEastAsia" w:eastAsiaTheme="majorEastAsia" w:cstheme="majorEastAsia"/>
          <w:color w:val="auto"/>
          <w:sz w:val="24"/>
          <w:szCs w:val="24"/>
          <w:highlight w:val="none"/>
          <w:lang w:val="en-US" w:eastAsia="zh-CN"/>
        </w:rPr>
        <w:t>第五条：验收</w:t>
      </w:r>
      <w:bookmarkEnd w:id="58"/>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1．乙方将所供商品运至交货地点拆箱并发放、台账登记完毕后，由甲方使用者当场负责验收。</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2．合同商品从验收合格之日起 30 日内，出现非使用方人为因素造成的无法排除的故障或破损的由乙方予以调换。</w:t>
      </w: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59" w:name="_Toc15942"/>
      <w:r>
        <w:rPr>
          <w:rFonts w:hint="eastAsia" w:asciiTheme="majorEastAsia" w:hAnsiTheme="majorEastAsia" w:eastAsiaTheme="majorEastAsia" w:cstheme="majorEastAsia"/>
          <w:color w:val="auto"/>
          <w:sz w:val="24"/>
          <w:szCs w:val="24"/>
          <w:highlight w:val="none"/>
          <w:lang w:val="en-US" w:eastAsia="zh-CN"/>
        </w:rPr>
        <w:t>第六条：履约保证金</w:t>
      </w:r>
      <w:bookmarkEnd w:id="59"/>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乙方在合同签订后7个工作日内，须向甲方交纳中标总金额的5%作为履约保证金。履约保证金在设备验收合格后24</w:t>
      </w:r>
      <w:bookmarkStart w:id="161" w:name="_GoBack"/>
      <w:bookmarkEnd w:id="161"/>
      <w:r>
        <w:rPr>
          <w:rFonts w:hint="eastAsia" w:asciiTheme="majorEastAsia" w:hAnsiTheme="majorEastAsia" w:eastAsiaTheme="majorEastAsia" w:cstheme="majorEastAsia"/>
          <w:color w:val="auto"/>
          <w:sz w:val="24"/>
          <w:szCs w:val="24"/>
          <w:highlight w:val="none"/>
          <w:lang w:val="en-US" w:eastAsia="zh-CN"/>
        </w:rPr>
        <w:t>个月，无发现有质量问题和维护问题，凭乙方开具的正规收据全额无息退还。</w:t>
      </w: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60" w:name="_Toc7684"/>
      <w:r>
        <w:rPr>
          <w:rFonts w:hint="eastAsia" w:asciiTheme="majorEastAsia" w:hAnsiTheme="majorEastAsia" w:eastAsiaTheme="majorEastAsia" w:cstheme="majorEastAsia"/>
          <w:color w:val="auto"/>
          <w:sz w:val="24"/>
          <w:szCs w:val="24"/>
          <w:highlight w:val="none"/>
          <w:lang w:val="en-US" w:eastAsia="zh-CN"/>
        </w:rPr>
        <w:t>第七条：货款的支付</w:t>
      </w:r>
      <w:bookmarkEnd w:id="60"/>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1．合同生效、具备支付条件后15天内，甲方凭乙方开具的发票支付30%预付款给乙方，甲、乙双方另有注明的除外。</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2．乙方按照甲方要求将货物送至各个使用点并安装调试，经验收合格。</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3．乙方向甲方开具符合法律、法规规范及行业要求的真实、有效的增值税普通发票（进口免税产品须提供免表及报关单并符合税务部门的相关开票规定）。</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4．甲方凭乙方的供货发票，验收单、入库单等支付凭证办理相关支付手续，向乙方付清全部合同款。</w:t>
      </w: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61" w:name="_Toc3291"/>
      <w:r>
        <w:rPr>
          <w:rFonts w:hint="eastAsia" w:asciiTheme="majorEastAsia" w:hAnsiTheme="majorEastAsia" w:eastAsiaTheme="majorEastAsia" w:cstheme="majorEastAsia"/>
          <w:color w:val="auto"/>
          <w:sz w:val="24"/>
          <w:szCs w:val="24"/>
          <w:highlight w:val="none"/>
          <w:lang w:val="en-US" w:eastAsia="zh-CN"/>
        </w:rPr>
        <w:t>第八条：违约责任</w:t>
      </w:r>
      <w:bookmarkEnd w:id="61"/>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1．乙方无正当理由逾期履行合同的，自逾期之日起，向甲方每日偿付合同总价款0.05%（计￥</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lang w:val="en-US" w:eastAsia="zh-CN"/>
        </w:rPr>
        <w:t>元）的违约金。</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2．甲方无正当理由逾期支付货款的，自逾期之日起，向乙方每日偿付合同总价款0.05%（计￥</w:t>
      </w:r>
      <w:r>
        <w:rPr>
          <w:rFonts w:hint="eastAsia" w:asciiTheme="majorEastAsia" w:hAnsiTheme="majorEastAsia" w:eastAsiaTheme="majorEastAsia" w:cstheme="majorEastAsia"/>
          <w:color w:val="auto"/>
          <w:sz w:val="24"/>
          <w:szCs w:val="24"/>
          <w:highlight w:val="none"/>
          <w:u w:val="single"/>
          <w:lang w:val="en-US" w:eastAsia="zh-CN"/>
        </w:rPr>
        <w:t xml:space="preserve">       </w:t>
      </w:r>
      <w:r>
        <w:rPr>
          <w:rFonts w:hint="eastAsia" w:asciiTheme="majorEastAsia" w:hAnsiTheme="majorEastAsia" w:eastAsiaTheme="majorEastAsia" w:cstheme="majorEastAsia"/>
          <w:color w:val="auto"/>
          <w:sz w:val="24"/>
          <w:szCs w:val="24"/>
          <w:highlight w:val="none"/>
          <w:lang w:val="en-US" w:eastAsia="zh-CN"/>
        </w:rPr>
        <w:t>元）的违约金。</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3．如乙方在合同生效后未能按合同约定的交货时间供货或未能如期履行合同规定的其他内容，甲方有权没收乙方交纳的履约保证金。</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4．乙方应保证甲方所采购的商品及其任何一部分，在使用时不受第三方提出侵犯其专利权、版权、商标权或其他权利的起诉。一旦出现侵权，乙方应承担全部责任。</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5．乙方在商品交付验收合格之日起壹年内违反本合同有关质量保证及售后服务的，甲方没收乙方所交的履约保证金，损失不足部分的赔偿由乙方承担；在商品交付验收合格之日起壹年后发生质量或维护问题的，乙方应承担损失赔偿责任，如有争议，则按本合同第九条处理。</w:t>
      </w: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62" w:name="_Toc14035"/>
      <w:r>
        <w:rPr>
          <w:rFonts w:hint="eastAsia" w:asciiTheme="majorEastAsia" w:hAnsiTheme="majorEastAsia" w:eastAsiaTheme="majorEastAsia" w:cstheme="majorEastAsia"/>
          <w:color w:val="auto"/>
          <w:sz w:val="24"/>
          <w:szCs w:val="24"/>
          <w:highlight w:val="none"/>
          <w:lang w:val="en-US" w:eastAsia="zh-CN"/>
        </w:rPr>
        <w:t>第九条：争议解决</w:t>
      </w:r>
      <w:bookmarkEnd w:id="62"/>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本合同在发生所供商品的质量、售后服务等问题时，各使用方有权直接向乙方索赔，签订必要的书面处理协议。如协商不成，向</w:t>
      </w:r>
      <w:r>
        <w:rPr>
          <w:rFonts w:hint="eastAsia" w:asciiTheme="majorEastAsia" w:hAnsiTheme="majorEastAsia" w:eastAsiaTheme="majorEastAsia" w:cstheme="majorEastAsia"/>
          <w:color w:val="auto"/>
          <w:sz w:val="24"/>
          <w:szCs w:val="24"/>
          <w:highlight w:val="none"/>
          <w:u w:val="single"/>
          <w:lang w:val="en-US" w:eastAsia="zh-CN"/>
        </w:rPr>
        <w:t>甲方所在地人民法院</w:t>
      </w:r>
      <w:r>
        <w:rPr>
          <w:rFonts w:hint="eastAsia" w:asciiTheme="majorEastAsia" w:hAnsiTheme="majorEastAsia" w:eastAsiaTheme="majorEastAsia" w:cstheme="majorEastAsia"/>
          <w:color w:val="auto"/>
          <w:sz w:val="24"/>
          <w:szCs w:val="24"/>
          <w:highlight w:val="none"/>
          <w:lang w:val="en-US" w:eastAsia="zh-CN"/>
        </w:rPr>
        <w:t>提起诉讼解决。</w:t>
      </w: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63" w:name="_Toc13152"/>
      <w:r>
        <w:rPr>
          <w:rFonts w:hint="eastAsia" w:asciiTheme="majorEastAsia" w:hAnsiTheme="majorEastAsia" w:eastAsiaTheme="majorEastAsia" w:cstheme="majorEastAsia"/>
          <w:color w:val="auto"/>
          <w:sz w:val="24"/>
          <w:szCs w:val="24"/>
          <w:highlight w:val="none"/>
          <w:lang w:val="en-US" w:eastAsia="zh-CN"/>
        </w:rPr>
        <w:t>第十条：双方约定的其他事项</w:t>
      </w:r>
      <w:bookmarkEnd w:id="63"/>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p>
      <w:pPr>
        <w:pageBreakBefore w:val="0"/>
        <w:numPr>
          <w:ilvl w:val="0"/>
          <w:numId w:val="0"/>
        </w:numPr>
        <w:kinsoku/>
        <w:overflowPunct/>
        <w:topLinePunct w:val="0"/>
        <w:bidi w:val="0"/>
        <w:spacing w:line="500" w:lineRule="exact"/>
        <w:ind w:firstLine="480" w:firstLineChars="200"/>
        <w:outlineLvl w:val="1"/>
        <w:rPr>
          <w:rFonts w:hint="eastAsia" w:asciiTheme="majorEastAsia" w:hAnsiTheme="majorEastAsia" w:eastAsiaTheme="majorEastAsia" w:cstheme="majorEastAsia"/>
          <w:color w:val="auto"/>
          <w:sz w:val="24"/>
          <w:szCs w:val="24"/>
          <w:highlight w:val="none"/>
          <w:lang w:val="en-US" w:eastAsia="zh-CN"/>
        </w:rPr>
      </w:pPr>
      <w:bookmarkStart w:id="64" w:name="_Toc29837"/>
      <w:r>
        <w:rPr>
          <w:rFonts w:hint="eastAsia" w:asciiTheme="majorEastAsia" w:hAnsiTheme="majorEastAsia" w:eastAsiaTheme="majorEastAsia" w:cstheme="majorEastAsia"/>
          <w:color w:val="auto"/>
          <w:sz w:val="24"/>
          <w:szCs w:val="24"/>
          <w:highlight w:val="none"/>
          <w:lang w:val="en-US" w:eastAsia="zh-CN"/>
        </w:rPr>
        <w:t>第十一条：合同生效</w:t>
      </w:r>
      <w:bookmarkEnd w:id="64"/>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1．本合同经双方法定代表人或其授权委托人签字并加盖双方公章后生效。</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2．本合同一式</w:t>
      </w:r>
      <w:r>
        <w:rPr>
          <w:rFonts w:hint="eastAsia" w:asciiTheme="majorEastAsia" w:hAnsiTheme="majorEastAsia" w:eastAsiaTheme="majorEastAsia" w:cstheme="majorEastAsia"/>
          <w:color w:val="auto"/>
          <w:sz w:val="24"/>
          <w:szCs w:val="24"/>
          <w:highlight w:val="none"/>
          <w:u w:val="single"/>
          <w:lang w:val="en-US" w:eastAsia="zh-CN"/>
        </w:rPr>
        <w:t xml:space="preserve">  陆  </w:t>
      </w:r>
      <w:r>
        <w:rPr>
          <w:rFonts w:hint="eastAsia" w:asciiTheme="majorEastAsia" w:hAnsiTheme="majorEastAsia" w:eastAsiaTheme="majorEastAsia" w:cstheme="majorEastAsia"/>
          <w:color w:val="auto"/>
          <w:sz w:val="24"/>
          <w:szCs w:val="24"/>
          <w:highlight w:val="none"/>
          <w:lang w:val="en-US" w:eastAsia="zh-CN"/>
        </w:rPr>
        <w:t>份，甲方执</w:t>
      </w:r>
      <w:r>
        <w:rPr>
          <w:rFonts w:hint="eastAsia" w:asciiTheme="majorEastAsia" w:hAnsiTheme="majorEastAsia" w:eastAsiaTheme="majorEastAsia" w:cstheme="majorEastAsia"/>
          <w:color w:val="auto"/>
          <w:sz w:val="24"/>
          <w:szCs w:val="24"/>
          <w:highlight w:val="none"/>
          <w:u w:val="single"/>
          <w:lang w:val="en-US" w:eastAsia="zh-CN"/>
        </w:rPr>
        <w:t xml:space="preserve"> 肆 </w:t>
      </w:r>
      <w:r>
        <w:rPr>
          <w:rFonts w:hint="eastAsia" w:asciiTheme="majorEastAsia" w:hAnsiTheme="majorEastAsia" w:eastAsiaTheme="majorEastAsia" w:cstheme="majorEastAsia"/>
          <w:color w:val="auto"/>
          <w:sz w:val="24"/>
          <w:szCs w:val="24"/>
          <w:highlight w:val="none"/>
          <w:lang w:val="en-US" w:eastAsia="zh-CN"/>
        </w:rPr>
        <w:t>份，乙方执</w:t>
      </w:r>
      <w:r>
        <w:rPr>
          <w:rFonts w:hint="eastAsia" w:asciiTheme="majorEastAsia" w:hAnsiTheme="majorEastAsia" w:eastAsiaTheme="majorEastAsia" w:cstheme="majorEastAsia"/>
          <w:color w:val="auto"/>
          <w:sz w:val="24"/>
          <w:szCs w:val="24"/>
          <w:highlight w:val="none"/>
          <w:u w:val="single"/>
          <w:lang w:val="en-US" w:eastAsia="zh-CN"/>
        </w:rPr>
        <w:t xml:space="preserve"> 壹  </w:t>
      </w:r>
      <w:r>
        <w:rPr>
          <w:rFonts w:hint="eastAsia" w:asciiTheme="majorEastAsia" w:hAnsiTheme="majorEastAsia" w:eastAsiaTheme="majorEastAsia" w:cstheme="majorEastAsia"/>
          <w:color w:val="auto"/>
          <w:sz w:val="24"/>
          <w:szCs w:val="24"/>
          <w:highlight w:val="none"/>
          <w:lang w:val="en-US" w:eastAsia="zh-CN"/>
        </w:rPr>
        <w:t>份，招标代理公司执</w:t>
      </w:r>
      <w:r>
        <w:rPr>
          <w:rFonts w:hint="eastAsia" w:asciiTheme="majorEastAsia" w:hAnsiTheme="majorEastAsia" w:eastAsiaTheme="majorEastAsia" w:cstheme="majorEastAsia"/>
          <w:color w:val="auto"/>
          <w:sz w:val="24"/>
          <w:szCs w:val="24"/>
          <w:highlight w:val="none"/>
          <w:u w:val="single"/>
          <w:lang w:val="en-US" w:eastAsia="zh-CN"/>
        </w:rPr>
        <w:t xml:space="preserve">  壹  </w:t>
      </w:r>
      <w:r>
        <w:rPr>
          <w:rFonts w:hint="eastAsia" w:asciiTheme="majorEastAsia" w:hAnsiTheme="majorEastAsia" w:eastAsiaTheme="majorEastAsia" w:cstheme="majorEastAsia"/>
          <w:color w:val="auto"/>
          <w:sz w:val="24"/>
          <w:szCs w:val="24"/>
          <w:highlight w:val="none"/>
          <w:lang w:val="en-US" w:eastAsia="zh-CN"/>
        </w:rPr>
        <w:t>份</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3．与本合同有关的招标文件、投标文件、询价纪要、澄清回复、补充协议等与本合同具有同等法律效力。除法定条件及程序外，合同、补充协议不得对有关的招标文件、投标文件等作实质性修改；产生歧义或履行中有冲突的以招、投标文件为准。</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甲方（公章）：</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法定代表人或授权委托人：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邮编：311121</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联系人：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电话：0571-</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传真：0571-</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附：开票资料</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纳税人：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地址：</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税号：</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联系电话：</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开户银行：</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账号：</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乙方（公章）：</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法定代表人或授权委托人：纸质合同上必须亲笔签名</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地址：</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邮编：</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联系人：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电话：          手机：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传真：</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开户银行：</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账号：</w:t>
      </w:r>
    </w:p>
    <w:p>
      <w:pPr>
        <w:pageBreakBefore w:val="0"/>
        <w:numPr>
          <w:ilvl w:val="0"/>
          <w:numId w:val="0"/>
        </w:numPr>
        <w:kinsoku/>
        <w:overflowPunct/>
        <w:topLinePunct w:val="0"/>
        <w:bidi w:val="0"/>
        <w:spacing w:line="500" w:lineRule="exact"/>
        <w:ind w:firstLine="4560" w:firstLineChars="1900"/>
        <w:rPr>
          <w:rFonts w:hint="eastAsia" w:asciiTheme="majorEastAsia" w:hAnsiTheme="majorEastAsia" w:eastAsiaTheme="majorEastAsia" w:cstheme="majorEastAsia"/>
          <w:color w:val="auto"/>
          <w:sz w:val="24"/>
          <w:szCs w:val="24"/>
          <w:highlight w:val="none"/>
          <w:lang w:val="en-US" w:eastAsia="zh-CN"/>
        </w:rPr>
      </w:pPr>
    </w:p>
    <w:p>
      <w:pPr>
        <w:pageBreakBefore w:val="0"/>
        <w:numPr>
          <w:ilvl w:val="0"/>
          <w:numId w:val="0"/>
        </w:numPr>
        <w:kinsoku/>
        <w:overflowPunct/>
        <w:topLinePunct w:val="0"/>
        <w:bidi w:val="0"/>
        <w:spacing w:line="500" w:lineRule="exact"/>
        <w:ind w:firstLine="4560" w:firstLineChars="1900"/>
        <w:rPr>
          <w:rFonts w:hint="eastAsia" w:asciiTheme="majorEastAsia" w:hAnsiTheme="majorEastAsia" w:eastAsiaTheme="majorEastAsia" w:cstheme="majorEastAsia"/>
          <w:color w:val="auto"/>
          <w:sz w:val="24"/>
          <w:szCs w:val="24"/>
          <w:highlight w:val="none"/>
          <w:lang w:val="en-US" w:eastAsia="zh-CN"/>
        </w:rPr>
      </w:pPr>
    </w:p>
    <w:p>
      <w:pPr>
        <w:pageBreakBefore w:val="0"/>
        <w:numPr>
          <w:ilvl w:val="0"/>
          <w:numId w:val="0"/>
        </w:numPr>
        <w:kinsoku/>
        <w:overflowPunct/>
        <w:topLinePunct w:val="0"/>
        <w:bidi w:val="0"/>
        <w:spacing w:line="500" w:lineRule="exact"/>
        <w:ind w:firstLine="4560" w:firstLineChars="19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合同签发日期：    年    月    日</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br w:type="page"/>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snapToGrid w:val="0"/>
          <w:color w:val="auto"/>
          <w:sz w:val="24"/>
          <w:szCs w:val="24"/>
          <w:highlight w:val="none"/>
        </w:rPr>
      </w:pPr>
    </w:p>
    <w:p>
      <w:pPr>
        <w:keepNext w:val="0"/>
        <w:keepLines w:val="0"/>
        <w:pageBreakBefore w:val="0"/>
        <w:kinsoku/>
        <w:overflowPunct/>
        <w:topLinePunct w:val="0"/>
        <w:bidi w:val="0"/>
        <w:adjustRightInd/>
        <w:spacing w:line="500" w:lineRule="exact"/>
        <w:jc w:val="center"/>
        <w:outlineLvl w:val="1"/>
        <w:rPr>
          <w:rFonts w:hint="eastAsia" w:asciiTheme="majorEastAsia" w:hAnsiTheme="majorEastAsia" w:eastAsiaTheme="majorEastAsia" w:cstheme="majorEastAsia"/>
          <w:b/>
          <w:snapToGrid w:val="0"/>
          <w:color w:val="auto"/>
          <w:sz w:val="24"/>
          <w:szCs w:val="24"/>
          <w:highlight w:val="none"/>
        </w:rPr>
      </w:pPr>
      <w:bookmarkStart w:id="65" w:name="_Toc23031"/>
      <w:r>
        <w:rPr>
          <w:rFonts w:hint="eastAsia" w:asciiTheme="majorEastAsia" w:hAnsiTheme="majorEastAsia" w:eastAsiaTheme="majorEastAsia" w:cstheme="majorEastAsia"/>
          <w:b/>
          <w:snapToGrid w:val="0"/>
          <w:color w:val="auto"/>
          <w:sz w:val="24"/>
          <w:szCs w:val="24"/>
          <w:highlight w:val="none"/>
        </w:rPr>
        <w:t>配  置  清  单(合同第一条无法罗列的制作此表)</w:t>
      </w:r>
      <w:bookmarkEnd w:id="65"/>
    </w:p>
    <w:tbl>
      <w:tblPr>
        <w:tblStyle w:val="24"/>
        <w:tblW w:w="10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92"/>
        <w:gridCol w:w="850"/>
        <w:gridCol w:w="2268"/>
        <w:gridCol w:w="709"/>
        <w:gridCol w:w="1134"/>
        <w:gridCol w:w="1133"/>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序号</w:t>
            </w: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设备</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名称</w:t>
            </w:r>
          </w:p>
        </w:tc>
        <w:tc>
          <w:tcPr>
            <w:tcW w:w="8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品牌</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型号</w:t>
            </w:r>
          </w:p>
        </w:tc>
        <w:tc>
          <w:tcPr>
            <w:tcW w:w="2268"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产品描述</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（规格和功能）</w:t>
            </w: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数量</w:t>
            </w: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单价</w:t>
            </w:r>
          </w:p>
        </w:tc>
        <w:tc>
          <w:tcPr>
            <w:tcW w:w="113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合计价格</w:t>
            </w:r>
          </w:p>
        </w:tc>
        <w:tc>
          <w:tcPr>
            <w:tcW w:w="1276"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制造商</w:t>
            </w: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8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2268"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276"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8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2268"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276"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8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2268"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276"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8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2268"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276"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8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2268"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276"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8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2268"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276"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85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2268"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276"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c>
          <w:tcPr>
            <w:tcW w:w="1134"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snapToGrid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030" w:type="dxa"/>
            <w:gridSpan w:val="9"/>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snapToGrid w:val="0"/>
                <w:color w:val="auto"/>
                <w:sz w:val="24"/>
                <w:szCs w:val="24"/>
                <w:highlight w:val="none"/>
              </w:rPr>
            </w:pPr>
            <w:r>
              <w:rPr>
                <w:rFonts w:hint="eastAsia" w:asciiTheme="majorEastAsia" w:hAnsiTheme="majorEastAsia" w:eastAsiaTheme="majorEastAsia" w:cstheme="majorEastAsia"/>
                <w:snapToGrid w:val="0"/>
                <w:color w:val="auto"/>
                <w:sz w:val="24"/>
                <w:szCs w:val="24"/>
                <w:highlight w:val="none"/>
              </w:rPr>
              <w:t>总计人民币（大写）：</w:t>
            </w:r>
          </w:p>
        </w:tc>
      </w:tr>
    </w:tbl>
    <w:p>
      <w:pPr>
        <w:keepNext w:val="0"/>
        <w:keepLines w:val="0"/>
        <w:pageBreakBefore w:val="0"/>
        <w:widowControl/>
        <w:kinsoku/>
        <w:overflowPunct/>
        <w:topLinePunct w:val="0"/>
        <w:bidi w:val="0"/>
        <w:adjustRightInd/>
        <w:spacing w:line="500" w:lineRule="exact"/>
        <w:jc w:val="left"/>
        <w:rPr>
          <w:rFonts w:hint="eastAsia" w:asciiTheme="majorEastAsia" w:hAnsiTheme="majorEastAsia" w:eastAsiaTheme="majorEastAsia" w:cstheme="majorEastAsia"/>
          <w:snapToGrid w:val="0"/>
          <w:color w:val="auto"/>
          <w:sz w:val="24"/>
          <w:szCs w:val="24"/>
          <w:highlight w:val="none"/>
        </w:rPr>
      </w:pPr>
      <w:r>
        <w:rPr>
          <w:rFonts w:hint="eastAsia" w:asciiTheme="majorEastAsia" w:hAnsiTheme="majorEastAsia" w:eastAsiaTheme="majorEastAsia" w:cstheme="majorEastAsia"/>
          <w:snapToGrid w:val="0"/>
          <w:color w:val="auto"/>
          <w:sz w:val="24"/>
          <w:szCs w:val="24"/>
          <w:highlight w:val="none"/>
        </w:rPr>
        <w:br w:type="page"/>
      </w:r>
    </w:p>
    <w:p>
      <w:pPr>
        <w:keepNext w:val="0"/>
        <w:keepLines w:val="0"/>
        <w:pageBreakBefore w:val="0"/>
        <w:kinsoku/>
        <w:overflowPunct/>
        <w:topLinePunct w:val="0"/>
        <w:bidi w:val="0"/>
        <w:adjustRightInd/>
        <w:snapToGrid w:val="0"/>
        <w:spacing w:line="500" w:lineRule="exact"/>
        <w:ind w:left="140" w:leftChars="50" w:firstLine="1446" w:firstLineChars="600"/>
        <w:rPr>
          <w:rFonts w:hint="eastAsia" w:asciiTheme="majorEastAsia" w:hAnsiTheme="majorEastAsia" w:eastAsiaTheme="majorEastAsia" w:cstheme="majorEastAsia"/>
          <w:b/>
          <w:color w:val="auto"/>
          <w:sz w:val="24"/>
          <w:szCs w:val="24"/>
          <w:highlight w:val="none"/>
        </w:rPr>
      </w:pPr>
    </w:p>
    <w:p>
      <w:pPr>
        <w:pageBreakBefore w:val="0"/>
        <w:numPr>
          <w:ilvl w:val="0"/>
          <w:numId w:val="0"/>
        </w:numPr>
        <w:kinsoku/>
        <w:overflowPunct/>
        <w:topLinePunct w:val="0"/>
        <w:bidi w:val="0"/>
        <w:spacing w:line="500" w:lineRule="exact"/>
        <w:ind w:firstLine="562" w:firstLineChars="200"/>
        <w:jc w:val="center"/>
        <w:rPr>
          <w:rFonts w:hint="eastAsia" w:asciiTheme="majorEastAsia" w:hAnsiTheme="majorEastAsia" w:eastAsiaTheme="majorEastAsia" w:cstheme="majorEastAsia"/>
          <w:b/>
          <w:bCs/>
          <w:color w:val="auto"/>
          <w:sz w:val="28"/>
          <w:szCs w:val="28"/>
          <w:highlight w:val="none"/>
          <w:lang w:val="en-US" w:eastAsia="zh-CN"/>
        </w:rPr>
      </w:pPr>
      <w:r>
        <w:rPr>
          <w:rFonts w:hint="eastAsia" w:asciiTheme="majorEastAsia" w:hAnsiTheme="majorEastAsia" w:eastAsiaTheme="majorEastAsia" w:cstheme="majorEastAsia"/>
          <w:b/>
          <w:bCs/>
          <w:color w:val="auto"/>
          <w:sz w:val="28"/>
          <w:szCs w:val="28"/>
          <w:highlight w:val="none"/>
          <w:lang w:val="en-US" w:eastAsia="zh-CN"/>
        </w:rPr>
        <w:t>使用部门关于核对、履行合同的承诺</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已经依据杭州市中策职业学校垃圾分类桶采购项目招标文件、投标文件等要求认真填写ZJXCX-2020-001的相关内容、仔细核对了合同的所有内容，确认无误。合同生效后，我街道城管科具体负责本合同的履行事宜（督促设备的到货、验收、发放、台账登记、报销等）。</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p>
      <w:pPr>
        <w:keepNext w:val="0"/>
        <w:keepLines w:val="0"/>
        <w:pageBreakBefore w:val="0"/>
        <w:kinsoku/>
        <w:overflowPunct/>
        <w:topLinePunct w:val="0"/>
        <w:bidi w:val="0"/>
        <w:adjustRightInd/>
        <w:snapToGrid w:val="0"/>
        <w:spacing w:line="500" w:lineRule="exact"/>
        <w:ind w:firstLine="482" w:firstLineChars="200"/>
        <w:rPr>
          <w:rFonts w:hint="eastAsia" w:asciiTheme="majorEastAsia" w:hAnsiTheme="majorEastAsia" w:eastAsiaTheme="majorEastAsia" w:cstheme="majorEastAsia"/>
          <w:b/>
          <w:snapToGrid w:val="0"/>
          <w:color w:val="auto"/>
          <w:sz w:val="24"/>
          <w:szCs w:val="24"/>
          <w:highlight w:val="none"/>
        </w:rPr>
      </w:pPr>
    </w:p>
    <w:p>
      <w:pPr>
        <w:keepNext w:val="0"/>
        <w:keepLines w:val="0"/>
        <w:pageBreakBefore w:val="0"/>
        <w:kinsoku/>
        <w:overflowPunct/>
        <w:topLinePunct w:val="0"/>
        <w:bidi w:val="0"/>
        <w:adjustRightInd/>
        <w:snapToGrid w:val="0"/>
        <w:spacing w:line="500" w:lineRule="exact"/>
        <w:ind w:firstLine="482" w:firstLineChars="200"/>
        <w:rPr>
          <w:rFonts w:hint="eastAsia" w:asciiTheme="majorEastAsia" w:hAnsiTheme="majorEastAsia" w:eastAsiaTheme="majorEastAsia" w:cstheme="majorEastAsia"/>
          <w:b/>
          <w:snapToGrid w:val="0"/>
          <w:color w:val="auto"/>
          <w:sz w:val="24"/>
          <w:szCs w:val="24"/>
          <w:highlight w:val="none"/>
        </w:rPr>
      </w:pPr>
    </w:p>
    <w:p>
      <w:pPr>
        <w:keepNext w:val="0"/>
        <w:keepLines w:val="0"/>
        <w:pageBreakBefore w:val="0"/>
        <w:kinsoku/>
        <w:overflowPunct/>
        <w:topLinePunct w:val="0"/>
        <w:bidi w:val="0"/>
        <w:adjustRightInd/>
        <w:snapToGrid w:val="0"/>
        <w:spacing w:line="500" w:lineRule="exact"/>
        <w:ind w:firstLine="482" w:firstLineChars="200"/>
        <w:rPr>
          <w:rFonts w:hint="eastAsia" w:asciiTheme="majorEastAsia" w:hAnsiTheme="majorEastAsia" w:eastAsiaTheme="majorEastAsia" w:cstheme="majorEastAsia"/>
          <w:b/>
          <w:snapToGrid w:val="0"/>
          <w:color w:val="auto"/>
          <w:sz w:val="24"/>
          <w:szCs w:val="24"/>
          <w:highlight w:val="none"/>
        </w:rPr>
      </w:pPr>
    </w:p>
    <w:p>
      <w:pPr>
        <w:keepNext w:val="0"/>
        <w:keepLines w:val="0"/>
        <w:pageBreakBefore w:val="0"/>
        <w:tabs>
          <w:tab w:val="left" w:pos="5895"/>
          <w:tab w:val="left" w:pos="8497"/>
        </w:tabs>
        <w:kinsoku/>
        <w:overflowPunct/>
        <w:topLinePunct w:val="0"/>
        <w:bidi w:val="0"/>
        <w:adjustRightInd/>
        <w:snapToGrid w:val="0"/>
        <w:spacing w:line="500" w:lineRule="exact"/>
        <w:ind w:firstLine="2168" w:firstLineChars="900"/>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经办人签字：</w:t>
      </w:r>
      <w:r>
        <w:rPr>
          <w:rFonts w:hint="eastAsia" w:asciiTheme="majorEastAsia" w:hAnsiTheme="majorEastAsia" w:eastAsiaTheme="majorEastAsia" w:cstheme="majorEastAsia"/>
          <w:b/>
          <w:snapToGrid w:val="0"/>
          <w:color w:val="auto"/>
          <w:sz w:val="24"/>
          <w:szCs w:val="24"/>
          <w:highlight w:val="none"/>
        </w:rPr>
        <w:tab/>
      </w:r>
      <w:r>
        <w:rPr>
          <w:rFonts w:hint="eastAsia" w:asciiTheme="majorEastAsia" w:hAnsiTheme="majorEastAsia" w:eastAsiaTheme="majorEastAsia" w:cstheme="majorEastAsia"/>
          <w:b/>
          <w:snapToGrid w:val="0"/>
          <w:color w:val="auto"/>
          <w:sz w:val="24"/>
          <w:szCs w:val="24"/>
          <w:highlight w:val="none"/>
        </w:rPr>
        <w:t>负责人签字（加盖部门公章）：</w:t>
      </w:r>
    </w:p>
    <w:p>
      <w:pPr>
        <w:keepNext w:val="0"/>
        <w:keepLines w:val="0"/>
        <w:pageBreakBefore w:val="0"/>
        <w:tabs>
          <w:tab w:val="left" w:pos="4536"/>
          <w:tab w:val="left" w:pos="8497"/>
        </w:tabs>
        <w:kinsoku/>
        <w:overflowPunct/>
        <w:topLinePunct w:val="0"/>
        <w:bidi w:val="0"/>
        <w:adjustRightInd/>
        <w:snapToGrid w:val="0"/>
        <w:spacing w:line="500" w:lineRule="exact"/>
        <w:ind w:firstLine="482" w:firstLineChars="200"/>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ab/>
      </w:r>
    </w:p>
    <w:p>
      <w:pPr>
        <w:keepNext w:val="0"/>
        <w:keepLines w:val="0"/>
        <w:pageBreakBefore w:val="0"/>
        <w:tabs>
          <w:tab w:val="left" w:pos="5895"/>
          <w:tab w:val="left" w:pos="8497"/>
        </w:tabs>
        <w:kinsoku/>
        <w:overflowPunct/>
        <w:topLinePunct w:val="0"/>
        <w:bidi w:val="0"/>
        <w:adjustRightInd/>
        <w:snapToGrid w:val="0"/>
        <w:spacing w:line="500" w:lineRule="exact"/>
        <w:ind w:firstLine="2168" w:firstLineChars="900"/>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联系电话：</w:t>
      </w:r>
      <w:r>
        <w:rPr>
          <w:rFonts w:hint="eastAsia" w:asciiTheme="majorEastAsia" w:hAnsiTheme="majorEastAsia" w:eastAsiaTheme="majorEastAsia" w:cstheme="majorEastAsia"/>
          <w:b/>
          <w:snapToGrid w:val="0"/>
          <w:color w:val="auto"/>
          <w:sz w:val="24"/>
          <w:szCs w:val="24"/>
          <w:highlight w:val="none"/>
        </w:rPr>
        <w:tab/>
      </w:r>
      <w:r>
        <w:rPr>
          <w:rFonts w:hint="eastAsia" w:asciiTheme="majorEastAsia" w:hAnsiTheme="majorEastAsia" w:eastAsiaTheme="majorEastAsia" w:cstheme="majorEastAsia"/>
          <w:b/>
          <w:snapToGrid w:val="0"/>
          <w:color w:val="auto"/>
          <w:sz w:val="24"/>
          <w:szCs w:val="24"/>
          <w:highlight w:val="none"/>
        </w:rPr>
        <w:t>联系电话：</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snapToGrid w:val="0"/>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ab/>
      </w:r>
    </w:p>
    <w:p>
      <w:pPr>
        <w:keepNext w:val="0"/>
        <w:keepLines w:val="0"/>
        <w:pageBreakBefore w:val="0"/>
        <w:kinsoku/>
        <w:overflowPunct/>
        <w:topLinePunct w:val="0"/>
        <w:bidi w:val="0"/>
        <w:adjustRightInd/>
        <w:spacing w:line="500" w:lineRule="exact"/>
        <w:ind w:firstLine="6746" w:firstLineChars="28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b/>
          <w:snapToGrid w:val="0"/>
          <w:color w:val="auto"/>
          <w:sz w:val="24"/>
          <w:szCs w:val="24"/>
          <w:highlight w:val="none"/>
        </w:rPr>
        <w:t>日   期：</w:t>
      </w:r>
    </w:p>
    <w:p>
      <w:pPr>
        <w:keepNext w:val="0"/>
        <w:keepLines w:val="0"/>
        <w:pageBreakBefore w:val="0"/>
        <w:widowControl/>
        <w:kinsoku/>
        <w:overflowPunct/>
        <w:topLinePunct w:val="0"/>
        <w:bidi w:val="0"/>
        <w:adjustRightInd/>
        <w:spacing w:line="500" w:lineRule="exact"/>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br w:type="page"/>
      </w:r>
    </w:p>
    <w:p>
      <w:pPr>
        <w:pStyle w:val="2"/>
        <w:bidi w:val="0"/>
        <w:jc w:val="center"/>
        <w:rPr>
          <w:rFonts w:hint="eastAsia"/>
          <w:sz w:val="32"/>
          <w:szCs w:val="32"/>
        </w:rPr>
      </w:pPr>
      <w:bookmarkStart w:id="66" w:name="_Toc32239"/>
      <w:bookmarkStart w:id="67" w:name="_Toc10291"/>
      <w:bookmarkStart w:id="68" w:name="_Toc1683"/>
      <w:r>
        <w:rPr>
          <w:rFonts w:hint="eastAsia"/>
          <w:sz w:val="32"/>
          <w:szCs w:val="32"/>
        </w:rPr>
        <w:t>第六章  投标文件格式</w:t>
      </w:r>
      <w:bookmarkEnd w:id="66"/>
      <w:bookmarkEnd w:id="67"/>
      <w:bookmarkEnd w:id="68"/>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投标文件的编制应按照本项目：“第三章  投标人须知”三、投标文件的编制的要求编制。</w:t>
      </w:r>
    </w:p>
    <w:p>
      <w:pPr>
        <w:pageBreakBefore w:val="0"/>
        <w:numPr>
          <w:ilvl w:val="0"/>
          <w:numId w:val="0"/>
        </w:numPr>
        <w:kinsoku/>
        <w:overflowPunct/>
        <w:topLinePunct w:val="0"/>
        <w:bidi w:val="0"/>
        <w:spacing w:line="500" w:lineRule="exact"/>
        <w:ind w:firstLine="480" w:firstLineChars="200"/>
        <w:rPr>
          <w:rFonts w:hint="eastAsia" w:asciiTheme="majorEastAsia" w:hAnsiTheme="majorEastAsia" w:eastAsiaTheme="majorEastAsia" w:cstheme="majorEastAsia"/>
          <w:color w:val="auto"/>
          <w:sz w:val="24"/>
          <w:szCs w:val="24"/>
          <w:highlight w:val="none"/>
          <w:lang w:val="en-US" w:eastAsia="zh-CN"/>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报价文件</w:t>
      </w:r>
      <w:r>
        <w:rPr>
          <w:rFonts w:hint="eastAsia" w:asciiTheme="majorEastAsia" w:hAnsiTheme="majorEastAsia" w:eastAsiaTheme="majorEastAsia" w:cstheme="majorEastAsia"/>
          <w:color w:val="auto"/>
          <w:spacing w:val="-6"/>
          <w:sz w:val="24"/>
          <w:szCs w:val="24"/>
          <w:highlight w:val="none"/>
        </w:rPr>
        <w:t>封面</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pageBreakBefore w:val="0"/>
        <w:numPr>
          <w:ilvl w:val="0"/>
          <w:numId w:val="0"/>
        </w:numPr>
        <w:kinsoku/>
        <w:overflowPunct/>
        <w:topLinePunct w:val="0"/>
        <w:bidi w:val="0"/>
        <w:spacing w:line="500" w:lineRule="exact"/>
        <w:ind w:firstLine="643" w:firstLineChars="200"/>
        <w:jc w:val="center"/>
        <w:outlineLvl w:val="0"/>
        <w:rPr>
          <w:rFonts w:hint="eastAsia" w:asciiTheme="majorEastAsia" w:hAnsiTheme="majorEastAsia" w:eastAsiaTheme="majorEastAsia" w:cstheme="majorEastAsia"/>
          <w:b/>
          <w:bCs/>
          <w:color w:val="auto"/>
          <w:sz w:val="32"/>
          <w:szCs w:val="32"/>
          <w:highlight w:val="none"/>
          <w:lang w:val="en-US" w:eastAsia="zh-CN"/>
        </w:rPr>
      </w:pPr>
      <w:bookmarkStart w:id="69" w:name="_Toc6831"/>
      <w:bookmarkStart w:id="70" w:name="_Toc12062"/>
      <w:r>
        <w:rPr>
          <w:rFonts w:hint="eastAsia" w:asciiTheme="majorEastAsia" w:hAnsiTheme="majorEastAsia" w:eastAsiaTheme="majorEastAsia" w:cstheme="majorEastAsia"/>
          <w:b/>
          <w:bCs/>
          <w:color w:val="auto"/>
          <w:sz w:val="32"/>
          <w:szCs w:val="32"/>
          <w:highlight w:val="none"/>
          <w:lang w:val="en-US" w:eastAsia="zh-CN"/>
        </w:rPr>
        <w:t>杭州市中策职业学校垃圾分类桶采购项目</w:t>
      </w:r>
      <w:bookmarkEnd w:id="69"/>
      <w:bookmarkEnd w:id="70"/>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jc w:val="center"/>
        <w:outlineLvl w:val="1"/>
        <w:rPr>
          <w:rFonts w:hint="eastAsia" w:asciiTheme="majorEastAsia" w:hAnsiTheme="majorEastAsia" w:eastAsiaTheme="majorEastAsia" w:cstheme="majorEastAsia"/>
          <w:b/>
          <w:bCs/>
          <w:color w:val="auto"/>
          <w:spacing w:val="-6"/>
          <w:sz w:val="44"/>
          <w:szCs w:val="44"/>
          <w:highlight w:val="none"/>
        </w:rPr>
      </w:pPr>
      <w:bookmarkStart w:id="71" w:name="_Toc8996"/>
      <w:r>
        <w:rPr>
          <w:rFonts w:hint="eastAsia" w:asciiTheme="majorEastAsia" w:hAnsiTheme="majorEastAsia" w:eastAsiaTheme="majorEastAsia" w:cstheme="majorEastAsia"/>
          <w:b/>
          <w:bCs/>
          <w:color w:val="auto"/>
          <w:spacing w:val="-6"/>
          <w:sz w:val="44"/>
          <w:szCs w:val="44"/>
          <w:highlight w:val="none"/>
        </w:rPr>
        <w:t>报价文件</w:t>
      </w:r>
      <w:bookmarkEnd w:id="71"/>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default" w:asciiTheme="majorEastAsia" w:hAnsiTheme="majorEastAsia" w:eastAsiaTheme="majorEastAsia" w:cstheme="majorEastAsia"/>
          <w:bCs/>
          <w:color w:val="auto"/>
          <w:spacing w:val="-6"/>
          <w:sz w:val="24"/>
          <w:szCs w:val="24"/>
          <w:highlight w:val="none"/>
          <w:lang w:val="en-US" w:eastAsia="zh-CN"/>
        </w:rPr>
      </w:pPr>
      <w:r>
        <w:rPr>
          <w:rFonts w:hint="eastAsia" w:asciiTheme="majorEastAsia" w:hAnsiTheme="majorEastAsia" w:eastAsiaTheme="majorEastAsia" w:cstheme="majorEastAsia"/>
          <w:bCs/>
          <w:color w:val="auto"/>
          <w:spacing w:val="-6"/>
          <w:sz w:val="24"/>
          <w:szCs w:val="24"/>
          <w:highlight w:val="none"/>
        </w:rPr>
        <w:t>采购人：</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lang w:eastAsia="zh-CN"/>
        </w:rPr>
      </w:pPr>
      <w:r>
        <w:rPr>
          <w:rFonts w:hint="eastAsia" w:asciiTheme="majorEastAsia" w:hAnsiTheme="majorEastAsia" w:eastAsiaTheme="majorEastAsia" w:cstheme="majorEastAsia"/>
          <w:bCs/>
          <w:color w:val="auto"/>
          <w:spacing w:val="-6"/>
          <w:sz w:val="24"/>
          <w:szCs w:val="24"/>
          <w:highlight w:val="none"/>
        </w:rPr>
        <w:t>项目名称：</w:t>
      </w:r>
      <w:r>
        <w:rPr>
          <w:rFonts w:hint="eastAsia" w:asciiTheme="majorEastAsia" w:hAnsiTheme="majorEastAsia" w:eastAsiaTheme="majorEastAsia" w:cstheme="majorEastAsia"/>
          <w:bCs/>
          <w:color w:val="auto"/>
          <w:spacing w:val="-6"/>
          <w:sz w:val="24"/>
          <w:szCs w:val="24"/>
          <w:highlight w:val="none"/>
          <w:lang w:eastAsia="zh-CN"/>
        </w:rPr>
        <w:t>垃圾分类桶</w:t>
      </w:r>
    </w:p>
    <w:p>
      <w:pPr>
        <w:keepNext w:val="0"/>
        <w:keepLines w:val="0"/>
        <w:pageBreakBefore w:val="0"/>
        <w:kinsoku/>
        <w:overflowPunct/>
        <w:topLinePunct w:val="0"/>
        <w:bidi w:val="0"/>
        <w:adjustRightInd/>
        <w:spacing w:line="500" w:lineRule="exact"/>
        <w:rPr>
          <w:rFonts w:hint="default" w:asciiTheme="majorEastAsia" w:hAnsiTheme="majorEastAsia" w:eastAsiaTheme="majorEastAsia" w:cstheme="majorEastAsia"/>
          <w:bCs/>
          <w:color w:val="auto"/>
          <w:spacing w:val="-6"/>
          <w:sz w:val="24"/>
          <w:szCs w:val="24"/>
          <w:highlight w:val="none"/>
          <w:lang w:val="en-US" w:eastAsia="zh-CN"/>
        </w:rPr>
      </w:pPr>
      <w:r>
        <w:rPr>
          <w:rFonts w:hint="eastAsia" w:asciiTheme="majorEastAsia" w:hAnsiTheme="majorEastAsia" w:eastAsiaTheme="majorEastAsia" w:cstheme="majorEastAsia"/>
          <w:bCs/>
          <w:color w:val="auto"/>
          <w:spacing w:val="-6"/>
          <w:sz w:val="24"/>
          <w:szCs w:val="24"/>
          <w:highlight w:val="none"/>
        </w:rPr>
        <w:t>项目编号：</w:t>
      </w:r>
      <w:r>
        <w:rPr>
          <w:rFonts w:hint="eastAsia" w:asciiTheme="majorEastAsia" w:hAnsiTheme="majorEastAsia" w:eastAsiaTheme="majorEastAsia" w:cstheme="majorEastAsia"/>
          <w:color w:val="auto"/>
          <w:sz w:val="24"/>
          <w:szCs w:val="24"/>
          <w:highlight w:val="none"/>
          <w:lang w:val="en-US" w:eastAsia="zh-CN"/>
        </w:rPr>
        <w:t>ZJXCX-2020-002</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投标人地址：</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日期：    年  月  日</w:t>
      </w:r>
    </w:p>
    <w:p>
      <w:pPr>
        <w:pageBreakBefore w:val="0"/>
        <w:numPr>
          <w:ilvl w:val="0"/>
          <w:numId w:val="0"/>
        </w:numPr>
        <w:kinsoku/>
        <w:overflowPunct/>
        <w:topLinePunct w:val="0"/>
        <w:bidi w:val="0"/>
        <w:spacing w:line="500" w:lineRule="exact"/>
        <w:ind w:firstLine="456" w:firstLineChars="200"/>
        <w:jc w:val="center"/>
        <w:rPr>
          <w:rFonts w:hint="eastAsia" w:asciiTheme="majorEastAsia" w:hAnsiTheme="majorEastAsia" w:eastAsiaTheme="majorEastAsia" w:cstheme="majorEastAsia"/>
          <w:b/>
          <w:bCs/>
          <w:color w:val="auto"/>
          <w:sz w:val="28"/>
          <w:szCs w:val="28"/>
          <w:highlight w:val="none"/>
          <w:lang w:val="en-US" w:eastAsia="zh-CN"/>
        </w:rPr>
      </w:pPr>
      <w:r>
        <w:rPr>
          <w:rFonts w:hint="eastAsia" w:asciiTheme="majorEastAsia" w:hAnsiTheme="majorEastAsia" w:eastAsiaTheme="majorEastAsia" w:cstheme="majorEastAsia"/>
          <w:bCs/>
          <w:color w:val="auto"/>
          <w:spacing w:val="-6"/>
          <w:sz w:val="24"/>
          <w:szCs w:val="24"/>
          <w:highlight w:val="none"/>
        </w:rPr>
        <w:br w:type="page"/>
      </w:r>
      <w:r>
        <w:rPr>
          <w:rFonts w:hint="eastAsia" w:asciiTheme="majorEastAsia" w:hAnsiTheme="majorEastAsia" w:eastAsiaTheme="majorEastAsia" w:cstheme="majorEastAsia"/>
          <w:b/>
          <w:bCs/>
          <w:color w:val="auto"/>
          <w:sz w:val="28"/>
          <w:szCs w:val="28"/>
          <w:highlight w:val="none"/>
          <w:lang w:val="en-US" w:eastAsia="zh-CN"/>
        </w:rPr>
        <w:t>报价文件</w:t>
      </w:r>
    </w:p>
    <w:p>
      <w:pPr>
        <w:pageBreakBefore w:val="0"/>
        <w:numPr>
          <w:ilvl w:val="0"/>
          <w:numId w:val="0"/>
        </w:numPr>
        <w:kinsoku/>
        <w:overflowPunct/>
        <w:topLinePunct w:val="0"/>
        <w:bidi w:val="0"/>
        <w:spacing w:line="500" w:lineRule="exact"/>
        <w:ind w:firstLine="562" w:firstLineChars="200"/>
        <w:jc w:val="center"/>
        <w:rPr>
          <w:rFonts w:hint="eastAsia" w:asciiTheme="majorEastAsia" w:hAnsiTheme="majorEastAsia" w:eastAsiaTheme="majorEastAsia" w:cstheme="majorEastAsia"/>
          <w:b/>
          <w:bCs/>
          <w:color w:val="auto"/>
          <w:sz w:val="28"/>
          <w:szCs w:val="28"/>
          <w:highlight w:val="none"/>
          <w:lang w:val="en-US" w:eastAsia="zh-CN"/>
        </w:rPr>
      </w:pPr>
      <w:r>
        <w:rPr>
          <w:rFonts w:hint="eastAsia" w:asciiTheme="majorEastAsia" w:hAnsiTheme="majorEastAsia" w:eastAsiaTheme="majorEastAsia" w:cstheme="majorEastAsia"/>
          <w:b/>
          <w:bCs/>
          <w:color w:val="auto"/>
          <w:sz w:val="28"/>
          <w:szCs w:val="28"/>
          <w:highlight w:val="none"/>
          <w:lang w:val="en-US" w:eastAsia="zh-CN"/>
        </w:rPr>
        <w:t>开标一览表</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lang w:eastAsia="zh-CN"/>
        </w:rPr>
      </w:pPr>
      <w:r>
        <w:rPr>
          <w:rFonts w:hint="eastAsia" w:asciiTheme="majorEastAsia" w:hAnsiTheme="majorEastAsia" w:eastAsiaTheme="majorEastAsia" w:cstheme="majorEastAsia"/>
          <w:color w:val="auto"/>
          <w:spacing w:val="-6"/>
          <w:sz w:val="24"/>
          <w:szCs w:val="24"/>
          <w:highlight w:val="none"/>
        </w:rPr>
        <w:t>采购人：</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lang w:eastAsia="zh-CN"/>
        </w:rPr>
      </w:pPr>
      <w:r>
        <w:rPr>
          <w:rFonts w:hint="eastAsia" w:asciiTheme="majorEastAsia" w:hAnsiTheme="majorEastAsia" w:eastAsiaTheme="majorEastAsia" w:cstheme="majorEastAsia"/>
          <w:color w:val="auto"/>
          <w:spacing w:val="-6"/>
          <w:sz w:val="24"/>
          <w:szCs w:val="24"/>
          <w:highlight w:val="none"/>
        </w:rPr>
        <w:t>项目名称：</w:t>
      </w:r>
      <w:r>
        <w:rPr>
          <w:rFonts w:hint="eastAsia" w:asciiTheme="majorEastAsia" w:hAnsiTheme="majorEastAsia" w:eastAsiaTheme="majorEastAsia" w:cstheme="majorEastAsia"/>
          <w:color w:val="auto"/>
          <w:spacing w:val="-6"/>
          <w:sz w:val="24"/>
          <w:szCs w:val="24"/>
          <w:highlight w:val="none"/>
          <w:lang w:eastAsia="zh-CN"/>
        </w:rPr>
        <w:t>垃圾分类桶</w:t>
      </w:r>
    </w:p>
    <w:p>
      <w:pPr>
        <w:keepNext w:val="0"/>
        <w:keepLines w:val="0"/>
        <w:pageBreakBefore w:val="0"/>
        <w:kinsoku/>
        <w:overflowPunct/>
        <w:topLinePunct w:val="0"/>
        <w:bidi w:val="0"/>
        <w:adjustRightInd/>
        <w:spacing w:line="500" w:lineRule="exact"/>
        <w:rPr>
          <w:rFonts w:hint="default" w:asciiTheme="majorEastAsia" w:hAnsiTheme="majorEastAsia" w:eastAsiaTheme="majorEastAsia" w:cstheme="majorEastAsia"/>
          <w:bCs/>
          <w:color w:val="auto"/>
          <w:spacing w:val="-6"/>
          <w:sz w:val="24"/>
          <w:szCs w:val="24"/>
          <w:highlight w:val="none"/>
          <w:lang w:val="en-US" w:eastAsia="zh-CN"/>
        </w:rPr>
      </w:pPr>
      <w:r>
        <w:rPr>
          <w:rFonts w:hint="eastAsia" w:asciiTheme="majorEastAsia" w:hAnsiTheme="majorEastAsia" w:eastAsiaTheme="majorEastAsia" w:cstheme="majorEastAsia"/>
          <w:color w:val="auto"/>
          <w:spacing w:val="-6"/>
          <w:sz w:val="24"/>
          <w:szCs w:val="24"/>
          <w:highlight w:val="none"/>
        </w:rPr>
        <w:t>项目编号：</w:t>
      </w:r>
      <w:r>
        <w:rPr>
          <w:rFonts w:hint="eastAsia" w:asciiTheme="majorEastAsia" w:hAnsiTheme="majorEastAsia" w:eastAsiaTheme="majorEastAsia" w:cstheme="majorEastAsia"/>
          <w:color w:val="auto"/>
          <w:sz w:val="24"/>
          <w:szCs w:val="24"/>
          <w:highlight w:val="none"/>
          <w:lang w:val="en-US" w:eastAsia="zh-CN"/>
        </w:rPr>
        <w:t>ZJXCX-2020-002</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w:t>
      </w:r>
    </w:p>
    <w:tbl>
      <w:tblPr>
        <w:tblStyle w:val="24"/>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u w:val="single"/>
              </w:rPr>
            </w:pPr>
            <w:r>
              <w:rPr>
                <w:rFonts w:hint="eastAsia" w:asciiTheme="majorEastAsia" w:hAnsiTheme="majorEastAsia" w:eastAsiaTheme="majorEastAsia" w:cstheme="majorEastAsia"/>
                <w:b/>
                <w:color w:val="auto"/>
                <w:spacing w:val="-6"/>
                <w:sz w:val="24"/>
                <w:szCs w:val="24"/>
                <w:highlight w:val="none"/>
              </w:rPr>
              <w:t>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金额大写：________________________________小写：__________________________________</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单位：人民币元</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投标总价包括完成所有产品供货及履行所有规定服务所产生的全部费用。</w:t>
            </w:r>
          </w:p>
        </w:tc>
      </w:tr>
    </w:tbl>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ind w:right="-1089" w:rightChars="-389"/>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ind w:right="-1089" w:rightChars="-389"/>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ind w:right="-1089" w:rightChars="-389"/>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日期：    年  月  日</w:t>
      </w:r>
    </w:p>
    <w:p>
      <w:pPr>
        <w:pStyle w:val="13"/>
        <w:keepNext w:val="0"/>
        <w:keepLines w:val="0"/>
        <w:pageBreakBefore w:val="0"/>
        <w:kinsoku/>
        <w:overflowPunct/>
        <w:topLinePunct w:val="0"/>
        <w:bidi w:val="0"/>
        <w:adjustRightInd/>
        <w:spacing w:beforeLines="0" w:afterLines="0" w:line="500" w:lineRule="exact"/>
        <w:jc w:val="center"/>
        <w:outlineLvl w:val="0"/>
        <w:rPr>
          <w:rFonts w:hint="eastAsia" w:asciiTheme="majorEastAsia" w:hAnsiTheme="majorEastAsia" w:eastAsiaTheme="majorEastAsia" w:cstheme="majorEastAsia"/>
          <w:b/>
          <w:bCs/>
          <w:color w:val="auto"/>
          <w:kern w:val="2"/>
          <w:sz w:val="28"/>
          <w:szCs w:val="28"/>
          <w:highlight w:val="none"/>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72" w:name="_Toc1486"/>
      <w:bookmarkStart w:id="73" w:name="_Toc26852"/>
      <w:bookmarkStart w:id="74" w:name="_Toc5340"/>
      <w:r>
        <w:rPr>
          <w:rFonts w:hint="eastAsia" w:asciiTheme="majorEastAsia" w:hAnsiTheme="majorEastAsia" w:eastAsiaTheme="majorEastAsia" w:cstheme="majorEastAsia"/>
          <w:b/>
          <w:bCs/>
          <w:color w:val="auto"/>
          <w:kern w:val="2"/>
          <w:sz w:val="28"/>
          <w:szCs w:val="28"/>
          <w:highlight w:val="none"/>
          <w:lang w:val="en-US" w:eastAsia="zh-CN" w:bidi="ar-SA"/>
        </w:rPr>
        <w:t>投标清单报价明细表</w:t>
      </w:r>
      <w:bookmarkEnd w:id="72"/>
      <w:bookmarkEnd w:id="73"/>
      <w:bookmarkEnd w:id="74"/>
    </w:p>
    <w:p>
      <w:pPr>
        <w:pStyle w:val="13"/>
        <w:keepNext w:val="0"/>
        <w:keepLines w:val="0"/>
        <w:pageBreakBefore w:val="0"/>
        <w:kinsoku/>
        <w:overflowPunct/>
        <w:topLinePunct w:val="0"/>
        <w:bidi w:val="0"/>
        <w:adjustRightInd/>
        <w:spacing w:beforeLines="0" w:afterLines="0" w:line="500" w:lineRule="exact"/>
        <w:ind w:right="342"/>
        <w:jc w:val="both"/>
        <w:rPr>
          <w:rFonts w:hint="eastAsia" w:asciiTheme="majorEastAsia" w:hAnsiTheme="majorEastAsia" w:eastAsiaTheme="majorEastAsia" w:cstheme="majorEastAsia"/>
          <w:color w:val="auto"/>
          <w:spacing w:val="-6"/>
          <w:sz w:val="24"/>
          <w:szCs w:val="24"/>
          <w:highlight w:val="none"/>
        </w:rPr>
      </w:pPr>
    </w:p>
    <w:p>
      <w:pPr>
        <w:pStyle w:val="13"/>
        <w:keepNext w:val="0"/>
        <w:keepLines w:val="0"/>
        <w:pageBreakBefore w:val="0"/>
        <w:widowControl w:val="0"/>
        <w:kinsoku/>
        <w:wordWrap/>
        <w:overflowPunct/>
        <w:topLinePunct w:val="0"/>
        <w:autoSpaceDE/>
        <w:autoSpaceDN/>
        <w:bidi w:val="0"/>
        <w:adjustRightInd/>
        <w:snapToGrid/>
        <w:spacing w:beforeLines="0" w:afterLines="0" w:line="500" w:lineRule="exact"/>
        <w:ind w:right="0"/>
        <w:jc w:val="right"/>
        <w:textAlignment w:val="auto"/>
        <w:rPr>
          <w:rFonts w:hint="eastAsia" w:asciiTheme="majorEastAsia" w:hAnsiTheme="majorEastAsia" w:eastAsiaTheme="majorEastAsia" w:cstheme="majorEastAsia"/>
          <w:color w:val="auto"/>
          <w:spacing w:val="-6"/>
          <w:sz w:val="24"/>
          <w:szCs w:val="24"/>
          <w:highlight w:val="none"/>
          <w:u w:val="none"/>
        </w:rPr>
      </w:pPr>
      <w:r>
        <w:rPr>
          <w:rFonts w:hint="eastAsia" w:asciiTheme="majorEastAsia" w:hAnsiTheme="majorEastAsia" w:eastAsiaTheme="majorEastAsia" w:cstheme="majorEastAsia"/>
          <w:color w:val="auto"/>
          <w:spacing w:val="-6"/>
          <w:sz w:val="24"/>
          <w:szCs w:val="24"/>
          <w:highlight w:val="none"/>
        </w:rPr>
        <w:t>金额单位：人民币元</w:t>
      </w:r>
    </w:p>
    <w:p>
      <w:pPr>
        <w:keepNext w:val="0"/>
        <w:keepLines w:val="0"/>
        <w:pageBreakBefore w:val="0"/>
        <w:tabs>
          <w:tab w:val="left" w:pos="1418"/>
        </w:tabs>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u w:val="none"/>
          <w:lang w:val="en-US" w:eastAsia="zh-CN"/>
        </w:rPr>
      </w:pPr>
      <w:r>
        <w:rPr>
          <w:rFonts w:hint="eastAsia" w:asciiTheme="majorEastAsia" w:hAnsiTheme="majorEastAsia" w:eastAsiaTheme="majorEastAsia" w:cstheme="majorEastAsia"/>
          <w:b/>
          <w:bCs/>
          <w:color w:val="auto"/>
          <w:spacing w:val="-6"/>
          <w:sz w:val="24"/>
          <w:szCs w:val="24"/>
          <w:highlight w:val="none"/>
          <w:u w:val="none"/>
          <w:lang w:val="en-US" w:eastAsia="zh-CN"/>
        </w:rPr>
        <w:t>报价明细表可按EXCEL表格格式填写，表格式样自行设计。</w:t>
      </w:r>
    </w:p>
    <w:p>
      <w:pPr>
        <w:keepNext w:val="0"/>
        <w:keepLines w:val="0"/>
        <w:pageBreakBefore w:val="0"/>
        <w:tabs>
          <w:tab w:val="left" w:pos="1418"/>
        </w:tabs>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u w:val="none"/>
          <w:lang w:val="en-US" w:eastAsia="zh-CN"/>
        </w:rPr>
      </w:pPr>
    </w:p>
    <w:p>
      <w:pPr>
        <w:keepNext w:val="0"/>
        <w:keepLines w:val="0"/>
        <w:pageBreakBefore w:val="0"/>
        <w:tabs>
          <w:tab w:val="left" w:pos="1418"/>
        </w:tabs>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u w:val="none"/>
          <w:lang w:val="en-US" w:eastAsia="zh-CN"/>
        </w:rPr>
      </w:pPr>
    </w:p>
    <w:p>
      <w:pPr>
        <w:keepNext w:val="0"/>
        <w:keepLines w:val="0"/>
        <w:pageBreakBefore w:val="0"/>
        <w:tabs>
          <w:tab w:val="left" w:pos="1418"/>
        </w:tabs>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u w:val="none"/>
          <w:lang w:val="en-US" w:eastAsia="zh-CN"/>
        </w:rPr>
      </w:pPr>
    </w:p>
    <w:p>
      <w:pPr>
        <w:keepNext w:val="0"/>
        <w:keepLines w:val="0"/>
        <w:pageBreakBefore w:val="0"/>
        <w:tabs>
          <w:tab w:val="left" w:pos="1418"/>
        </w:tabs>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u w:val="none"/>
        </w:rPr>
      </w:pPr>
    </w:p>
    <w:p>
      <w:pPr>
        <w:keepNext w:val="0"/>
        <w:keepLines w:val="0"/>
        <w:pageBreakBefore w:val="0"/>
        <w:tabs>
          <w:tab w:val="left" w:pos="1418"/>
        </w:tabs>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u w:val="none"/>
        </w:rPr>
      </w:pPr>
    </w:p>
    <w:p>
      <w:pPr>
        <w:keepNext w:val="0"/>
        <w:keepLines w:val="0"/>
        <w:pageBreakBefore w:val="0"/>
        <w:kinsoku/>
        <w:overflowPunct/>
        <w:topLinePunct w:val="0"/>
        <w:bidi w:val="0"/>
        <w:adjustRightInd/>
        <w:spacing w:line="500" w:lineRule="exact"/>
        <w:ind w:right="-1089" w:rightChars="-389"/>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ind w:right="-1089" w:rightChars="-389"/>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ind w:right="-1089" w:rightChars="-389"/>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日期：    年  月  日</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color w:val="auto"/>
          <w:spacing w:val="-6"/>
          <w:sz w:val="32"/>
          <w:szCs w:val="32"/>
          <w:highlight w:val="none"/>
        </w:rPr>
      </w:pPr>
      <w:r>
        <w:rPr>
          <w:rFonts w:hint="eastAsia" w:asciiTheme="majorEastAsia" w:hAnsiTheme="majorEastAsia" w:eastAsiaTheme="majorEastAsia" w:cstheme="majorEastAsia"/>
          <w:b/>
          <w:color w:val="auto"/>
          <w:spacing w:val="-6"/>
          <w:sz w:val="24"/>
          <w:szCs w:val="24"/>
          <w:highlight w:val="none"/>
        </w:rPr>
        <w:br w:type="page"/>
      </w:r>
      <w:bookmarkStart w:id="75" w:name="_Toc10805"/>
      <w:bookmarkStart w:id="76" w:name="_Toc31783"/>
      <w:bookmarkStart w:id="77" w:name="_Toc25639"/>
      <w:r>
        <w:rPr>
          <w:rFonts w:hint="eastAsia" w:asciiTheme="majorEastAsia" w:hAnsiTheme="majorEastAsia" w:eastAsiaTheme="majorEastAsia" w:cstheme="majorEastAsia"/>
          <w:b/>
          <w:bCs/>
          <w:color w:val="auto"/>
          <w:kern w:val="2"/>
          <w:sz w:val="28"/>
          <w:szCs w:val="28"/>
          <w:highlight w:val="none"/>
          <w:lang w:val="en-US" w:eastAsia="zh-CN" w:bidi="ar-SA"/>
        </w:rPr>
        <w:t>投标人企业类型声明函</w:t>
      </w:r>
      <w:bookmarkEnd w:id="75"/>
      <w:bookmarkEnd w:id="76"/>
      <w:bookmarkEnd w:id="77"/>
    </w:p>
    <w:p>
      <w:pPr>
        <w:pStyle w:val="19"/>
        <w:keepNext w:val="0"/>
        <w:keepLines w:val="0"/>
        <w:pageBreakBefore w:val="0"/>
        <w:kinsoku/>
        <w:overflowPunct/>
        <w:topLinePunct w:val="0"/>
        <w:bidi w:val="0"/>
        <w:adjustRightInd/>
        <w:spacing w:line="500" w:lineRule="exact"/>
        <w:ind w:left="169" w:hanging="169" w:hangingChars="74"/>
        <w:jc w:val="center"/>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本公司郑重声明，根据《政府采购促进中小企业发展暂行办法》（财库[2011]181号）的规定，本公司为</w:t>
      </w:r>
      <w:r>
        <w:rPr>
          <w:rFonts w:hint="eastAsia" w:asciiTheme="majorEastAsia" w:hAnsiTheme="majorEastAsia" w:eastAsiaTheme="majorEastAsia" w:cstheme="majorEastAsia"/>
          <w:color w:val="auto"/>
          <w:sz w:val="24"/>
          <w:szCs w:val="24"/>
          <w:highlight w:val="none"/>
          <w:u w:val="none"/>
        </w:rPr>
        <w:t>_____</w:t>
      </w:r>
      <w:r>
        <w:rPr>
          <w:rFonts w:hint="eastAsia" w:asciiTheme="majorEastAsia" w:hAnsiTheme="majorEastAsia" w:eastAsiaTheme="majorEastAsia" w:cstheme="majorEastAsia"/>
          <w:color w:val="auto"/>
          <w:sz w:val="24"/>
          <w:szCs w:val="24"/>
          <w:highlight w:val="none"/>
        </w:rPr>
        <w:t>（请填写：大型、中型、小型、微型）企业。即，本公司同时满足以下条件：</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根据《工业和信息化部、国家统计局、国家发展和改革委员会、财政部关于印发中小企业划型标准规定的通知》（工信部联企业[2011]300号）规定的划分标准，本公司为______（请填写：大型、中型、小型、微型）企业。</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2.本公司参加</w:t>
      </w:r>
      <w:r>
        <w:rPr>
          <w:rFonts w:hint="eastAsia" w:asciiTheme="majorEastAsia" w:hAnsiTheme="majorEastAsia" w:eastAsiaTheme="majorEastAsia" w:cstheme="majorEastAsia"/>
          <w:color w:val="auto"/>
          <w:sz w:val="24"/>
          <w:szCs w:val="24"/>
          <w:highlight w:val="none"/>
          <w:lang w:val="en-US" w:eastAsia="zh-CN"/>
        </w:rPr>
        <w:t>杭州市中策职业学校</w:t>
      </w:r>
      <w:r>
        <w:rPr>
          <w:rFonts w:hint="eastAsia" w:asciiTheme="majorEastAsia" w:hAnsiTheme="majorEastAsia" w:eastAsiaTheme="majorEastAsia" w:cstheme="majorEastAsia"/>
          <w:color w:val="auto"/>
          <w:sz w:val="24"/>
          <w:szCs w:val="24"/>
          <w:highlight w:val="none"/>
          <w:lang w:eastAsia="zh-CN"/>
        </w:rPr>
        <w:t>垃圾分类桶</w:t>
      </w:r>
      <w:r>
        <w:rPr>
          <w:rFonts w:hint="eastAsia" w:asciiTheme="majorEastAsia" w:hAnsiTheme="majorEastAsia" w:eastAsiaTheme="majorEastAsia" w:cstheme="majorEastAsia"/>
          <w:color w:val="auto"/>
          <w:sz w:val="24"/>
          <w:szCs w:val="24"/>
          <w:highlight w:val="none"/>
        </w:rPr>
        <w:t>采购活动（按投标形式选择填写）：</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（1）□本公司为直接投标人提供本企业制造的货物,由本企业承担工程、提供服务。</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（2）□本公司为代理商，提供其他______（请填写：中型、小型、微型）企业制造的货物。本条所称货物不包括使用大型企业注册商标的货物。</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本公司对上述声明的真实性负责。如有虚假，将依法承担相应责任。</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日期：    年  月  日</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z w:val="24"/>
          <w:szCs w:val="24"/>
          <w:highlight w:val="none"/>
        </w:rPr>
        <w:br w:type="page"/>
      </w:r>
      <w:bookmarkStart w:id="78" w:name="_Toc16162"/>
      <w:bookmarkStart w:id="79" w:name="_Toc13211"/>
      <w:bookmarkStart w:id="80" w:name="_Toc29609"/>
      <w:r>
        <w:rPr>
          <w:rFonts w:hint="eastAsia" w:asciiTheme="majorEastAsia" w:hAnsiTheme="majorEastAsia" w:eastAsiaTheme="majorEastAsia" w:cstheme="majorEastAsia"/>
          <w:b/>
          <w:bCs/>
          <w:color w:val="auto"/>
          <w:kern w:val="2"/>
          <w:sz w:val="28"/>
          <w:szCs w:val="28"/>
          <w:highlight w:val="none"/>
          <w:lang w:val="en-US" w:eastAsia="zh-CN" w:bidi="ar-SA"/>
        </w:rPr>
        <w:t>小微企业资格证明材料（加盖公章）</w:t>
      </w:r>
      <w:bookmarkEnd w:id="78"/>
      <w:bookmarkEnd w:id="79"/>
      <w:bookmarkEnd w:id="80"/>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投标人在“国家企业信用信息公示系统-小微企业名录”中的网页查询截图或当地中小企业行政主管部门的确认意见</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说明：</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1.评标委员会将依据“投标人企业类型声明函”及小微企业资格证明材料评定投标人的企业类型；</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2.如投标人为代理商，提供其它小微企业制造的货物的，所代理品牌制造商的小微企业资格证明材料也需提供；</w:t>
      </w:r>
    </w:p>
    <w:p>
      <w:pPr>
        <w:keepNext w:val="0"/>
        <w:keepLines w:val="0"/>
        <w:pageBreakBefore w:val="0"/>
        <w:kinsoku/>
        <w:overflowPunct/>
        <w:topLinePunct w:val="0"/>
        <w:bidi w:val="0"/>
        <w:adjustRightInd/>
        <w:spacing w:line="500" w:lineRule="exact"/>
        <w:jc w:val="lef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3.小微企业资格证明材料中认定情形为“中小企业”等无法界定投标人或其代理品牌制造商具体企业类型的均为无效证明材料。</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br w:type="page"/>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kern w:val="2"/>
          <w:sz w:val="28"/>
          <w:szCs w:val="28"/>
          <w:highlight w:val="none"/>
          <w:lang w:val="en-US" w:eastAsia="zh-CN" w:bidi="ar-SA"/>
        </w:rPr>
      </w:pPr>
      <w:bookmarkStart w:id="81" w:name="_Toc28082"/>
      <w:bookmarkStart w:id="82" w:name="_Toc26737"/>
      <w:bookmarkStart w:id="83" w:name="_Toc18271"/>
      <w:r>
        <w:rPr>
          <w:rFonts w:hint="eastAsia" w:asciiTheme="majorEastAsia" w:hAnsiTheme="majorEastAsia" w:eastAsiaTheme="majorEastAsia" w:cstheme="majorEastAsia"/>
          <w:b/>
          <w:bCs/>
          <w:color w:val="auto"/>
          <w:kern w:val="2"/>
          <w:sz w:val="28"/>
          <w:szCs w:val="28"/>
          <w:highlight w:val="none"/>
          <w:lang w:val="en-US" w:eastAsia="zh-CN" w:bidi="ar-SA"/>
        </w:rPr>
        <w:t>监狱企业资格证明材料</w:t>
      </w:r>
      <w:bookmarkEnd w:id="81"/>
      <w:bookmarkEnd w:id="82"/>
      <w:bookmarkEnd w:id="83"/>
    </w:p>
    <w:p>
      <w:pPr>
        <w:keepNext w:val="0"/>
        <w:keepLines w:val="0"/>
        <w:pageBreakBefore w:val="0"/>
        <w:kinsoku/>
        <w:overflowPunct/>
        <w:topLinePunct w:val="0"/>
        <w:bidi w:val="0"/>
        <w:adjustRightInd/>
        <w:spacing w:line="500" w:lineRule="exact"/>
        <w:ind w:firstLine="482" w:firstLineChars="2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（省级以上监狱管理局、戒毒管理局（含新疆生产建设兵团）出具的属于监狱企业的证明文件）</w:t>
      </w:r>
    </w:p>
    <w:p>
      <w:pPr>
        <w:pStyle w:val="11"/>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color w:val="auto"/>
          <w:sz w:val="32"/>
          <w:szCs w:val="32"/>
          <w:highlight w:val="none"/>
        </w:rPr>
      </w:pPr>
      <w:r>
        <w:rPr>
          <w:rFonts w:hint="eastAsia" w:asciiTheme="majorEastAsia" w:hAnsiTheme="majorEastAsia" w:eastAsiaTheme="majorEastAsia" w:cstheme="majorEastAsia"/>
          <w:color w:val="auto"/>
          <w:spacing w:val="-6"/>
          <w:sz w:val="24"/>
          <w:szCs w:val="24"/>
          <w:highlight w:val="none"/>
        </w:rPr>
        <w:br w:type="page"/>
      </w:r>
      <w:bookmarkStart w:id="84" w:name="_Toc18375"/>
      <w:bookmarkStart w:id="85" w:name="_Toc30565"/>
      <w:bookmarkStart w:id="86" w:name="_Toc16776"/>
      <w:r>
        <w:rPr>
          <w:rFonts w:hint="eastAsia" w:asciiTheme="majorEastAsia" w:hAnsiTheme="majorEastAsia" w:eastAsiaTheme="majorEastAsia" w:cstheme="majorEastAsia"/>
          <w:b/>
          <w:bCs/>
          <w:color w:val="auto"/>
          <w:spacing w:val="0"/>
          <w:kern w:val="2"/>
          <w:sz w:val="28"/>
          <w:szCs w:val="28"/>
          <w:highlight w:val="none"/>
          <w:lang w:val="en-US" w:eastAsia="zh-CN" w:bidi="ar-SA"/>
        </w:rPr>
        <w:t>残疾人福利性单位声明函</w:t>
      </w:r>
      <w:bookmarkEnd w:id="84"/>
      <w:bookmarkEnd w:id="85"/>
      <w:bookmarkEnd w:id="86"/>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ind w:firstLine="504"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本单位郑重声明，根据《财政部 民政部 中国残疾人联合会关于促进残疾人就业政府采购政策的通知》（财库</w:t>
      </w:r>
      <w:r>
        <w:rPr>
          <w:rFonts w:hint="eastAsia" w:asciiTheme="majorEastAsia" w:hAnsiTheme="majorEastAsia" w:eastAsiaTheme="majorEastAsia" w:cstheme="majorEastAsia"/>
          <w:color w:val="auto"/>
          <w:sz w:val="24"/>
          <w:szCs w:val="24"/>
          <w:highlight w:val="none"/>
        </w:rPr>
        <w:t>[2017]141</w:t>
      </w:r>
      <w:r>
        <w:rPr>
          <w:rFonts w:hint="eastAsia" w:asciiTheme="majorEastAsia" w:hAnsiTheme="majorEastAsia" w:eastAsiaTheme="majorEastAsia" w:cstheme="majorEastAsia"/>
          <w:color w:val="auto"/>
          <w:spacing w:val="6"/>
          <w:sz w:val="24"/>
          <w:szCs w:val="24"/>
          <w:highlight w:val="none"/>
        </w:rPr>
        <w:t>号）的规定，本单位为符合条件的残疾人福利性单位，且本单位参加</w:t>
      </w:r>
      <w:r>
        <w:rPr>
          <w:rFonts w:hint="eastAsia" w:asciiTheme="majorEastAsia" w:hAnsiTheme="majorEastAsia" w:eastAsiaTheme="majorEastAsia" w:cstheme="majorEastAsia"/>
          <w:color w:val="auto"/>
          <w:sz w:val="24"/>
          <w:szCs w:val="24"/>
          <w:highlight w:val="none"/>
          <w:u w:val="single"/>
          <w:lang w:val="en-US" w:eastAsia="zh-CN"/>
        </w:rPr>
        <w:t>杭州市中策职业学校</w:t>
      </w:r>
      <w:r>
        <w:rPr>
          <w:rFonts w:hint="eastAsia" w:asciiTheme="majorEastAsia" w:hAnsiTheme="majorEastAsia" w:eastAsiaTheme="majorEastAsia" w:cstheme="majorEastAsia"/>
          <w:color w:val="auto"/>
          <w:sz w:val="24"/>
          <w:szCs w:val="24"/>
          <w:highlight w:val="none"/>
          <w:u w:val="single"/>
          <w:lang w:eastAsia="zh-CN"/>
        </w:rPr>
        <w:t>垃圾分类桶</w:t>
      </w:r>
      <w:r>
        <w:rPr>
          <w:rFonts w:hint="eastAsia" w:asciiTheme="majorEastAsia" w:hAnsiTheme="majorEastAsia" w:eastAsiaTheme="majorEastAsia" w:cstheme="majorEastAsia"/>
          <w:color w:val="auto"/>
          <w:sz w:val="24"/>
          <w:szCs w:val="24"/>
          <w:highlight w:val="none"/>
          <w:u w:val="single"/>
          <w:lang w:val="en-US" w:eastAsia="zh-CN"/>
        </w:rPr>
        <w:t>采购项目</w:t>
      </w:r>
      <w:r>
        <w:rPr>
          <w:rFonts w:hint="eastAsia" w:asciiTheme="majorEastAsia" w:hAnsiTheme="majorEastAsia" w:eastAsiaTheme="majorEastAsia" w:cstheme="majorEastAsia"/>
          <w:color w:val="auto"/>
          <w:spacing w:val="6"/>
          <w:sz w:val="24"/>
          <w:szCs w:val="24"/>
          <w:highlight w:val="none"/>
        </w:rPr>
        <w:t>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overflowPunct/>
        <w:topLinePunct w:val="0"/>
        <w:bidi w:val="0"/>
        <w:adjustRightInd/>
        <w:spacing w:line="500" w:lineRule="exact"/>
        <w:ind w:firstLine="504"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本单位对上述声明的真实性负责。如有虚假，将依法承担相应责任。</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日期：    年  月  日</w:t>
      </w:r>
    </w:p>
    <w:p>
      <w:pPr>
        <w:keepNext w:val="0"/>
        <w:keepLines w:val="0"/>
        <w:pageBreakBefore w:val="0"/>
        <w:kinsoku/>
        <w:overflowPunct/>
        <w:topLinePunct w:val="0"/>
        <w:bidi w:val="0"/>
        <w:adjustRightInd/>
        <w:spacing w:line="500" w:lineRule="exact"/>
        <w:ind w:firstLine="506" w:firstLineChars="200"/>
        <w:jc w:val="lef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color w:val="auto"/>
          <w:spacing w:val="6"/>
          <w:sz w:val="24"/>
          <w:szCs w:val="24"/>
          <w:highlight w:val="none"/>
        </w:rPr>
        <w:t>投标人不属于残疾人福利性单位的，无需提供此声明函，如提供所引起的后果由投标人承担。</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说明：</w:t>
      </w:r>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bCs/>
          <w:color w:val="auto"/>
          <w:kern w:val="0"/>
          <w:sz w:val="24"/>
          <w:szCs w:val="24"/>
          <w:highlight w:val="none"/>
        </w:rPr>
        <w:t>1、</w:t>
      </w:r>
      <w:r>
        <w:rPr>
          <w:rFonts w:hint="eastAsia" w:asciiTheme="majorEastAsia" w:hAnsiTheme="majorEastAsia" w:eastAsiaTheme="majorEastAsia" w:cstheme="majorEastAsia"/>
          <w:color w:val="auto"/>
          <w:kern w:val="0"/>
          <w:sz w:val="24"/>
          <w:szCs w:val="24"/>
          <w:highlight w:val="none"/>
        </w:rPr>
        <w:t>若投标人同时满足以下条件，则属于依法享受政府采购支持政策的残疾人福利性单位，可提供《残疾人福利性单位声明函》，并对声明的真实性负责：</w:t>
      </w:r>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（一）安置的残疾人占本单位在职职工人数的比例不低于25%（含25%），并且安置的残疾人人数不少于10人（含10人）；</w:t>
      </w:r>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（二）依法与安置的每位残疾人签订了一年以上（含一年）的劳动合同或服务协议；</w:t>
      </w:r>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（三）为安置的每位残疾人按月足额缴纳了基本养老保险、基本医疗保险、失业保险、工伤保险和生育保险等社会保险费；</w:t>
      </w:r>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（四）通过银行等金融机构向安置的每位残疾人，按月支付了不低于单位所在区县适用的经省级人民政府批准的月最低工资标准的工资；</w:t>
      </w:r>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（五）提供本单位制造的货物、承担的工程或者服务（以下简称产品），或者提供其他残疾人福利性单位制造的货物（不包括使用非残疾人福利性单位注册商标的货物）。</w:t>
      </w:r>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color w:val="auto"/>
          <w:kern w:val="0"/>
          <w:sz w:val="24"/>
          <w:szCs w:val="24"/>
          <w:highlight w:val="none"/>
        </w:rPr>
        <w:t>2、中标人为残疾人福利性单位的，《残疾人福利性单位声明函》随中标结果同时公告，接受社会监督。</w:t>
      </w:r>
    </w:p>
    <w:p>
      <w:pPr>
        <w:keepNext w:val="0"/>
        <w:keepLines w:val="0"/>
        <w:pageBreakBefore w:val="0"/>
        <w:kinsoku/>
        <w:overflowPunct/>
        <w:topLinePunct w:val="0"/>
        <w:bidi w:val="0"/>
        <w:adjustRightInd/>
        <w:spacing w:line="500" w:lineRule="exact"/>
        <w:ind w:firstLine="456" w:firstLineChars="200"/>
        <w:jc w:val="left"/>
        <w:rPr>
          <w:rFonts w:hint="eastAsia" w:asciiTheme="majorEastAsia" w:hAnsiTheme="majorEastAsia" w:eastAsiaTheme="majorEastAsia" w:cstheme="majorEastAsia"/>
          <w:color w:val="auto"/>
          <w:kern w:val="0"/>
          <w:sz w:val="24"/>
          <w:szCs w:val="24"/>
          <w:highlight w:val="none"/>
        </w:rPr>
      </w:pPr>
      <w:r>
        <w:rPr>
          <w:rFonts w:hint="eastAsia" w:asciiTheme="majorEastAsia" w:hAnsiTheme="majorEastAsia" w:eastAsiaTheme="majorEastAsia" w:cstheme="majorEastAsia"/>
          <w:bCs/>
          <w:color w:val="auto"/>
          <w:spacing w:val="-6"/>
          <w:sz w:val="24"/>
          <w:szCs w:val="24"/>
          <w:highlight w:val="none"/>
        </w:rPr>
        <w:br w:type="page"/>
      </w:r>
      <w:r>
        <w:rPr>
          <w:rFonts w:hint="eastAsia" w:asciiTheme="majorEastAsia" w:hAnsiTheme="majorEastAsia" w:eastAsiaTheme="majorEastAsia" w:cstheme="majorEastAsia"/>
          <w:color w:val="auto"/>
          <w:kern w:val="0"/>
          <w:sz w:val="24"/>
          <w:szCs w:val="24"/>
          <w:highlight w:val="none"/>
        </w:rPr>
        <w:t>资格文件封面</w:t>
      </w:r>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rPr>
      </w:pPr>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rPr>
      </w:pPr>
    </w:p>
    <w:p>
      <w:pPr>
        <w:keepNext w:val="0"/>
        <w:keepLines w:val="0"/>
        <w:pageBreakBefore w:val="0"/>
        <w:kinsoku/>
        <w:overflowPunct/>
        <w:topLinePunct w:val="0"/>
        <w:bidi w:val="0"/>
        <w:adjustRightInd/>
        <w:spacing w:line="500" w:lineRule="exact"/>
        <w:ind w:firstLine="643" w:firstLineChars="200"/>
        <w:jc w:val="center"/>
        <w:outlineLvl w:val="0"/>
        <w:rPr>
          <w:rFonts w:hint="eastAsia" w:asciiTheme="majorEastAsia" w:hAnsiTheme="majorEastAsia" w:eastAsiaTheme="majorEastAsia" w:cstheme="majorEastAsia"/>
          <w:b/>
          <w:bCs/>
          <w:color w:val="auto"/>
          <w:kern w:val="0"/>
          <w:sz w:val="32"/>
          <w:szCs w:val="32"/>
          <w:highlight w:val="none"/>
          <w:lang w:val="en-US" w:eastAsia="zh-CN"/>
        </w:rPr>
      </w:pPr>
      <w:bookmarkStart w:id="87" w:name="_Toc15636"/>
      <w:bookmarkStart w:id="88" w:name="_Toc28837"/>
      <w:bookmarkStart w:id="89" w:name="_Toc5480"/>
      <w:r>
        <w:rPr>
          <w:rFonts w:hint="eastAsia" w:asciiTheme="majorEastAsia" w:hAnsiTheme="majorEastAsia" w:eastAsiaTheme="majorEastAsia" w:cstheme="majorEastAsia"/>
          <w:b/>
          <w:bCs/>
          <w:color w:val="auto"/>
          <w:kern w:val="0"/>
          <w:sz w:val="32"/>
          <w:szCs w:val="32"/>
          <w:highlight w:val="none"/>
          <w:lang w:val="en-US" w:eastAsia="zh-CN"/>
        </w:rPr>
        <w:t>杭州市中策职业学校垃圾分类桶采购项目</w:t>
      </w:r>
      <w:bookmarkEnd w:id="87"/>
      <w:bookmarkEnd w:id="88"/>
      <w:bookmarkEnd w:id="89"/>
    </w:p>
    <w:p>
      <w:pPr>
        <w:keepNext w:val="0"/>
        <w:keepLines w:val="0"/>
        <w:pageBreakBefore w:val="0"/>
        <w:kinsoku/>
        <w:overflowPunct/>
        <w:topLinePunct w:val="0"/>
        <w:bidi w:val="0"/>
        <w:adjustRightInd/>
        <w:spacing w:line="500" w:lineRule="exact"/>
        <w:ind w:firstLine="480" w:firstLineChars="200"/>
        <w:jc w:val="left"/>
        <w:rPr>
          <w:rFonts w:hint="eastAsia" w:asciiTheme="majorEastAsia" w:hAnsiTheme="majorEastAsia" w:eastAsiaTheme="majorEastAsia" w:cstheme="majorEastAsia"/>
          <w:color w:val="auto"/>
          <w:kern w:val="0"/>
          <w:sz w:val="24"/>
          <w:szCs w:val="24"/>
          <w:highlight w:val="none"/>
          <w:lang w:val="en-US" w:eastAsia="zh-CN"/>
        </w:rPr>
      </w:pPr>
    </w:p>
    <w:p>
      <w:pPr>
        <w:keepNext w:val="0"/>
        <w:keepLines w:val="0"/>
        <w:pageBreakBefore w:val="0"/>
        <w:kinsoku/>
        <w:overflowPunct/>
        <w:topLinePunct w:val="0"/>
        <w:bidi w:val="0"/>
        <w:adjustRightInd/>
        <w:spacing w:line="500" w:lineRule="exact"/>
        <w:jc w:val="center"/>
        <w:rPr>
          <w:rFonts w:hint="eastAsia" w:ascii="楷体" w:hAnsi="楷体" w:eastAsia="楷体"/>
          <w:b/>
          <w:color w:val="auto"/>
          <w:spacing w:val="-6"/>
          <w:sz w:val="32"/>
          <w:szCs w:val="32"/>
          <w:highlight w:val="none"/>
          <w:lang w:val="en-US" w:eastAsia="zh-CN"/>
        </w:rPr>
      </w:pP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bCs/>
          <w:color w:val="auto"/>
          <w:spacing w:val="-6"/>
          <w:sz w:val="44"/>
          <w:szCs w:val="44"/>
          <w:highlight w:val="none"/>
        </w:rPr>
      </w:pPr>
      <w:r>
        <w:rPr>
          <w:rFonts w:hint="eastAsia" w:asciiTheme="majorEastAsia" w:hAnsiTheme="majorEastAsia" w:eastAsiaTheme="majorEastAsia" w:cstheme="majorEastAsia"/>
          <w:b/>
          <w:bCs/>
          <w:color w:val="auto"/>
          <w:spacing w:val="-6"/>
          <w:sz w:val="44"/>
          <w:szCs w:val="44"/>
          <w:highlight w:val="none"/>
        </w:rPr>
        <w:t>资格文件</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lang w:eastAsia="zh-CN"/>
        </w:rPr>
      </w:pPr>
      <w:r>
        <w:rPr>
          <w:rFonts w:hint="eastAsia" w:asciiTheme="majorEastAsia" w:hAnsiTheme="majorEastAsia" w:eastAsiaTheme="majorEastAsia" w:cstheme="majorEastAsia"/>
          <w:bCs/>
          <w:color w:val="auto"/>
          <w:spacing w:val="-6"/>
          <w:sz w:val="24"/>
          <w:szCs w:val="24"/>
          <w:highlight w:val="none"/>
        </w:rPr>
        <w:t>采购人：</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lang w:eastAsia="zh-CN"/>
        </w:rPr>
      </w:pPr>
      <w:r>
        <w:rPr>
          <w:rFonts w:hint="eastAsia" w:asciiTheme="majorEastAsia" w:hAnsiTheme="majorEastAsia" w:eastAsiaTheme="majorEastAsia" w:cstheme="majorEastAsia"/>
          <w:bCs/>
          <w:color w:val="auto"/>
          <w:spacing w:val="-6"/>
          <w:sz w:val="24"/>
          <w:szCs w:val="24"/>
          <w:highlight w:val="none"/>
        </w:rPr>
        <w:t>项目名称：</w:t>
      </w:r>
      <w:r>
        <w:rPr>
          <w:rFonts w:hint="eastAsia" w:asciiTheme="majorEastAsia" w:hAnsiTheme="majorEastAsia" w:eastAsiaTheme="majorEastAsia" w:cstheme="majorEastAsia"/>
          <w:bCs/>
          <w:color w:val="auto"/>
          <w:spacing w:val="-6"/>
          <w:sz w:val="24"/>
          <w:szCs w:val="24"/>
          <w:highlight w:val="none"/>
          <w:lang w:eastAsia="zh-CN"/>
        </w:rPr>
        <w:t>垃圾分类桶</w:t>
      </w:r>
    </w:p>
    <w:p>
      <w:pPr>
        <w:keepNext w:val="0"/>
        <w:keepLines w:val="0"/>
        <w:pageBreakBefore w:val="0"/>
        <w:kinsoku/>
        <w:overflowPunct/>
        <w:topLinePunct w:val="0"/>
        <w:bidi w:val="0"/>
        <w:adjustRightInd/>
        <w:spacing w:line="500" w:lineRule="exact"/>
        <w:rPr>
          <w:rFonts w:hint="default" w:asciiTheme="majorEastAsia" w:hAnsiTheme="majorEastAsia" w:eastAsiaTheme="majorEastAsia" w:cstheme="majorEastAsia"/>
          <w:bCs/>
          <w:color w:val="auto"/>
          <w:spacing w:val="-6"/>
          <w:sz w:val="24"/>
          <w:szCs w:val="24"/>
          <w:highlight w:val="none"/>
          <w:lang w:val="en-US" w:eastAsia="zh-CN"/>
        </w:rPr>
      </w:pPr>
      <w:r>
        <w:rPr>
          <w:rFonts w:hint="eastAsia" w:asciiTheme="majorEastAsia" w:hAnsiTheme="majorEastAsia" w:eastAsiaTheme="majorEastAsia" w:cstheme="majorEastAsia"/>
          <w:bCs/>
          <w:color w:val="auto"/>
          <w:spacing w:val="-6"/>
          <w:sz w:val="24"/>
          <w:szCs w:val="24"/>
          <w:highlight w:val="none"/>
        </w:rPr>
        <w:t>项目编号：</w:t>
      </w:r>
      <w:r>
        <w:rPr>
          <w:rFonts w:hint="eastAsia" w:asciiTheme="majorEastAsia" w:hAnsiTheme="majorEastAsia" w:eastAsiaTheme="majorEastAsia" w:cstheme="majorEastAsia"/>
          <w:color w:val="auto"/>
          <w:sz w:val="24"/>
          <w:szCs w:val="24"/>
          <w:highlight w:val="none"/>
          <w:lang w:val="en-US" w:eastAsia="zh-CN"/>
        </w:rPr>
        <w:t>ZJXCX-2020-002</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投标人地址：</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日期：    年  月  日</w:t>
      </w:r>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br w:type="page"/>
      </w:r>
    </w:p>
    <w:p>
      <w:pPr>
        <w:keepNext w:val="0"/>
        <w:keepLines w:val="0"/>
        <w:pageBreakBefore w:val="0"/>
        <w:kinsoku/>
        <w:overflowPunct/>
        <w:topLinePunct w:val="0"/>
        <w:bidi w:val="0"/>
        <w:adjustRightInd/>
        <w:spacing w:line="500" w:lineRule="exact"/>
        <w:ind w:firstLine="643" w:firstLineChars="200"/>
        <w:jc w:val="center"/>
        <w:outlineLvl w:val="0"/>
        <w:rPr>
          <w:rFonts w:hint="eastAsia" w:asciiTheme="majorEastAsia" w:hAnsiTheme="majorEastAsia" w:eastAsiaTheme="majorEastAsia" w:cstheme="majorEastAsia"/>
          <w:b/>
          <w:bCs/>
          <w:color w:val="auto"/>
          <w:kern w:val="0"/>
          <w:sz w:val="32"/>
          <w:szCs w:val="32"/>
          <w:highlight w:val="none"/>
          <w:lang w:val="en-US" w:eastAsia="zh-CN"/>
        </w:rPr>
      </w:pPr>
      <w:bookmarkStart w:id="90" w:name="_Toc9490"/>
      <w:bookmarkStart w:id="91" w:name="_Toc27278"/>
      <w:bookmarkStart w:id="92" w:name="_Toc22397"/>
      <w:r>
        <w:rPr>
          <w:rFonts w:hint="eastAsia" w:asciiTheme="majorEastAsia" w:hAnsiTheme="majorEastAsia" w:eastAsiaTheme="majorEastAsia" w:cstheme="majorEastAsia"/>
          <w:b/>
          <w:bCs/>
          <w:color w:val="auto"/>
          <w:kern w:val="0"/>
          <w:sz w:val="32"/>
          <w:szCs w:val="32"/>
          <w:highlight w:val="none"/>
          <w:lang w:val="en-US" w:eastAsia="zh-CN"/>
        </w:rPr>
        <w:t>资格文件</w:t>
      </w:r>
      <w:bookmarkEnd w:id="90"/>
      <w:bookmarkEnd w:id="91"/>
      <w:bookmarkEnd w:id="92"/>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有效的法人或者其他组织的营业执照等证明文件</w:t>
      </w:r>
      <w:r>
        <w:rPr>
          <w:rFonts w:hint="eastAsia" w:asciiTheme="majorEastAsia" w:hAnsiTheme="majorEastAsia" w:eastAsiaTheme="majorEastAsia" w:cstheme="majorEastAsia"/>
          <w:color w:val="auto"/>
          <w:spacing w:val="-6"/>
          <w:sz w:val="24"/>
          <w:szCs w:val="24"/>
          <w:highlight w:val="none"/>
        </w:rPr>
        <w:t>（复印件）</w:t>
      </w:r>
      <w:r>
        <w:rPr>
          <w:rFonts w:hint="eastAsia" w:asciiTheme="majorEastAsia" w:hAnsiTheme="majorEastAsia" w:eastAsiaTheme="majorEastAsia" w:cstheme="majorEastAsia"/>
          <w:b/>
          <w:color w:val="auto"/>
          <w:spacing w:val="-6"/>
          <w:sz w:val="24"/>
          <w:szCs w:val="24"/>
          <w:highlight w:val="none"/>
        </w:rPr>
        <w:t>，自然人的身份证明</w:t>
      </w:r>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b/>
          <w:color w:val="auto"/>
          <w:spacing w:val="-6"/>
          <w:sz w:val="24"/>
          <w:szCs w:val="24"/>
          <w:highlight w:val="none"/>
        </w:rPr>
      </w:pPr>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b/>
          <w:color w:val="auto"/>
          <w:spacing w:val="-6"/>
          <w:sz w:val="24"/>
          <w:szCs w:val="24"/>
          <w:highlight w:val="none"/>
        </w:rPr>
      </w:pPr>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说明：</w:t>
      </w:r>
    </w:p>
    <w:p>
      <w:pPr>
        <w:pStyle w:val="19"/>
        <w:keepNext w:val="0"/>
        <w:keepLines w:val="0"/>
        <w:pageBreakBefore w:val="0"/>
        <w:kinsoku/>
        <w:overflowPunct/>
        <w:topLinePunct w:val="0"/>
        <w:bidi w:val="0"/>
        <w:adjustRightInd/>
        <w:spacing w:line="500" w:lineRule="exact"/>
        <w:ind w:left="398" w:hanging="398"/>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1.如投标人是企业（包括合伙企业），提供在工商部门注册的有效“企业法人营业执照”或“营业执照”；</w:t>
      </w:r>
    </w:p>
    <w:p>
      <w:pPr>
        <w:pStyle w:val="19"/>
        <w:keepNext w:val="0"/>
        <w:keepLines w:val="0"/>
        <w:pageBreakBefore w:val="0"/>
        <w:kinsoku/>
        <w:overflowPunct/>
        <w:topLinePunct w:val="0"/>
        <w:bidi w:val="0"/>
        <w:adjustRightInd/>
        <w:spacing w:line="500" w:lineRule="exact"/>
        <w:ind w:left="398" w:hanging="398"/>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2.如投标人是事业单位，提供有效的“事业单位法人证书”；</w:t>
      </w:r>
    </w:p>
    <w:p>
      <w:pPr>
        <w:pStyle w:val="19"/>
        <w:keepNext w:val="0"/>
        <w:keepLines w:val="0"/>
        <w:pageBreakBefore w:val="0"/>
        <w:kinsoku/>
        <w:overflowPunct/>
        <w:topLinePunct w:val="0"/>
        <w:bidi w:val="0"/>
        <w:adjustRightInd/>
        <w:spacing w:line="500" w:lineRule="exact"/>
        <w:ind w:left="398" w:hanging="398"/>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3.如投标人是非企业专业服务机构的，提供执业许可证等证明文件；</w:t>
      </w:r>
    </w:p>
    <w:p>
      <w:pPr>
        <w:pStyle w:val="19"/>
        <w:keepNext w:val="0"/>
        <w:keepLines w:val="0"/>
        <w:pageBreakBefore w:val="0"/>
        <w:kinsoku/>
        <w:overflowPunct/>
        <w:topLinePunct w:val="0"/>
        <w:bidi w:val="0"/>
        <w:adjustRightInd/>
        <w:spacing w:line="500" w:lineRule="exact"/>
        <w:ind w:left="398" w:hanging="398"/>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4.如投标人是个体工商户，提供有效的“个体工商户营业执照”；</w:t>
      </w:r>
    </w:p>
    <w:p>
      <w:pPr>
        <w:pStyle w:val="19"/>
        <w:keepNext w:val="0"/>
        <w:keepLines w:val="0"/>
        <w:pageBreakBefore w:val="0"/>
        <w:kinsoku/>
        <w:overflowPunct/>
        <w:topLinePunct w:val="0"/>
        <w:bidi w:val="0"/>
        <w:adjustRightInd/>
        <w:spacing w:line="500" w:lineRule="exact"/>
        <w:ind w:left="398" w:hanging="398"/>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5.如投标人是自然人，提供有效的自然人身份证明。</w:t>
      </w:r>
    </w:p>
    <w:p>
      <w:pPr>
        <w:pStyle w:val="11"/>
        <w:keepNext w:val="0"/>
        <w:keepLines w:val="0"/>
        <w:pageBreakBefore w:val="0"/>
        <w:kinsoku/>
        <w:overflowPunct/>
        <w:topLinePunct w:val="0"/>
        <w:bidi w:val="0"/>
        <w:adjustRightInd/>
        <w:spacing w:line="500" w:lineRule="exact"/>
        <w:ind w:firstLine="0"/>
        <w:jc w:val="left"/>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Cs/>
          <w:color w:val="auto"/>
          <w:spacing w:val="-6"/>
          <w:sz w:val="24"/>
          <w:szCs w:val="24"/>
          <w:highlight w:val="none"/>
        </w:rPr>
        <w:br w:type="page"/>
      </w:r>
      <w:r>
        <w:rPr>
          <w:rFonts w:hint="eastAsia" w:asciiTheme="majorEastAsia" w:hAnsiTheme="majorEastAsia" w:eastAsiaTheme="majorEastAsia" w:cstheme="majorEastAsia"/>
          <w:b/>
          <w:bCs/>
          <w:color w:val="auto"/>
          <w:spacing w:val="0"/>
          <w:kern w:val="0"/>
          <w:sz w:val="32"/>
          <w:szCs w:val="32"/>
          <w:highlight w:val="none"/>
          <w:lang w:val="en-US" w:eastAsia="zh-CN" w:bidi="ar-SA"/>
        </w:rPr>
        <w:t>2018年12月（含）以后任意一月的财务状况报告（复印件）或开标前三个月内出具的银行资信证明</w:t>
      </w:r>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color w:val="auto"/>
          <w:spacing w:val="-6"/>
          <w:sz w:val="24"/>
          <w:szCs w:val="24"/>
          <w:highlight w:val="none"/>
        </w:rPr>
      </w:pPr>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color w:val="auto"/>
          <w:spacing w:val="-6"/>
          <w:sz w:val="24"/>
          <w:szCs w:val="24"/>
          <w:highlight w:val="none"/>
        </w:rPr>
      </w:pPr>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rPr>
      </w:pPr>
      <w:r>
        <w:rPr>
          <w:rFonts w:hint="eastAsia" w:asciiTheme="majorEastAsia" w:hAnsiTheme="majorEastAsia" w:eastAsiaTheme="majorEastAsia" w:cstheme="majorEastAsia"/>
          <w:b/>
          <w:bCs/>
          <w:color w:val="auto"/>
          <w:spacing w:val="-6"/>
          <w:sz w:val="24"/>
          <w:szCs w:val="24"/>
          <w:highlight w:val="none"/>
        </w:rPr>
        <w:t>说明：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1.供应商是法人的，应提供财务状况报告，包括资产负债表、利润表或其基本开户银行出具的资信证明</w:t>
      </w:r>
      <w:r>
        <w:rPr>
          <w:rFonts w:hint="eastAsia" w:asciiTheme="majorEastAsia" w:hAnsiTheme="majorEastAsia" w:eastAsiaTheme="majorEastAsia" w:cstheme="majorEastAsia"/>
          <w:bCs/>
          <w:color w:val="auto"/>
          <w:spacing w:val="-6"/>
          <w:sz w:val="24"/>
          <w:szCs w:val="24"/>
          <w:highlight w:val="none"/>
          <w:lang w:eastAsia="zh-CN"/>
        </w:rPr>
        <w:t>，</w:t>
      </w:r>
      <w:r>
        <w:rPr>
          <w:rFonts w:hint="eastAsia" w:asciiTheme="majorEastAsia" w:hAnsiTheme="majorEastAsia" w:eastAsiaTheme="majorEastAsia" w:cstheme="majorEastAsia"/>
          <w:bCs/>
          <w:color w:val="auto"/>
          <w:spacing w:val="-6"/>
          <w:sz w:val="24"/>
          <w:szCs w:val="24"/>
          <w:highlight w:val="none"/>
        </w:rPr>
        <w:t>并加盖公章；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2.部分其他组织和自然人没有财务状况报告的，可以提供银行出具的资信证明，并加盖公章；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3.银行资信证明应能说明投标人与银行之间业务往来正常，企业信誉良好等，</w:t>
      </w:r>
      <w:r>
        <w:rPr>
          <w:rFonts w:hint="eastAsia" w:asciiTheme="majorEastAsia" w:hAnsiTheme="majorEastAsia" w:eastAsiaTheme="majorEastAsia" w:cstheme="majorEastAsia"/>
          <w:b/>
          <w:color w:val="auto"/>
          <w:spacing w:val="-6"/>
          <w:sz w:val="24"/>
          <w:szCs w:val="24"/>
          <w:highlight w:val="none"/>
        </w:rPr>
        <w:t>银行出具的存款证明不能替代银行资信证明</w:t>
      </w:r>
      <w:r>
        <w:rPr>
          <w:rFonts w:hint="eastAsia" w:asciiTheme="majorEastAsia" w:hAnsiTheme="majorEastAsia" w:eastAsiaTheme="majorEastAsia" w:cstheme="majorEastAsia"/>
          <w:bCs/>
          <w:color w:val="auto"/>
          <w:spacing w:val="-6"/>
          <w:sz w:val="24"/>
          <w:szCs w:val="24"/>
          <w:highlight w:val="none"/>
        </w:rPr>
        <w:t>。</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Cs/>
          <w:color w:val="auto"/>
          <w:spacing w:val="-6"/>
          <w:sz w:val="24"/>
          <w:szCs w:val="24"/>
          <w:highlight w:val="none"/>
        </w:rPr>
        <w:br w:type="page"/>
      </w:r>
      <w:bookmarkStart w:id="93" w:name="_Toc8074"/>
      <w:bookmarkStart w:id="94" w:name="_Toc31737"/>
      <w:bookmarkStart w:id="95" w:name="_Toc20456"/>
      <w:r>
        <w:rPr>
          <w:rFonts w:hint="eastAsia" w:asciiTheme="majorEastAsia" w:hAnsiTheme="majorEastAsia" w:eastAsiaTheme="majorEastAsia" w:cstheme="majorEastAsia"/>
          <w:b/>
          <w:bCs/>
          <w:color w:val="auto"/>
          <w:spacing w:val="0"/>
          <w:kern w:val="0"/>
          <w:sz w:val="32"/>
          <w:szCs w:val="32"/>
          <w:highlight w:val="none"/>
          <w:lang w:val="en-US" w:eastAsia="zh-CN" w:bidi="ar-SA"/>
        </w:rPr>
        <w:t>资信证明</w:t>
      </w:r>
      <w:bookmarkEnd w:id="93"/>
      <w:bookmarkEnd w:id="94"/>
      <w:bookmarkEnd w:id="95"/>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p>
      <w:pPr>
        <w:keepNext w:val="0"/>
        <w:keepLines w:val="0"/>
        <w:pageBreakBefore w:val="0"/>
        <w:kinsoku/>
        <w:wordWrap w:val="0"/>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_____________：</w:t>
      </w:r>
    </w:p>
    <w:p>
      <w:pPr>
        <w:keepNext w:val="0"/>
        <w:keepLines w:val="0"/>
        <w:pageBreakBefore w:val="0"/>
        <w:kinsoku/>
        <w:wordWrap w:val="0"/>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兹证明，_____________（单位名称）在我行辖属网点_____________支行开立基本账户，账号：_____________。根据_____________（单位名称）委托，我行对_____________（单位名称）在我行的结算记录开立本证明书，供_____________（单位名称）参加_____________项目招标采购时使用。经确认，具体情况如下：</w:t>
      </w:r>
    </w:p>
    <w:p>
      <w:pPr>
        <w:keepNext w:val="0"/>
        <w:keepLines w:val="0"/>
        <w:pageBreakBefore w:val="0"/>
        <w:kinsoku/>
        <w:wordWrap w:val="0"/>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自___年___月___日至___年___月___日（即该日我行营业终了结账时）止，_____________（单位名称）无违反我行结算制度规定的行为。</w:t>
      </w:r>
    </w:p>
    <w:p>
      <w:pPr>
        <w:keepNext w:val="0"/>
        <w:keepLines w:val="0"/>
        <w:pageBreakBefore w:val="0"/>
        <w:kinsoku/>
        <w:wordWrap w:val="0"/>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仅此证明，下无正文。</w:t>
      </w:r>
    </w:p>
    <w:p>
      <w:pPr>
        <w:keepNext w:val="0"/>
        <w:keepLines w:val="0"/>
        <w:pageBreakBefore w:val="0"/>
        <w:kinsoku/>
        <w:wordWrap w:val="0"/>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p>
    <w:p>
      <w:pPr>
        <w:keepNext w:val="0"/>
        <w:keepLines w:val="0"/>
        <w:pageBreakBefore w:val="0"/>
        <w:kinsoku/>
        <w:wordWrap w:val="0"/>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p>
    <w:p>
      <w:pPr>
        <w:keepNext w:val="0"/>
        <w:keepLines w:val="0"/>
        <w:pageBreakBefore w:val="0"/>
        <w:kinsoku/>
        <w:wordWrap w:val="0"/>
        <w:overflowPunct/>
        <w:topLinePunct w:val="0"/>
        <w:bidi w:val="0"/>
        <w:adjustRightInd/>
        <w:spacing w:line="500" w:lineRule="exact"/>
        <w:ind w:firstLine="480" w:firstLineChars="200"/>
        <w:jc w:val="righ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_________（银行）</w:t>
      </w:r>
    </w:p>
    <w:p>
      <w:pPr>
        <w:keepNext w:val="0"/>
        <w:keepLines w:val="0"/>
        <w:pageBreakBefore w:val="0"/>
        <w:kinsoku/>
        <w:wordWrap w:val="0"/>
        <w:overflowPunct/>
        <w:topLinePunct w:val="0"/>
        <w:bidi w:val="0"/>
        <w:adjustRightInd/>
        <w:spacing w:line="500" w:lineRule="exact"/>
        <w:ind w:firstLine="480" w:firstLineChars="200"/>
        <w:jc w:val="righ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___年___月___日</w:t>
      </w:r>
    </w:p>
    <w:p>
      <w:pPr>
        <w:keepNext w:val="0"/>
        <w:keepLines w:val="0"/>
        <w:pageBreakBefore w:val="0"/>
        <w:kinsoku/>
        <w:overflowPunct/>
        <w:topLinePunct w:val="0"/>
        <w:bidi w:val="0"/>
        <w:adjustRightInd/>
        <w:spacing w:line="500" w:lineRule="exact"/>
        <w:ind w:firstLine="480" w:firstLineChars="200"/>
        <w:jc w:val="righ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ind w:firstLine="480" w:firstLineChars="200"/>
        <w:jc w:val="righ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ind w:firstLine="480" w:firstLineChars="200"/>
        <w:jc w:val="righ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说明：</w:t>
      </w:r>
    </w:p>
    <w:p>
      <w:pPr>
        <w:keepNext w:val="0"/>
        <w:keepLines w:val="0"/>
        <w:pageBreakBefore w:val="0"/>
        <w:kinsoku/>
        <w:overflowPunct/>
        <w:topLinePunct w:val="0"/>
        <w:bidi w:val="0"/>
        <w:adjustRightInd/>
        <w:spacing w:line="500" w:lineRule="exact"/>
        <w:ind w:firstLine="570" w:firstLineChars="250"/>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本“资信证明”内容与格式</w:t>
      </w:r>
      <w:r>
        <w:rPr>
          <w:rFonts w:hint="eastAsia" w:asciiTheme="majorEastAsia" w:hAnsiTheme="majorEastAsia" w:eastAsiaTheme="majorEastAsia" w:cstheme="majorEastAsia"/>
          <w:b/>
          <w:bCs/>
          <w:color w:val="auto"/>
          <w:spacing w:val="-6"/>
          <w:sz w:val="24"/>
          <w:szCs w:val="24"/>
          <w:highlight w:val="none"/>
        </w:rPr>
        <w:t>仅供参考</w:t>
      </w:r>
      <w:r>
        <w:rPr>
          <w:rFonts w:hint="eastAsia" w:asciiTheme="majorEastAsia" w:hAnsiTheme="majorEastAsia" w:eastAsiaTheme="majorEastAsia" w:cstheme="majorEastAsia"/>
          <w:bCs/>
          <w:color w:val="auto"/>
          <w:spacing w:val="-6"/>
          <w:sz w:val="24"/>
          <w:szCs w:val="24"/>
          <w:highlight w:val="none"/>
        </w:rPr>
        <w:t>，各银行可根据自身制度进行</w:t>
      </w:r>
      <w:r>
        <w:rPr>
          <w:rFonts w:hint="eastAsia" w:asciiTheme="majorEastAsia" w:hAnsiTheme="majorEastAsia" w:eastAsiaTheme="majorEastAsia" w:cstheme="majorEastAsia"/>
          <w:b/>
          <w:bCs/>
          <w:color w:val="auto"/>
          <w:spacing w:val="-6"/>
          <w:sz w:val="24"/>
          <w:szCs w:val="24"/>
          <w:highlight w:val="none"/>
        </w:rPr>
        <w:t>修改</w:t>
      </w:r>
      <w:r>
        <w:rPr>
          <w:rFonts w:hint="eastAsia" w:asciiTheme="majorEastAsia" w:hAnsiTheme="majorEastAsia" w:eastAsiaTheme="majorEastAsia" w:cstheme="majorEastAsia"/>
          <w:bCs/>
          <w:color w:val="auto"/>
          <w:spacing w:val="-6"/>
          <w:sz w:val="24"/>
          <w:szCs w:val="24"/>
          <w:highlight w:val="none"/>
        </w:rPr>
        <w:t>，但应满足本招标文件中对“资信证明”的要求。</w:t>
      </w:r>
    </w:p>
    <w:p>
      <w:pPr>
        <w:pStyle w:val="19"/>
        <w:keepNext w:val="0"/>
        <w:keepLines w:val="0"/>
        <w:pageBreakBefore w:val="0"/>
        <w:kinsoku/>
        <w:overflowPunct/>
        <w:topLinePunct w:val="0"/>
        <w:bidi w:val="0"/>
        <w:adjustRightInd/>
        <w:spacing w:line="500" w:lineRule="exact"/>
        <w:ind w:left="0" w:firstLine="0" w:firstLineChars="0"/>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Cs/>
          <w:color w:val="auto"/>
          <w:spacing w:val="-6"/>
          <w:sz w:val="24"/>
          <w:szCs w:val="24"/>
          <w:highlight w:val="none"/>
        </w:rPr>
        <w:br w:type="page"/>
      </w:r>
      <w:bookmarkStart w:id="96" w:name="_Toc15655"/>
      <w:bookmarkStart w:id="97" w:name="_Toc11987"/>
      <w:bookmarkStart w:id="98" w:name="_Toc19352"/>
      <w:r>
        <w:rPr>
          <w:rFonts w:hint="eastAsia" w:asciiTheme="majorEastAsia" w:hAnsiTheme="majorEastAsia" w:eastAsiaTheme="majorEastAsia" w:cstheme="majorEastAsia"/>
          <w:b/>
          <w:bCs/>
          <w:color w:val="auto"/>
          <w:spacing w:val="0"/>
          <w:kern w:val="0"/>
          <w:sz w:val="32"/>
          <w:szCs w:val="32"/>
          <w:highlight w:val="none"/>
          <w:lang w:val="en-US" w:eastAsia="zh-CN" w:bidi="ar-SA"/>
        </w:rPr>
        <w:t>2019年7月至2020年3月任意一月依法缴纳税收的证明材料</w:t>
      </w:r>
      <w:bookmarkEnd w:id="96"/>
      <w:bookmarkEnd w:id="97"/>
      <w:bookmarkEnd w:id="98"/>
    </w:p>
    <w:p>
      <w:pPr>
        <w:pStyle w:val="19"/>
        <w:keepNext w:val="0"/>
        <w:keepLines w:val="0"/>
        <w:pageBreakBefore w:val="0"/>
        <w:kinsoku/>
        <w:overflowPunct/>
        <w:topLinePunct w:val="0"/>
        <w:bidi w:val="0"/>
        <w:adjustRightInd/>
        <w:spacing w:line="500" w:lineRule="exact"/>
        <w:ind w:left="0" w:firstLine="0" w:firstLineChars="0"/>
        <w:jc w:val="center"/>
        <w:outlineLvl w:val="1"/>
        <w:rPr>
          <w:rFonts w:hint="eastAsia" w:asciiTheme="majorEastAsia" w:hAnsiTheme="majorEastAsia" w:eastAsiaTheme="majorEastAsia" w:cstheme="majorEastAsia"/>
          <w:b w:val="0"/>
          <w:bCs w:val="0"/>
          <w:color w:val="auto"/>
          <w:spacing w:val="0"/>
          <w:kern w:val="0"/>
          <w:sz w:val="32"/>
          <w:szCs w:val="32"/>
          <w:highlight w:val="none"/>
          <w:lang w:val="en-US" w:eastAsia="zh-CN" w:bidi="ar-SA"/>
        </w:rPr>
      </w:pPr>
      <w:bookmarkStart w:id="99" w:name="_Toc28108"/>
      <w:r>
        <w:rPr>
          <w:rFonts w:hint="eastAsia" w:asciiTheme="majorEastAsia" w:hAnsiTheme="majorEastAsia" w:eastAsiaTheme="majorEastAsia" w:cstheme="majorEastAsia"/>
          <w:b w:val="0"/>
          <w:bCs w:val="0"/>
          <w:color w:val="auto"/>
          <w:spacing w:val="0"/>
          <w:kern w:val="0"/>
          <w:sz w:val="32"/>
          <w:szCs w:val="32"/>
          <w:highlight w:val="none"/>
          <w:lang w:val="en-US" w:eastAsia="zh-CN" w:bidi="ar-SA"/>
        </w:rPr>
        <w:t>（依法免税的投标人，应提供相应文件证明其依法免税）</w:t>
      </w:r>
      <w:bookmarkEnd w:id="99"/>
    </w:p>
    <w:p>
      <w:pPr>
        <w:pStyle w:val="19"/>
        <w:keepNext w:val="0"/>
        <w:keepLines w:val="0"/>
        <w:pageBreakBefore w:val="0"/>
        <w:kinsoku/>
        <w:overflowPunct/>
        <w:topLinePunct w:val="0"/>
        <w:bidi w:val="0"/>
        <w:adjustRightInd/>
        <w:spacing w:line="500" w:lineRule="exact"/>
        <w:ind w:left="0" w:firstLine="0" w:firstLineChars="0"/>
        <w:jc w:val="center"/>
        <w:rPr>
          <w:rFonts w:hint="eastAsia" w:asciiTheme="majorEastAsia" w:hAnsiTheme="majorEastAsia" w:eastAsiaTheme="majorEastAsia" w:cstheme="majorEastAsia"/>
          <w:color w:val="auto"/>
          <w:spacing w:val="-6"/>
          <w:sz w:val="24"/>
          <w:szCs w:val="24"/>
          <w:highlight w:val="none"/>
        </w:rPr>
      </w:pPr>
    </w:p>
    <w:p>
      <w:pPr>
        <w:pStyle w:val="19"/>
        <w:keepNext w:val="0"/>
        <w:keepLines w:val="0"/>
        <w:pageBreakBefore w:val="0"/>
        <w:kinsoku/>
        <w:overflowPunct/>
        <w:topLinePunct w:val="0"/>
        <w:bidi w:val="0"/>
        <w:adjustRightInd/>
        <w:spacing w:line="500" w:lineRule="exact"/>
        <w:ind w:left="0" w:firstLine="0" w:firstLineChars="0"/>
        <w:jc w:val="center"/>
        <w:rPr>
          <w:rFonts w:hint="eastAsia" w:asciiTheme="majorEastAsia" w:hAnsiTheme="majorEastAsia" w:eastAsiaTheme="majorEastAsia" w:cstheme="majorEastAsia"/>
          <w:color w:val="auto"/>
          <w:spacing w:val="-6"/>
          <w:sz w:val="24"/>
          <w:szCs w:val="24"/>
          <w:highlight w:val="none"/>
        </w:rPr>
      </w:pPr>
    </w:p>
    <w:p>
      <w:pPr>
        <w:pStyle w:val="19"/>
        <w:keepNext w:val="0"/>
        <w:keepLines w:val="0"/>
        <w:pageBreakBefore w:val="0"/>
        <w:kinsoku/>
        <w:overflowPunct/>
        <w:topLinePunct w:val="0"/>
        <w:bidi w:val="0"/>
        <w:adjustRightInd/>
        <w:spacing w:line="500" w:lineRule="exact"/>
        <w:ind w:left="0" w:firstLine="0" w:firstLineChars="0"/>
        <w:jc w:val="center"/>
        <w:rPr>
          <w:rFonts w:hint="eastAsia" w:asciiTheme="majorEastAsia" w:hAnsiTheme="majorEastAsia" w:eastAsiaTheme="majorEastAsia" w:cstheme="majorEastAsia"/>
          <w:color w:val="auto"/>
          <w:spacing w:val="-6"/>
          <w:sz w:val="24"/>
          <w:szCs w:val="24"/>
          <w:highlight w:val="none"/>
        </w:rPr>
      </w:pPr>
    </w:p>
    <w:p>
      <w:pPr>
        <w:pStyle w:val="19"/>
        <w:keepNext w:val="0"/>
        <w:keepLines w:val="0"/>
        <w:pageBreakBefore w:val="0"/>
        <w:kinsoku/>
        <w:overflowPunct/>
        <w:topLinePunct w:val="0"/>
        <w:bidi w:val="0"/>
        <w:adjustRightInd/>
        <w:spacing w:line="500" w:lineRule="exact"/>
        <w:ind w:left="398" w:hanging="398"/>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说明：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1.依法缴纳税收的证明材料指依法缴纳税收的凭据（完税证明或纳税证明或银行电子缴税付款凭证等）；</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2.依法免税的投标人，应提供相应文件证明其依法免税；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3.投标人因新注册成立等原因无法提供相关材料的，应在投标文件中提交如实的情况说明。</w:t>
      </w:r>
    </w:p>
    <w:p>
      <w:pPr>
        <w:pStyle w:val="19"/>
        <w:keepNext w:val="0"/>
        <w:keepLines w:val="0"/>
        <w:pageBreakBefore w:val="0"/>
        <w:kinsoku/>
        <w:overflowPunct/>
        <w:topLinePunct w:val="0"/>
        <w:bidi w:val="0"/>
        <w:adjustRightInd/>
        <w:spacing w:line="500" w:lineRule="exact"/>
        <w:ind w:left="0" w:firstLine="0" w:firstLineChars="0"/>
        <w:jc w:val="center"/>
        <w:outlineLvl w:val="0"/>
        <w:rPr>
          <w:rFonts w:hint="eastAsia" w:asciiTheme="majorEastAsia" w:hAnsiTheme="majorEastAsia" w:eastAsiaTheme="majorEastAsia" w:cstheme="majorEastAsia"/>
          <w:b/>
          <w:bCs/>
          <w:color w:val="auto"/>
          <w:spacing w:val="0"/>
          <w:kern w:val="0"/>
          <w:sz w:val="30"/>
          <w:szCs w:val="30"/>
          <w:highlight w:val="none"/>
          <w:lang w:val="en-US" w:eastAsia="zh-CN" w:bidi="ar-SA"/>
        </w:rPr>
      </w:pPr>
      <w:r>
        <w:rPr>
          <w:rFonts w:hint="eastAsia" w:asciiTheme="majorEastAsia" w:hAnsiTheme="majorEastAsia" w:eastAsiaTheme="majorEastAsia" w:cstheme="majorEastAsia"/>
          <w:bCs/>
          <w:color w:val="auto"/>
          <w:spacing w:val="-6"/>
          <w:sz w:val="24"/>
          <w:szCs w:val="24"/>
          <w:highlight w:val="none"/>
        </w:rPr>
        <w:br w:type="page"/>
      </w:r>
      <w:bookmarkStart w:id="100" w:name="_Toc29467"/>
      <w:bookmarkStart w:id="101" w:name="_Toc15851"/>
      <w:bookmarkStart w:id="102" w:name="_Toc10648"/>
      <w:r>
        <w:rPr>
          <w:rFonts w:hint="eastAsia" w:asciiTheme="majorEastAsia" w:hAnsiTheme="majorEastAsia" w:eastAsiaTheme="majorEastAsia" w:cstheme="majorEastAsia"/>
          <w:b/>
          <w:bCs/>
          <w:color w:val="auto"/>
          <w:spacing w:val="0"/>
          <w:kern w:val="0"/>
          <w:sz w:val="30"/>
          <w:szCs w:val="30"/>
          <w:highlight w:val="none"/>
          <w:lang w:val="en-US" w:eastAsia="zh-CN" w:bidi="ar-SA"/>
        </w:rPr>
        <w:t>2019年7月至2020年3月任意一月依法缴纳社会保障资金的证明材料</w:t>
      </w:r>
      <w:bookmarkEnd w:id="100"/>
      <w:bookmarkEnd w:id="101"/>
      <w:bookmarkEnd w:id="102"/>
    </w:p>
    <w:p>
      <w:pPr>
        <w:pStyle w:val="19"/>
        <w:keepNext w:val="0"/>
        <w:keepLines w:val="0"/>
        <w:pageBreakBefore w:val="0"/>
        <w:kinsoku/>
        <w:overflowPunct/>
        <w:topLinePunct w:val="0"/>
        <w:bidi w:val="0"/>
        <w:adjustRightInd/>
        <w:spacing w:line="500" w:lineRule="exact"/>
        <w:ind w:left="0" w:firstLine="0" w:firstLineChars="0"/>
        <w:jc w:val="center"/>
        <w:outlineLvl w:val="0"/>
        <w:rPr>
          <w:rFonts w:hint="eastAsia" w:asciiTheme="majorEastAsia" w:hAnsiTheme="majorEastAsia" w:eastAsiaTheme="majorEastAsia" w:cstheme="majorEastAsia"/>
          <w:b w:val="0"/>
          <w:bCs w:val="0"/>
          <w:color w:val="auto"/>
          <w:spacing w:val="0"/>
          <w:kern w:val="0"/>
          <w:sz w:val="28"/>
          <w:szCs w:val="28"/>
          <w:highlight w:val="none"/>
          <w:lang w:val="en-US" w:eastAsia="zh-CN" w:bidi="ar-SA"/>
        </w:rPr>
      </w:pPr>
      <w:bookmarkStart w:id="103" w:name="_Toc5771"/>
      <w:bookmarkStart w:id="104" w:name="_Toc11150"/>
      <w:bookmarkStart w:id="105" w:name="_Toc3946"/>
      <w:r>
        <w:rPr>
          <w:rFonts w:hint="eastAsia" w:asciiTheme="majorEastAsia" w:hAnsiTheme="majorEastAsia" w:eastAsiaTheme="majorEastAsia" w:cstheme="majorEastAsia"/>
          <w:b w:val="0"/>
          <w:bCs w:val="0"/>
          <w:color w:val="auto"/>
          <w:spacing w:val="0"/>
          <w:kern w:val="0"/>
          <w:sz w:val="28"/>
          <w:szCs w:val="28"/>
          <w:highlight w:val="none"/>
          <w:lang w:val="en-US" w:eastAsia="zh-CN" w:bidi="ar-SA"/>
        </w:rPr>
        <w:t>（依法不需要缴纳社会保障资金的投标人，应提供相应文件证明其依法不需要缴纳社会保障资金）</w:t>
      </w:r>
      <w:bookmarkEnd w:id="103"/>
      <w:bookmarkEnd w:id="104"/>
      <w:bookmarkEnd w:id="105"/>
    </w:p>
    <w:p>
      <w:pPr>
        <w:pStyle w:val="11"/>
        <w:keepNext w:val="0"/>
        <w:keepLines w:val="0"/>
        <w:pageBreakBefore w:val="0"/>
        <w:kinsoku/>
        <w:overflowPunct/>
        <w:topLinePunct w:val="0"/>
        <w:bidi w:val="0"/>
        <w:adjustRightInd/>
        <w:spacing w:line="500" w:lineRule="exact"/>
        <w:ind w:firstLine="0"/>
        <w:jc w:val="left"/>
        <w:rPr>
          <w:rFonts w:hint="eastAsia" w:asciiTheme="majorEastAsia" w:hAnsiTheme="majorEastAsia" w:eastAsiaTheme="majorEastAsia" w:cstheme="majorEastAsia"/>
          <w:color w:val="auto"/>
          <w:spacing w:val="-6"/>
          <w:sz w:val="24"/>
          <w:szCs w:val="24"/>
          <w:highlight w:val="none"/>
        </w:rPr>
      </w:pPr>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color w:val="auto"/>
          <w:spacing w:val="-6"/>
          <w:sz w:val="24"/>
          <w:szCs w:val="24"/>
          <w:highlight w:val="none"/>
        </w:rPr>
      </w:pPr>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color w:val="auto"/>
          <w:spacing w:val="-6"/>
          <w:sz w:val="24"/>
          <w:szCs w:val="24"/>
          <w:highlight w:val="none"/>
        </w:rPr>
      </w:pPr>
    </w:p>
    <w:p>
      <w:pPr>
        <w:pStyle w:val="19"/>
        <w:keepNext w:val="0"/>
        <w:keepLines w:val="0"/>
        <w:pageBreakBefore w:val="0"/>
        <w:kinsoku/>
        <w:overflowPunct/>
        <w:topLinePunct w:val="0"/>
        <w:bidi w:val="0"/>
        <w:adjustRightInd/>
        <w:spacing w:line="500" w:lineRule="exact"/>
        <w:ind w:left="398" w:hanging="398"/>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说明：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1.依法缴纳社会保障资金的证明材料指依法缴纳社会保险的凭据（社保缴费专用收据或银行电子缴税付款凭证或社会保险缴纳清单等）；</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2.依法不需要缴纳社会保障资金的投标人，应提供相应文件证明其依法不需要缴纳社会保障资金；</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3.投标人因新注册成立等原因无法提供相关材料的，应在投标文件中提交如实的情况说明。</w:t>
      </w:r>
    </w:p>
    <w:p>
      <w:pPr>
        <w:pStyle w:val="19"/>
        <w:keepNext w:val="0"/>
        <w:keepLines w:val="0"/>
        <w:pageBreakBefore w:val="0"/>
        <w:kinsoku/>
        <w:overflowPunct/>
        <w:topLinePunct w:val="0"/>
        <w:bidi w:val="0"/>
        <w:adjustRightInd/>
        <w:spacing w:line="500" w:lineRule="exact"/>
        <w:ind w:left="0" w:firstLine="0" w:firstLineChars="0"/>
        <w:jc w:val="center"/>
        <w:outlineLvl w:val="0"/>
        <w:rPr>
          <w:rFonts w:hint="eastAsia" w:asciiTheme="majorEastAsia" w:hAnsiTheme="majorEastAsia" w:eastAsiaTheme="majorEastAsia" w:cstheme="majorEastAsia"/>
          <w:b/>
          <w:bCs/>
          <w:color w:val="auto"/>
          <w:spacing w:val="0"/>
          <w:kern w:val="0"/>
          <w:sz w:val="30"/>
          <w:szCs w:val="30"/>
          <w:highlight w:val="none"/>
          <w:lang w:val="en-US" w:eastAsia="zh-CN" w:bidi="ar-SA"/>
        </w:rPr>
      </w:pPr>
      <w:r>
        <w:rPr>
          <w:rFonts w:hint="eastAsia" w:asciiTheme="majorEastAsia" w:hAnsiTheme="majorEastAsia" w:eastAsiaTheme="majorEastAsia" w:cstheme="majorEastAsia"/>
          <w:bCs/>
          <w:color w:val="auto"/>
          <w:spacing w:val="-6"/>
          <w:sz w:val="24"/>
          <w:szCs w:val="24"/>
          <w:highlight w:val="none"/>
        </w:rPr>
        <w:br w:type="page"/>
      </w:r>
      <w:bookmarkStart w:id="106" w:name="_Toc17780"/>
      <w:bookmarkStart w:id="107" w:name="_Toc534"/>
      <w:bookmarkStart w:id="108" w:name="_Toc18252"/>
      <w:r>
        <w:rPr>
          <w:rFonts w:hint="eastAsia" w:asciiTheme="majorEastAsia" w:hAnsiTheme="majorEastAsia" w:eastAsiaTheme="majorEastAsia" w:cstheme="majorEastAsia"/>
          <w:b/>
          <w:bCs/>
          <w:color w:val="auto"/>
          <w:spacing w:val="0"/>
          <w:kern w:val="0"/>
          <w:sz w:val="30"/>
          <w:szCs w:val="30"/>
          <w:highlight w:val="none"/>
          <w:lang w:val="en-US" w:eastAsia="zh-CN" w:bidi="ar-SA"/>
        </w:rPr>
        <w:t>具有履行合同所必需的设备和专业技术能力的承诺函（格式自拟）</w:t>
      </w:r>
      <w:bookmarkEnd w:id="106"/>
      <w:bookmarkEnd w:id="107"/>
      <w:bookmarkEnd w:id="108"/>
    </w:p>
    <w:p>
      <w:pPr>
        <w:pStyle w:val="19"/>
        <w:keepNext w:val="0"/>
        <w:keepLines w:val="0"/>
        <w:pageBreakBefore w:val="0"/>
        <w:kinsoku/>
        <w:overflowPunct/>
        <w:topLinePunct w:val="0"/>
        <w:bidi w:val="0"/>
        <w:adjustRightInd/>
        <w:spacing w:line="500" w:lineRule="exact"/>
        <w:ind w:left="0" w:firstLine="0" w:firstLineChars="0"/>
        <w:jc w:val="center"/>
        <w:rPr>
          <w:rFonts w:hint="eastAsia" w:asciiTheme="majorEastAsia" w:hAnsiTheme="majorEastAsia" w:eastAsiaTheme="majorEastAsia" w:cstheme="majorEastAsia"/>
          <w:b/>
          <w:color w:val="auto"/>
          <w:spacing w:val="-6"/>
          <w:sz w:val="24"/>
          <w:szCs w:val="24"/>
          <w:highlight w:val="none"/>
        </w:rPr>
      </w:pPr>
    </w:p>
    <w:p>
      <w:pPr>
        <w:pStyle w:val="19"/>
        <w:keepNext w:val="0"/>
        <w:keepLines w:val="0"/>
        <w:pageBreakBefore w:val="0"/>
        <w:kinsoku/>
        <w:overflowPunct/>
        <w:topLinePunct w:val="0"/>
        <w:bidi w:val="0"/>
        <w:adjustRightInd/>
        <w:spacing w:line="500" w:lineRule="exact"/>
        <w:ind w:left="0" w:firstLine="0" w:firstLineChars="0"/>
        <w:jc w:val="center"/>
        <w:rPr>
          <w:rFonts w:hint="eastAsia" w:asciiTheme="majorEastAsia" w:hAnsiTheme="majorEastAsia" w:eastAsiaTheme="majorEastAsia" w:cstheme="majorEastAsia"/>
          <w:b/>
          <w:color w:val="auto"/>
          <w:spacing w:val="-6"/>
          <w:sz w:val="24"/>
          <w:szCs w:val="24"/>
          <w:highlight w:val="none"/>
        </w:rPr>
      </w:pPr>
    </w:p>
    <w:p>
      <w:pPr>
        <w:pStyle w:val="19"/>
        <w:keepNext w:val="0"/>
        <w:keepLines w:val="0"/>
        <w:pageBreakBefore w:val="0"/>
        <w:kinsoku/>
        <w:overflowPunct/>
        <w:topLinePunct w:val="0"/>
        <w:bidi w:val="0"/>
        <w:adjustRightInd/>
        <w:spacing w:line="500" w:lineRule="exact"/>
        <w:ind w:left="0" w:firstLine="0" w:firstLineChars="0"/>
        <w:jc w:val="center"/>
        <w:rPr>
          <w:rFonts w:hint="eastAsia" w:asciiTheme="majorEastAsia" w:hAnsiTheme="majorEastAsia" w:eastAsiaTheme="majorEastAsia" w:cstheme="majorEastAsia"/>
          <w:b/>
          <w:color w:val="auto"/>
          <w:spacing w:val="-6"/>
          <w:sz w:val="24"/>
          <w:szCs w:val="24"/>
          <w:highlight w:val="none"/>
        </w:rPr>
      </w:pPr>
    </w:p>
    <w:p>
      <w:pPr>
        <w:pStyle w:val="19"/>
        <w:keepNext w:val="0"/>
        <w:keepLines w:val="0"/>
        <w:pageBreakBefore w:val="0"/>
        <w:kinsoku/>
        <w:overflowPunct/>
        <w:topLinePunct w:val="0"/>
        <w:bidi w:val="0"/>
        <w:adjustRightInd/>
        <w:spacing w:line="500" w:lineRule="exact"/>
        <w:ind w:left="0" w:firstLine="0" w:firstLineChars="0"/>
        <w:jc w:val="center"/>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日期：    年  月  日</w:t>
      </w:r>
    </w:p>
    <w:p>
      <w:pPr>
        <w:pStyle w:val="19"/>
        <w:keepNext w:val="0"/>
        <w:keepLines w:val="0"/>
        <w:pageBreakBefore w:val="0"/>
        <w:kinsoku/>
        <w:overflowPunct/>
        <w:topLinePunct w:val="0"/>
        <w:bidi w:val="0"/>
        <w:adjustRightInd/>
        <w:spacing w:line="500" w:lineRule="exact"/>
        <w:ind w:left="1" w:firstLine="0" w:firstLineChars="0"/>
        <w:jc w:val="center"/>
        <w:rPr>
          <w:rFonts w:hint="eastAsia" w:asciiTheme="majorEastAsia" w:hAnsiTheme="majorEastAsia" w:eastAsiaTheme="majorEastAsia" w:cstheme="majorEastAsia"/>
          <w:b/>
          <w:bCs/>
          <w:color w:val="auto"/>
          <w:spacing w:val="0"/>
          <w:kern w:val="0"/>
          <w:sz w:val="28"/>
          <w:szCs w:val="28"/>
          <w:highlight w:val="none"/>
          <w:lang w:val="en-US" w:eastAsia="zh-CN" w:bidi="ar-SA"/>
        </w:rPr>
      </w:pPr>
      <w:r>
        <w:rPr>
          <w:rFonts w:hint="eastAsia" w:asciiTheme="majorEastAsia" w:hAnsiTheme="majorEastAsia" w:eastAsiaTheme="majorEastAsia" w:cstheme="majorEastAsia"/>
          <w:bCs/>
          <w:color w:val="auto"/>
          <w:spacing w:val="-6"/>
          <w:sz w:val="24"/>
          <w:szCs w:val="24"/>
          <w:highlight w:val="none"/>
        </w:rPr>
        <w:br w:type="page"/>
      </w:r>
      <w:r>
        <w:rPr>
          <w:rFonts w:hint="eastAsia" w:asciiTheme="majorEastAsia" w:hAnsiTheme="majorEastAsia" w:eastAsiaTheme="majorEastAsia" w:cstheme="majorEastAsia"/>
          <w:b/>
          <w:bCs/>
          <w:color w:val="auto"/>
          <w:spacing w:val="0"/>
          <w:kern w:val="0"/>
          <w:sz w:val="28"/>
          <w:szCs w:val="28"/>
          <w:highlight w:val="none"/>
          <w:lang w:val="en-US" w:eastAsia="zh-CN" w:bidi="ar-SA"/>
        </w:rPr>
        <w:t>参加政府采购活动前3年内在经营活动中没有重大违法记录的书面声明</w:t>
      </w:r>
    </w:p>
    <w:p>
      <w:pPr>
        <w:pStyle w:val="19"/>
        <w:keepNext w:val="0"/>
        <w:keepLines w:val="0"/>
        <w:pageBreakBefore w:val="0"/>
        <w:kinsoku/>
        <w:overflowPunct/>
        <w:topLinePunct w:val="0"/>
        <w:bidi w:val="0"/>
        <w:adjustRightInd/>
        <w:spacing w:line="500" w:lineRule="exact"/>
        <w:ind w:left="169" w:hanging="169" w:hangingChars="74"/>
        <w:jc w:val="center"/>
        <w:rPr>
          <w:rFonts w:hint="eastAsia" w:asciiTheme="majorEastAsia" w:hAnsiTheme="majorEastAsia" w:eastAsiaTheme="majorEastAsia" w:cstheme="majorEastAsia"/>
          <w:b/>
          <w:color w:val="auto"/>
          <w:spacing w:val="-6"/>
          <w:sz w:val="24"/>
          <w:szCs w:val="24"/>
          <w:highlight w:val="none"/>
        </w:rPr>
      </w:pPr>
    </w:p>
    <w:p>
      <w:pPr>
        <w:pStyle w:val="19"/>
        <w:keepNext w:val="0"/>
        <w:keepLines w:val="0"/>
        <w:pageBreakBefore w:val="0"/>
        <w:kinsoku/>
        <w:overflowPunct/>
        <w:topLinePunct w:val="0"/>
        <w:bidi w:val="0"/>
        <w:adjustRightInd/>
        <w:spacing w:line="500" w:lineRule="exact"/>
        <w:ind w:left="169" w:hanging="229" w:hangingChars="74"/>
        <w:jc w:val="center"/>
        <w:outlineLvl w:val="0"/>
        <w:rPr>
          <w:rFonts w:hint="eastAsia" w:asciiTheme="majorEastAsia" w:hAnsiTheme="majorEastAsia" w:eastAsiaTheme="majorEastAsia" w:cstheme="majorEastAsia"/>
          <w:b/>
          <w:color w:val="auto"/>
          <w:spacing w:val="-6"/>
          <w:sz w:val="32"/>
          <w:szCs w:val="32"/>
          <w:highlight w:val="none"/>
        </w:rPr>
      </w:pPr>
      <w:bookmarkStart w:id="109" w:name="_Toc13273"/>
      <w:bookmarkStart w:id="110" w:name="_Toc29191"/>
      <w:bookmarkStart w:id="111" w:name="_Toc24582"/>
      <w:r>
        <w:rPr>
          <w:rFonts w:hint="eastAsia" w:asciiTheme="majorEastAsia" w:hAnsiTheme="majorEastAsia" w:eastAsiaTheme="majorEastAsia" w:cstheme="majorEastAsia"/>
          <w:b/>
          <w:color w:val="auto"/>
          <w:spacing w:val="-6"/>
          <w:sz w:val="32"/>
          <w:szCs w:val="32"/>
          <w:highlight w:val="none"/>
        </w:rPr>
        <w:t>声明函</w:t>
      </w:r>
      <w:bookmarkEnd w:id="109"/>
      <w:bookmarkEnd w:id="110"/>
      <w:bookmarkEnd w:id="111"/>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致：</w:t>
      </w:r>
      <w:r>
        <w:rPr>
          <w:rFonts w:hint="eastAsia" w:asciiTheme="majorEastAsia" w:hAnsiTheme="majorEastAsia" w:eastAsiaTheme="majorEastAsia" w:cstheme="majorEastAsia"/>
          <w:color w:val="auto"/>
          <w:sz w:val="24"/>
          <w:szCs w:val="24"/>
          <w:highlight w:val="none"/>
          <w:lang w:val="en-US" w:eastAsia="zh-CN"/>
        </w:rPr>
        <w:t>杭州市中策职业学校</w:t>
      </w:r>
      <w:r>
        <w:rPr>
          <w:rFonts w:hint="eastAsia" w:asciiTheme="majorEastAsia" w:hAnsiTheme="majorEastAsia" w:eastAsiaTheme="majorEastAsia" w:cstheme="majorEastAsia"/>
          <w:color w:val="auto"/>
          <w:spacing w:val="-6"/>
          <w:sz w:val="24"/>
          <w:szCs w:val="24"/>
          <w:highlight w:val="none"/>
        </w:rPr>
        <w:t>、浙江</w:t>
      </w:r>
      <w:r>
        <w:rPr>
          <w:rFonts w:hint="eastAsia" w:asciiTheme="majorEastAsia" w:hAnsiTheme="majorEastAsia" w:eastAsiaTheme="majorEastAsia" w:cstheme="majorEastAsia"/>
          <w:color w:val="auto"/>
          <w:spacing w:val="-6"/>
          <w:sz w:val="24"/>
          <w:szCs w:val="24"/>
          <w:highlight w:val="none"/>
          <w:lang w:eastAsia="zh-CN"/>
        </w:rPr>
        <w:t>新诚信工程咨询</w:t>
      </w:r>
      <w:r>
        <w:rPr>
          <w:rFonts w:hint="eastAsia" w:asciiTheme="majorEastAsia" w:hAnsiTheme="majorEastAsia" w:eastAsiaTheme="majorEastAsia" w:cstheme="majorEastAsia"/>
          <w:color w:val="auto"/>
          <w:spacing w:val="-6"/>
          <w:sz w:val="24"/>
          <w:szCs w:val="24"/>
          <w:highlight w:val="none"/>
        </w:rPr>
        <w:t>有限公司：</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我公司郑重承诺在参加本项目政府采购活动前三年内，在经营活动中</w:t>
      </w:r>
      <w:r>
        <w:rPr>
          <w:rFonts w:hint="eastAsia" w:asciiTheme="majorEastAsia" w:hAnsiTheme="majorEastAsia" w:eastAsiaTheme="majorEastAsia" w:cstheme="majorEastAsia"/>
          <w:b/>
          <w:color w:val="auto"/>
          <w:spacing w:val="-6"/>
          <w:sz w:val="24"/>
          <w:szCs w:val="24"/>
          <w:highlight w:val="none"/>
        </w:rPr>
        <w:t>____（填写“有”或“没有”，如实填写，如不填写视同未提供本声明函）</w:t>
      </w:r>
      <w:r>
        <w:rPr>
          <w:rFonts w:hint="eastAsia" w:asciiTheme="majorEastAsia" w:hAnsiTheme="majorEastAsia" w:eastAsiaTheme="majorEastAsia" w:cstheme="majorEastAsia"/>
          <w:color w:val="auto"/>
          <w:spacing w:val="-6"/>
          <w:sz w:val="24"/>
          <w:szCs w:val="24"/>
          <w:highlight w:val="none"/>
        </w:rPr>
        <w:t>重大违法记录，重大违法记录是指供应商因违法经营受到刑事处罚或者责令停产停业、吊销许可证或者执照、较大数额罚款等行政处罚。</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以上事项如有虚假或隐瞒，我方愿意承担一切后果和责任。</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特此声明。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日期：    年  月  日</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28"/>
          <w:szCs w:val="28"/>
          <w:highlight w:val="none"/>
          <w:lang w:val="en-US" w:eastAsia="zh-CN" w:bidi="ar-SA"/>
        </w:rPr>
      </w:pPr>
      <w:r>
        <w:rPr>
          <w:rFonts w:hint="eastAsia" w:asciiTheme="majorEastAsia" w:hAnsiTheme="majorEastAsia" w:eastAsiaTheme="majorEastAsia" w:cstheme="majorEastAsia"/>
          <w:color w:val="auto"/>
          <w:spacing w:val="-6"/>
          <w:sz w:val="24"/>
          <w:szCs w:val="24"/>
          <w:highlight w:val="none"/>
        </w:rPr>
        <w:br w:type="page"/>
      </w:r>
      <w:bookmarkStart w:id="112" w:name="_Toc24662"/>
      <w:bookmarkStart w:id="113" w:name="_Toc873"/>
      <w:bookmarkStart w:id="114" w:name="_Toc12456"/>
      <w:r>
        <w:rPr>
          <w:rFonts w:hint="eastAsia" w:asciiTheme="majorEastAsia" w:hAnsiTheme="majorEastAsia" w:eastAsiaTheme="majorEastAsia" w:cstheme="majorEastAsia"/>
          <w:b/>
          <w:bCs/>
          <w:color w:val="auto"/>
          <w:spacing w:val="0"/>
          <w:kern w:val="0"/>
          <w:sz w:val="28"/>
          <w:szCs w:val="28"/>
          <w:highlight w:val="none"/>
          <w:lang w:val="en-US" w:eastAsia="zh-CN" w:bidi="ar-SA"/>
        </w:rPr>
        <w:t>投标人特定资格条件（如有）</w:t>
      </w:r>
      <w:bookmarkEnd w:id="112"/>
      <w:bookmarkEnd w:id="113"/>
      <w:bookmarkEnd w:id="114"/>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br w:type="page"/>
      </w:r>
      <w:r>
        <w:rPr>
          <w:rFonts w:hint="eastAsia" w:asciiTheme="majorEastAsia" w:hAnsiTheme="majorEastAsia" w:eastAsiaTheme="majorEastAsia" w:cstheme="majorEastAsia"/>
          <w:bCs/>
          <w:color w:val="auto"/>
          <w:spacing w:val="-6"/>
          <w:sz w:val="24"/>
          <w:szCs w:val="24"/>
          <w:highlight w:val="none"/>
        </w:rPr>
        <w:t>商务和技术文件</w:t>
      </w:r>
      <w:r>
        <w:rPr>
          <w:rFonts w:hint="eastAsia" w:asciiTheme="majorEastAsia" w:hAnsiTheme="majorEastAsia" w:eastAsiaTheme="majorEastAsia" w:cstheme="majorEastAsia"/>
          <w:color w:val="auto"/>
          <w:spacing w:val="-6"/>
          <w:sz w:val="24"/>
          <w:szCs w:val="24"/>
          <w:highlight w:val="none"/>
        </w:rPr>
        <w:t>封面</w:t>
      </w:r>
    </w:p>
    <w:p>
      <w:pPr>
        <w:keepNext w:val="0"/>
        <w:keepLines w:val="0"/>
        <w:pageBreakBefore w:val="0"/>
        <w:kinsoku/>
        <w:overflowPunct/>
        <w:topLinePunct w:val="0"/>
        <w:bidi w:val="0"/>
        <w:adjustRightInd/>
        <w:spacing w:line="500" w:lineRule="exact"/>
        <w:jc w:val="both"/>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bookmarkStart w:id="115" w:name="_Toc5978"/>
      <w:bookmarkStart w:id="116" w:name="_Toc22114"/>
      <w:bookmarkStart w:id="117" w:name="_Toc23970"/>
      <w:r>
        <w:rPr>
          <w:rFonts w:hint="eastAsia" w:asciiTheme="majorEastAsia" w:hAnsiTheme="majorEastAsia" w:eastAsiaTheme="majorEastAsia" w:cstheme="majorEastAsia"/>
          <w:b/>
          <w:bCs/>
          <w:color w:val="auto"/>
          <w:spacing w:val="0"/>
          <w:kern w:val="0"/>
          <w:sz w:val="32"/>
          <w:szCs w:val="32"/>
          <w:highlight w:val="none"/>
          <w:lang w:val="en-US" w:eastAsia="zh-CN" w:bidi="ar-SA"/>
        </w:rPr>
        <w:t>杭州市中策职业学校垃圾分类桶采购项目</w:t>
      </w:r>
      <w:bookmarkEnd w:id="115"/>
      <w:bookmarkEnd w:id="116"/>
      <w:bookmarkEnd w:id="117"/>
    </w:p>
    <w:p>
      <w:pPr>
        <w:keepNext w:val="0"/>
        <w:keepLines w:val="0"/>
        <w:pageBreakBefore w:val="0"/>
        <w:kinsoku/>
        <w:overflowPunct/>
        <w:topLinePunct w:val="0"/>
        <w:bidi w:val="0"/>
        <w:adjustRightInd/>
        <w:spacing w:line="500" w:lineRule="exact"/>
        <w:jc w:val="center"/>
        <w:rPr>
          <w:rFonts w:hint="eastAsia" w:ascii="楷体" w:hAnsi="楷体" w:eastAsia="楷体"/>
          <w:b/>
          <w:color w:val="auto"/>
          <w:spacing w:val="-6"/>
          <w:sz w:val="32"/>
          <w:szCs w:val="32"/>
          <w:highlight w:val="none"/>
          <w:lang w:val="en-US" w:eastAsia="zh-CN"/>
        </w:rPr>
      </w:pPr>
    </w:p>
    <w:p>
      <w:pPr>
        <w:keepNext w:val="0"/>
        <w:keepLines w:val="0"/>
        <w:pageBreakBefore w:val="0"/>
        <w:kinsoku/>
        <w:overflowPunct/>
        <w:topLinePunct w:val="0"/>
        <w:bidi w:val="0"/>
        <w:adjustRightInd/>
        <w:spacing w:line="500" w:lineRule="exact"/>
        <w:jc w:val="center"/>
        <w:rPr>
          <w:rFonts w:hint="eastAsia" w:ascii="楷体" w:hAnsi="楷体" w:eastAsia="楷体"/>
          <w:b/>
          <w:color w:val="auto"/>
          <w:spacing w:val="-6"/>
          <w:sz w:val="32"/>
          <w:szCs w:val="32"/>
          <w:highlight w:val="none"/>
          <w:lang w:val="en-US" w:eastAsia="zh-CN"/>
        </w:rPr>
      </w:pPr>
    </w:p>
    <w:p>
      <w:pPr>
        <w:keepNext w:val="0"/>
        <w:keepLines w:val="0"/>
        <w:pageBreakBefore w:val="0"/>
        <w:kinsoku/>
        <w:overflowPunct/>
        <w:topLinePunct w:val="0"/>
        <w:bidi w:val="0"/>
        <w:adjustRightInd/>
        <w:spacing w:line="500" w:lineRule="exact"/>
        <w:jc w:val="center"/>
        <w:rPr>
          <w:rFonts w:hint="eastAsia" w:ascii="楷体" w:hAnsi="楷体" w:eastAsia="楷体"/>
          <w:b/>
          <w:color w:val="auto"/>
          <w:spacing w:val="-6"/>
          <w:sz w:val="32"/>
          <w:szCs w:val="32"/>
          <w:highlight w:val="none"/>
          <w:lang w:val="en-US" w:eastAsia="zh-CN"/>
        </w:rPr>
      </w:pPr>
    </w:p>
    <w:p>
      <w:pPr>
        <w:keepNext w:val="0"/>
        <w:keepLines w:val="0"/>
        <w:pageBreakBefore w:val="0"/>
        <w:kinsoku/>
        <w:overflowPunct/>
        <w:topLinePunct w:val="0"/>
        <w:bidi w:val="0"/>
        <w:adjustRightInd/>
        <w:spacing w:line="500" w:lineRule="exact"/>
        <w:jc w:val="center"/>
        <w:rPr>
          <w:rFonts w:hint="eastAsia" w:ascii="楷体" w:hAnsi="楷体" w:eastAsia="楷体"/>
          <w:b/>
          <w:color w:val="auto"/>
          <w:spacing w:val="-6"/>
          <w:sz w:val="32"/>
          <w:szCs w:val="32"/>
          <w:highlight w:val="none"/>
          <w:lang w:val="en-US" w:eastAsia="zh-CN"/>
        </w:rPr>
      </w:pPr>
    </w:p>
    <w:p>
      <w:pPr>
        <w:keepNext w:val="0"/>
        <w:keepLines w:val="0"/>
        <w:pageBreakBefore w:val="0"/>
        <w:kinsoku/>
        <w:overflowPunct/>
        <w:topLinePunct w:val="0"/>
        <w:bidi w:val="0"/>
        <w:adjustRightInd/>
        <w:spacing w:line="500" w:lineRule="exact"/>
        <w:jc w:val="center"/>
        <w:outlineLvl w:val="1"/>
        <w:rPr>
          <w:rFonts w:hint="eastAsia" w:asciiTheme="majorEastAsia" w:hAnsiTheme="majorEastAsia" w:eastAsiaTheme="majorEastAsia" w:cstheme="majorEastAsia"/>
          <w:b/>
          <w:bCs/>
          <w:color w:val="auto"/>
          <w:spacing w:val="-6"/>
          <w:sz w:val="44"/>
          <w:szCs w:val="44"/>
          <w:highlight w:val="none"/>
        </w:rPr>
      </w:pPr>
      <w:bookmarkStart w:id="118" w:name="_Toc24"/>
      <w:r>
        <w:rPr>
          <w:rFonts w:hint="eastAsia" w:asciiTheme="majorEastAsia" w:hAnsiTheme="majorEastAsia" w:eastAsiaTheme="majorEastAsia" w:cstheme="majorEastAsia"/>
          <w:b/>
          <w:bCs/>
          <w:color w:val="auto"/>
          <w:spacing w:val="-6"/>
          <w:sz w:val="44"/>
          <w:szCs w:val="44"/>
          <w:highlight w:val="none"/>
        </w:rPr>
        <w:t>商务和技术文件</w:t>
      </w:r>
      <w:bookmarkEnd w:id="118"/>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lang w:eastAsia="zh-CN"/>
        </w:rPr>
      </w:pPr>
      <w:r>
        <w:rPr>
          <w:rFonts w:hint="eastAsia" w:asciiTheme="majorEastAsia" w:hAnsiTheme="majorEastAsia" w:eastAsiaTheme="majorEastAsia" w:cstheme="majorEastAsia"/>
          <w:bCs/>
          <w:color w:val="auto"/>
          <w:spacing w:val="-6"/>
          <w:sz w:val="24"/>
          <w:szCs w:val="24"/>
          <w:highlight w:val="none"/>
        </w:rPr>
        <w:t>采购人：</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lang w:eastAsia="zh-CN"/>
        </w:rPr>
      </w:pPr>
      <w:r>
        <w:rPr>
          <w:rFonts w:hint="eastAsia" w:asciiTheme="majorEastAsia" w:hAnsiTheme="majorEastAsia" w:eastAsiaTheme="majorEastAsia" w:cstheme="majorEastAsia"/>
          <w:bCs/>
          <w:color w:val="auto"/>
          <w:spacing w:val="-6"/>
          <w:sz w:val="24"/>
          <w:szCs w:val="24"/>
          <w:highlight w:val="none"/>
        </w:rPr>
        <w:t>项目名称：</w:t>
      </w:r>
      <w:r>
        <w:rPr>
          <w:rFonts w:hint="eastAsia" w:asciiTheme="majorEastAsia" w:hAnsiTheme="majorEastAsia" w:eastAsiaTheme="majorEastAsia" w:cstheme="majorEastAsia"/>
          <w:bCs/>
          <w:color w:val="auto"/>
          <w:spacing w:val="-6"/>
          <w:sz w:val="24"/>
          <w:szCs w:val="24"/>
          <w:highlight w:val="none"/>
          <w:lang w:eastAsia="zh-CN"/>
        </w:rPr>
        <w:t>垃圾分类桶</w:t>
      </w:r>
    </w:p>
    <w:p>
      <w:pPr>
        <w:keepNext w:val="0"/>
        <w:keepLines w:val="0"/>
        <w:pageBreakBefore w:val="0"/>
        <w:kinsoku/>
        <w:overflowPunct/>
        <w:topLinePunct w:val="0"/>
        <w:bidi w:val="0"/>
        <w:adjustRightInd/>
        <w:spacing w:line="500" w:lineRule="exact"/>
        <w:rPr>
          <w:rFonts w:hint="default" w:asciiTheme="majorEastAsia" w:hAnsiTheme="majorEastAsia" w:eastAsiaTheme="majorEastAsia" w:cstheme="majorEastAsia"/>
          <w:bCs/>
          <w:color w:val="auto"/>
          <w:spacing w:val="-6"/>
          <w:sz w:val="24"/>
          <w:szCs w:val="24"/>
          <w:highlight w:val="none"/>
          <w:lang w:val="en-US" w:eastAsia="zh-CN"/>
        </w:rPr>
      </w:pPr>
      <w:r>
        <w:rPr>
          <w:rFonts w:hint="eastAsia" w:asciiTheme="majorEastAsia" w:hAnsiTheme="majorEastAsia" w:eastAsiaTheme="majorEastAsia" w:cstheme="majorEastAsia"/>
          <w:bCs/>
          <w:color w:val="auto"/>
          <w:spacing w:val="-6"/>
          <w:sz w:val="24"/>
          <w:szCs w:val="24"/>
          <w:highlight w:val="none"/>
        </w:rPr>
        <w:t>项目编号：</w:t>
      </w:r>
      <w:r>
        <w:rPr>
          <w:rFonts w:hint="eastAsia" w:asciiTheme="majorEastAsia" w:hAnsiTheme="majorEastAsia" w:eastAsiaTheme="majorEastAsia" w:cstheme="majorEastAsia"/>
          <w:color w:val="auto"/>
          <w:sz w:val="24"/>
          <w:szCs w:val="24"/>
          <w:highlight w:val="none"/>
          <w:lang w:val="en-US" w:eastAsia="zh-CN"/>
        </w:rPr>
        <w:t>ZJXCX-2020-002</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投标人地址：</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日期：    年  月  日</w:t>
      </w:r>
    </w:p>
    <w:p>
      <w:pPr>
        <w:keepNext w:val="0"/>
        <w:keepLines w:val="0"/>
        <w:pageBreakBefore w:val="0"/>
        <w:tabs>
          <w:tab w:val="center" w:pos="4706"/>
        </w:tabs>
        <w:kinsoku/>
        <w:overflowPunct/>
        <w:topLinePunct w:val="0"/>
        <w:bidi w:val="0"/>
        <w:adjustRightInd/>
        <w:spacing w:line="500" w:lineRule="exact"/>
        <w:jc w:val="lef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br w:type="page"/>
      </w:r>
      <w:r>
        <w:rPr>
          <w:rFonts w:hint="eastAsia" w:asciiTheme="majorEastAsia" w:hAnsiTheme="majorEastAsia" w:eastAsiaTheme="majorEastAsia" w:cstheme="majorEastAsia"/>
          <w:bCs/>
          <w:color w:val="auto"/>
          <w:spacing w:val="-6"/>
          <w:sz w:val="24"/>
          <w:szCs w:val="24"/>
          <w:highlight w:val="none"/>
        </w:rPr>
        <w:tab/>
      </w:r>
      <w:r>
        <w:rPr>
          <w:rFonts w:hint="eastAsia" w:asciiTheme="majorEastAsia" w:hAnsiTheme="majorEastAsia" w:eastAsiaTheme="majorEastAsia" w:cstheme="majorEastAsia"/>
          <w:bCs/>
          <w:color w:val="auto"/>
          <w:spacing w:val="-6"/>
          <w:sz w:val="24"/>
          <w:szCs w:val="24"/>
          <w:highlight w:val="none"/>
        </w:rPr>
        <w:t>评分索引表</w:t>
      </w:r>
    </w:p>
    <w:tbl>
      <w:tblPr>
        <w:tblStyle w:val="24"/>
        <w:tblW w:w="9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465"/>
        <w:gridCol w:w="967"/>
        <w:gridCol w:w="105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序号</w:t>
            </w: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评审因素</w:t>
            </w: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分值</w:t>
            </w:r>
          </w:p>
        </w:tc>
        <w:tc>
          <w:tcPr>
            <w:tcW w:w="3465" w:type="dxa"/>
            <w:vAlign w:val="center"/>
          </w:tcPr>
          <w:p>
            <w:pPr>
              <w:pStyle w:val="53"/>
              <w:keepNext w:val="0"/>
              <w:keepLines w:val="0"/>
              <w:pageBreakBefore w:val="0"/>
              <w:kinsoku/>
              <w:overflowPunct/>
              <w:topLinePunct w:val="0"/>
              <w:bidi w:val="0"/>
              <w:adjustRightInd/>
              <w:spacing w:line="500" w:lineRule="exact"/>
              <w:ind w:firstLine="398"/>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评分细则</w:t>
            </w:r>
          </w:p>
        </w:tc>
        <w:tc>
          <w:tcPr>
            <w:tcW w:w="967" w:type="dxa"/>
            <w:vAlign w:val="center"/>
          </w:tcPr>
          <w:p>
            <w:pPr>
              <w:pStyle w:val="53"/>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自评分</w:t>
            </w:r>
          </w:p>
        </w:tc>
        <w:tc>
          <w:tcPr>
            <w:tcW w:w="1053" w:type="dxa"/>
            <w:vAlign w:val="center"/>
          </w:tcPr>
          <w:p>
            <w:pPr>
              <w:pStyle w:val="53"/>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自评依据</w:t>
            </w:r>
          </w:p>
        </w:tc>
        <w:tc>
          <w:tcPr>
            <w:tcW w:w="881" w:type="dxa"/>
            <w:vAlign w:val="center"/>
          </w:tcPr>
          <w:p>
            <w:pPr>
              <w:pStyle w:val="53"/>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7" w:type="dxa"/>
            <w:gridSpan w:val="7"/>
            <w:vAlign w:val="center"/>
          </w:tcPr>
          <w:p>
            <w:pPr>
              <w:pStyle w:val="53"/>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kern w:val="0"/>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kern w:val="0"/>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kern w:val="0"/>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kern w:val="0"/>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7" w:type="dxa"/>
            <w:gridSpan w:val="7"/>
            <w:vAlign w:val="center"/>
          </w:tcPr>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2091"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65"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c>
          <w:tcPr>
            <w:tcW w:w="967"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881" w:type="dxa"/>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r>
    </w:tbl>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备注：本表仅为方便评标委员会评审使用，不作为判别投标文件是否有效的依据</w:t>
      </w:r>
      <w:r>
        <w:rPr>
          <w:rFonts w:hint="eastAsia" w:asciiTheme="majorEastAsia" w:hAnsiTheme="majorEastAsia" w:eastAsiaTheme="majorEastAsia" w:cstheme="majorEastAsia"/>
          <w:color w:val="auto"/>
          <w:spacing w:val="-6"/>
          <w:sz w:val="24"/>
          <w:szCs w:val="24"/>
          <w:highlight w:val="none"/>
          <w:lang w:eastAsia="zh-CN"/>
        </w:rPr>
        <w:t>；如发生投标人提交页码号与实际标书不符，造成评标委员会误判或失误的，由投标人自行承担责任</w:t>
      </w:r>
      <w:r>
        <w:rPr>
          <w:rFonts w:hint="eastAsia" w:asciiTheme="majorEastAsia" w:hAnsiTheme="majorEastAsia" w:eastAsiaTheme="majorEastAsia" w:cstheme="majorEastAsia"/>
          <w:color w:val="auto"/>
          <w:spacing w:val="-6"/>
          <w:sz w:val="24"/>
          <w:szCs w:val="24"/>
          <w:highlight w:val="none"/>
        </w:rPr>
        <w:t>。</w:t>
      </w:r>
    </w:p>
    <w:p>
      <w:pPr>
        <w:pStyle w:val="11"/>
        <w:keepNext w:val="0"/>
        <w:keepLines w:val="0"/>
        <w:pageBreakBefore w:val="0"/>
        <w:kinsoku/>
        <w:overflowPunct/>
        <w:topLinePunct w:val="0"/>
        <w:bidi w:val="0"/>
        <w:adjustRightInd/>
        <w:spacing w:line="500" w:lineRule="exact"/>
        <w:ind w:firstLine="0"/>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br w:type="page"/>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bookmarkStart w:id="119" w:name="_Toc4832"/>
      <w:bookmarkStart w:id="120" w:name="_Toc4597"/>
      <w:bookmarkStart w:id="121" w:name="_Toc29776"/>
      <w:r>
        <w:rPr>
          <w:rFonts w:hint="eastAsia" w:asciiTheme="majorEastAsia" w:hAnsiTheme="majorEastAsia" w:eastAsiaTheme="majorEastAsia" w:cstheme="majorEastAsia"/>
          <w:b/>
          <w:bCs/>
          <w:color w:val="auto"/>
          <w:spacing w:val="0"/>
          <w:kern w:val="0"/>
          <w:sz w:val="32"/>
          <w:szCs w:val="32"/>
          <w:highlight w:val="none"/>
          <w:lang w:val="en-US" w:eastAsia="zh-CN" w:bidi="ar-SA"/>
        </w:rPr>
        <w:t>商务文件</w:t>
      </w:r>
      <w:bookmarkEnd w:id="119"/>
      <w:bookmarkEnd w:id="120"/>
      <w:bookmarkEnd w:id="121"/>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color w:val="auto"/>
          <w:spacing w:val="-6"/>
          <w:sz w:val="32"/>
          <w:szCs w:val="32"/>
          <w:highlight w:val="none"/>
        </w:rPr>
      </w:pPr>
      <w:bookmarkStart w:id="122" w:name="_Toc4451"/>
      <w:bookmarkStart w:id="123" w:name="_Toc15234"/>
      <w:bookmarkStart w:id="124" w:name="_Toc879"/>
      <w:r>
        <w:rPr>
          <w:rFonts w:hint="eastAsia" w:asciiTheme="majorEastAsia" w:hAnsiTheme="majorEastAsia" w:eastAsiaTheme="majorEastAsia" w:cstheme="majorEastAsia"/>
          <w:b/>
          <w:color w:val="auto"/>
          <w:spacing w:val="-6"/>
          <w:sz w:val="32"/>
          <w:szCs w:val="32"/>
          <w:highlight w:val="none"/>
        </w:rPr>
        <w:t>投 标 函</w:t>
      </w:r>
      <w:bookmarkEnd w:id="122"/>
      <w:bookmarkEnd w:id="123"/>
      <w:bookmarkEnd w:id="124"/>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rPr>
          <w:rFonts w:hint="default" w:asciiTheme="majorEastAsia" w:hAnsiTheme="majorEastAsia" w:eastAsiaTheme="majorEastAsia" w:cstheme="majorEastAsia"/>
          <w:color w:val="auto"/>
          <w:spacing w:val="-6"/>
          <w:sz w:val="24"/>
          <w:szCs w:val="24"/>
          <w:highlight w:val="none"/>
          <w:lang w:val="en-US" w:eastAsia="zh-CN"/>
        </w:rPr>
      </w:pPr>
      <w:r>
        <w:rPr>
          <w:rFonts w:hint="eastAsia" w:asciiTheme="majorEastAsia" w:hAnsiTheme="majorEastAsia" w:eastAsiaTheme="majorEastAsia" w:cstheme="majorEastAsia"/>
          <w:color w:val="auto"/>
          <w:spacing w:val="-6"/>
          <w:sz w:val="24"/>
          <w:szCs w:val="24"/>
          <w:highlight w:val="none"/>
        </w:rPr>
        <w:t>致：</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r>
        <w:rPr>
          <w:rFonts w:hint="eastAsia" w:asciiTheme="majorEastAsia" w:hAnsiTheme="majorEastAsia" w:eastAsiaTheme="majorEastAsia" w:cstheme="majorEastAsia"/>
          <w:bCs/>
          <w:color w:val="auto"/>
          <w:spacing w:val="-6"/>
          <w:sz w:val="24"/>
          <w:szCs w:val="24"/>
          <w:highlight w:val="none"/>
          <w:lang w:eastAsia="zh-CN"/>
        </w:rPr>
        <w:t>，</w:t>
      </w:r>
      <w:r>
        <w:rPr>
          <w:rFonts w:hint="eastAsia" w:asciiTheme="majorEastAsia" w:hAnsiTheme="majorEastAsia" w:eastAsiaTheme="majorEastAsia" w:cstheme="majorEastAsia"/>
          <w:color w:val="auto"/>
          <w:spacing w:val="-6"/>
          <w:sz w:val="24"/>
          <w:szCs w:val="24"/>
          <w:highlight w:val="none"/>
        </w:rPr>
        <w:t>浙江</w:t>
      </w:r>
      <w:r>
        <w:rPr>
          <w:rFonts w:hint="eastAsia" w:asciiTheme="majorEastAsia" w:hAnsiTheme="majorEastAsia" w:eastAsiaTheme="majorEastAsia" w:cstheme="majorEastAsia"/>
          <w:color w:val="auto"/>
          <w:spacing w:val="-6"/>
          <w:sz w:val="24"/>
          <w:szCs w:val="24"/>
          <w:highlight w:val="none"/>
          <w:lang w:eastAsia="zh-CN"/>
        </w:rPr>
        <w:t>新诚信工程咨询</w:t>
      </w:r>
      <w:r>
        <w:rPr>
          <w:rFonts w:hint="eastAsia" w:asciiTheme="majorEastAsia" w:hAnsiTheme="majorEastAsia" w:eastAsiaTheme="majorEastAsia" w:cstheme="majorEastAsia"/>
          <w:color w:val="auto"/>
          <w:spacing w:val="-6"/>
          <w:sz w:val="24"/>
          <w:szCs w:val="24"/>
          <w:highlight w:val="none"/>
        </w:rPr>
        <w:t>有限公司：</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根据贵方为</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r>
        <w:rPr>
          <w:rFonts w:hint="eastAsia" w:asciiTheme="majorEastAsia" w:hAnsiTheme="majorEastAsia" w:eastAsiaTheme="majorEastAsia" w:cstheme="majorEastAsia"/>
          <w:color w:val="auto"/>
          <w:sz w:val="24"/>
          <w:szCs w:val="24"/>
          <w:highlight w:val="none"/>
          <w:lang w:eastAsia="zh-CN"/>
        </w:rPr>
        <w:t>垃圾分类桶</w:t>
      </w:r>
      <w:r>
        <w:rPr>
          <w:rFonts w:hint="eastAsia" w:asciiTheme="majorEastAsia" w:hAnsiTheme="majorEastAsia" w:eastAsiaTheme="majorEastAsia" w:cstheme="majorEastAsia"/>
          <w:color w:val="auto"/>
          <w:sz w:val="24"/>
          <w:szCs w:val="24"/>
          <w:highlight w:val="none"/>
          <w:lang w:val="en-US" w:eastAsia="zh-CN"/>
        </w:rPr>
        <w:t>采购项目</w:t>
      </w:r>
      <w:r>
        <w:rPr>
          <w:rFonts w:hint="eastAsia" w:asciiTheme="majorEastAsia" w:hAnsiTheme="majorEastAsia" w:eastAsiaTheme="majorEastAsia" w:cstheme="majorEastAsia"/>
          <w:color w:val="auto"/>
          <w:spacing w:val="-6"/>
          <w:sz w:val="24"/>
          <w:szCs w:val="24"/>
          <w:highlight w:val="none"/>
        </w:rPr>
        <w:t>的投标邀请（项目编号</w:t>
      </w:r>
      <w:r>
        <w:rPr>
          <w:rFonts w:hint="eastAsia" w:asciiTheme="majorEastAsia" w:hAnsiTheme="majorEastAsia" w:eastAsiaTheme="majorEastAsia" w:cstheme="majorEastAsia"/>
          <w:bCs/>
          <w:color w:val="auto"/>
          <w:spacing w:val="-6"/>
          <w:sz w:val="24"/>
          <w:szCs w:val="24"/>
          <w:highlight w:val="none"/>
        </w:rPr>
        <w:t>：</w:t>
      </w:r>
      <w:r>
        <w:rPr>
          <w:rFonts w:hint="eastAsia" w:asciiTheme="majorEastAsia" w:hAnsiTheme="majorEastAsia" w:eastAsiaTheme="majorEastAsia" w:cstheme="majorEastAsia"/>
          <w:color w:val="auto"/>
          <w:sz w:val="24"/>
          <w:szCs w:val="24"/>
          <w:highlight w:val="none"/>
          <w:lang w:val="en-US" w:eastAsia="zh-CN"/>
        </w:rPr>
        <w:t>ZJXCX-2020-002</w:t>
      </w:r>
      <w:r>
        <w:rPr>
          <w:rFonts w:hint="eastAsia" w:asciiTheme="majorEastAsia" w:hAnsiTheme="majorEastAsia" w:eastAsiaTheme="majorEastAsia" w:cstheme="majorEastAsia"/>
          <w:bCs/>
          <w:color w:val="auto"/>
          <w:spacing w:val="-6"/>
          <w:sz w:val="24"/>
          <w:szCs w:val="24"/>
          <w:highlight w:val="none"/>
        </w:rPr>
        <w:t>）</w:t>
      </w:r>
      <w:r>
        <w:rPr>
          <w:rFonts w:hint="eastAsia" w:asciiTheme="majorEastAsia" w:hAnsiTheme="majorEastAsia" w:eastAsiaTheme="majorEastAsia" w:cstheme="majorEastAsia"/>
          <w:color w:val="auto"/>
          <w:spacing w:val="-6"/>
          <w:sz w:val="24"/>
          <w:szCs w:val="24"/>
          <w:highlight w:val="none"/>
        </w:rPr>
        <w:t>，签字代表</w:t>
      </w:r>
      <w:r>
        <w:rPr>
          <w:rFonts w:hint="eastAsia" w:asciiTheme="majorEastAsia" w:hAnsiTheme="majorEastAsia" w:eastAsiaTheme="majorEastAsia" w:cstheme="majorEastAsia"/>
          <w:bCs/>
          <w:color w:val="auto"/>
          <w:spacing w:val="-6"/>
          <w:sz w:val="24"/>
          <w:szCs w:val="24"/>
          <w:highlight w:val="none"/>
        </w:rPr>
        <w:t>________</w:t>
      </w:r>
      <w:r>
        <w:rPr>
          <w:rFonts w:hint="eastAsia" w:asciiTheme="majorEastAsia" w:hAnsiTheme="majorEastAsia" w:eastAsiaTheme="majorEastAsia" w:cstheme="majorEastAsia"/>
          <w:color w:val="auto"/>
          <w:spacing w:val="-6"/>
          <w:sz w:val="24"/>
          <w:szCs w:val="24"/>
          <w:highlight w:val="none"/>
        </w:rPr>
        <w:t>（全名）经正式授权并代表投标人</w:t>
      </w:r>
      <w:r>
        <w:rPr>
          <w:rFonts w:hint="eastAsia" w:asciiTheme="majorEastAsia" w:hAnsiTheme="majorEastAsia" w:eastAsiaTheme="majorEastAsia" w:cstheme="majorEastAsia"/>
          <w:bCs/>
          <w:color w:val="auto"/>
          <w:spacing w:val="-6"/>
          <w:sz w:val="24"/>
          <w:szCs w:val="24"/>
          <w:highlight w:val="none"/>
        </w:rPr>
        <w:t>_____________</w:t>
      </w:r>
      <w:r>
        <w:rPr>
          <w:rFonts w:hint="eastAsia" w:asciiTheme="majorEastAsia" w:hAnsiTheme="majorEastAsia" w:eastAsiaTheme="majorEastAsia" w:cstheme="majorEastAsia"/>
          <w:color w:val="auto"/>
          <w:spacing w:val="-6"/>
          <w:sz w:val="24"/>
          <w:szCs w:val="24"/>
          <w:highlight w:val="none"/>
        </w:rPr>
        <w:t>（投标人名称）提交电子加密投标文件一份、以介质（U盘）存储的数据电文形式的备份投标文件___份。</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据此函，签字代表宣布同意如下：</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1.投标人已详细审查全部“招标文件”，包括修改文件（如有）以及全部参考资料和有关附件，已经了解我方对于招标文件、招标过程、中标结果有依法进行询问、质疑、投诉的权利及相关渠道和要求。</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2.投标人在投标之前已经与贵方进行了充分的沟通，完全理解并接受招标文件的各项规定和要求，对招标文件的合理性、合法性不再有异议。</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3.投标有效期自提交投标文件的截止之日起</w:t>
      </w:r>
      <w:r>
        <w:rPr>
          <w:rFonts w:hint="eastAsia" w:asciiTheme="majorEastAsia" w:hAnsiTheme="majorEastAsia" w:eastAsiaTheme="majorEastAsia" w:cstheme="majorEastAsia"/>
          <w:bCs/>
          <w:color w:val="auto"/>
          <w:spacing w:val="-6"/>
          <w:sz w:val="24"/>
          <w:szCs w:val="24"/>
          <w:highlight w:val="none"/>
        </w:rPr>
        <w:t>_</w:t>
      </w:r>
      <w:r>
        <w:rPr>
          <w:rFonts w:hint="eastAsia" w:asciiTheme="majorEastAsia" w:hAnsiTheme="majorEastAsia" w:eastAsiaTheme="majorEastAsia" w:cstheme="majorEastAsia"/>
          <w:bCs/>
          <w:color w:val="auto"/>
          <w:spacing w:val="-6"/>
          <w:sz w:val="24"/>
          <w:szCs w:val="24"/>
          <w:highlight w:val="none"/>
          <w:u w:val="single"/>
        </w:rPr>
        <w:t>90</w:t>
      </w:r>
      <w:r>
        <w:rPr>
          <w:rFonts w:hint="eastAsia" w:asciiTheme="majorEastAsia" w:hAnsiTheme="majorEastAsia" w:eastAsiaTheme="majorEastAsia" w:cstheme="majorEastAsia"/>
          <w:bCs/>
          <w:color w:val="auto"/>
          <w:spacing w:val="-6"/>
          <w:sz w:val="24"/>
          <w:szCs w:val="24"/>
          <w:highlight w:val="none"/>
        </w:rPr>
        <w:t>_</w:t>
      </w:r>
      <w:r>
        <w:rPr>
          <w:rFonts w:hint="eastAsia" w:asciiTheme="majorEastAsia" w:hAnsiTheme="majorEastAsia" w:eastAsiaTheme="majorEastAsia" w:cstheme="majorEastAsia"/>
          <w:color w:val="auto"/>
          <w:spacing w:val="-6"/>
          <w:sz w:val="24"/>
          <w:szCs w:val="24"/>
          <w:highlight w:val="none"/>
        </w:rPr>
        <w:t>天。</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4.如中标，本投标文件至本项目合同履行完毕止均保持有效，本投标人将按“招标文件”及政府采购法律、法规的规定履行合同责任和义务。关于代理服务费，本投标人承诺按照本招标文件的规定履行并承担相应的责任。</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5.投标人同意按照贵方要求提供与投标有关的一切数据或资料。</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6.与本投标有关的一切正式往来信函请寄：</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 xml:space="preserve">地址：                              邮编：                         </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u w:val="single"/>
        </w:rPr>
      </w:pPr>
      <w:r>
        <w:rPr>
          <w:rFonts w:hint="eastAsia" w:asciiTheme="majorEastAsia" w:hAnsiTheme="majorEastAsia" w:eastAsiaTheme="majorEastAsia" w:cstheme="majorEastAsia"/>
          <w:color w:val="auto"/>
          <w:spacing w:val="-6"/>
          <w:sz w:val="24"/>
          <w:szCs w:val="24"/>
          <w:highlight w:val="none"/>
        </w:rPr>
        <w:t xml:space="preserve">电话：                              传真：                         </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 xml:space="preserve">投标人代表姓名：                    职务：                        </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开户银行：</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银行帐号：</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r>
        <w:rPr>
          <w:rFonts w:hint="eastAsia" w:asciiTheme="majorEastAsia" w:hAnsiTheme="majorEastAsia" w:eastAsiaTheme="majorEastAsia" w:cstheme="majorEastAsia"/>
          <w:bCs/>
          <w:color w:val="auto"/>
          <w:spacing w:val="-6"/>
          <w:sz w:val="24"/>
          <w:szCs w:val="24"/>
          <w:highlight w:val="none"/>
        </w:rPr>
        <w:t>：</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日期：    年  月  日</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125" w:name="_Toc10497"/>
      <w:bookmarkStart w:id="126" w:name="_Toc18878"/>
      <w:bookmarkStart w:id="127" w:name="_Toc18238"/>
      <w:r>
        <w:rPr>
          <w:rFonts w:hint="eastAsia" w:asciiTheme="majorEastAsia" w:hAnsiTheme="majorEastAsia" w:eastAsiaTheme="majorEastAsia" w:cstheme="majorEastAsia"/>
          <w:b/>
          <w:bCs/>
          <w:color w:val="auto"/>
          <w:spacing w:val="0"/>
          <w:kern w:val="0"/>
          <w:sz w:val="32"/>
          <w:szCs w:val="32"/>
          <w:highlight w:val="none"/>
          <w:lang w:val="en-US" w:eastAsia="zh-CN" w:bidi="ar-SA"/>
        </w:rPr>
        <w:t>法定代表人资格证明书</w:t>
      </w:r>
      <w:bookmarkEnd w:id="125"/>
      <w:bookmarkEnd w:id="126"/>
      <w:bookmarkEnd w:id="127"/>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致：</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r>
        <w:rPr>
          <w:rFonts w:hint="eastAsia" w:asciiTheme="majorEastAsia" w:hAnsiTheme="majorEastAsia" w:eastAsiaTheme="majorEastAsia" w:cstheme="majorEastAsia"/>
          <w:bCs/>
          <w:color w:val="auto"/>
          <w:spacing w:val="-6"/>
          <w:sz w:val="24"/>
          <w:szCs w:val="24"/>
          <w:highlight w:val="none"/>
        </w:rPr>
        <w:t>、浙江</w:t>
      </w:r>
      <w:r>
        <w:rPr>
          <w:rFonts w:hint="eastAsia" w:asciiTheme="majorEastAsia" w:hAnsiTheme="majorEastAsia" w:eastAsiaTheme="majorEastAsia" w:cstheme="majorEastAsia"/>
          <w:bCs/>
          <w:color w:val="auto"/>
          <w:spacing w:val="-6"/>
          <w:sz w:val="24"/>
          <w:szCs w:val="24"/>
          <w:highlight w:val="none"/>
          <w:lang w:eastAsia="zh-CN"/>
        </w:rPr>
        <w:t>新诚信工程咨询</w:t>
      </w:r>
      <w:r>
        <w:rPr>
          <w:rFonts w:hint="eastAsia" w:asciiTheme="majorEastAsia" w:hAnsiTheme="majorEastAsia" w:eastAsiaTheme="majorEastAsia" w:cstheme="majorEastAsia"/>
          <w:bCs/>
          <w:color w:val="auto"/>
          <w:spacing w:val="-6"/>
          <w:sz w:val="24"/>
          <w:szCs w:val="24"/>
          <w:highlight w:val="none"/>
        </w:rPr>
        <w:t>有限公司：</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我</w:t>
      </w:r>
      <w:r>
        <w:rPr>
          <w:rFonts w:hint="eastAsia" w:asciiTheme="majorEastAsia" w:hAnsiTheme="majorEastAsia" w:eastAsiaTheme="majorEastAsia" w:cstheme="majorEastAsia"/>
          <w:color w:val="auto"/>
          <w:spacing w:val="-6"/>
          <w:sz w:val="24"/>
          <w:szCs w:val="24"/>
          <w:highlight w:val="none"/>
        </w:rPr>
        <w:t>_________________</w:t>
      </w:r>
      <w:r>
        <w:rPr>
          <w:rFonts w:hint="eastAsia" w:asciiTheme="majorEastAsia" w:hAnsiTheme="majorEastAsia" w:eastAsiaTheme="majorEastAsia" w:cstheme="majorEastAsia"/>
          <w:bCs/>
          <w:color w:val="auto"/>
          <w:spacing w:val="-6"/>
          <w:sz w:val="24"/>
          <w:szCs w:val="24"/>
          <w:highlight w:val="none"/>
        </w:rPr>
        <w:t>（姓名）系</w:t>
      </w:r>
      <w:r>
        <w:rPr>
          <w:rFonts w:hint="eastAsia" w:asciiTheme="majorEastAsia" w:hAnsiTheme="majorEastAsia" w:eastAsiaTheme="majorEastAsia" w:cstheme="majorEastAsia"/>
          <w:color w:val="auto"/>
          <w:spacing w:val="-6"/>
          <w:sz w:val="24"/>
          <w:szCs w:val="24"/>
          <w:highlight w:val="none"/>
        </w:rPr>
        <w:t>____________________________</w:t>
      </w:r>
      <w:r>
        <w:rPr>
          <w:rFonts w:hint="eastAsia" w:asciiTheme="majorEastAsia" w:hAnsiTheme="majorEastAsia" w:eastAsiaTheme="majorEastAsia" w:cstheme="majorEastAsia"/>
          <w:bCs/>
          <w:color w:val="auto"/>
          <w:spacing w:val="-6"/>
          <w:sz w:val="24"/>
          <w:szCs w:val="24"/>
          <w:highlight w:val="none"/>
        </w:rPr>
        <w:t>（投标人名称）的法定代表人，身份证号：</w:t>
      </w:r>
      <w:r>
        <w:rPr>
          <w:rFonts w:hint="eastAsia" w:asciiTheme="majorEastAsia" w:hAnsiTheme="majorEastAsia" w:eastAsiaTheme="majorEastAsia" w:cstheme="majorEastAsia"/>
          <w:color w:val="auto"/>
          <w:spacing w:val="-6"/>
          <w:sz w:val="24"/>
          <w:szCs w:val="24"/>
          <w:highlight w:val="none"/>
        </w:rPr>
        <w:t>_____________________________________</w:t>
      </w:r>
      <w:r>
        <w:rPr>
          <w:rFonts w:hint="eastAsia" w:asciiTheme="majorEastAsia" w:hAnsiTheme="majorEastAsia" w:eastAsiaTheme="majorEastAsia" w:cstheme="majorEastAsia"/>
          <w:bCs/>
          <w:color w:val="auto"/>
          <w:spacing w:val="-6"/>
          <w:sz w:val="24"/>
          <w:szCs w:val="24"/>
          <w:highlight w:val="none"/>
        </w:rPr>
        <w:t>。</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特此证明。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tbl>
      <w:tblPr>
        <w:tblStyle w:val="24"/>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9498" w:type="dxa"/>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法定代表人身份证：</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复印件粘贴处</w:t>
            </w:r>
          </w:p>
        </w:tc>
      </w:tr>
    </w:tbl>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p>
    <w:p>
      <w:pPr>
        <w:keepNext w:val="0"/>
        <w:keepLines w:val="0"/>
        <w:pageBreakBefore w:val="0"/>
        <w:kinsoku/>
        <w:overflowPunct/>
        <w:topLinePunct w:val="0"/>
        <w:bidi w:val="0"/>
        <w:adjustRightInd/>
        <w:spacing w:line="500" w:lineRule="exact"/>
        <w:ind w:right="456"/>
        <w:rPr>
          <w:rFonts w:hint="eastAsia" w:asciiTheme="majorEastAsia" w:hAnsiTheme="majorEastAsia" w:eastAsiaTheme="majorEastAsia" w:cstheme="majorEastAsia"/>
          <w:b/>
          <w:bCs/>
          <w:color w:val="auto"/>
          <w:spacing w:val="-6"/>
          <w:sz w:val="24"/>
          <w:szCs w:val="24"/>
          <w:highlight w:val="none"/>
        </w:rPr>
      </w:pPr>
    </w:p>
    <w:p>
      <w:pPr>
        <w:keepNext w:val="0"/>
        <w:keepLines w:val="0"/>
        <w:pageBreakBefore w:val="0"/>
        <w:kinsoku/>
        <w:overflowPunct/>
        <w:topLinePunct w:val="0"/>
        <w:bidi w:val="0"/>
        <w:adjustRightInd/>
        <w:spacing w:line="500" w:lineRule="exact"/>
        <w:ind w:right="456"/>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ind w:right="456"/>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日期：    年  月  日</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128" w:name="_Toc19148"/>
      <w:bookmarkStart w:id="129" w:name="_Toc23382"/>
      <w:bookmarkStart w:id="130" w:name="_Toc8982"/>
      <w:r>
        <w:rPr>
          <w:rFonts w:hint="eastAsia" w:asciiTheme="majorEastAsia" w:hAnsiTheme="majorEastAsia" w:eastAsiaTheme="majorEastAsia" w:cstheme="majorEastAsia"/>
          <w:b/>
          <w:bCs/>
          <w:color w:val="auto"/>
          <w:spacing w:val="0"/>
          <w:kern w:val="0"/>
          <w:sz w:val="32"/>
          <w:szCs w:val="32"/>
          <w:highlight w:val="none"/>
          <w:lang w:val="en-US" w:eastAsia="zh-CN" w:bidi="ar-SA"/>
        </w:rPr>
        <w:t>法定代表人授权委托书</w:t>
      </w:r>
      <w:bookmarkEnd w:id="128"/>
      <w:bookmarkEnd w:id="129"/>
      <w:bookmarkEnd w:id="130"/>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致：</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r>
        <w:rPr>
          <w:rFonts w:hint="eastAsia" w:asciiTheme="majorEastAsia" w:hAnsiTheme="majorEastAsia" w:eastAsiaTheme="majorEastAsia" w:cstheme="majorEastAsia"/>
          <w:bCs/>
          <w:color w:val="auto"/>
          <w:spacing w:val="-6"/>
          <w:sz w:val="24"/>
          <w:szCs w:val="24"/>
          <w:highlight w:val="none"/>
        </w:rPr>
        <w:t>、浙江</w:t>
      </w:r>
      <w:r>
        <w:rPr>
          <w:rFonts w:hint="eastAsia" w:asciiTheme="majorEastAsia" w:hAnsiTheme="majorEastAsia" w:eastAsiaTheme="majorEastAsia" w:cstheme="majorEastAsia"/>
          <w:bCs/>
          <w:color w:val="auto"/>
          <w:spacing w:val="-6"/>
          <w:sz w:val="24"/>
          <w:szCs w:val="24"/>
          <w:highlight w:val="none"/>
          <w:lang w:eastAsia="zh-CN"/>
        </w:rPr>
        <w:t>新诚信工程咨询</w:t>
      </w:r>
      <w:r>
        <w:rPr>
          <w:rFonts w:hint="eastAsia" w:asciiTheme="majorEastAsia" w:hAnsiTheme="majorEastAsia" w:eastAsiaTheme="majorEastAsia" w:cstheme="majorEastAsia"/>
          <w:bCs/>
          <w:color w:val="auto"/>
          <w:spacing w:val="-6"/>
          <w:sz w:val="24"/>
          <w:szCs w:val="24"/>
          <w:highlight w:val="none"/>
        </w:rPr>
        <w:t>有限公司</w:t>
      </w:r>
      <w:r>
        <w:rPr>
          <w:rFonts w:hint="eastAsia" w:asciiTheme="majorEastAsia" w:hAnsiTheme="majorEastAsia" w:eastAsiaTheme="majorEastAsia" w:cstheme="majorEastAsia"/>
          <w:color w:val="auto"/>
          <w:spacing w:val="-6"/>
          <w:sz w:val="24"/>
          <w:szCs w:val="24"/>
          <w:highlight w:val="none"/>
        </w:rPr>
        <w:t>：</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我 ______________（姓名）系 _____________________________（投标人名称）的法定代表人，现授权委托本单位在职职工：________（姓名），身份证号码：____________________________以我方的名义参加</w:t>
      </w:r>
      <w:r>
        <w:rPr>
          <w:rFonts w:hint="eastAsia" w:asciiTheme="majorEastAsia" w:hAnsiTheme="majorEastAsia" w:eastAsiaTheme="majorEastAsia" w:cstheme="majorEastAsia"/>
          <w:color w:val="auto"/>
          <w:sz w:val="24"/>
          <w:szCs w:val="24"/>
          <w:highlight w:val="none"/>
          <w:u w:val="single"/>
          <w:lang w:val="en-US" w:eastAsia="zh-CN"/>
        </w:rPr>
        <w:t>杭州市中策职业学校垃圾分类桶采购项目</w:t>
      </w:r>
      <w:r>
        <w:rPr>
          <w:rFonts w:hint="eastAsia" w:asciiTheme="majorEastAsia" w:hAnsiTheme="majorEastAsia" w:eastAsiaTheme="majorEastAsia" w:cstheme="majorEastAsia"/>
          <w:color w:val="auto"/>
          <w:spacing w:val="-6"/>
          <w:sz w:val="24"/>
          <w:szCs w:val="24"/>
          <w:highlight w:val="none"/>
        </w:rPr>
        <w:t>的投标活动，并代表我方全权办理针对上述项目的投标、开标、评标、签约等具体事务和签署相关文件。</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我方对被授权人的签名负全部责任。</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在撤销授权的书面通知以前，本授权书一直有效。被授权人在授权书有效期内签署的所有文件不因授权的撤销而失效。</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被授权人无转委托权，特此委托。</w:t>
      </w:r>
    </w:p>
    <w:p>
      <w:pPr>
        <w:keepNext w:val="0"/>
        <w:keepLines w:val="0"/>
        <w:pageBreakBefore w:val="0"/>
        <w:kinsoku/>
        <w:overflowPunct/>
        <w:topLinePunct w:val="0"/>
        <w:bidi w:val="0"/>
        <w:adjustRightInd/>
        <w:spacing w:line="500" w:lineRule="exact"/>
        <w:ind w:firstLine="424" w:firstLineChars="186"/>
        <w:rPr>
          <w:rFonts w:hint="eastAsia" w:asciiTheme="majorEastAsia" w:hAnsiTheme="majorEastAsia" w:eastAsiaTheme="majorEastAsia" w:cstheme="majorEastAsia"/>
          <w:color w:val="auto"/>
          <w:spacing w:val="-6"/>
          <w:sz w:val="24"/>
          <w:szCs w:val="24"/>
          <w:highlight w:val="none"/>
          <w:u w:val="single"/>
        </w:rPr>
      </w:pPr>
      <w:r>
        <w:rPr>
          <w:rFonts w:hint="eastAsia" w:asciiTheme="majorEastAsia" w:hAnsiTheme="majorEastAsia" w:eastAsiaTheme="majorEastAsia" w:cstheme="majorEastAsia"/>
          <w:color w:val="auto"/>
          <w:spacing w:val="-6"/>
          <w:sz w:val="24"/>
          <w:szCs w:val="24"/>
          <w:highlight w:val="none"/>
        </w:rPr>
        <w:t>法定代表人（签字或盖章）：______________________</w:t>
      </w:r>
    </w:p>
    <w:p>
      <w:pPr>
        <w:keepNext w:val="0"/>
        <w:keepLines w:val="0"/>
        <w:pageBreakBefore w:val="0"/>
        <w:kinsoku/>
        <w:overflowPunct/>
        <w:topLinePunct w:val="0"/>
        <w:bidi w:val="0"/>
        <w:adjustRightInd/>
        <w:spacing w:line="500" w:lineRule="exact"/>
        <w:ind w:firstLine="424" w:firstLineChars="186"/>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日期：    年  月  日</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bl>
      <w:tblPr>
        <w:tblStyle w:val="2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trPr>
        <w:tc>
          <w:tcPr>
            <w:tcW w:w="9639" w:type="dxa"/>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授权代表身份证：</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复印件粘贴处</w:t>
            </w:r>
          </w:p>
        </w:tc>
      </w:tr>
    </w:tbl>
    <w:p>
      <w:pPr>
        <w:pStyle w:val="13"/>
        <w:keepNext w:val="0"/>
        <w:keepLines w:val="0"/>
        <w:pageBreakBefore w:val="0"/>
        <w:kinsoku/>
        <w:overflowPunct/>
        <w:topLinePunct w:val="0"/>
        <w:bidi w:val="0"/>
        <w:adjustRightInd/>
        <w:spacing w:beforeLines="0" w:afterLines="0" w:line="500" w:lineRule="exact"/>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rPr>
      </w:pPr>
      <w:r>
        <w:rPr>
          <w:rFonts w:hint="eastAsia" w:asciiTheme="majorEastAsia" w:hAnsiTheme="majorEastAsia" w:eastAsiaTheme="majorEastAsia" w:cstheme="majorEastAsia"/>
          <w:b/>
          <w:bCs/>
          <w:color w:val="auto"/>
          <w:spacing w:val="-6"/>
          <w:sz w:val="24"/>
          <w:szCs w:val="24"/>
          <w:highlight w:val="none"/>
        </w:rPr>
        <w:t>说明：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rPr>
      </w:pPr>
      <w:r>
        <w:rPr>
          <w:rFonts w:hint="eastAsia" w:asciiTheme="majorEastAsia" w:hAnsiTheme="majorEastAsia" w:eastAsiaTheme="majorEastAsia" w:cstheme="majorEastAsia"/>
          <w:b/>
          <w:bCs/>
          <w:color w:val="auto"/>
          <w:spacing w:val="-6"/>
          <w:sz w:val="24"/>
          <w:szCs w:val="24"/>
          <w:highlight w:val="none"/>
        </w:rPr>
        <w:t>1、投标人的法定代表人参加投标，须在投标文件中提供：法定代表人资格证明书；</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rPr>
      </w:pPr>
      <w:r>
        <w:rPr>
          <w:rFonts w:hint="eastAsia" w:asciiTheme="majorEastAsia" w:hAnsiTheme="majorEastAsia" w:eastAsiaTheme="majorEastAsia" w:cstheme="majorEastAsia"/>
          <w:b/>
          <w:bCs/>
          <w:color w:val="auto"/>
          <w:spacing w:val="-6"/>
          <w:sz w:val="24"/>
          <w:szCs w:val="24"/>
          <w:highlight w:val="none"/>
        </w:rPr>
        <w:t>2、投标人的法定代表人委托授权代表参加投标，须在投标文件中提供：法定代表人资格证明书和法定代表人授权委托书。</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131" w:name="_Toc25831"/>
      <w:bookmarkStart w:id="132" w:name="_Toc23769"/>
      <w:bookmarkStart w:id="133" w:name="_Toc18363"/>
      <w:r>
        <w:rPr>
          <w:rFonts w:hint="eastAsia" w:asciiTheme="majorEastAsia" w:hAnsiTheme="majorEastAsia" w:eastAsiaTheme="majorEastAsia" w:cstheme="majorEastAsia"/>
          <w:b/>
          <w:bCs/>
          <w:color w:val="auto"/>
          <w:spacing w:val="0"/>
          <w:kern w:val="0"/>
          <w:sz w:val="32"/>
          <w:szCs w:val="32"/>
          <w:highlight w:val="none"/>
          <w:lang w:val="en-US" w:eastAsia="zh-CN" w:bidi="ar-SA"/>
        </w:rPr>
        <w:t>2019年7月至2020年3月任意一月的投标授权代表社保缴纳证明</w:t>
      </w:r>
      <w:bookmarkEnd w:id="131"/>
      <w:bookmarkEnd w:id="132"/>
      <w:bookmarkEnd w:id="133"/>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134" w:name="_Toc13107"/>
      <w:bookmarkStart w:id="135" w:name="_Toc27538"/>
      <w:bookmarkStart w:id="136" w:name="_Toc10330"/>
      <w:r>
        <w:rPr>
          <w:rFonts w:hint="eastAsia" w:asciiTheme="majorEastAsia" w:hAnsiTheme="majorEastAsia" w:eastAsiaTheme="majorEastAsia" w:cstheme="majorEastAsia"/>
          <w:b/>
          <w:bCs/>
          <w:color w:val="auto"/>
          <w:spacing w:val="0"/>
          <w:kern w:val="0"/>
          <w:sz w:val="32"/>
          <w:szCs w:val="32"/>
          <w:highlight w:val="none"/>
          <w:lang w:val="en-US" w:eastAsia="zh-CN" w:bidi="ar-SA"/>
        </w:rPr>
        <w:t>投标声明书</w:t>
      </w:r>
      <w:bookmarkEnd w:id="134"/>
      <w:bookmarkEnd w:id="135"/>
      <w:bookmarkEnd w:id="136"/>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致：</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r>
        <w:rPr>
          <w:rFonts w:hint="eastAsia" w:asciiTheme="majorEastAsia" w:hAnsiTheme="majorEastAsia" w:eastAsiaTheme="majorEastAsia" w:cstheme="majorEastAsia"/>
          <w:color w:val="auto"/>
          <w:spacing w:val="-6"/>
          <w:sz w:val="24"/>
          <w:szCs w:val="24"/>
          <w:highlight w:val="none"/>
          <w:lang w:eastAsia="zh-CN"/>
        </w:rPr>
        <w:t>、</w:t>
      </w:r>
      <w:r>
        <w:rPr>
          <w:rFonts w:hint="eastAsia" w:asciiTheme="majorEastAsia" w:hAnsiTheme="majorEastAsia" w:eastAsiaTheme="majorEastAsia" w:cstheme="majorEastAsia"/>
          <w:color w:val="auto"/>
          <w:spacing w:val="-6"/>
          <w:sz w:val="24"/>
          <w:szCs w:val="24"/>
          <w:highlight w:val="none"/>
        </w:rPr>
        <w:t>浙江</w:t>
      </w:r>
      <w:r>
        <w:rPr>
          <w:rFonts w:hint="eastAsia" w:asciiTheme="majorEastAsia" w:hAnsiTheme="majorEastAsia" w:eastAsiaTheme="majorEastAsia" w:cstheme="majorEastAsia"/>
          <w:color w:val="auto"/>
          <w:spacing w:val="-6"/>
          <w:sz w:val="24"/>
          <w:szCs w:val="24"/>
          <w:highlight w:val="none"/>
          <w:lang w:eastAsia="zh-CN"/>
        </w:rPr>
        <w:t>新诚信工程咨询</w:t>
      </w:r>
      <w:r>
        <w:rPr>
          <w:rFonts w:hint="eastAsia" w:asciiTheme="majorEastAsia" w:hAnsiTheme="majorEastAsia" w:eastAsiaTheme="majorEastAsia" w:cstheme="majorEastAsia"/>
          <w:color w:val="auto"/>
          <w:spacing w:val="-6"/>
          <w:sz w:val="24"/>
          <w:szCs w:val="24"/>
          <w:highlight w:val="none"/>
        </w:rPr>
        <w:t>有限公司：</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___________________________________（投标人名称）系中华人民共和国合法企业，经营地址_______________________________。</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我方愿意参加贵方组织的</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r>
        <w:rPr>
          <w:rFonts w:hint="eastAsia" w:asciiTheme="majorEastAsia" w:hAnsiTheme="majorEastAsia" w:eastAsiaTheme="majorEastAsia" w:cstheme="majorEastAsia"/>
          <w:color w:val="auto"/>
          <w:spacing w:val="-6"/>
          <w:sz w:val="24"/>
          <w:szCs w:val="24"/>
          <w:highlight w:val="none"/>
          <w:lang w:eastAsia="zh-CN"/>
        </w:rPr>
        <w:t>垃圾分类桶采购</w:t>
      </w:r>
      <w:r>
        <w:rPr>
          <w:rFonts w:hint="eastAsia" w:asciiTheme="majorEastAsia" w:hAnsiTheme="majorEastAsia" w:eastAsiaTheme="majorEastAsia" w:cstheme="majorEastAsia"/>
          <w:bCs/>
          <w:color w:val="auto"/>
          <w:spacing w:val="-6"/>
          <w:sz w:val="24"/>
          <w:szCs w:val="24"/>
          <w:highlight w:val="none"/>
        </w:rPr>
        <w:t>项目</w:t>
      </w:r>
      <w:r>
        <w:rPr>
          <w:rFonts w:hint="eastAsia" w:asciiTheme="majorEastAsia" w:hAnsiTheme="majorEastAsia" w:eastAsiaTheme="majorEastAsia" w:cstheme="majorEastAsia"/>
          <w:color w:val="auto"/>
          <w:spacing w:val="-6"/>
          <w:sz w:val="24"/>
          <w:szCs w:val="24"/>
          <w:highlight w:val="none"/>
        </w:rPr>
        <w:t>的投标，为便于贵方公正、择优地确定中标人及其投标产品和服务，我方就本次投标有关事项郑重声明如下：</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1.我方向贵方提交的所有投标文件、资料都是准确的和真实的；</w:t>
      </w:r>
    </w:p>
    <w:p>
      <w:pPr>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2.我方不是采购人的附属机构；在获知本项目采购信息后，与采购人聘请的为此项目提供咨询服务的公司及其附属机构没有任何联系。</w:t>
      </w:r>
    </w:p>
    <w:p>
      <w:pPr>
        <w:pStyle w:val="11"/>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3.我方在参加政府采购活动前3年内：</w:t>
      </w:r>
      <w:r>
        <w:rPr>
          <w:rFonts w:hint="eastAsia" w:asciiTheme="majorEastAsia" w:hAnsiTheme="majorEastAsia" w:eastAsiaTheme="majorEastAsia" w:cstheme="majorEastAsia"/>
          <w:b/>
          <w:color w:val="auto"/>
          <w:spacing w:val="-6"/>
          <w:sz w:val="24"/>
          <w:szCs w:val="24"/>
          <w:highlight w:val="none"/>
        </w:rPr>
        <w:t>______（填写“有”或“没有”，如实填写，如不填写视同未按要求填写）</w:t>
      </w:r>
      <w:r>
        <w:rPr>
          <w:rFonts w:hint="eastAsia" w:asciiTheme="majorEastAsia" w:hAnsiTheme="majorEastAsia" w:eastAsiaTheme="majorEastAsia" w:cstheme="majorEastAsia"/>
          <w:color w:val="auto"/>
          <w:spacing w:val="-6"/>
          <w:sz w:val="24"/>
          <w:szCs w:val="24"/>
          <w:highlight w:val="none"/>
        </w:rPr>
        <w:t>因违法经营被禁止在一定期限内参加政府采购活动,且期限未满的情形；</w:t>
      </w:r>
    </w:p>
    <w:p>
      <w:pPr>
        <w:pStyle w:val="11"/>
        <w:keepNext w:val="0"/>
        <w:keepLines w:val="0"/>
        <w:pageBreakBefore w:val="0"/>
        <w:kinsoku/>
        <w:overflowPunct/>
        <w:topLinePunct w:val="0"/>
        <w:bidi w:val="0"/>
        <w:adjustRightInd/>
        <w:spacing w:line="500" w:lineRule="exact"/>
        <w:ind w:firstLine="456" w:firstLineChars="200"/>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4.以上事项如有虚假或隐瞒，我方愿意承担一切后果和责任。</w:t>
      </w:r>
    </w:p>
    <w:p>
      <w:pPr>
        <w:pStyle w:val="63"/>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pStyle w:val="63"/>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Cs/>
          <w:color w:val="auto"/>
          <w:spacing w:val="-6"/>
          <w:sz w:val="24"/>
          <w:szCs w:val="24"/>
          <w:highlight w:val="none"/>
        </w:rPr>
        <w:t>日期：    年  月  日</w:t>
      </w:r>
    </w:p>
    <w:p>
      <w:pPr>
        <w:keepNext w:val="0"/>
        <w:keepLines w:val="0"/>
        <w:pageBreakBefore w:val="0"/>
        <w:kinsoku/>
        <w:overflowPunct/>
        <w:topLinePunct w:val="0"/>
        <w:bidi w:val="0"/>
        <w:adjustRightInd/>
        <w:spacing w:line="500" w:lineRule="exact"/>
        <w:jc w:val="center"/>
        <w:outlineLvl w:val="1"/>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137" w:name="_Toc4519"/>
      <w:r>
        <w:rPr>
          <w:rFonts w:hint="eastAsia" w:asciiTheme="majorEastAsia" w:hAnsiTheme="majorEastAsia" w:eastAsiaTheme="majorEastAsia" w:cstheme="majorEastAsia"/>
          <w:b/>
          <w:bCs/>
          <w:color w:val="auto"/>
          <w:spacing w:val="0"/>
          <w:kern w:val="0"/>
          <w:sz w:val="32"/>
          <w:szCs w:val="32"/>
          <w:highlight w:val="none"/>
          <w:lang w:val="en-US" w:eastAsia="zh-CN" w:bidi="ar-SA"/>
        </w:rPr>
        <w:t>投标人一般情况</w:t>
      </w:r>
      <w:bookmarkEnd w:id="137"/>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p>
    <w:tbl>
      <w:tblPr>
        <w:tblStyle w:val="24"/>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384"/>
        <w:gridCol w:w="1921"/>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1</w:t>
            </w:r>
          </w:p>
        </w:tc>
        <w:tc>
          <w:tcPr>
            <w:tcW w:w="8763" w:type="dxa"/>
            <w:gridSpan w:val="3"/>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2</w:t>
            </w:r>
          </w:p>
        </w:tc>
        <w:tc>
          <w:tcPr>
            <w:tcW w:w="8763" w:type="dxa"/>
            <w:gridSpan w:val="3"/>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3</w:t>
            </w:r>
          </w:p>
        </w:tc>
        <w:tc>
          <w:tcPr>
            <w:tcW w:w="8763" w:type="dxa"/>
            <w:gridSpan w:val="3"/>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4</w:t>
            </w:r>
          </w:p>
        </w:tc>
        <w:tc>
          <w:tcPr>
            <w:tcW w:w="4305" w:type="dxa"/>
            <w:gridSpan w:val="2"/>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联系人：</w:t>
            </w:r>
          </w:p>
        </w:tc>
        <w:tc>
          <w:tcPr>
            <w:tcW w:w="4458"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5</w:t>
            </w:r>
          </w:p>
        </w:tc>
        <w:tc>
          <w:tcPr>
            <w:tcW w:w="4305" w:type="dxa"/>
            <w:gridSpan w:val="2"/>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电子信箱：</w:t>
            </w:r>
          </w:p>
        </w:tc>
        <w:tc>
          <w:tcPr>
            <w:tcW w:w="4458"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6</w:t>
            </w:r>
          </w:p>
        </w:tc>
        <w:tc>
          <w:tcPr>
            <w:tcW w:w="4305" w:type="dxa"/>
            <w:gridSpan w:val="2"/>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注册地：</w:t>
            </w:r>
          </w:p>
        </w:tc>
        <w:tc>
          <w:tcPr>
            <w:tcW w:w="4458"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73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7</w:t>
            </w:r>
          </w:p>
        </w:tc>
        <w:tc>
          <w:tcPr>
            <w:tcW w:w="2384" w:type="dxa"/>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其他需要说明的情况</w:t>
            </w:r>
          </w:p>
        </w:tc>
        <w:tc>
          <w:tcPr>
            <w:tcW w:w="6379" w:type="dxa"/>
            <w:gridSpan w:val="2"/>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tc>
      </w:tr>
    </w:tbl>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说明：所有投标人都须填写此表。</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日期：    年  月  日</w:t>
      </w:r>
    </w:p>
    <w:p>
      <w:pPr>
        <w:pStyle w:val="19"/>
        <w:keepNext w:val="0"/>
        <w:keepLines w:val="0"/>
        <w:pageBreakBefore w:val="0"/>
        <w:kinsoku/>
        <w:overflowPunct/>
        <w:topLinePunct w:val="0"/>
        <w:bidi w:val="0"/>
        <w:adjustRightInd/>
        <w:spacing w:line="500" w:lineRule="exact"/>
        <w:ind w:left="0" w:firstLine="0" w:firstLineChars="0"/>
        <w:jc w:val="center"/>
        <w:outlineLvl w:val="1"/>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138" w:name="_Toc31929"/>
      <w:r>
        <w:rPr>
          <w:rFonts w:hint="eastAsia" w:asciiTheme="majorEastAsia" w:hAnsiTheme="majorEastAsia" w:eastAsiaTheme="majorEastAsia" w:cstheme="majorEastAsia"/>
          <w:b/>
          <w:bCs/>
          <w:color w:val="auto"/>
          <w:spacing w:val="0"/>
          <w:kern w:val="0"/>
          <w:sz w:val="32"/>
          <w:szCs w:val="32"/>
          <w:highlight w:val="none"/>
          <w:lang w:val="en-US" w:eastAsia="zh-CN" w:bidi="ar-SA"/>
        </w:rPr>
        <w:t>投标人同类项目实施情况一览表</w:t>
      </w:r>
      <w:bookmarkEnd w:id="138"/>
    </w:p>
    <w:tbl>
      <w:tblPr>
        <w:tblStyle w:val="24"/>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采购人</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合同金额</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（万元）</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采购人联系人</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r>
    </w:tbl>
    <w:p>
      <w:pPr>
        <w:pStyle w:val="19"/>
        <w:keepNext w:val="0"/>
        <w:keepLines w:val="0"/>
        <w:pageBreakBefore w:val="0"/>
        <w:kinsoku/>
        <w:overflowPunct/>
        <w:topLinePunct w:val="0"/>
        <w:bidi w:val="0"/>
        <w:adjustRightInd/>
        <w:spacing w:line="500" w:lineRule="exact"/>
        <w:ind w:left="480" w:hanging="480"/>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说明：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1.投标人须提供上述业绩合同复印件；</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2.所有合同复印件应清晰，应能体现合同签订时间、双方签字盖章等内容；</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3.投标人应在不涉及商业秘密的前提下尽可能提供详细的合同复印件内容。</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日期：    年  月  日</w:t>
      </w:r>
    </w:p>
    <w:p>
      <w:pPr>
        <w:keepNext w:val="0"/>
        <w:keepLines w:val="0"/>
        <w:pageBreakBefore w:val="0"/>
        <w:kinsoku/>
        <w:overflowPunct/>
        <w:topLinePunct w:val="0"/>
        <w:bidi w:val="0"/>
        <w:adjustRightInd/>
        <w:spacing w:line="500" w:lineRule="exact"/>
        <w:jc w:val="center"/>
        <w:outlineLvl w:val="1"/>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color w:val="auto"/>
          <w:spacing w:val="-6"/>
          <w:sz w:val="24"/>
          <w:szCs w:val="24"/>
          <w:highlight w:val="none"/>
        </w:rPr>
        <w:br w:type="page"/>
      </w:r>
      <w:bookmarkStart w:id="139" w:name="_Toc16615"/>
      <w:r>
        <w:rPr>
          <w:rFonts w:hint="eastAsia" w:asciiTheme="majorEastAsia" w:hAnsiTheme="majorEastAsia" w:eastAsiaTheme="majorEastAsia" w:cstheme="majorEastAsia"/>
          <w:b/>
          <w:bCs/>
          <w:color w:val="auto"/>
          <w:spacing w:val="0"/>
          <w:kern w:val="0"/>
          <w:sz w:val="32"/>
          <w:szCs w:val="32"/>
          <w:highlight w:val="none"/>
          <w:lang w:val="en-US" w:eastAsia="zh-CN" w:bidi="ar-SA"/>
        </w:rPr>
        <w:t>节能环保产品证明材料</w:t>
      </w:r>
      <w:bookmarkEnd w:id="139"/>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说明：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z w:val="24"/>
          <w:szCs w:val="24"/>
          <w:highlight w:val="none"/>
        </w:rPr>
      </w:pPr>
    </w:p>
    <w:p>
      <w:pPr>
        <w:keepNext w:val="0"/>
        <w:keepLines w:val="0"/>
        <w:pageBreakBefore w:val="0"/>
        <w:kinsoku/>
        <w:overflowPunct/>
        <w:topLinePunct w:val="0"/>
        <w:bidi w:val="0"/>
        <w:adjustRightInd/>
        <w:spacing w:line="500" w:lineRule="exact"/>
        <w:ind w:firstLine="482" w:firstLineChars="200"/>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所投产品属于品目清单范围，且提供国家确定的认证机构出具的处于有效期之内的节能产品、环境标志产品认证证书（复印件加盖公章）。</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color w:val="auto"/>
          <w:spacing w:val="-6"/>
          <w:sz w:val="24"/>
          <w:szCs w:val="24"/>
          <w:highlight w:val="none"/>
        </w:rPr>
        <w:br w:type="page"/>
      </w:r>
      <w:bookmarkStart w:id="140" w:name="_Toc11114"/>
      <w:bookmarkStart w:id="141" w:name="_Toc15595"/>
      <w:bookmarkStart w:id="142" w:name="_Toc23071"/>
      <w:r>
        <w:rPr>
          <w:rFonts w:hint="eastAsia" w:asciiTheme="majorEastAsia" w:hAnsiTheme="majorEastAsia" w:eastAsiaTheme="majorEastAsia" w:cstheme="majorEastAsia"/>
          <w:b/>
          <w:bCs/>
          <w:color w:val="auto"/>
          <w:spacing w:val="0"/>
          <w:kern w:val="0"/>
          <w:sz w:val="32"/>
          <w:szCs w:val="32"/>
          <w:highlight w:val="none"/>
          <w:lang w:val="en-US" w:eastAsia="zh-CN" w:bidi="ar-SA"/>
        </w:rPr>
        <w:t>投标人需要说明的其他文件和材料</w:t>
      </w:r>
      <w:bookmarkEnd w:id="140"/>
      <w:bookmarkEnd w:id="141"/>
      <w:bookmarkEnd w:id="142"/>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z w:val="24"/>
          <w:szCs w:val="24"/>
          <w:highlight w:val="none"/>
          <w:lang w:val="en-US" w:eastAsia="zh-CN"/>
        </w:rPr>
      </w:pPr>
      <w:r>
        <w:rPr>
          <w:rFonts w:hint="eastAsia" w:asciiTheme="majorEastAsia" w:hAnsiTheme="majorEastAsia" w:eastAsiaTheme="majorEastAsia" w:cstheme="majorEastAsia"/>
          <w:b/>
          <w:color w:val="auto"/>
          <w:sz w:val="24"/>
          <w:szCs w:val="24"/>
          <w:highlight w:val="none"/>
          <w:lang w:eastAsia="zh-CN"/>
        </w:rPr>
        <w:t>投标人</w:t>
      </w:r>
      <w:r>
        <w:rPr>
          <w:rFonts w:hint="eastAsia" w:asciiTheme="majorEastAsia" w:hAnsiTheme="majorEastAsia" w:eastAsiaTheme="majorEastAsia" w:cstheme="majorEastAsia"/>
          <w:b/>
          <w:color w:val="auto"/>
          <w:sz w:val="24"/>
          <w:szCs w:val="24"/>
          <w:highlight w:val="none"/>
          <w:lang w:val="en-US" w:eastAsia="zh-CN"/>
        </w:rPr>
        <w:t>有效的</w:t>
      </w:r>
      <w:r>
        <w:rPr>
          <w:rFonts w:hint="eastAsia" w:asciiTheme="majorEastAsia" w:hAnsiTheme="majorEastAsia" w:eastAsiaTheme="majorEastAsia" w:cstheme="majorEastAsia"/>
          <w:b/>
          <w:color w:val="auto"/>
          <w:sz w:val="24"/>
          <w:szCs w:val="24"/>
          <w:highlight w:val="none"/>
          <w:lang w:eastAsia="zh-CN"/>
        </w:rPr>
        <w:t>检测报告</w:t>
      </w:r>
      <w:r>
        <w:rPr>
          <w:rFonts w:hint="eastAsia" w:asciiTheme="majorEastAsia" w:hAnsiTheme="majorEastAsia" w:eastAsiaTheme="majorEastAsia" w:cstheme="majorEastAsia"/>
          <w:b/>
          <w:color w:val="auto"/>
          <w:sz w:val="24"/>
          <w:szCs w:val="24"/>
          <w:highlight w:val="none"/>
          <w:lang w:val="en-US" w:eastAsia="zh-CN"/>
        </w:rPr>
        <w:t>及</w:t>
      </w:r>
      <w:r>
        <w:rPr>
          <w:rFonts w:hint="eastAsia" w:asciiTheme="majorEastAsia" w:hAnsiTheme="majorEastAsia" w:eastAsiaTheme="majorEastAsia" w:cstheme="majorEastAsia"/>
          <w:b/>
          <w:color w:val="auto"/>
          <w:sz w:val="24"/>
          <w:szCs w:val="24"/>
          <w:highlight w:val="none"/>
          <w:lang w:eastAsia="zh-CN"/>
        </w:rPr>
        <w:t>专利</w:t>
      </w:r>
      <w:r>
        <w:rPr>
          <w:rFonts w:hint="eastAsia" w:asciiTheme="majorEastAsia" w:hAnsiTheme="majorEastAsia" w:eastAsiaTheme="majorEastAsia" w:cstheme="majorEastAsia"/>
          <w:b/>
          <w:color w:val="auto"/>
          <w:sz w:val="24"/>
          <w:szCs w:val="24"/>
          <w:highlight w:val="none"/>
          <w:lang w:val="en-US" w:eastAsia="zh-CN"/>
        </w:rPr>
        <w:t>证书。</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
          <w:color w:val="auto"/>
          <w:sz w:val="24"/>
          <w:szCs w:val="24"/>
          <w:highlight w:val="none"/>
        </w:rPr>
        <w:br w:type="page"/>
      </w:r>
      <w:bookmarkStart w:id="143" w:name="_Toc30335"/>
      <w:bookmarkStart w:id="144" w:name="_Toc15202"/>
      <w:bookmarkStart w:id="145" w:name="_Toc13740"/>
      <w:r>
        <w:rPr>
          <w:rFonts w:hint="eastAsia" w:asciiTheme="majorEastAsia" w:hAnsiTheme="majorEastAsia" w:eastAsiaTheme="majorEastAsia" w:cstheme="majorEastAsia"/>
          <w:b/>
          <w:bCs/>
          <w:color w:val="auto"/>
          <w:spacing w:val="0"/>
          <w:kern w:val="0"/>
          <w:sz w:val="32"/>
          <w:szCs w:val="32"/>
          <w:highlight w:val="none"/>
          <w:lang w:val="en-US" w:eastAsia="zh-CN" w:bidi="ar-SA"/>
        </w:rPr>
        <w:t>技术文件</w:t>
      </w:r>
      <w:bookmarkEnd w:id="143"/>
      <w:bookmarkEnd w:id="144"/>
      <w:bookmarkEnd w:id="145"/>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bookmarkStart w:id="146" w:name="_Toc13895"/>
      <w:bookmarkStart w:id="147" w:name="_Toc5366"/>
      <w:bookmarkStart w:id="148" w:name="_Toc3926"/>
      <w:r>
        <w:rPr>
          <w:rFonts w:hint="eastAsia" w:asciiTheme="majorEastAsia" w:hAnsiTheme="majorEastAsia" w:eastAsiaTheme="majorEastAsia" w:cstheme="majorEastAsia"/>
          <w:b/>
          <w:bCs/>
          <w:color w:val="auto"/>
          <w:spacing w:val="0"/>
          <w:kern w:val="0"/>
          <w:sz w:val="32"/>
          <w:szCs w:val="32"/>
          <w:highlight w:val="none"/>
          <w:lang w:val="en-US" w:eastAsia="zh-CN" w:bidi="ar-SA"/>
        </w:rPr>
        <w:t>采购需求偏离表</w:t>
      </w:r>
      <w:bookmarkEnd w:id="146"/>
      <w:bookmarkEnd w:id="147"/>
      <w:bookmarkEnd w:id="148"/>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lang w:eastAsia="zh-CN"/>
        </w:rPr>
      </w:pPr>
      <w:r>
        <w:rPr>
          <w:rFonts w:hint="eastAsia" w:asciiTheme="majorEastAsia" w:hAnsiTheme="majorEastAsia" w:eastAsiaTheme="majorEastAsia" w:cstheme="majorEastAsia"/>
          <w:bCs/>
          <w:color w:val="auto"/>
          <w:spacing w:val="-6"/>
          <w:sz w:val="24"/>
          <w:szCs w:val="24"/>
          <w:highlight w:val="none"/>
        </w:rPr>
        <w:t>采购人：</w:t>
      </w:r>
      <w:r>
        <w:rPr>
          <w:rFonts w:hint="eastAsia" w:asciiTheme="majorEastAsia" w:hAnsiTheme="majorEastAsia" w:eastAsiaTheme="majorEastAsia" w:cstheme="majorEastAsia"/>
          <w:bCs/>
          <w:color w:val="auto"/>
          <w:spacing w:val="-6"/>
          <w:sz w:val="24"/>
          <w:szCs w:val="24"/>
          <w:highlight w:val="none"/>
          <w:lang w:val="en-US" w:eastAsia="zh-CN"/>
        </w:rPr>
        <w:t>杭州市中策职业学校</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Cs/>
          <w:color w:val="auto"/>
          <w:spacing w:val="-6"/>
          <w:sz w:val="24"/>
          <w:szCs w:val="24"/>
          <w:highlight w:val="none"/>
          <w:lang w:eastAsia="zh-CN"/>
        </w:rPr>
      </w:pPr>
      <w:r>
        <w:rPr>
          <w:rFonts w:hint="eastAsia" w:asciiTheme="majorEastAsia" w:hAnsiTheme="majorEastAsia" w:eastAsiaTheme="majorEastAsia" w:cstheme="majorEastAsia"/>
          <w:bCs/>
          <w:color w:val="auto"/>
          <w:spacing w:val="-6"/>
          <w:sz w:val="24"/>
          <w:szCs w:val="24"/>
          <w:highlight w:val="none"/>
        </w:rPr>
        <w:t>项目名称：</w:t>
      </w:r>
      <w:r>
        <w:rPr>
          <w:rFonts w:hint="eastAsia" w:asciiTheme="majorEastAsia" w:hAnsiTheme="majorEastAsia" w:eastAsiaTheme="majorEastAsia" w:cstheme="majorEastAsia"/>
          <w:bCs/>
          <w:color w:val="auto"/>
          <w:spacing w:val="-6"/>
          <w:sz w:val="24"/>
          <w:szCs w:val="24"/>
          <w:highlight w:val="none"/>
          <w:lang w:eastAsia="zh-CN"/>
        </w:rPr>
        <w:t>垃圾分类桶</w:t>
      </w:r>
    </w:p>
    <w:p>
      <w:pPr>
        <w:keepNext w:val="0"/>
        <w:keepLines w:val="0"/>
        <w:pageBreakBefore w:val="0"/>
        <w:kinsoku/>
        <w:overflowPunct/>
        <w:topLinePunct w:val="0"/>
        <w:bidi w:val="0"/>
        <w:adjustRightInd/>
        <w:spacing w:line="500" w:lineRule="exact"/>
        <w:rPr>
          <w:rFonts w:hint="default" w:asciiTheme="majorEastAsia" w:hAnsiTheme="majorEastAsia" w:eastAsiaTheme="majorEastAsia" w:cstheme="majorEastAsia"/>
          <w:bCs/>
          <w:color w:val="auto"/>
          <w:spacing w:val="-6"/>
          <w:sz w:val="24"/>
          <w:szCs w:val="24"/>
          <w:highlight w:val="none"/>
          <w:lang w:val="en-US" w:eastAsia="zh-CN"/>
        </w:rPr>
      </w:pPr>
      <w:r>
        <w:rPr>
          <w:rFonts w:hint="eastAsia" w:asciiTheme="majorEastAsia" w:hAnsiTheme="majorEastAsia" w:eastAsiaTheme="majorEastAsia" w:cstheme="majorEastAsia"/>
          <w:bCs/>
          <w:color w:val="auto"/>
          <w:spacing w:val="-6"/>
          <w:sz w:val="24"/>
          <w:szCs w:val="24"/>
          <w:highlight w:val="none"/>
        </w:rPr>
        <w:t>项目编号：</w:t>
      </w:r>
      <w:r>
        <w:rPr>
          <w:rFonts w:hint="eastAsia" w:asciiTheme="majorEastAsia" w:hAnsiTheme="majorEastAsia" w:eastAsiaTheme="majorEastAsia" w:cstheme="majorEastAsia"/>
          <w:color w:val="auto"/>
          <w:sz w:val="24"/>
          <w:szCs w:val="24"/>
          <w:highlight w:val="none"/>
          <w:lang w:val="en-US" w:eastAsia="zh-CN"/>
        </w:rPr>
        <w:t>ZJXCX-2020-002</w:t>
      </w:r>
    </w:p>
    <w:tbl>
      <w:tblPr>
        <w:tblStyle w:val="24"/>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序号</w:t>
            </w:r>
          </w:p>
        </w:tc>
        <w:tc>
          <w:tcPr>
            <w:tcW w:w="3260"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招标文件要求</w:t>
            </w:r>
          </w:p>
        </w:tc>
        <w:tc>
          <w:tcPr>
            <w:tcW w:w="3402"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响应内容</w:t>
            </w:r>
          </w:p>
        </w:tc>
        <w:tc>
          <w:tcPr>
            <w:tcW w:w="1985"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是否偏离</w:t>
            </w:r>
          </w:p>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1</w:t>
            </w:r>
          </w:p>
        </w:tc>
        <w:tc>
          <w:tcPr>
            <w:tcW w:w="326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3402"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985"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2</w:t>
            </w:r>
          </w:p>
        </w:tc>
        <w:tc>
          <w:tcPr>
            <w:tcW w:w="326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02"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985"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w:t>
            </w:r>
          </w:p>
        </w:tc>
        <w:tc>
          <w:tcPr>
            <w:tcW w:w="326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02"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985"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keepNext w:val="0"/>
              <w:keepLines w:val="0"/>
              <w:pageBreakBefore w:val="0"/>
              <w:kinsoku/>
              <w:overflowPunct/>
              <w:topLinePunct w:val="0"/>
              <w:bidi w:val="0"/>
              <w:adjustRightInd/>
              <w:snapToGrid w:val="0"/>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z w:val="24"/>
                <w:szCs w:val="24"/>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1</w:t>
            </w:r>
          </w:p>
        </w:tc>
        <w:tc>
          <w:tcPr>
            <w:tcW w:w="326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3402"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985"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2</w:t>
            </w:r>
          </w:p>
        </w:tc>
        <w:tc>
          <w:tcPr>
            <w:tcW w:w="326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3402"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985"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w:t>
            </w:r>
          </w:p>
        </w:tc>
        <w:tc>
          <w:tcPr>
            <w:tcW w:w="326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3402"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985"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keepNext w:val="0"/>
              <w:keepLines w:val="0"/>
              <w:pageBreakBefore w:val="0"/>
              <w:kinsoku/>
              <w:overflowPunct/>
              <w:topLinePunct w:val="0"/>
              <w:bidi w:val="0"/>
              <w:adjustRightInd/>
              <w:snapToGrid w:val="0"/>
              <w:spacing w:line="500" w:lineRule="exact"/>
              <w:rPr>
                <w:rFonts w:hint="eastAsia" w:asciiTheme="majorEastAsia" w:hAnsiTheme="majorEastAsia" w:eastAsiaTheme="majorEastAsia" w:cstheme="majorEastAsia"/>
                <w:b/>
                <w:color w:val="auto"/>
                <w:spacing w:val="-6"/>
                <w:sz w:val="24"/>
                <w:szCs w:val="24"/>
                <w:highlight w:val="none"/>
              </w:rPr>
            </w:pPr>
            <w:r>
              <w:rPr>
                <w:rFonts w:hint="eastAsia" w:asciiTheme="majorEastAsia" w:hAnsiTheme="majorEastAsia" w:eastAsiaTheme="majorEastAsia" w:cstheme="majorEastAsia"/>
                <w:b/>
                <w:color w:val="auto"/>
                <w:spacing w:val="-6"/>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1</w:t>
            </w:r>
          </w:p>
        </w:tc>
        <w:tc>
          <w:tcPr>
            <w:tcW w:w="326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3402"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985"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2</w:t>
            </w:r>
          </w:p>
        </w:tc>
        <w:tc>
          <w:tcPr>
            <w:tcW w:w="326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3402"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985"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851"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w:t>
            </w:r>
          </w:p>
        </w:tc>
        <w:tc>
          <w:tcPr>
            <w:tcW w:w="326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color w:val="auto"/>
                <w:sz w:val="24"/>
                <w:szCs w:val="24"/>
                <w:highlight w:val="none"/>
              </w:rPr>
            </w:pPr>
          </w:p>
        </w:tc>
        <w:tc>
          <w:tcPr>
            <w:tcW w:w="3402"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c>
          <w:tcPr>
            <w:tcW w:w="1985" w:type="dxa"/>
            <w:vAlign w:val="center"/>
          </w:tcPr>
          <w:p>
            <w:pPr>
              <w:keepNext w:val="0"/>
              <w:keepLines w:val="0"/>
              <w:pageBreakBefore w:val="0"/>
              <w:kinsoku/>
              <w:overflowPunct/>
              <w:topLinePunct w:val="0"/>
              <w:bidi w:val="0"/>
              <w:adjustRightInd/>
              <w:snapToGrid w:val="0"/>
              <w:spacing w:line="500" w:lineRule="exact"/>
              <w:jc w:val="center"/>
              <w:rPr>
                <w:rFonts w:hint="eastAsia" w:asciiTheme="majorEastAsia" w:hAnsiTheme="majorEastAsia" w:eastAsiaTheme="majorEastAsia" w:cstheme="majorEastAsia"/>
                <w:color w:val="auto"/>
                <w:spacing w:val="-6"/>
                <w:sz w:val="24"/>
                <w:szCs w:val="24"/>
                <w:highlight w:val="none"/>
              </w:rPr>
            </w:pPr>
          </w:p>
        </w:tc>
      </w:tr>
    </w:tbl>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rPr>
      </w:pPr>
      <w:r>
        <w:rPr>
          <w:rFonts w:hint="eastAsia" w:asciiTheme="majorEastAsia" w:hAnsiTheme="majorEastAsia" w:eastAsiaTheme="majorEastAsia" w:cstheme="majorEastAsia"/>
          <w:b/>
          <w:bCs/>
          <w:color w:val="auto"/>
          <w:spacing w:val="-6"/>
          <w:sz w:val="24"/>
          <w:szCs w:val="24"/>
          <w:highlight w:val="none"/>
        </w:rPr>
        <w:t>说明：</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rPr>
      </w:pPr>
      <w:r>
        <w:rPr>
          <w:rFonts w:hint="eastAsia" w:asciiTheme="majorEastAsia" w:hAnsiTheme="majorEastAsia" w:eastAsiaTheme="majorEastAsia" w:cstheme="majorEastAsia"/>
          <w:b/>
          <w:bCs/>
          <w:color w:val="auto"/>
          <w:spacing w:val="-6"/>
          <w:sz w:val="24"/>
          <w:szCs w:val="24"/>
          <w:highlight w:val="none"/>
        </w:rPr>
        <w:t>1.逐项按照招标文件要求填写响应规格；</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bCs/>
          <w:color w:val="auto"/>
          <w:spacing w:val="-6"/>
          <w:sz w:val="24"/>
          <w:szCs w:val="24"/>
          <w:highlight w:val="none"/>
        </w:rPr>
      </w:pPr>
      <w:r>
        <w:rPr>
          <w:rFonts w:hint="eastAsia" w:asciiTheme="majorEastAsia" w:hAnsiTheme="majorEastAsia" w:eastAsiaTheme="majorEastAsia" w:cstheme="majorEastAsia"/>
          <w:b/>
          <w:bCs/>
          <w:color w:val="auto"/>
          <w:spacing w:val="-6"/>
          <w:sz w:val="24"/>
          <w:szCs w:val="24"/>
          <w:highlight w:val="none"/>
        </w:rPr>
        <w:t>2.偏离说明是指对招标文件要求存在不同之处的解释说明。偏离系指：正偏离（高于招标要求）、负偏离（低于招标要求）、无偏离（满足招标要求）；</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b/>
          <w:bCs/>
          <w:color w:val="auto"/>
          <w:spacing w:val="-6"/>
          <w:sz w:val="24"/>
          <w:szCs w:val="24"/>
          <w:highlight w:val="none"/>
        </w:rPr>
        <w:t>3.如不填写或未如实填写</w:t>
      </w:r>
      <w:r>
        <w:rPr>
          <w:rFonts w:hint="eastAsia" w:asciiTheme="majorEastAsia" w:hAnsiTheme="majorEastAsia" w:eastAsiaTheme="majorEastAsia" w:cstheme="majorEastAsia"/>
          <w:b/>
          <w:color w:val="auto"/>
          <w:spacing w:val="-6"/>
          <w:sz w:val="24"/>
          <w:szCs w:val="24"/>
          <w:highlight w:val="none"/>
        </w:rPr>
        <w:t>，自行承担投标风险。</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日期：  年  月  日</w:t>
      </w:r>
    </w:p>
    <w:p>
      <w:pPr>
        <w:keepNext w:val="0"/>
        <w:keepLines w:val="0"/>
        <w:pageBreakBefore w:val="0"/>
        <w:kinsoku/>
        <w:overflowPunct/>
        <w:topLinePunct w:val="0"/>
        <w:bidi w:val="0"/>
        <w:adjustRightInd/>
        <w:snapToGrid w:val="0"/>
        <w:spacing w:before="50" w:after="120" w:afterLines="50" w:line="500" w:lineRule="exact"/>
        <w:jc w:val="center"/>
        <w:outlineLvl w:val="1"/>
        <w:rPr>
          <w:rFonts w:hint="eastAsia" w:asciiTheme="majorEastAsia" w:hAnsiTheme="majorEastAsia" w:eastAsiaTheme="majorEastAsia" w:cstheme="majorEastAsia"/>
          <w:b w:val="0"/>
          <w:bCs w:val="0"/>
          <w:color w:val="auto"/>
          <w:spacing w:val="0"/>
          <w:kern w:val="0"/>
          <w:sz w:val="32"/>
          <w:szCs w:val="32"/>
          <w:highlight w:val="none"/>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149" w:name="_Toc14648"/>
      <w:r>
        <w:rPr>
          <w:rFonts w:hint="eastAsia" w:asciiTheme="majorEastAsia" w:hAnsiTheme="majorEastAsia" w:eastAsiaTheme="majorEastAsia" w:cstheme="majorEastAsia"/>
          <w:b/>
          <w:bCs/>
          <w:color w:val="auto"/>
          <w:spacing w:val="0"/>
          <w:kern w:val="0"/>
          <w:sz w:val="32"/>
          <w:szCs w:val="32"/>
          <w:highlight w:val="none"/>
          <w:lang w:val="en-US" w:eastAsia="zh-CN" w:bidi="ar-SA"/>
        </w:rPr>
        <w:t>标的物配置清单</w:t>
      </w:r>
      <w:r>
        <w:rPr>
          <w:rFonts w:hint="eastAsia" w:asciiTheme="majorEastAsia" w:hAnsiTheme="majorEastAsia" w:eastAsiaTheme="majorEastAsia" w:cstheme="majorEastAsia"/>
          <w:b w:val="0"/>
          <w:bCs w:val="0"/>
          <w:color w:val="auto"/>
          <w:spacing w:val="0"/>
          <w:kern w:val="0"/>
          <w:sz w:val="32"/>
          <w:szCs w:val="32"/>
          <w:highlight w:val="none"/>
          <w:lang w:val="en-US" w:eastAsia="zh-CN" w:bidi="ar-SA"/>
        </w:rPr>
        <w:t>（不含报价）</w:t>
      </w:r>
      <w:bookmarkEnd w:id="149"/>
    </w:p>
    <w:tbl>
      <w:tblPr>
        <w:tblStyle w:val="24"/>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45"/>
        <w:gridCol w:w="790"/>
        <w:gridCol w:w="790"/>
        <w:gridCol w:w="1053"/>
        <w:gridCol w:w="992"/>
        <w:gridCol w:w="1924"/>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序号</w:t>
            </w:r>
          </w:p>
        </w:tc>
        <w:tc>
          <w:tcPr>
            <w:tcW w:w="204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名称</w:t>
            </w: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数量</w:t>
            </w: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单位</w:t>
            </w: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品牌</w:t>
            </w: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r>
              <w:rPr>
                <w:rFonts w:hint="eastAsia" w:asciiTheme="majorEastAsia" w:hAnsiTheme="majorEastAsia" w:eastAsiaTheme="majorEastAsia" w:cstheme="majorEastAsia"/>
                <w:b/>
                <w:color w:val="auto"/>
                <w:sz w:val="24"/>
                <w:szCs w:val="24"/>
                <w:highlight w:val="none"/>
              </w:rPr>
              <w:t>型号</w:t>
            </w:r>
          </w:p>
        </w:tc>
        <w:tc>
          <w:tcPr>
            <w:tcW w:w="1924"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kern w:val="2"/>
                <w:sz w:val="24"/>
                <w:szCs w:val="24"/>
                <w:highlight w:val="none"/>
              </w:rPr>
            </w:pPr>
            <w:r>
              <w:rPr>
                <w:rFonts w:hint="eastAsia" w:asciiTheme="majorEastAsia" w:hAnsiTheme="majorEastAsia" w:eastAsiaTheme="majorEastAsia" w:cstheme="majorEastAsia"/>
                <w:b/>
                <w:color w:val="auto"/>
                <w:kern w:val="2"/>
                <w:sz w:val="24"/>
                <w:szCs w:val="24"/>
                <w:highlight w:val="none"/>
              </w:rPr>
              <w:t>配置（可另附页）</w:t>
            </w:r>
          </w:p>
        </w:tc>
        <w:tc>
          <w:tcPr>
            <w:tcW w:w="1195"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kern w:val="2"/>
                <w:sz w:val="24"/>
                <w:szCs w:val="24"/>
                <w:highlight w:val="none"/>
              </w:rPr>
            </w:pPr>
            <w:r>
              <w:rPr>
                <w:rFonts w:hint="eastAsia" w:asciiTheme="majorEastAsia" w:hAnsiTheme="majorEastAsia" w:eastAsiaTheme="majorEastAsia" w:cstheme="majorEastAsia"/>
                <w:b/>
                <w:color w:val="auto"/>
                <w:sz w:val="24"/>
                <w:szCs w:val="24"/>
                <w:highlight w:val="none"/>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204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924"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kern w:val="2"/>
                <w:sz w:val="24"/>
                <w:szCs w:val="24"/>
                <w:highlight w:val="none"/>
              </w:rPr>
            </w:pPr>
          </w:p>
        </w:tc>
        <w:tc>
          <w:tcPr>
            <w:tcW w:w="1195"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204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924"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kern w:val="2"/>
                <w:sz w:val="24"/>
                <w:szCs w:val="24"/>
                <w:highlight w:val="none"/>
              </w:rPr>
            </w:pPr>
          </w:p>
        </w:tc>
        <w:tc>
          <w:tcPr>
            <w:tcW w:w="1195"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204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924"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kern w:val="2"/>
                <w:sz w:val="24"/>
                <w:szCs w:val="24"/>
                <w:highlight w:val="none"/>
              </w:rPr>
            </w:pPr>
          </w:p>
        </w:tc>
        <w:tc>
          <w:tcPr>
            <w:tcW w:w="1195"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204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924"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kern w:val="2"/>
                <w:sz w:val="24"/>
                <w:szCs w:val="24"/>
                <w:highlight w:val="none"/>
              </w:rPr>
            </w:pPr>
          </w:p>
        </w:tc>
        <w:tc>
          <w:tcPr>
            <w:tcW w:w="1195"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204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924"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kern w:val="2"/>
                <w:sz w:val="24"/>
                <w:szCs w:val="24"/>
                <w:highlight w:val="none"/>
              </w:rPr>
            </w:pPr>
          </w:p>
        </w:tc>
        <w:tc>
          <w:tcPr>
            <w:tcW w:w="1195"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2045"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790"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053"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992" w:type="dxa"/>
            <w:vAlign w:val="center"/>
          </w:tcPr>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z w:val="24"/>
                <w:szCs w:val="24"/>
                <w:highlight w:val="none"/>
              </w:rPr>
            </w:pPr>
          </w:p>
        </w:tc>
        <w:tc>
          <w:tcPr>
            <w:tcW w:w="1924"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kern w:val="2"/>
                <w:sz w:val="24"/>
                <w:szCs w:val="24"/>
                <w:highlight w:val="none"/>
              </w:rPr>
            </w:pPr>
          </w:p>
        </w:tc>
        <w:tc>
          <w:tcPr>
            <w:tcW w:w="1195" w:type="dxa"/>
            <w:vAlign w:val="center"/>
          </w:tcPr>
          <w:p>
            <w:pPr>
              <w:pStyle w:val="64"/>
              <w:keepNext w:val="0"/>
              <w:keepLines w:val="0"/>
              <w:pageBreakBefore w:val="0"/>
              <w:widowControl w:val="0"/>
              <w:kinsoku/>
              <w:overflowPunct/>
              <w:topLinePunct w:val="0"/>
              <w:bidi w:val="0"/>
              <w:adjustRightInd/>
              <w:spacing w:before="0" w:beforeAutospacing="0" w:after="0" w:afterAutospacing="0" w:line="500" w:lineRule="exact"/>
              <w:rPr>
                <w:rFonts w:hint="eastAsia" w:asciiTheme="majorEastAsia" w:hAnsiTheme="majorEastAsia" w:eastAsiaTheme="majorEastAsia" w:cstheme="majorEastAsia"/>
                <w:b/>
                <w:color w:val="auto"/>
                <w:sz w:val="24"/>
                <w:szCs w:val="24"/>
                <w:highlight w:val="none"/>
              </w:rPr>
            </w:pPr>
          </w:p>
        </w:tc>
      </w:tr>
    </w:tbl>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投标人名称（盖章）：</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投标人代表签字：</w:t>
      </w:r>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color w:val="auto"/>
          <w:spacing w:val="-6"/>
          <w:sz w:val="24"/>
          <w:szCs w:val="24"/>
          <w:highlight w:val="none"/>
        </w:rPr>
      </w:pPr>
      <w:r>
        <w:rPr>
          <w:rFonts w:hint="eastAsia" w:asciiTheme="majorEastAsia" w:hAnsiTheme="majorEastAsia" w:eastAsiaTheme="majorEastAsia" w:cstheme="majorEastAsia"/>
          <w:color w:val="auto"/>
          <w:spacing w:val="-6"/>
          <w:sz w:val="24"/>
          <w:szCs w:val="24"/>
          <w:highlight w:val="none"/>
        </w:rPr>
        <w:t>日期：    年  月  日</w:t>
      </w: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jc w:val="center"/>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ind w:firstLine="482" w:firstLineChars="200"/>
        <w:rPr>
          <w:rFonts w:hint="eastAsia" w:asciiTheme="majorEastAsia" w:hAnsiTheme="majorEastAsia" w:eastAsiaTheme="majorEastAsia" w:cstheme="majorEastAsia"/>
          <w:b/>
          <w:bCs/>
          <w:color w:val="auto"/>
          <w:sz w:val="24"/>
          <w:szCs w:val="24"/>
          <w:highlight w:val="none"/>
        </w:rPr>
      </w:pPr>
      <w:r>
        <w:rPr>
          <w:rFonts w:hint="eastAsia" w:asciiTheme="majorEastAsia" w:hAnsiTheme="majorEastAsia" w:eastAsiaTheme="majorEastAsia" w:cstheme="majorEastAsia"/>
          <w:b/>
          <w:bCs/>
          <w:color w:val="auto"/>
          <w:sz w:val="24"/>
          <w:szCs w:val="24"/>
          <w:highlight w:val="none"/>
        </w:rPr>
        <w:t>原厂出厂配置表（附在投标文件中）</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pacing w:val="0"/>
          <w:kern w:val="0"/>
          <w:sz w:val="32"/>
          <w:szCs w:val="32"/>
          <w:highlight w:val="none"/>
          <w:lang w:val="en-US" w:eastAsia="zh-CN" w:bidi="ar-SA"/>
        </w:rPr>
      </w:pPr>
      <w:r>
        <w:rPr>
          <w:rFonts w:hint="eastAsia" w:asciiTheme="majorEastAsia" w:hAnsiTheme="majorEastAsia" w:eastAsiaTheme="majorEastAsia" w:cstheme="majorEastAsia"/>
          <w:b/>
          <w:color w:val="auto"/>
          <w:spacing w:val="-6"/>
          <w:sz w:val="24"/>
          <w:szCs w:val="24"/>
          <w:highlight w:val="none"/>
        </w:rPr>
        <w:br w:type="page"/>
      </w:r>
      <w:bookmarkStart w:id="150" w:name="_Toc9848"/>
      <w:bookmarkStart w:id="151" w:name="_Toc5028"/>
      <w:bookmarkStart w:id="152" w:name="_Toc18620"/>
      <w:r>
        <w:rPr>
          <w:rFonts w:hint="eastAsia" w:asciiTheme="majorEastAsia" w:hAnsiTheme="majorEastAsia" w:eastAsiaTheme="majorEastAsia" w:cstheme="majorEastAsia"/>
          <w:b/>
          <w:bCs/>
          <w:color w:val="auto"/>
          <w:spacing w:val="0"/>
          <w:kern w:val="0"/>
          <w:sz w:val="32"/>
          <w:szCs w:val="32"/>
          <w:highlight w:val="none"/>
          <w:lang w:val="en-US" w:eastAsia="zh-CN" w:bidi="ar-SA"/>
        </w:rPr>
        <w:t>投标产品技术支持材料</w:t>
      </w:r>
      <w:bookmarkEnd w:id="150"/>
      <w:bookmarkEnd w:id="151"/>
      <w:bookmarkEnd w:id="152"/>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说明：</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1.投标人提供技术支持资料以证明其对技术指标的应答；</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2.技术支持资料应是制造商公开发布的印刷资料（彩页、Datasheet）或由有关政府部门或检测机构合法出具的文件或报告；</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3.不符合上述要求的资料，可被视为是无效的技术支持资料；</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4.如上述资料之间存在不一致的，以有关政府部门或检测机构合法出具的文件或报告为准；</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5.若对技术指标的应答无技术支持资料证明，评标委员会可不予承认，并可认为该应答不符合招标文件要求，将作出不利于投标人的技术评审，其后果将由投标人自行承担；</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6.投标人可提供同等于或优于招标文件要求的设备和服务。</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br w:type="page"/>
      </w:r>
    </w:p>
    <w:p>
      <w:pPr>
        <w:keepNext w:val="0"/>
        <w:keepLines w:val="0"/>
        <w:pageBreakBefore w:val="0"/>
        <w:kinsoku/>
        <w:overflowPunct/>
        <w:topLinePunct w:val="0"/>
        <w:bidi w:val="0"/>
        <w:adjustRightInd/>
        <w:spacing w:line="500" w:lineRule="exact"/>
        <w:ind w:firstLine="562" w:firstLineChars="200"/>
        <w:jc w:val="center"/>
        <w:outlineLvl w:val="1"/>
        <w:rPr>
          <w:rFonts w:hint="eastAsia" w:asciiTheme="majorEastAsia" w:hAnsiTheme="majorEastAsia" w:eastAsiaTheme="majorEastAsia" w:cstheme="majorEastAsia"/>
          <w:b/>
          <w:bCs/>
          <w:color w:val="auto"/>
          <w:sz w:val="28"/>
          <w:szCs w:val="28"/>
          <w:highlight w:val="none"/>
        </w:rPr>
      </w:pPr>
      <w:bookmarkStart w:id="153" w:name="_Toc18866"/>
      <w:r>
        <w:rPr>
          <w:rFonts w:hint="eastAsia" w:asciiTheme="majorEastAsia" w:hAnsiTheme="majorEastAsia" w:eastAsiaTheme="majorEastAsia" w:cstheme="majorEastAsia"/>
          <w:b/>
          <w:bCs/>
          <w:color w:val="auto"/>
          <w:sz w:val="28"/>
          <w:szCs w:val="28"/>
          <w:highlight w:val="none"/>
        </w:rPr>
        <w:t>以下内容格式自拟</w:t>
      </w:r>
      <w:bookmarkEnd w:id="153"/>
    </w:p>
    <w:p>
      <w:pPr>
        <w:keepNext w:val="0"/>
        <w:keepLines w:val="0"/>
        <w:pageBreakBefore w:val="0"/>
        <w:kinsoku/>
        <w:overflowPunct/>
        <w:topLinePunct w:val="0"/>
        <w:bidi w:val="0"/>
        <w:adjustRightInd/>
        <w:spacing w:line="500" w:lineRule="exact"/>
        <w:rPr>
          <w:rFonts w:hint="eastAsia" w:asciiTheme="majorEastAsia" w:hAnsiTheme="majorEastAsia" w:eastAsiaTheme="majorEastAsia" w:cstheme="majorEastAsia"/>
          <w:b/>
          <w:color w:val="auto"/>
          <w:spacing w:val="-6"/>
          <w:sz w:val="24"/>
          <w:szCs w:val="24"/>
          <w:highlight w:val="none"/>
        </w:rPr>
      </w:pP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项目实施方案</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项目实施人员</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设备投入情况</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售后服务方案</w:t>
      </w:r>
    </w:p>
    <w:p>
      <w:pPr>
        <w:keepNext w:val="0"/>
        <w:keepLines w:val="0"/>
        <w:pageBreakBefore w:val="0"/>
        <w:kinsoku/>
        <w:overflowPunct/>
        <w:topLinePunct w:val="0"/>
        <w:bidi w:val="0"/>
        <w:adjustRightInd/>
        <w:spacing w:line="500" w:lineRule="exact"/>
        <w:jc w:val="center"/>
        <w:outlineLvl w:val="0"/>
        <w:rPr>
          <w:rFonts w:hint="eastAsia" w:asciiTheme="majorEastAsia" w:hAnsiTheme="majorEastAsia" w:eastAsiaTheme="majorEastAsia" w:cstheme="majorEastAsia"/>
          <w:b/>
          <w:bCs/>
          <w:color w:val="auto"/>
          <w:sz w:val="28"/>
          <w:szCs w:val="28"/>
          <w:highlight w:val="none"/>
        </w:rPr>
      </w:pPr>
      <w:r>
        <w:rPr>
          <w:rFonts w:hint="eastAsia" w:asciiTheme="majorEastAsia" w:hAnsiTheme="majorEastAsia" w:eastAsiaTheme="majorEastAsia" w:cstheme="majorEastAsia"/>
          <w:b/>
          <w:color w:val="auto"/>
          <w:spacing w:val="-6"/>
          <w:sz w:val="24"/>
          <w:szCs w:val="24"/>
          <w:highlight w:val="none"/>
        </w:rPr>
        <w:br w:type="page"/>
      </w:r>
      <w:bookmarkStart w:id="154" w:name="_Toc31289"/>
      <w:bookmarkStart w:id="155" w:name="_Toc30594"/>
      <w:bookmarkStart w:id="156" w:name="_Toc5739"/>
      <w:r>
        <w:rPr>
          <w:rFonts w:hint="eastAsia" w:asciiTheme="majorEastAsia" w:hAnsiTheme="majorEastAsia" w:eastAsiaTheme="majorEastAsia" w:cstheme="majorEastAsia"/>
          <w:b/>
          <w:bCs/>
          <w:color w:val="auto"/>
          <w:sz w:val="28"/>
          <w:szCs w:val="28"/>
          <w:highlight w:val="none"/>
        </w:rPr>
        <w:t>政府采购支持中小企业信用融资相关事项通知</w:t>
      </w:r>
      <w:bookmarkEnd w:id="154"/>
      <w:bookmarkEnd w:id="155"/>
      <w:bookmarkEnd w:id="156"/>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为支持和促进中小企业发展，进一步发挥政府采购政策功能，杭州市财政局与省银</w:t>
      </w:r>
      <w:r>
        <w:rPr>
          <w:rFonts w:hint="eastAsia" w:asciiTheme="majorEastAsia" w:hAnsiTheme="majorEastAsia" w:eastAsiaTheme="majorEastAsia" w:cstheme="majorEastAsia"/>
          <w:color w:val="auto"/>
          <w:sz w:val="24"/>
          <w:szCs w:val="24"/>
          <w:highlight w:val="none"/>
          <w:lang w:eastAsia="zh-CN"/>
        </w:rPr>
        <w:t>保</w:t>
      </w:r>
      <w:r>
        <w:rPr>
          <w:rFonts w:hint="eastAsia" w:asciiTheme="majorEastAsia" w:hAnsiTheme="majorEastAsia" w:eastAsiaTheme="majorEastAsia" w:cstheme="majorEastAsia"/>
          <w:color w:val="auto"/>
          <w:sz w:val="24"/>
          <w:szCs w:val="24"/>
          <w:highlight w:val="none"/>
        </w:rPr>
        <w:t>监局、市金融办、市经信</w:t>
      </w:r>
      <w:r>
        <w:rPr>
          <w:rFonts w:hint="eastAsia" w:asciiTheme="majorEastAsia" w:hAnsiTheme="majorEastAsia" w:eastAsiaTheme="majorEastAsia" w:cstheme="majorEastAsia"/>
          <w:color w:val="auto"/>
          <w:sz w:val="24"/>
          <w:szCs w:val="24"/>
          <w:highlight w:val="none"/>
          <w:lang w:eastAsia="zh-CN"/>
        </w:rPr>
        <w:t>局</w:t>
      </w:r>
      <w:r>
        <w:rPr>
          <w:rFonts w:hint="eastAsia" w:asciiTheme="majorEastAsia" w:hAnsiTheme="majorEastAsia" w:eastAsiaTheme="majorEastAsia" w:cstheme="majorEastAsia"/>
          <w:color w:val="auto"/>
          <w:sz w:val="24"/>
          <w:szCs w:val="24"/>
          <w:highlight w:val="none"/>
        </w:rPr>
        <w:t>共同出台了《杭州市政府采购支持中小企业信用融资</w:t>
      </w:r>
      <w:r>
        <w:rPr>
          <w:rFonts w:hint="eastAsia" w:asciiTheme="majorEastAsia" w:hAnsiTheme="majorEastAsia" w:eastAsiaTheme="majorEastAsia" w:cstheme="majorEastAsia"/>
          <w:color w:val="auto"/>
          <w:sz w:val="24"/>
          <w:szCs w:val="24"/>
          <w:highlight w:val="none"/>
          <w:lang w:eastAsia="zh-CN"/>
        </w:rPr>
        <w:t>管理</w:t>
      </w:r>
      <w:r>
        <w:rPr>
          <w:rFonts w:hint="eastAsia" w:asciiTheme="majorEastAsia" w:hAnsiTheme="majorEastAsia" w:eastAsiaTheme="majorEastAsia" w:cstheme="majorEastAsia"/>
          <w:color w:val="auto"/>
          <w:sz w:val="24"/>
          <w:szCs w:val="24"/>
          <w:highlight w:val="none"/>
        </w:rPr>
        <w:t>办法》，现将相关事项通知如下：</w:t>
      </w:r>
    </w:p>
    <w:p>
      <w:pPr>
        <w:keepNext w:val="0"/>
        <w:keepLines w:val="0"/>
        <w:pageBreakBefore w:val="0"/>
        <w:kinsoku/>
        <w:overflowPunct/>
        <w:topLinePunct w:val="0"/>
        <w:bidi w:val="0"/>
        <w:adjustRightInd/>
        <w:spacing w:line="500" w:lineRule="exact"/>
        <w:ind w:firstLine="482" w:firstLineChars="200"/>
        <w:outlineLvl w:val="1"/>
        <w:rPr>
          <w:rFonts w:hint="eastAsia" w:asciiTheme="majorEastAsia" w:hAnsiTheme="majorEastAsia" w:eastAsiaTheme="majorEastAsia" w:cstheme="majorEastAsia"/>
          <w:b/>
          <w:bCs/>
          <w:color w:val="auto"/>
          <w:sz w:val="24"/>
          <w:szCs w:val="24"/>
          <w:highlight w:val="none"/>
        </w:rPr>
      </w:pPr>
      <w:bookmarkStart w:id="157" w:name="_Toc24137"/>
      <w:r>
        <w:rPr>
          <w:rFonts w:hint="eastAsia" w:asciiTheme="majorEastAsia" w:hAnsiTheme="majorEastAsia" w:eastAsiaTheme="majorEastAsia" w:cstheme="majorEastAsia"/>
          <w:b/>
          <w:bCs/>
          <w:color w:val="auto"/>
          <w:sz w:val="24"/>
          <w:szCs w:val="24"/>
          <w:highlight w:val="none"/>
        </w:rPr>
        <w:t>一、适用对象</w:t>
      </w:r>
      <w:bookmarkEnd w:id="157"/>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在浙江政府采购网注册入库，并取得杭州市政府采购合同的杭州市内中小企业供应商。</w:t>
      </w:r>
    </w:p>
    <w:p>
      <w:pPr>
        <w:keepNext w:val="0"/>
        <w:keepLines w:val="0"/>
        <w:pageBreakBefore w:val="0"/>
        <w:kinsoku/>
        <w:overflowPunct/>
        <w:topLinePunct w:val="0"/>
        <w:bidi w:val="0"/>
        <w:adjustRightInd/>
        <w:spacing w:line="500" w:lineRule="exact"/>
        <w:ind w:firstLine="482" w:firstLineChars="200"/>
        <w:outlineLvl w:val="1"/>
        <w:rPr>
          <w:rFonts w:hint="eastAsia" w:asciiTheme="majorEastAsia" w:hAnsiTheme="majorEastAsia" w:eastAsiaTheme="majorEastAsia" w:cstheme="majorEastAsia"/>
          <w:b/>
          <w:bCs/>
          <w:color w:val="auto"/>
          <w:sz w:val="24"/>
          <w:szCs w:val="24"/>
          <w:highlight w:val="none"/>
        </w:rPr>
      </w:pPr>
      <w:bookmarkStart w:id="158" w:name="_Toc30017"/>
      <w:r>
        <w:rPr>
          <w:rFonts w:hint="eastAsia" w:asciiTheme="majorEastAsia" w:hAnsiTheme="majorEastAsia" w:eastAsiaTheme="majorEastAsia" w:cstheme="majorEastAsia"/>
          <w:b/>
          <w:bCs/>
          <w:color w:val="auto"/>
          <w:sz w:val="24"/>
          <w:szCs w:val="24"/>
          <w:highlight w:val="none"/>
        </w:rPr>
        <w:t>二、相关信息获取方式</w:t>
      </w:r>
      <w:bookmarkEnd w:id="158"/>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请登陆杭州市政府采购网“中小企业信用融资”</w:t>
      </w:r>
      <w:r>
        <w:rPr>
          <w:rFonts w:hint="eastAsia" w:asciiTheme="majorEastAsia" w:hAnsiTheme="majorEastAsia" w:eastAsiaTheme="majorEastAsia" w:cstheme="majorEastAsia"/>
          <w:color w:val="auto"/>
          <w:sz w:val="24"/>
          <w:szCs w:val="24"/>
          <w:highlight w:val="none"/>
          <w:lang w:eastAsia="zh-CN"/>
        </w:rPr>
        <w:t>模块</w:t>
      </w:r>
      <w:r>
        <w:rPr>
          <w:rFonts w:hint="eastAsia" w:asciiTheme="majorEastAsia" w:hAnsiTheme="majorEastAsia" w:eastAsiaTheme="majorEastAsia" w:cstheme="majorEastAsia"/>
          <w:color w:val="auto"/>
          <w:sz w:val="24"/>
          <w:szCs w:val="24"/>
          <w:highlight w:val="none"/>
        </w:rPr>
        <w:t>，查看信用融资政策文件及各相关银行服务方案。</w:t>
      </w:r>
    </w:p>
    <w:p>
      <w:pPr>
        <w:keepNext w:val="0"/>
        <w:keepLines w:val="0"/>
        <w:pageBreakBefore w:val="0"/>
        <w:kinsoku/>
        <w:overflowPunct/>
        <w:topLinePunct w:val="0"/>
        <w:bidi w:val="0"/>
        <w:adjustRightInd/>
        <w:spacing w:line="500" w:lineRule="exact"/>
        <w:ind w:firstLine="482" w:firstLineChars="200"/>
        <w:outlineLvl w:val="1"/>
        <w:rPr>
          <w:rFonts w:hint="eastAsia" w:asciiTheme="majorEastAsia" w:hAnsiTheme="majorEastAsia" w:eastAsiaTheme="majorEastAsia" w:cstheme="majorEastAsia"/>
          <w:b/>
          <w:bCs/>
          <w:color w:val="auto"/>
          <w:sz w:val="24"/>
          <w:szCs w:val="24"/>
          <w:highlight w:val="none"/>
        </w:rPr>
      </w:pPr>
      <w:bookmarkStart w:id="159" w:name="_Toc15008"/>
      <w:r>
        <w:rPr>
          <w:rFonts w:hint="eastAsia" w:asciiTheme="majorEastAsia" w:hAnsiTheme="majorEastAsia" w:eastAsiaTheme="majorEastAsia" w:cstheme="majorEastAsia"/>
          <w:b/>
          <w:bCs/>
          <w:color w:val="auto"/>
          <w:sz w:val="24"/>
          <w:szCs w:val="24"/>
          <w:highlight w:val="none"/>
        </w:rPr>
        <w:t>三、申请方式和步骤</w:t>
      </w:r>
      <w:bookmarkEnd w:id="159"/>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（一）“云采贷”融资</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1、供应商先与银行对接，办理融资前期手续；</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2、供应商中标后，登陆“中小企业信用融资”</w:t>
      </w:r>
      <w:r>
        <w:rPr>
          <w:rFonts w:hint="eastAsia" w:asciiTheme="majorEastAsia" w:hAnsiTheme="majorEastAsia" w:eastAsiaTheme="majorEastAsia" w:cstheme="majorEastAsia"/>
          <w:color w:val="auto"/>
          <w:sz w:val="24"/>
          <w:szCs w:val="24"/>
          <w:highlight w:val="none"/>
          <w:lang w:eastAsia="zh-CN"/>
        </w:rPr>
        <w:t>模块</w:t>
      </w:r>
      <w:r>
        <w:rPr>
          <w:rFonts w:hint="eastAsia" w:asciiTheme="majorEastAsia" w:hAnsiTheme="majorEastAsia" w:eastAsiaTheme="majorEastAsia" w:cstheme="majorEastAsia"/>
          <w:color w:val="auto"/>
          <w:sz w:val="24"/>
          <w:szCs w:val="24"/>
          <w:highlight w:val="none"/>
        </w:rPr>
        <w:t>测算授信额度，并向银行发出融资申请；</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w:t>
      </w:r>
      <w:r>
        <w:rPr>
          <w:rFonts w:hint="eastAsia" w:asciiTheme="majorEastAsia" w:hAnsiTheme="majorEastAsia" w:eastAsiaTheme="majorEastAsia" w:cstheme="majorEastAsia"/>
          <w:color w:val="auto"/>
          <w:sz w:val="24"/>
          <w:szCs w:val="24"/>
          <w:highlight w:val="none"/>
          <w:lang w:eastAsia="zh-CN"/>
        </w:rPr>
        <w:t>银行线上审批通过后，办理放贷手续</w:t>
      </w:r>
      <w:r>
        <w:rPr>
          <w:rFonts w:hint="eastAsia" w:asciiTheme="majorEastAsia" w:hAnsiTheme="majorEastAsia" w:eastAsiaTheme="majorEastAsia" w:cstheme="majorEastAsia"/>
          <w:color w:val="auto"/>
          <w:sz w:val="24"/>
          <w:szCs w:val="24"/>
          <w:highlight w:val="none"/>
        </w:rPr>
        <w:t>。</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（二）一般融资</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1、供应商先与银行对接，办理融资前期手续；</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2、供应商中标后，登陆杭州市政府采购网“中小企业信用融资”</w:t>
      </w:r>
      <w:r>
        <w:rPr>
          <w:rFonts w:hint="eastAsia" w:asciiTheme="majorEastAsia" w:hAnsiTheme="majorEastAsia" w:eastAsiaTheme="majorEastAsia" w:cstheme="majorEastAsia"/>
          <w:color w:val="auto"/>
          <w:sz w:val="24"/>
          <w:szCs w:val="24"/>
          <w:highlight w:val="none"/>
          <w:lang w:eastAsia="zh-CN"/>
        </w:rPr>
        <w:t>模块</w:t>
      </w:r>
      <w:r>
        <w:rPr>
          <w:rFonts w:hint="eastAsia" w:asciiTheme="majorEastAsia" w:hAnsiTheme="majorEastAsia" w:eastAsiaTheme="majorEastAsia" w:cstheme="majorEastAsia"/>
          <w:color w:val="auto"/>
          <w:sz w:val="24"/>
          <w:szCs w:val="24"/>
          <w:highlight w:val="none"/>
        </w:rPr>
        <w:t>，向相关合作银行发出融资申请；</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3、银行在“中小企业信用融资”</w:t>
      </w:r>
      <w:r>
        <w:rPr>
          <w:rFonts w:hint="eastAsia" w:asciiTheme="majorEastAsia" w:hAnsiTheme="majorEastAsia" w:eastAsiaTheme="majorEastAsia" w:cstheme="majorEastAsia"/>
          <w:color w:val="auto"/>
          <w:sz w:val="24"/>
          <w:szCs w:val="24"/>
          <w:highlight w:val="none"/>
          <w:lang w:eastAsia="zh-CN"/>
        </w:rPr>
        <w:t>模块</w:t>
      </w:r>
      <w:r>
        <w:rPr>
          <w:rFonts w:hint="eastAsia" w:asciiTheme="majorEastAsia" w:hAnsiTheme="majorEastAsia" w:eastAsiaTheme="majorEastAsia" w:cstheme="majorEastAsia"/>
          <w:color w:val="auto"/>
          <w:sz w:val="24"/>
          <w:szCs w:val="24"/>
          <w:highlight w:val="none"/>
        </w:rPr>
        <w:t>受理申请</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lang w:val="en-US" w:eastAsia="zh-CN"/>
        </w:rPr>
        <w:t>4、银行、供应商线下</w:t>
      </w:r>
      <w:r>
        <w:rPr>
          <w:rFonts w:hint="eastAsia" w:asciiTheme="majorEastAsia" w:hAnsiTheme="majorEastAsia" w:eastAsiaTheme="majorEastAsia" w:cstheme="majorEastAsia"/>
          <w:color w:val="auto"/>
          <w:sz w:val="24"/>
          <w:szCs w:val="24"/>
          <w:highlight w:val="none"/>
        </w:rPr>
        <w:t>办理</w:t>
      </w:r>
      <w:r>
        <w:rPr>
          <w:rFonts w:hint="eastAsia" w:asciiTheme="majorEastAsia" w:hAnsiTheme="majorEastAsia" w:eastAsiaTheme="majorEastAsia" w:cstheme="majorEastAsia"/>
          <w:color w:val="auto"/>
          <w:sz w:val="24"/>
          <w:szCs w:val="24"/>
          <w:highlight w:val="none"/>
          <w:lang w:eastAsia="zh-CN"/>
        </w:rPr>
        <w:t>审批、放贷</w:t>
      </w:r>
      <w:r>
        <w:rPr>
          <w:rFonts w:hint="eastAsia" w:asciiTheme="majorEastAsia" w:hAnsiTheme="majorEastAsia" w:eastAsiaTheme="majorEastAsia" w:cstheme="majorEastAsia"/>
          <w:color w:val="auto"/>
          <w:sz w:val="24"/>
          <w:szCs w:val="24"/>
          <w:highlight w:val="none"/>
        </w:rPr>
        <w:t>事宜。</w:t>
      </w:r>
    </w:p>
    <w:p>
      <w:pPr>
        <w:keepNext w:val="0"/>
        <w:keepLines w:val="0"/>
        <w:pageBreakBefore w:val="0"/>
        <w:kinsoku/>
        <w:overflowPunct/>
        <w:topLinePunct w:val="0"/>
        <w:bidi w:val="0"/>
        <w:adjustRightInd/>
        <w:spacing w:line="500" w:lineRule="exact"/>
        <w:ind w:firstLine="482" w:firstLineChars="200"/>
        <w:outlineLvl w:val="1"/>
        <w:rPr>
          <w:rFonts w:hint="eastAsia" w:asciiTheme="majorEastAsia" w:hAnsiTheme="majorEastAsia" w:eastAsiaTheme="majorEastAsia" w:cstheme="majorEastAsia"/>
          <w:b/>
          <w:bCs/>
          <w:color w:val="auto"/>
          <w:sz w:val="24"/>
          <w:szCs w:val="24"/>
          <w:highlight w:val="none"/>
        </w:rPr>
      </w:pPr>
      <w:bookmarkStart w:id="160" w:name="_Toc18203"/>
      <w:r>
        <w:rPr>
          <w:rFonts w:hint="eastAsia" w:asciiTheme="majorEastAsia" w:hAnsiTheme="majorEastAsia" w:eastAsiaTheme="majorEastAsia" w:cstheme="majorEastAsia"/>
          <w:b/>
          <w:bCs/>
          <w:color w:val="auto"/>
          <w:sz w:val="24"/>
          <w:szCs w:val="24"/>
          <w:highlight w:val="none"/>
        </w:rPr>
        <w:t>四、注意事项</w:t>
      </w:r>
      <w:bookmarkEnd w:id="160"/>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1、供应商需确保政府采购合同的收款银行与融资银行一致。</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2、请各采购单位积极支持和配合政府采购信用融资工作，在合同备案环节仔细核对收款银行、账号信息等内容，一旦录入将无法修改。</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3、技术服务热线：87210880；如有业务问题可与各合作银行联系。</w:t>
      </w:r>
    </w:p>
    <w:p>
      <w:pPr>
        <w:keepNext w:val="0"/>
        <w:keepLines w:val="0"/>
        <w:pageBreakBefore w:val="0"/>
        <w:kinsoku/>
        <w:overflowPunct/>
        <w:topLinePunct w:val="0"/>
        <w:bidi w:val="0"/>
        <w:adjustRightInd/>
        <w:spacing w:line="500" w:lineRule="exact"/>
        <w:ind w:firstLine="480" w:firstLineChars="200"/>
        <w:rPr>
          <w:rFonts w:hint="eastAsia" w:asciiTheme="majorEastAsia" w:hAnsiTheme="majorEastAsia" w:eastAsiaTheme="majorEastAsia" w:cstheme="majorEastAsia"/>
          <w:color w:val="auto"/>
          <w:sz w:val="24"/>
          <w:szCs w:val="24"/>
          <w:highlight w:val="none"/>
        </w:rPr>
      </w:pPr>
    </w:p>
    <w:sectPr>
      <w:footerReference r:id="rId5" w:type="default"/>
      <w:pgSz w:w="11906" w:h="16838"/>
      <w:pgMar w:top="1247" w:right="1247" w:bottom="1247" w:left="1247" w:header="35" w:footer="78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Helvetica Neue Light">
    <w:altName w:val="Segoe Print"/>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8"/>
      </w:rPr>
    </w:pPr>
    <w:r>
      <w:fldChar w:fldCharType="begin"/>
    </w:r>
    <w:r>
      <w:rPr>
        <w:rStyle w:val="28"/>
      </w:rPr>
      <w:instrText xml:space="preserve">PAGE  </w:instrText>
    </w:r>
    <w: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Align="top"/>
    </w:pPr>
    <w:r>
      <w:fldChar w:fldCharType="begin"/>
    </w:r>
    <w:r>
      <w:rPr>
        <w:rStyle w:val="28"/>
      </w:rPr>
      <w:instrText xml:space="preserve"> PAGE  </w:instrText>
    </w:r>
    <w:r>
      <w:fldChar w:fldCharType="separate"/>
    </w:r>
    <w:r>
      <w:rPr>
        <w:rStyle w:val="28"/>
      </w:rPr>
      <w:t>1</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6"/>
      <w:jc w:val="center"/>
      <w:rPr>
        <w:sz w:val="21"/>
        <w:szCs w:val="21"/>
      </w:rPr>
    </w:pPr>
    <w:r>
      <w:rPr>
        <w:sz w:val="24"/>
        <w:lang w:val="zh-CN"/>
      </w:rPr>
      <w:t xml:space="preserve"> </w:t>
    </w:r>
    <w:r>
      <w:rPr>
        <w:sz w:val="21"/>
        <w:szCs w:val="21"/>
      </w:rPr>
      <w:fldChar w:fldCharType="begin"/>
    </w:r>
    <w:r>
      <w:rPr>
        <w:sz w:val="21"/>
        <w:szCs w:val="21"/>
      </w:rPr>
      <w:instrText xml:space="preserve">PAGE  \* Arabic  \* MERGEFORMAT</w:instrText>
    </w:r>
    <w:r>
      <w:rPr>
        <w:sz w:val="21"/>
        <w:szCs w:val="21"/>
      </w:rPr>
      <w:fldChar w:fldCharType="separate"/>
    </w:r>
    <w:r>
      <w:rPr>
        <w:sz w:val="21"/>
        <w:szCs w:val="21"/>
        <w:lang w:val="zh-CN"/>
      </w:rPr>
      <w:t>32</w:t>
    </w:r>
    <w:r>
      <w:rPr>
        <w:sz w:val="21"/>
        <w:szCs w:val="21"/>
      </w:rPr>
      <w:fldChar w:fldCharType="end"/>
    </w:r>
    <w:r>
      <w:rPr>
        <w:sz w:val="21"/>
        <w:szCs w:val="21"/>
        <w:lang w:val="zh-CN"/>
      </w:rPr>
      <w:t xml:space="preserve"> / </w:t>
    </w:r>
    <w:r>
      <w:fldChar w:fldCharType="begin"/>
    </w:r>
    <w:r>
      <w:instrText xml:space="preserve">NUMPAGES  \* Arabic  \* MERGEFORMAT</w:instrText>
    </w:r>
    <w:r>
      <w:fldChar w:fldCharType="separate"/>
    </w:r>
    <w:r>
      <w:rPr>
        <w:sz w:val="21"/>
        <w:szCs w:val="21"/>
        <w:lang w:val="zh-CN"/>
      </w:rPr>
      <w:t>52</w:t>
    </w:r>
    <w:r>
      <w:rPr>
        <w:sz w:val="21"/>
        <w:szCs w:val="21"/>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7B4512"/>
    <w:multiLevelType w:val="singleLevel"/>
    <w:tmpl w:val="C07B4512"/>
    <w:lvl w:ilvl="0" w:tentative="0">
      <w:start w:val="4"/>
      <w:numFmt w:val="chineseCounting"/>
      <w:suff w:val="nothing"/>
      <w:lvlText w:val="%1、"/>
      <w:lvlJc w:val="left"/>
      <w:rPr>
        <w:rFonts w:hint="eastAsia"/>
      </w:rPr>
    </w:lvl>
  </w:abstractNum>
  <w:abstractNum w:abstractNumId="1">
    <w:nsid w:val="F3846FAC"/>
    <w:multiLevelType w:val="singleLevel"/>
    <w:tmpl w:val="F3846FAC"/>
    <w:lvl w:ilvl="0" w:tentative="0">
      <w:start w:val="1"/>
      <w:numFmt w:val="chineseCounting"/>
      <w:suff w:val="nothing"/>
      <w:lvlText w:val="%1、"/>
      <w:lvlJc w:val="left"/>
      <w:rPr>
        <w:rFonts w:hint="eastAsia"/>
      </w:rPr>
    </w:lvl>
  </w:abstractNum>
  <w:abstractNum w:abstractNumId="2">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504598F"/>
    <w:multiLevelType w:val="singleLevel"/>
    <w:tmpl w:val="1504598F"/>
    <w:lvl w:ilvl="0" w:tentative="0">
      <w:start w:val="12"/>
      <w:numFmt w:val="chineseCounting"/>
      <w:suff w:val="nothing"/>
      <w:lvlText w:val="%1、"/>
      <w:lvlJc w:val="left"/>
      <w:rPr>
        <w:rFonts w:hint="eastAsia"/>
      </w:rPr>
    </w:lvl>
  </w:abstractNum>
  <w:abstractNum w:abstractNumId="4">
    <w:nsid w:val="4F034018"/>
    <w:multiLevelType w:val="singleLevel"/>
    <w:tmpl w:val="4F034018"/>
    <w:lvl w:ilvl="0" w:tentative="0">
      <w:start w:val="5"/>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4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BD7"/>
    <w:rsid w:val="0000407F"/>
    <w:rsid w:val="00006479"/>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754"/>
    <w:rsid w:val="00025DBE"/>
    <w:rsid w:val="00025E6A"/>
    <w:rsid w:val="00026877"/>
    <w:rsid w:val="00027A3C"/>
    <w:rsid w:val="00030DB5"/>
    <w:rsid w:val="00030E81"/>
    <w:rsid w:val="00031075"/>
    <w:rsid w:val="000310FE"/>
    <w:rsid w:val="00031193"/>
    <w:rsid w:val="00031E2B"/>
    <w:rsid w:val="00032280"/>
    <w:rsid w:val="000325E1"/>
    <w:rsid w:val="00033E2F"/>
    <w:rsid w:val="00034B6F"/>
    <w:rsid w:val="00035A6C"/>
    <w:rsid w:val="00036996"/>
    <w:rsid w:val="0003700E"/>
    <w:rsid w:val="0003797E"/>
    <w:rsid w:val="00040041"/>
    <w:rsid w:val="00041D0F"/>
    <w:rsid w:val="00041FA3"/>
    <w:rsid w:val="000420B5"/>
    <w:rsid w:val="00043E78"/>
    <w:rsid w:val="000459B5"/>
    <w:rsid w:val="00045C96"/>
    <w:rsid w:val="00045EE2"/>
    <w:rsid w:val="00047DF2"/>
    <w:rsid w:val="00050CC8"/>
    <w:rsid w:val="0005166C"/>
    <w:rsid w:val="00051736"/>
    <w:rsid w:val="00051774"/>
    <w:rsid w:val="00052C43"/>
    <w:rsid w:val="00053AD2"/>
    <w:rsid w:val="00054211"/>
    <w:rsid w:val="000546B0"/>
    <w:rsid w:val="00055269"/>
    <w:rsid w:val="00055708"/>
    <w:rsid w:val="000558AF"/>
    <w:rsid w:val="0005629D"/>
    <w:rsid w:val="000572E5"/>
    <w:rsid w:val="000574BB"/>
    <w:rsid w:val="00057B3C"/>
    <w:rsid w:val="00057C6A"/>
    <w:rsid w:val="0006044C"/>
    <w:rsid w:val="00060AAB"/>
    <w:rsid w:val="00061877"/>
    <w:rsid w:val="00061D6C"/>
    <w:rsid w:val="00062C77"/>
    <w:rsid w:val="00062D39"/>
    <w:rsid w:val="00064267"/>
    <w:rsid w:val="00064453"/>
    <w:rsid w:val="00064F1A"/>
    <w:rsid w:val="00065066"/>
    <w:rsid w:val="00065362"/>
    <w:rsid w:val="00065A82"/>
    <w:rsid w:val="00066072"/>
    <w:rsid w:val="0006785D"/>
    <w:rsid w:val="00067B67"/>
    <w:rsid w:val="00071135"/>
    <w:rsid w:val="00071C2A"/>
    <w:rsid w:val="00072425"/>
    <w:rsid w:val="00072F4C"/>
    <w:rsid w:val="00073FF7"/>
    <w:rsid w:val="00074378"/>
    <w:rsid w:val="00074D7B"/>
    <w:rsid w:val="00076570"/>
    <w:rsid w:val="000765AF"/>
    <w:rsid w:val="00077067"/>
    <w:rsid w:val="0007797E"/>
    <w:rsid w:val="000804A7"/>
    <w:rsid w:val="00080A03"/>
    <w:rsid w:val="00081AD3"/>
    <w:rsid w:val="00081D47"/>
    <w:rsid w:val="00084D5F"/>
    <w:rsid w:val="00085880"/>
    <w:rsid w:val="00085EC0"/>
    <w:rsid w:val="00090ABA"/>
    <w:rsid w:val="00092E35"/>
    <w:rsid w:val="00093340"/>
    <w:rsid w:val="00093853"/>
    <w:rsid w:val="000941F1"/>
    <w:rsid w:val="00094C73"/>
    <w:rsid w:val="000957CD"/>
    <w:rsid w:val="00096127"/>
    <w:rsid w:val="000965C7"/>
    <w:rsid w:val="0009732C"/>
    <w:rsid w:val="000A0315"/>
    <w:rsid w:val="000A08EF"/>
    <w:rsid w:val="000A2678"/>
    <w:rsid w:val="000A29BE"/>
    <w:rsid w:val="000A3119"/>
    <w:rsid w:val="000A4CE6"/>
    <w:rsid w:val="000A6116"/>
    <w:rsid w:val="000A7CFC"/>
    <w:rsid w:val="000B1842"/>
    <w:rsid w:val="000B2628"/>
    <w:rsid w:val="000B3E1B"/>
    <w:rsid w:val="000B40E6"/>
    <w:rsid w:val="000B504A"/>
    <w:rsid w:val="000B505A"/>
    <w:rsid w:val="000B55D0"/>
    <w:rsid w:val="000B575E"/>
    <w:rsid w:val="000B5C73"/>
    <w:rsid w:val="000B6848"/>
    <w:rsid w:val="000B6C54"/>
    <w:rsid w:val="000B75B1"/>
    <w:rsid w:val="000B78AE"/>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903"/>
    <w:rsid w:val="000D25B1"/>
    <w:rsid w:val="000D2B1D"/>
    <w:rsid w:val="000D2F1B"/>
    <w:rsid w:val="000D2FF7"/>
    <w:rsid w:val="000D3E9E"/>
    <w:rsid w:val="000D4C7F"/>
    <w:rsid w:val="000D519D"/>
    <w:rsid w:val="000D6C0F"/>
    <w:rsid w:val="000E01C6"/>
    <w:rsid w:val="000E084C"/>
    <w:rsid w:val="000E0978"/>
    <w:rsid w:val="000E157A"/>
    <w:rsid w:val="000E1629"/>
    <w:rsid w:val="000E1EE9"/>
    <w:rsid w:val="000E1F26"/>
    <w:rsid w:val="000E2248"/>
    <w:rsid w:val="000E25FD"/>
    <w:rsid w:val="000E32A8"/>
    <w:rsid w:val="000E386F"/>
    <w:rsid w:val="000E3A24"/>
    <w:rsid w:val="000E6588"/>
    <w:rsid w:val="000E7DBB"/>
    <w:rsid w:val="000F09AF"/>
    <w:rsid w:val="000F0D64"/>
    <w:rsid w:val="000F1F26"/>
    <w:rsid w:val="000F20B7"/>
    <w:rsid w:val="000F2AAD"/>
    <w:rsid w:val="000F31CF"/>
    <w:rsid w:val="000F4212"/>
    <w:rsid w:val="000F47CE"/>
    <w:rsid w:val="000F5377"/>
    <w:rsid w:val="000F55B7"/>
    <w:rsid w:val="000F5BBD"/>
    <w:rsid w:val="000F5D40"/>
    <w:rsid w:val="000F665A"/>
    <w:rsid w:val="000F7174"/>
    <w:rsid w:val="000F7941"/>
    <w:rsid w:val="001003F0"/>
    <w:rsid w:val="0010098C"/>
    <w:rsid w:val="00100E4C"/>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57D1"/>
    <w:rsid w:val="00116AC0"/>
    <w:rsid w:val="00117084"/>
    <w:rsid w:val="00117CA4"/>
    <w:rsid w:val="0012048B"/>
    <w:rsid w:val="00121040"/>
    <w:rsid w:val="00124DE1"/>
    <w:rsid w:val="00125768"/>
    <w:rsid w:val="00125FDA"/>
    <w:rsid w:val="00126439"/>
    <w:rsid w:val="001266CC"/>
    <w:rsid w:val="00126C29"/>
    <w:rsid w:val="00130CAF"/>
    <w:rsid w:val="00130ED6"/>
    <w:rsid w:val="00132A2E"/>
    <w:rsid w:val="001330A8"/>
    <w:rsid w:val="001345C3"/>
    <w:rsid w:val="00136919"/>
    <w:rsid w:val="0013796A"/>
    <w:rsid w:val="00140466"/>
    <w:rsid w:val="00142B06"/>
    <w:rsid w:val="0014310B"/>
    <w:rsid w:val="00143148"/>
    <w:rsid w:val="0014555E"/>
    <w:rsid w:val="00145989"/>
    <w:rsid w:val="00145E97"/>
    <w:rsid w:val="00146158"/>
    <w:rsid w:val="001475CB"/>
    <w:rsid w:val="00147DBE"/>
    <w:rsid w:val="001502BC"/>
    <w:rsid w:val="00150D1E"/>
    <w:rsid w:val="00150D46"/>
    <w:rsid w:val="00150EE4"/>
    <w:rsid w:val="00152D27"/>
    <w:rsid w:val="00153628"/>
    <w:rsid w:val="001540BA"/>
    <w:rsid w:val="00155AFA"/>
    <w:rsid w:val="001566F2"/>
    <w:rsid w:val="001578A4"/>
    <w:rsid w:val="001578F4"/>
    <w:rsid w:val="00157BA2"/>
    <w:rsid w:val="00157C26"/>
    <w:rsid w:val="00160B84"/>
    <w:rsid w:val="00161017"/>
    <w:rsid w:val="001613DD"/>
    <w:rsid w:val="0016303D"/>
    <w:rsid w:val="001632A6"/>
    <w:rsid w:val="00163EB2"/>
    <w:rsid w:val="00163FCC"/>
    <w:rsid w:val="00164AA0"/>
    <w:rsid w:val="00164DDA"/>
    <w:rsid w:val="00165007"/>
    <w:rsid w:val="001650B5"/>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63B3"/>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1F58"/>
    <w:rsid w:val="001A25AA"/>
    <w:rsid w:val="001A25C8"/>
    <w:rsid w:val="001A3FFB"/>
    <w:rsid w:val="001A4D48"/>
    <w:rsid w:val="001A5A88"/>
    <w:rsid w:val="001A5DA8"/>
    <w:rsid w:val="001A6AB8"/>
    <w:rsid w:val="001A78EC"/>
    <w:rsid w:val="001A7E1A"/>
    <w:rsid w:val="001B045F"/>
    <w:rsid w:val="001B0589"/>
    <w:rsid w:val="001B0E53"/>
    <w:rsid w:val="001B0ED0"/>
    <w:rsid w:val="001B20DE"/>
    <w:rsid w:val="001B2A98"/>
    <w:rsid w:val="001B3E88"/>
    <w:rsid w:val="001B4E34"/>
    <w:rsid w:val="001B5FB1"/>
    <w:rsid w:val="001B68FB"/>
    <w:rsid w:val="001B6FB1"/>
    <w:rsid w:val="001B7852"/>
    <w:rsid w:val="001C095D"/>
    <w:rsid w:val="001C11F4"/>
    <w:rsid w:val="001C18CF"/>
    <w:rsid w:val="001C1AF2"/>
    <w:rsid w:val="001C39AF"/>
    <w:rsid w:val="001C60EB"/>
    <w:rsid w:val="001C787A"/>
    <w:rsid w:val="001D0B2F"/>
    <w:rsid w:val="001D0F0B"/>
    <w:rsid w:val="001D273B"/>
    <w:rsid w:val="001D2BC7"/>
    <w:rsid w:val="001D37E3"/>
    <w:rsid w:val="001D43A8"/>
    <w:rsid w:val="001D4791"/>
    <w:rsid w:val="001D569F"/>
    <w:rsid w:val="001D584D"/>
    <w:rsid w:val="001D59F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5A2"/>
    <w:rsid w:val="001F5858"/>
    <w:rsid w:val="001F7D64"/>
    <w:rsid w:val="00201740"/>
    <w:rsid w:val="00202AFC"/>
    <w:rsid w:val="00203DAA"/>
    <w:rsid w:val="00204379"/>
    <w:rsid w:val="00204748"/>
    <w:rsid w:val="002048D6"/>
    <w:rsid w:val="0020499E"/>
    <w:rsid w:val="00205352"/>
    <w:rsid w:val="002053B5"/>
    <w:rsid w:val="00205919"/>
    <w:rsid w:val="00206B67"/>
    <w:rsid w:val="00206C9F"/>
    <w:rsid w:val="002102BE"/>
    <w:rsid w:val="00210B1B"/>
    <w:rsid w:val="00210DE3"/>
    <w:rsid w:val="00211045"/>
    <w:rsid w:val="00212052"/>
    <w:rsid w:val="002126B6"/>
    <w:rsid w:val="002127AF"/>
    <w:rsid w:val="00212ED2"/>
    <w:rsid w:val="002143CB"/>
    <w:rsid w:val="00214D3C"/>
    <w:rsid w:val="00214ED8"/>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5D3"/>
    <w:rsid w:val="00240C9B"/>
    <w:rsid w:val="00242080"/>
    <w:rsid w:val="00242235"/>
    <w:rsid w:val="002428D6"/>
    <w:rsid w:val="00242E6A"/>
    <w:rsid w:val="00243E14"/>
    <w:rsid w:val="00244534"/>
    <w:rsid w:val="0024503F"/>
    <w:rsid w:val="002450D1"/>
    <w:rsid w:val="0024679B"/>
    <w:rsid w:val="00247559"/>
    <w:rsid w:val="00250A45"/>
    <w:rsid w:val="0025247A"/>
    <w:rsid w:val="0025297A"/>
    <w:rsid w:val="00253721"/>
    <w:rsid w:val="002547BE"/>
    <w:rsid w:val="00255253"/>
    <w:rsid w:val="002562F5"/>
    <w:rsid w:val="002571E6"/>
    <w:rsid w:val="00257B99"/>
    <w:rsid w:val="0026011F"/>
    <w:rsid w:val="00260977"/>
    <w:rsid w:val="002629DD"/>
    <w:rsid w:val="0026507F"/>
    <w:rsid w:val="00265095"/>
    <w:rsid w:val="00265AEC"/>
    <w:rsid w:val="0027040C"/>
    <w:rsid w:val="00270464"/>
    <w:rsid w:val="0027204E"/>
    <w:rsid w:val="00272542"/>
    <w:rsid w:val="0027308E"/>
    <w:rsid w:val="00273787"/>
    <w:rsid w:val="00274A62"/>
    <w:rsid w:val="00274D87"/>
    <w:rsid w:val="00276367"/>
    <w:rsid w:val="00277580"/>
    <w:rsid w:val="00277C34"/>
    <w:rsid w:val="00282451"/>
    <w:rsid w:val="00282FB2"/>
    <w:rsid w:val="00283516"/>
    <w:rsid w:val="0028576A"/>
    <w:rsid w:val="00291E79"/>
    <w:rsid w:val="00292263"/>
    <w:rsid w:val="00292964"/>
    <w:rsid w:val="00293231"/>
    <w:rsid w:val="002932D1"/>
    <w:rsid w:val="002935D3"/>
    <w:rsid w:val="00293C3F"/>
    <w:rsid w:val="00294556"/>
    <w:rsid w:val="00294EB9"/>
    <w:rsid w:val="002959EC"/>
    <w:rsid w:val="00295D58"/>
    <w:rsid w:val="002968CF"/>
    <w:rsid w:val="0029695C"/>
    <w:rsid w:val="00296EF4"/>
    <w:rsid w:val="002972C0"/>
    <w:rsid w:val="002979DD"/>
    <w:rsid w:val="002A14AF"/>
    <w:rsid w:val="002A311A"/>
    <w:rsid w:val="002A3506"/>
    <w:rsid w:val="002A3CBC"/>
    <w:rsid w:val="002A5106"/>
    <w:rsid w:val="002A565F"/>
    <w:rsid w:val="002A5CCC"/>
    <w:rsid w:val="002A64AF"/>
    <w:rsid w:val="002A6C3D"/>
    <w:rsid w:val="002A7DF0"/>
    <w:rsid w:val="002A7E11"/>
    <w:rsid w:val="002B0A1C"/>
    <w:rsid w:val="002B11C3"/>
    <w:rsid w:val="002B1BA2"/>
    <w:rsid w:val="002B274A"/>
    <w:rsid w:val="002B2768"/>
    <w:rsid w:val="002B2FEC"/>
    <w:rsid w:val="002B3E2B"/>
    <w:rsid w:val="002B3E5C"/>
    <w:rsid w:val="002B4E83"/>
    <w:rsid w:val="002B5D76"/>
    <w:rsid w:val="002B6BA6"/>
    <w:rsid w:val="002B6F01"/>
    <w:rsid w:val="002B7EBE"/>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6FA"/>
    <w:rsid w:val="002C7CAD"/>
    <w:rsid w:val="002D03C0"/>
    <w:rsid w:val="002D0896"/>
    <w:rsid w:val="002D10B5"/>
    <w:rsid w:val="002D1786"/>
    <w:rsid w:val="002D3048"/>
    <w:rsid w:val="002D3294"/>
    <w:rsid w:val="002D47F3"/>
    <w:rsid w:val="002D55B4"/>
    <w:rsid w:val="002D5FFD"/>
    <w:rsid w:val="002D7383"/>
    <w:rsid w:val="002E03E2"/>
    <w:rsid w:val="002E07ED"/>
    <w:rsid w:val="002E34C0"/>
    <w:rsid w:val="002E3A71"/>
    <w:rsid w:val="002E4C92"/>
    <w:rsid w:val="002E4FDC"/>
    <w:rsid w:val="002E549E"/>
    <w:rsid w:val="002E5791"/>
    <w:rsid w:val="002E62A7"/>
    <w:rsid w:val="002E64B2"/>
    <w:rsid w:val="002E66CF"/>
    <w:rsid w:val="002E68EC"/>
    <w:rsid w:val="002F0F07"/>
    <w:rsid w:val="002F15C4"/>
    <w:rsid w:val="002F217D"/>
    <w:rsid w:val="002F4178"/>
    <w:rsid w:val="002F41F8"/>
    <w:rsid w:val="002F6822"/>
    <w:rsid w:val="002F6F89"/>
    <w:rsid w:val="002F7560"/>
    <w:rsid w:val="00301671"/>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1A39"/>
    <w:rsid w:val="00312365"/>
    <w:rsid w:val="0031267B"/>
    <w:rsid w:val="0031354E"/>
    <w:rsid w:val="00313747"/>
    <w:rsid w:val="003140F3"/>
    <w:rsid w:val="003153A6"/>
    <w:rsid w:val="00316590"/>
    <w:rsid w:val="00316B96"/>
    <w:rsid w:val="003171CE"/>
    <w:rsid w:val="0032012F"/>
    <w:rsid w:val="00320747"/>
    <w:rsid w:val="003210E3"/>
    <w:rsid w:val="0032197D"/>
    <w:rsid w:val="00322663"/>
    <w:rsid w:val="00323148"/>
    <w:rsid w:val="003232CA"/>
    <w:rsid w:val="003232CD"/>
    <w:rsid w:val="00323447"/>
    <w:rsid w:val="003241E3"/>
    <w:rsid w:val="00324345"/>
    <w:rsid w:val="00324986"/>
    <w:rsid w:val="00325133"/>
    <w:rsid w:val="00325EA2"/>
    <w:rsid w:val="003264E3"/>
    <w:rsid w:val="00326C09"/>
    <w:rsid w:val="00326DBE"/>
    <w:rsid w:val="00326FF8"/>
    <w:rsid w:val="003278C1"/>
    <w:rsid w:val="00327EC1"/>
    <w:rsid w:val="003306B6"/>
    <w:rsid w:val="003309CC"/>
    <w:rsid w:val="00330ACE"/>
    <w:rsid w:val="00331BE2"/>
    <w:rsid w:val="00332DED"/>
    <w:rsid w:val="00333ED6"/>
    <w:rsid w:val="0033444D"/>
    <w:rsid w:val="0033509F"/>
    <w:rsid w:val="003411D5"/>
    <w:rsid w:val="00341716"/>
    <w:rsid w:val="00341D06"/>
    <w:rsid w:val="00343044"/>
    <w:rsid w:val="00343788"/>
    <w:rsid w:val="00343CEA"/>
    <w:rsid w:val="003442F4"/>
    <w:rsid w:val="0034476F"/>
    <w:rsid w:val="003449A1"/>
    <w:rsid w:val="00344A56"/>
    <w:rsid w:val="00344C67"/>
    <w:rsid w:val="00346FCC"/>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55A"/>
    <w:rsid w:val="003605A3"/>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370B"/>
    <w:rsid w:val="00373B68"/>
    <w:rsid w:val="0037422E"/>
    <w:rsid w:val="00374413"/>
    <w:rsid w:val="003753F1"/>
    <w:rsid w:val="003773A7"/>
    <w:rsid w:val="003839BD"/>
    <w:rsid w:val="00385FBB"/>
    <w:rsid w:val="00386526"/>
    <w:rsid w:val="00387150"/>
    <w:rsid w:val="00387B54"/>
    <w:rsid w:val="00387C2A"/>
    <w:rsid w:val="003933A4"/>
    <w:rsid w:val="00393EF7"/>
    <w:rsid w:val="00395436"/>
    <w:rsid w:val="0039578F"/>
    <w:rsid w:val="00395BA7"/>
    <w:rsid w:val="003964A1"/>
    <w:rsid w:val="0039735E"/>
    <w:rsid w:val="00397533"/>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28C2"/>
    <w:rsid w:val="003B2F96"/>
    <w:rsid w:val="003B357D"/>
    <w:rsid w:val="003B386B"/>
    <w:rsid w:val="003B39D1"/>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0671"/>
    <w:rsid w:val="003D0B26"/>
    <w:rsid w:val="003D1E07"/>
    <w:rsid w:val="003D236C"/>
    <w:rsid w:val="003D2811"/>
    <w:rsid w:val="003D2850"/>
    <w:rsid w:val="003D306E"/>
    <w:rsid w:val="003D3342"/>
    <w:rsid w:val="003D35A2"/>
    <w:rsid w:val="003D39BB"/>
    <w:rsid w:val="003D3E5C"/>
    <w:rsid w:val="003D5252"/>
    <w:rsid w:val="003D6E3B"/>
    <w:rsid w:val="003E157B"/>
    <w:rsid w:val="003E234B"/>
    <w:rsid w:val="003E23C3"/>
    <w:rsid w:val="003E420E"/>
    <w:rsid w:val="003E432C"/>
    <w:rsid w:val="003E4AC9"/>
    <w:rsid w:val="003E4D6D"/>
    <w:rsid w:val="003E5474"/>
    <w:rsid w:val="003E5479"/>
    <w:rsid w:val="003E68D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967"/>
    <w:rsid w:val="0040605A"/>
    <w:rsid w:val="00410855"/>
    <w:rsid w:val="00411200"/>
    <w:rsid w:val="0041213C"/>
    <w:rsid w:val="0041409C"/>
    <w:rsid w:val="0041426E"/>
    <w:rsid w:val="0041545F"/>
    <w:rsid w:val="00416015"/>
    <w:rsid w:val="004162E5"/>
    <w:rsid w:val="00416B34"/>
    <w:rsid w:val="00420420"/>
    <w:rsid w:val="00420634"/>
    <w:rsid w:val="0042081F"/>
    <w:rsid w:val="004211C9"/>
    <w:rsid w:val="00421296"/>
    <w:rsid w:val="0042563A"/>
    <w:rsid w:val="00425765"/>
    <w:rsid w:val="00426194"/>
    <w:rsid w:val="00426F7F"/>
    <w:rsid w:val="00427131"/>
    <w:rsid w:val="004277BA"/>
    <w:rsid w:val="00427E22"/>
    <w:rsid w:val="0043176C"/>
    <w:rsid w:val="00433638"/>
    <w:rsid w:val="00434010"/>
    <w:rsid w:val="004355DD"/>
    <w:rsid w:val="00441565"/>
    <w:rsid w:val="00442074"/>
    <w:rsid w:val="004422EC"/>
    <w:rsid w:val="0044272F"/>
    <w:rsid w:val="00442B30"/>
    <w:rsid w:val="00445115"/>
    <w:rsid w:val="00445D9A"/>
    <w:rsid w:val="004469A9"/>
    <w:rsid w:val="004473FE"/>
    <w:rsid w:val="00450275"/>
    <w:rsid w:val="004502D8"/>
    <w:rsid w:val="00452D8A"/>
    <w:rsid w:val="00453435"/>
    <w:rsid w:val="00453A4B"/>
    <w:rsid w:val="00454E9D"/>
    <w:rsid w:val="00455569"/>
    <w:rsid w:val="00455AF6"/>
    <w:rsid w:val="00455B3C"/>
    <w:rsid w:val="00456080"/>
    <w:rsid w:val="004566C5"/>
    <w:rsid w:val="00457648"/>
    <w:rsid w:val="00460046"/>
    <w:rsid w:val="004608B3"/>
    <w:rsid w:val="00462652"/>
    <w:rsid w:val="00463B75"/>
    <w:rsid w:val="00463D29"/>
    <w:rsid w:val="00464A8D"/>
    <w:rsid w:val="004651C1"/>
    <w:rsid w:val="004653D3"/>
    <w:rsid w:val="00465A6B"/>
    <w:rsid w:val="004665C7"/>
    <w:rsid w:val="004667D5"/>
    <w:rsid w:val="00466F63"/>
    <w:rsid w:val="004678B9"/>
    <w:rsid w:val="0047158C"/>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369"/>
    <w:rsid w:val="00482B89"/>
    <w:rsid w:val="00483F4B"/>
    <w:rsid w:val="00483F8A"/>
    <w:rsid w:val="00484415"/>
    <w:rsid w:val="00485E06"/>
    <w:rsid w:val="00490624"/>
    <w:rsid w:val="00490A7B"/>
    <w:rsid w:val="004921C2"/>
    <w:rsid w:val="004925C8"/>
    <w:rsid w:val="00492B0C"/>
    <w:rsid w:val="00494993"/>
    <w:rsid w:val="00495BB8"/>
    <w:rsid w:val="00496105"/>
    <w:rsid w:val="004968B7"/>
    <w:rsid w:val="00496AF0"/>
    <w:rsid w:val="004A24A6"/>
    <w:rsid w:val="004A2DE8"/>
    <w:rsid w:val="004A3D82"/>
    <w:rsid w:val="004A3FE4"/>
    <w:rsid w:val="004A489C"/>
    <w:rsid w:val="004B41C6"/>
    <w:rsid w:val="004B759C"/>
    <w:rsid w:val="004B7A1A"/>
    <w:rsid w:val="004C0B2C"/>
    <w:rsid w:val="004C15D2"/>
    <w:rsid w:val="004C18F8"/>
    <w:rsid w:val="004C3E5D"/>
    <w:rsid w:val="004C424F"/>
    <w:rsid w:val="004C4640"/>
    <w:rsid w:val="004C4D43"/>
    <w:rsid w:val="004C5352"/>
    <w:rsid w:val="004C5C99"/>
    <w:rsid w:val="004C6118"/>
    <w:rsid w:val="004C635E"/>
    <w:rsid w:val="004C696F"/>
    <w:rsid w:val="004C6BBE"/>
    <w:rsid w:val="004C7288"/>
    <w:rsid w:val="004C78D0"/>
    <w:rsid w:val="004C7DDF"/>
    <w:rsid w:val="004C7FC0"/>
    <w:rsid w:val="004D0196"/>
    <w:rsid w:val="004D0385"/>
    <w:rsid w:val="004D0ABE"/>
    <w:rsid w:val="004D2173"/>
    <w:rsid w:val="004D244D"/>
    <w:rsid w:val="004D338F"/>
    <w:rsid w:val="004D3604"/>
    <w:rsid w:val="004D3A12"/>
    <w:rsid w:val="004D3F5A"/>
    <w:rsid w:val="004D42B5"/>
    <w:rsid w:val="004D5BE3"/>
    <w:rsid w:val="004D65EE"/>
    <w:rsid w:val="004D677C"/>
    <w:rsid w:val="004D691A"/>
    <w:rsid w:val="004D6C06"/>
    <w:rsid w:val="004D7A3E"/>
    <w:rsid w:val="004E05EA"/>
    <w:rsid w:val="004E13AE"/>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E7"/>
    <w:rsid w:val="004F5086"/>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7A9"/>
    <w:rsid w:val="0051588D"/>
    <w:rsid w:val="00515BE8"/>
    <w:rsid w:val="0051644D"/>
    <w:rsid w:val="00516CD3"/>
    <w:rsid w:val="005170B5"/>
    <w:rsid w:val="005205F6"/>
    <w:rsid w:val="00520A33"/>
    <w:rsid w:val="00521116"/>
    <w:rsid w:val="005224A1"/>
    <w:rsid w:val="00522A86"/>
    <w:rsid w:val="00522CE3"/>
    <w:rsid w:val="00523E7A"/>
    <w:rsid w:val="00524853"/>
    <w:rsid w:val="00525157"/>
    <w:rsid w:val="00526134"/>
    <w:rsid w:val="0052636B"/>
    <w:rsid w:val="00526451"/>
    <w:rsid w:val="00532103"/>
    <w:rsid w:val="00532674"/>
    <w:rsid w:val="00532F04"/>
    <w:rsid w:val="00533518"/>
    <w:rsid w:val="005341B3"/>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DC1"/>
    <w:rsid w:val="00575895"/>
    <w:rsid w:val="00577C3A"/>
    <w:rsid w:val="005802E6"/>
    <w:rsid w:val="00581D03"/>
    <w:rsid w:val="0058256A"/>
    <w:rsid w:val="00582816"/>
    <w:rsid w:val="00582EBB"/>
    <w:rsid w:val="00583539"/>
    <w:rsid w:val="00584DB3"/>
    <w:rsid w:val="005876EF"/>
    <w:rsid w:val="005878B8"/>
    <w:rsid w:val="005879A0"/>
    <w:rsid w:val="005905B4"/>
    <w:rsid w:val="00590773"/>
    <w:rsid w:val="005915D7"/>
    <w:rsid w:val="005917E3"/>
    <w:rsid w:val="005930E6"/>
    <w:rsid w:val="00593C63"/>
    <w:rsid w:val="00594786"/>
    <w:rsid w:val="00594BFF"/>
    <w:rsid w:val="00595E76"/>
    <w:rsid w:val="005961E3"/>
    <w:rsid w:val="005967A6"/>
    <w:rsid w:val="005967EE"/>
    <w:rsid w:val="005977A9"/>
    <w:rsid w:val="005A0B3D"/>
    <w:rsid w:val="005A1471"/>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C37"/>
    <w:rsid w:val="005C367E"/>
    <w:rsid w:val="005C3EFF"/>
    <w:rsid w:val="005C4A34"/>
    <w:rsid w:val="005C4CDD"/>
    <w:rsid w:val="005C512B"/>
    <w:rsid w:val="005C613B"/>
    <w:rsid w:val="005C619B"/>
    <w:rsid w:val="005C6742"/>
    <w:rsid w:val="005C6E9F"/>
    <w:rsid w:val="005C6EB2"/>
    <w:rsid w:val="005C6F03"/>
    <w:rsid w:val="005C701B"/>
    <w:rsid w:val="005D0515"/>
    <w:rsid w:val="005D06A4"/>
    <w:rsid w:val="005D0E6E"/>
    <w:rsid w:val="005D2E87"/>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7B45"/>
    <w:rsid w:val="005F1172"/>
    <w:rsid w:val="005F118A"/>
    <w:rsid w:val="005F163A"/>
    <w:rsid w:val="005F2F4F"/>
    <w:rsid w:val="005F3CFC"/>
    <w:rsid w:val="005F5026"/>
    <w:rsid w:val="005F5B90"/>
    <w:rsid w:val="005F65A8"/>
    <w:rsid w:val="005F6E77"/>
    <w:rsid w:val="005F77A5"/>
    <w:rsid w:val="00600FF3"/>
    <w:rsid w:val="0060143F"/>
    <w:rsid w:val="006020B8"/>
    <w:rsid w:val="006023A2"/>
    <w:rsid w:val="00604625"/>
    <w:rsid w:val="00604F66"/>
    <w:rsid w:val="0060539A"/>
    <w:rsid w:val="0060542B"/>
    <w:rsid w:val="00605AC8"/>
    <w:rsid w:val="00606FCA"/>
    <w:rsid w:val="0060710A"/>
    <w:rsid w:val="00607642"/>
    <w:rsid w:val="0061157C"/>
    <w:rsid w:val="00611BD5"/>
    <w:rsid w:val="00611D13"/>
    <w:rsid w:val="00611F78"/>
    <w:rsid w:val="00612249"/>
    <w:rsid w:val="006122CB"/>
    <w:rsid w:val="006124EC"/>
    <w:rsid w:val="006134AD"/>
    <w:rsid w:val="006137A4"/>
    <w:rsid w:val="00613885"/>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61B7"/>
    <w:rsid w:val="00636593"/>
    <w:rsid w:val="00637CB2"/>
    <w:rsid w:val="00641AC2"/>
    <w:rsid w:val="00641B22"/>
    <w:rsid w:val="00642353"/>
    <w:rsid w:val="00643E26"/>
    <w:rsid w:val="00644C53"/>
    <w:rsid w:val="006454A6"/>
    <w:rsid w:val="0064584F"/>
    <w:rsid w:val="00645B2A"/>
    <w:rsid w:val="006460DA"/>
    <w:rsid w:val="00646A98"/>
    <w:rsid w:val="0064712A"/>
    <w:rsid w:val="006471BB"/>
    <w:rsid w:val="006474A7"/>
    <w:rsid w:val="00650D4C"/>
    <w:rsid w:val="00651518"/>
    <w:rsid w:val="00651589"/>
    <w:rsid w:val="0065182B"/>
    <w:rsid w:val="00651BA8"/>
    <w:rsid w:val="0065339E"/>
    <w:rsid w:val="00653E9A"/>
    <w:rsid w:val="00655BFA"/>
    <w:rsid w:val="00656B4B"/>
    <w:rsid w:val="00661B07"/>
    <w:rsid w:val="006625A5"/>
    <w:rsid w:val="0066293D"/>
    <w:rsid w:val="00663DF6"/>
    <w:rsid w:val="0066445B"/>
    <w:rsid w:val="006646D8"/>
    <w:rsid w:val="0066485B"/>
    <w:rsid w:val="00664A68"/>
    <w:rsid w:val="00665C3D"/>
    <w:rsid w:val="006660FE"/>
    <w:rsid w:val="00666304"/>
    <w:rsid w:val="00670B47"/>
    <w:rsid w:val="00671442"/>
    <w:rsid w:val="006716EA"/>
    <w:rsid w:val="00671DFD"/>
    <w:rsid w:val="00671EC4"/>
    <w:rsid w:val="006729B0"/>
    <w:rsid w:val="00673C8C"/>
    <w:rsid w:val="00674747"/>
    <w:rsid w:val="0067535B"/>
    <w:rsid w:val="00675543"/>
    <w:rsid w:val="00676D52"/>
    <w:rsid w:val="006773E9"/>
    <w:rsid w:val="00680F10"/>
    <w:rsid w:val="006811F9"/>
    <w:rsid w:val="00682AD7"/>
    <w:rsid w:val="006839CB"/>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44FE"/>
    <w:rsid w:val="00694A49"/>
    <w:rsid w:val="00695EC0"/>
    <w:rsid w:val="00697F33"/>
    <w:rsid w:val="006A02F8"/>
    <w:rsid w:val="006A0333"/>
    <w:rsid w:val="006A0435"/>
    <w:rsid w:val="006A144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B03F2"/>
    <w:rsid w:val="006B0DCC"/>
    <w:rsid w:val="006B1614"/>
    <w:rsid w:val="006B17ED"/>
    <w:rsid w:val="006B2C52"/>
    <w:rsid w:val="006B2CC2"/>
    <w:rsid w:val="006B3CA4"/>
    <w:rsid w:val="006B3DA0"/>
    <w:rsid w:val="006B42CD"/>
    <w:rsid w:val="006B53D3"/>
    <w:rsid w:val="006B5A26"/>
    <w:rsid w:val="006B5DB1"/>
    <w:rsid w:val="006B5DCA"/>
    <w:rsid w:val="006B67DB"/>
    <w:rsid w:val="006B6921"/>
    <w:rsid w:val="006B77CE"/>
    <w:rsid w:val="006B7912"/>
    <w:rsid w:val="006C062B"/>
    <w:rsid w:val="006C20D9"/>
    <w:rsid w:val="006C2B56"/>
    <w:rsid w:val="006C2F87"/>
    <w:rsid w:val="006C2FBC"/>
    <w:rsid w:val="006C3E82"/>
    <w:rsid w:val="006C5876"/>
    <w:rsid w:val="006C675A"/>
    <w:rsid w:val="006C6A41"/>
    <w:rsid w:val="006C7041"/>
    <w:rsid w:val="006C77EC"/>
    <w:rsid w:val="006C79DA"/>
    <w:rsid w:val="006D0283"/>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C1C"/>
    <w:rsid w:val="006E01E1"/>
    <w:rsid w:val="006E0317"/>
    <w:rsid w:val="006E0B5D"/>
    <w:rsid w:val="006E13BE"/>
    <w:rsid w:val="006E1442"/>
    <w:rsid w:val="006E2B55"/>
    <w:rsid w:val="006E30CC"/>
    <w:rsid w:val="006E367E"/>
    <w:rsid w:val="006E4198"/>
    <w:rsid w:val="006E4425"/>
    <w:rsid w:val="006E4BFC"/>
    <w:rsid w:val="006E4DEC"/>
    <w:rsid w:val="006E4FE5"/>
    <w:rsid w:val="006E51E2"/>
    <w:rsid w:val="006E56F7"/>
    <w:rsid w:val="006E5A01"/>
    <w:rsid w:val="006E5BB6"/>
    <w:rsid w:val="006F0ADD"/>
    <w:rsid w:val="006F0F42"/>
    <w:rsid w:val="006F17C3"/>
    <w:rsid w:val="006F1CCA"/>
    <w:rsid w:val="006F2E78"/>
    <w:rsid w:val="006F331A"/>
    <w:rsid w:val="006F3E59"/>
    <w:rsid w:val="006F63A0"/>
    <w:rsid w:val="006F6457"/>
    <w:rsid w:val="006F6958"/>
    <w:rsid w:val="006F6A32"/>
    <w:rsid w:val="006F6BCA"/>
    <w:rsid w:val="006F6FAD"/>
    <w:rsid w:val="006F764F"/>
    <w:rsid w:val="006F79CB"/>
    <w:rsid w:val="006F7A0E"/>
    <w:rsid w:val="006F7E8A"/>
    <w:rsid w:val="00700546"/>
    <w:rsid w:val="00701DC6"/>
    <w:rsid w:val="00702818"/>
    <w:rsid w:val="00704EE2"/>
    <w:rsid w:val="007050BF"/>
    <w:rsid w:val="007052D6"/>
    <w:rsid w:val="00707062"/>
    <w:rsid w:val="007079FC"/>
    <w:rsid w:val="0071044A"/>
    <w:rsid w:val="00710D9B"/>
    <w:rsid w:val="007124A3"/>
    <w:rsid w:val="00712D65"/>
    <w:rsid w:val="00713B30"/>
    <w:rsid w:val="00713CD3"/>
    <w:rsid w:val="00714B8A"/>
    <w:rsid w:val="00715117"/>
    <w:rsid w:val="00715A52"/>
    <w:rsid w:val="007164DB"/>
    <w:rsid w:val="00716D52"/>
    <w:rsid w:val="00717BBD"/>
    <w:rsid w:val="007205B5"/>
    <w:rsid w:val="00721974"/>
    <w:rsid w:val="00722140"/>
    <w:rsid w:val="007224C5"/>
    <w:rsid w:val="00722C09"/>
    <w:rsid w:val="00723298"/>
    <w:rsid w:val="0072444D"/>
    <w:rsid w:val="0072490B"/>
    <w:rsid w:val="0072545F"/>
    <w:rsid w:val="00725469"/>
    <w:rsid w:val="00725715"/>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D39"/>
    <w:rsid w:val="007427F5"/>
    <w:rsid w:val="0074324C"/>
    <w:rsid w:val="00743503"/>
    <w:rsid w:val="0074503F"/>
    <w:rsid w:val="007459CF"/>
    <w:rsid w:val="007504C8"/>
    <w:rsid w:val="00751C49"/>
    <w:rsid w:val="0075217B"/>
    <w:rsid w:val="007522F5"/>
    <w:rsid w:val="00753C8E"/>
    <w:rsid w:val="00753DDE"/>
    <w:rsid w:val="00755683"/>
    <w:rsid w:val="007563F9"/>
    <w:rsid w:val="00756428"/>
    <w:rsid w:val="00756C3F"/>
    <w:rsid w:val="007576B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6419"/>
    <w:rsid w:val="00766B0A"/>
    <w:rsid w:val="00767717"/>
    <w:rsid w:val="00770064"/>
    <w:rsid w:val="00770DC5"/>
    <w:rsid w:val="007710C8"/>
    <w:rsid w:val="00771263"/>
    <w:rsid w:val="00773D1D"/>
    <w:rsid w:val="00774976"/>
    <w:rsid w:val="00774987"/>
    <w:rsid w:val="00774A21"/>
    <w:rsid w:val="00774EEC"/>
    <w:rsid w:val="00775DCF"/>
    <w:rsid w:val="0077618C"/>
    <w:rsid w:val="00776857"/>
    <w:rsid w:val="00776C7D"/>
    <w:rsid w:val="0077703B"/>
    <w:rsid w:val="00777870"/>
    <w:rsid w:val="00777D33"/>
    <w:rsid w:val="007807B1"/>
    <w:rsid w:val="00780B43"/>
    <w:rsid w:val="0078100F"/>
    <w:rsid w:val="00781A1E"/>
    <w:rsid w:val="00782159"/>
    <w:rsid w:val="0078399E"/>
    <w:rsid w:val="00784690"/>
    <w:rsid w:val="00784B60"/>
    <w:rsid w:val="00785EB0"/>
    <w:rsid w:val="007864B4"/>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163A"/>
    <w:rsid w:val="007A1A9E"/>
    <w:rsid w:val="007A1B96"/>
    <w:rsid w:val="007A251E"/>
    <w:rsid w:val="007A3AC0"/>
    <w:rsid w:val="007A46E3"/>
    <w:rsid w:val="007A4ED9"/>
    <w:rsid w:val="007A517D"/>
    <w:rsid w:val="007A5684"/>
    <w:rsid w:val="007A56D2"/>
    <w:rsid w:val="007A56F1"/>
    <w:rsid w:val="007A570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F0774"/>
    <w:rsid w:val="007F087E"/>
    <w:rsid w:val="007F0B33"/>
    <w:rsid w:val="007F0B48"/>
    <w:rsid w:val="007F0BAD"/>
    <w:rsid w:val="007F13F4"/>
    <w:rsid w:val="007F1C34"/>
    <w:rsid w:val="007F1F49"/>
    <w:rsid w:val="007F20ED"/>
    <w:rsid w:val="007F3330"/>
    <w:rsid w:val="007F3352"/>
    <w:rsid w:val="007F3C55"/>
    <w:rsid w:val="007F4CA3"/>
    <w:rsid w:val="007F647D"/>
    <w:rsid w:val="007F6D41"/>
    <w:rsid w:val="007F71DD"/>
    <w:rsid w:val="007F750D"/>
    <w:rsid w:val="007F794F"/>
    <w:rsid w:val="00800AAB"/>
    <w:rsid w:val="0080130F"/>
    <w:rsid w:val="0080254C"/>
    <w:rsid w:val="008029B2"/>
    <w:rsid w:val="00802E9D"/>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0B27"/>
    <w:rsid w:val="008517F6"/>
    <w:rsid w:val="008519B3"/>
    <w:rsid w:val="00851AE6"/>
    <w:rsid w:val="00851C77"/>
    <w:rsid w:val="00851D97"/>
    <w:rsid w:val="008522D3"/>
    <w:rsid w:val="008524D2"/>
    <w:rsid w:val="0085386D"/>
    <w:rsid w:val="00853C94"/>
    <w:rsid w:val="008541CE"/>
    <w:rsid w:val="00854ADE"/>
    <w:rsid w:val="008553B2"/>
    <w:rsid w:val="0085572E"/>
    <w:rsid w:val="008557ED"/>
    <w:rsid w:val="00855903"/>
    <w:rsid w:val="00855E7C"/>
    <w:rsid w:val="00857D30"/>
    <w:rsid w:val="00861B88"/>
    <w:rsid w:val="00861F7D"/>
    <w:rsid w:val="00862C05"/>
    <w:rsid w:val="00864094"/>
    <w:rsid w:val="0086504F"/>
    <w:rsid w:val="008655DA"/>
    <w:rsid w:val="008656C6"/>
    <w:rsid w:val="00866CE1"/>
    <w:rsid w:val="00866EC9"/>
    <w:rsid w:val="0087025B"/>
    <w:rsid w:val="00870E1A"/>
    <w:rsid w:val="008724E9"/>
    <w:rsid w:val="00872538"/>
    <w:rsid w:val="00873FCF"/>
    <w:rsid w:val="008744BC"/>
    <w:rsid w:val="008744D1"/>
    <w:rsid w:val="00875709"/>
    <w:rsid w:val="00876C30"/>
    <w:rsid w:val="00876DA6"/>
    <w:rsid w:val="00880B93"/>
    <w:rsid w:val="00882313"/>
    <w:rsid w:val="0088589D"/>
    <w:rsid w:val="00886116"/>
    <w:rsid w:val="0088749D"/>
    <w:rsid w:val="00887CEB"/>
    <w:rsid w:val="00887FDD"/>
    <w:rsid w:val="008909A8"/>
    <w:rsid w:val="00890D42"/>
    <w:rsid w:val="008924D9"/>
    <w:rsid w:val="00892CAB"/>
    <w:rsid w:val="008935C4"/>
    <w:rsid w:val="008937A3"/>
    <w:rsid w:val="00893991"/>
    <w:rsid w:val="00894725"/>
    <w:rsid w:val="008958BB"/>
    <w:rsid w:val="0089602C"/>
    <w:rsid w:val="00896A68"/>
    <w:rsid w:val="008979F0"/>
    <w:rsid w:val="008A01CB"/>
    <w:rsid w:val="008A05C8"/>
    <w:rsid w:val="008A06A2"/>
    <w:rsid w:val="008A105A"/>
    <w:rsid w:val="008A12E6"/>
    <w:rsid w:val="008A1C04"/>
    <w:rsid w:val="008A2438"/>
    <w:rsid w:val="008A2779"/>
    <w:rsid w:val="008A3630"/>
    <w:rsid w:val="008A41BA"/>
    <w:rsid w:val="008A4836"/>
    <w:rsid w:val="008A4DCB"/>
    <w:rsid w:val="008A6037"/>
    <w:rsid w:val="008A6F63"/>
    <w:rsid w:val="008B0295"/>
    <w:rsid w:val="008B103B"/>
    <w:rsid w:val="008B1102"/>
    <w:rsid w:val="008B17B6"/>
    <w:rsid w:val="008B193A"/>
    <w:rsid w:val="008B1963"/>
    <w:rsid w:val="008B2566"/>
    <w:rsid w:val="008B37A5"/>
    <w:rsid w:val="008B43E4"/>
    <w:rsid w:val="008B49B0"/>
    <w:rsid w:val="008B4B8C"/>
    <w:rsid w:val="008B525E"/>
    <w:rsid w:val="008B5D73"/>
    <w:rsid w:val="008B6802"/>
    <w:rsid w:val="008B74D7"/>
    <w:rsid w:val="008C0FE3"/>
    <w:rsid w:val="008C1158"/>
    <w:rsid w:val="008C1957"/>
    <w:rsid w:val="008C2CB9"/>
    <w:rsid w:val="008C2E48"/>
    <w:rsid w:val="008C2ED5"/>
    <w:rsid w:val="008C39BC"/>
    <w:rsid w:val="008C57AC"/>
    <w:rsid w:val="008C6582"/>
    <w:rsid w:val="008C6838"/>
    <w:rsid w:val="008C6865"/>
    <w:rsid w:val="008D0FF4"/>
    <w:rsid w:val="008D1021"/>
    <w:rsid w:val="008D10EE"/>
    <w:rsid w:val="008D150B"/>
    <w:rsid w:val="008D1A18"/>
    <w:rsid w:val="008D2A54"/>
    <w:rsid w:val="008D2C2A"/>
    <w:rsid w:val="008D3842"/>
    <w:rsid w:val="008D489F"/>
    <w:rsid w:val="008D49C8"/>
    <w:rsid w:val="008D4A72"/>
    <w:rsid w:val="008D611D"/>
    <w:rsid w:val="008D7410"/>
    <w:rsid w:val="008D76B0"/>
    <w:rsid w:val="008E0F85"/>
    <w:rsid w:val="008E17AF"/>
    <w:rsid w:val="008E1A89"/>
    <w:rsid w:val="008E1E97"/>
    <w:rsid w:val="008E36A5"/>
    <w:rsid w:val="008E3767"/>
    <w:rsid w:val="008E3CB9"/>
    <w:rsid w:val="008E3F69"/>
    <w:rsid w:val="008E45D3"/>
    <w:rsid w:val="008E52F6"/>
    <w:rsid w:val="008E5B81"/>
    <w:rsid w:val="008E76FC"/>
    <w:rsid w:val="008F0680"/>
    <w:rsid w:val="008F2A5A"/>
    <w:rsid w:val="008F31DB"/>
    <w:rsid w:val="008F398B"/>
    <w:rsid w:val="008F3EF5"/>
    <w:rsid w:val="008F4A59"/>
    <w:rsid w:val="008F50E2"/>
    <w:rsid w:val="008F5B12"/>
    <w:rsid w:val="008F61A4"/>
    <w:rsid w:val="008F673C"/>
    <w:rsid w:val="008F6AAD"/>
    <w:rsid w:val="008F7726"/>
    <w:rsid w:val="00901116"/>
    <w:rsid w:val="009026E9"/>
    <w:rsid w:val="00902874"/>
    <w:rsid w:val="00905495"/>
    <w:rsid w:val="0090632C"/>
    <w:rsid w:val="00906B13"/>
    <w:rsid w:val="00906CE8"/>
    <w:rsid w:val="009079F8"/>
    <w:rsid w:val="00910AB5"/>
    <w:rsid w:val="009113D7"/>
    <w:rsid w:val="009118A7"/>
    <w:rsid w:val="00911E91"/>
    <w:rsid w:val="00913C4B"/>
    <w:rsid w:val="009148EC"/>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1729"/>
    <w:rsid w:val="009321C2"/>
    <w:rsid w:val="00932622"/>
    <w:rsid w:val="00932748"/>
    <w:rsid w:val="00932A99"/>
    <w:rsid w:val="00932AFC"/>
    <w:rsid w:val="0093370A"/>
    <w:rsid w:val="00935870"/>
    <w:rsid w:val="00935BA4"/>
    <w:rsid w:val="00935D33"/>
    <w:rsid w:val="00936BD2"/>
    <w:rsid w:val="00937A59"/>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E3A"/>
    <w:rsid w:val="009542F7"/>
    <w:rsid w:val="009544BF"/>
    <w:rsid w:val="00954992"/>
    <w:rsid w:val="00954C21"/>
    <w:rsid w:val="00955DC6"/>
    <w:rsid w:val="0095619B"/>
    <w:rsid w:val="00956A06"/>
    <w:rsid w:val="00961136"/>
    <w:rsid w:val="00962D5A"/>
    <w:rsid w:val="009630F7"/>
    <w:rsid w:val="00963598"/>
    <w:rsid w:val="009659CD"/>
    <w:rsid w:val="0096685C"/>
    <w:rsid w:val="00966E46"/>
    <w:rsid w:val="00967FE6"/>
    <w:rsid w:val="009707C2"/>
    <w:rsid w:val="00970B2E"/>
    <w:rsid w:val="0097108B"/>
    <w:rsid w:val="00971A63"/>
    <w:rsid w:val="00972B71"/>
    <w:rsid w:val="00974045"/>
    <w:rsid w:val="009740DC"/>
    <w:rsid w:val="009743C1"/>
    <w:rsid w:val="00974C39"/>
    <w:rsid w:val="00974DE5"/>
    <w:rsid w:val="00974F18"/>
    <w:rsid w:val="00974F5F"/>
    <w:rsid w:val="0097510A"/>
    <w:rsid w:val="00975D97"/>
    <w:rsid w:val="00975EF9"/>
    <w:rsid w:val="009765DB"/>
    <w:rsid w:val="009773C6"/>
    <w:rsid w:val="009773C8"/>
    <w:rsid w:val="009811BB"/>
    <w:rsid w:val="00984C5F"/>
    <w:rsid w:val="00985433"/>
    <w:rsid w:val="0099000D"/>
    <w:rsid w:val="00992C1B"/>
    <w:rsid w:val="00993077"/>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AC5"/>
    <w:rsid w:val="009B4484"/>
    <w:rsid w:val="009B59F1"/>
    <w:rsid w:val="009B7D9D"/>
    <w:rsid w:val="009C047F"/>
    <w:rsid w:val="009C2700"/>
    <w:rsid w:val="009C292F"/>
    <w:rsid w:val="009C2B88"/>
    <w:rsid w:val="009C3F74"/>
    <w:rsid w:val="009C51CB"/>
    <w:rsid w:val="009C6D3B"/>
    <w:rsid w:val="009C6DB3"/>
    <w:rsid w:val="009D09F7"/>
    <w:rsid w:val="009D1EAA"/>
    <w:rsid w:val="009D2856"/>
    <w:rsid w:val="009D38D4"/>
    <w:rsid w:val="009D3992"/>
    <w:rsid w:val="009D471F"/>
    <w:rsid w:val="009D4ABF"/>
    <w:rsid w:val="009D5641"/>
    <w:rsid w:val="009D6C4D"/>
    <w:rsid w:val="009D6DC4"/>
    <w:rsid w:val="009E1C6C"/>
    <w:rsid w:val="009E1D25"/>
    <w:rsid w:val="009E3036"/>
    <w:rsid w:val="009E3CED"/>
    <w:rsid w:val="009E4B1E"/>
    <w:rsid w:val="009E4E14"/>
    <w:rsid w:val="009E4F6A"/>
    <w:rsid w:val="009E59D2"/>
    <w:rsid w:val="009E5DD7"/>
    <w:rsid w:val="009E61D2"/>
    <w:rsid w:val="009E7C3F"/>
    <w:rsid w:val="009F015D"/>
    <w:rsid w:val="009F0505"/>
    <w:rsid w:val="009F071D"/>
    <w:rsid w:val="009F0AC9"/>
    <w:rsid w:val="009F0D0B"/>
    <w:rsid w:val="009F1ECF"/>
    <w:rsid w:val="009F39C8"/>
    <w:rsid w:val="009F3EE3"/>
    <w:rsid w:val="009F5EFB"/>
    <w:rsid w:val="009F67FE"/>
    <w:rsid w:val="009F78F0"/>
    <w:rsid w:val="009F7D5C"/>
    <w:rsid w:val="00A0051E"/>
    <w:rsid w:val="00A00DB1"/>
    <w:rsid w:val="00A02135"/>
    <w:rsid w:val="00A02621"/>
    <w:rsid w:val="00A02976"/>
    <w:rsid w:val="00A02B31"/>
    <w:rsid w:val="00A02D55"/>
    <w:rsid w:val="00A04118"/>
    <w:rsid w:val="00A0427E"/>
    <w:rsid w:val="00A05A52"/>
    <w:rsid w:val="00A07B93"/>
    <w:rsid w:val="00A10456"/>
    <w:rsid w:val="00A1392D"/>
    <w:rsid w:val="00A13D67"/>
    <w:rsid w:val="00A141D4"/>
    <w:rsid w:val="00A1431A"/>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FC8"/>
    <w:rsid w:val="00A36666"/>
    <w:rsid w:val="00A3777B"/>
    <w:rsid w:val="00A3782A"/>
    <w:rsid w:val="00A40370"/>
    <w:rsid w:val="00A41088"/>
    <w:rsid w:val="00A41F7E"/>
    <w:rsid w:val="00A42D00"/>
    <w:rsid w:val="00A42FC9"/>
    <w:rsid w:val="00A4319C"/>
    <w:rsid w:val="00A44458"/>
    <w:rsid w:val="00A445B7"/>
    <w:rsid w:val="00A446C5"/>
    <w:rsid w:val="00A50424"/>
    <w:rsid w:val="00A51DE9"/>
    <w:rsid w:val="00A52110"/>
    <w:rsid w:val="00A5257A"/>
    <w:rsid w:val="00A527CF"/>
    <w:rsid w:val="00A52DB1"/>
    <w:rsid w:val="00A533CB"/>
    <w:rsid w:val="00A5363A"/>
    <w:rsid w:val="00A53ADC"/>
    <w:rsid w:val="00A53C6D"/>
    <w:rsid w:val="00A54380"/>
    <w:rsid w:val="00A54947"/>
    <w:rsid w:val="00A54A40"/>
    <w:rsid w:val="00A551D4"/>
    <w:rsid w:val="00A5584C"/>
    <w:rsid w:val="00A573A9"/>
    <w:rsid w:val="00A57D4E"/>
    <w:rsid w:val="00A61213"/>
    <w:rsid w:val="00A616EF"/>
    <w:rsid w:val="00A62B8C"/>
    <w:rsid w:val="00A63B9A"/>
    <w:rsid w:val="00A63CD1"/>
    <w:rsid w:val="00A63F33"/>
    <w:rsid w:val="00A6503E"/>
    <w:rsid w:val="00A65969"/>
    <w:rsid w:val="00A667E4"/>
    <w:rsid w:val="00A6703B"/>
    <w:rsid w:val="00A67627"/>
    <w:rsid w:val="00A701F6"/>
    <w:rsid w:val="00A7035E"/>
    <w:rsid w:val="00A70748"/>
    <w:rsid w:val="00A70C72"/>
    <w:rsid w:val="00A71CAA"/>
    <w:rsid w:val="00A71F05"/>
    <w:rsid w:val="00A71FCD"/>
    <w:rsid w:val="00A72B79"/>
    <w:rsid w:val="00A72F25"/>
    <w:rsid w:val="00A734A5"/>
    <w:rsid w:val="00A73B91"/>
    <w:rsid w:val="00A73E33"/>
    <w:rsid w:val="00A7439E"/>
    <w:rsid w:val="00A74602"/>
    <w:rsid w:val="00A751DC"/>
    <w:rsid w:val="00A754DD"/>
    <w:rsid w:val="00A7625F"/>
    <w:rsid w:val="00A76648"/>
    <w:rsid w:val="00A81205"/>
    <w:rsid w:val="00A81CC4"/>
    <w:rsid w:val="00A824E5"/>
    <w:rsid w:val="00A8260B"/>
    <w:rsid w:val="00A82D9A"/>
    <w:rsid w:val="00A836BC"/>
    <w:rsid w:val="00A83AB2"/>
    <w:rsid w:val="00A85BAC"/>
    <w:rsid w:val="00A868BE"/>
    <w:rsid w:val="00A873EF"/>
    <w:rsid w:val="00A876D6"/>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1265"/>
    <w:rsid w:val="00AD209D"/>
    <w:rsid w:val="00AD25B9"/>
    <w:rsid w:val="00AD2A06"/>
    <w:rsid w:val="00AD4B0B"/>
    <w:rsid w:val="00AD6CB8"/>
    <w:rsid w:val="00AE00E9"/>
    <w:rsid w:val="00AE151C"/>
    <w:rsid w:val="00AE1BD6"/>
    <w:rsid w:val="00AE1D46"/>
    <w:rsid w:val="00AE236D"/>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498B"/>
    <w:rsid w:val="00AF5A98"/>
    <w:rsid w:val="00AF5EF9"/>
    <w:rsid w:val="00AF6D36"/>
    <w:rsid w:val="00AF75BE"/>
    <w:rsid w:val="00AF79C9"/>
    <w:rsid w:val="00AF7E41"/>
    <w:rsid w:val="00B01407"/>
    <w:rsid w:val="00B0168B"/>
    <w:rsid w:val="00B01BE3"/>
    <w:rsid w:val="00B02A47"/>
    <w:rsid w:val="00B035F8"/>
    <w:rsid w:val="00B036AC"/>
    <w:rsid w:val="00B038D8"/>
    <w:rsid w:val="00B038ED"/>
    <w:rsid w:val="00B052E0"/>
    <w:rsid w:val="00B06AFE"/>
    <w:rsid w:val="00B072BD"/>
    <w:rsid w:val="00B073DE"/>
    <w:rsid w:val="00B1176B"/>
    <w:rsid w:val="00B11D18"/>
    <w:rsid w:val="00B120E8"/>
    <w:rsid w:val="00B127B0"/>
    <w:rsid w:val="00B13407"/>
    <w:rsid w:val="00B13F7B"/>
    <w:rsid w:val="00B14629"/>
    <w:rsid w:val="00B14C42"/>
    <w:rsid w:val="00B151D8"/>
    <w:rsid w:val="00B15C8E"/>
    <w:rsid w:val="00B166DE"/>
    <w:rsid w:val="00B1688A"/>
    <w:rsid w:val="00B16D65"/>
    <w:rsid w:val="00B1780E"/>
    <w:rsid w:val="00B1781D"/>
    <w:rsid w:val="00B21942"/>
    <w:rsid w:val="00B223CB"/>
    <w:rsid w:val="00B2243A"/>
    <w:rsid w:val="00B228FE"/>
    <w:rsid w:val="00B230E1"/>
    <w:rsid w:val="00B23940"/>
    <w:rsid w:val="00B240C6"/>
    <w:rsid w:val="00B245DA"/>
    <w:rsid w:val="00B24E42"/>
    <w:rsid w:val="00B25A51"/>
    <w:rsid w:val="00B25DD3"/>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4FA5"/>
    <w:rsid w:val="00B458AC"/>
    <w:rsid w:val="00B45A2B"/>
    <w:rsid w:val="00B500E9"/>
    <w:rsid w:val="00B50F4A"/>
    <w:rsid w:val="00B51B73"/>
    <w:rsid w:val="00B52542"/>
    <w:rsid w:val="00B5261E"/>
    <w:rsid w:val="00B5299E"/>
    <w:rsid w:val="00B53074"/>
    <w:rsid w:val="00B554D4"/>
    <w:rsid w:val="00B5729E"/>
    <w:rsid w:val="00B605F7"/>
    <w:rsid w:val="00B60E59"/>
    <w:rsid w:val="00B60EF2"/>
    <w:rsid w:val="00B6105C"/>
    <w:rsid w:val="00B617FF"/>
    <w:rsid w:val="00B61FFB"/>
    <w:rsid w:val="00B627A5"/>
    <w:rsid w:val="00B6501B"/>
    <w:rsid w:val="00B67D0C"/>
    <w:rsid w:val="00B7091C"/>
    <w:rsid w:val="00B70ACC"/>
    <w:rsid w:val="00B72011"/>
    <w:rsid w:val="00B72356"/>
    <w:rsid w:val="00B7236D"/>
    <w:rsid w:val="00B7488E"/>
    <w:rsid w:val="00B74D31"/>
    <w:rsid w:val="00B74F6E"/>
    <w:rsid w:val="00B751A1"/>
    <w:rsid w:val="00B760B4"/>
    <w:rsid w:val="00B76747"/>
    <w:rsid w:val="00B778BE"/>
    <w:rsid w:val="00B77949"/>
    <w:rsid w:val="00B80FBA"/>
    <w:rsid w:val="00B81584"/>
    <w:rsid w:val="00B815D5"/>
    <w:rsid w:val="00B82862"/>
    <w:rsid w:val="00B8286B"/>
    <w:rsid w:val="00B839CD"/>
    <w:rsid w:val="00B83DEE"/>
    <w:rsid w:val="00B83F17"/>
    <w:rsid w:val="00B84CE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DE6"/>
    <w:rsid w:val="00BA1EBC"/>
    <w:rsid w:val="00BA328A"/>
    <w:rsid w:val="00BA374C"/>
    <w:rsid w:val="00BA40B3"/>
    <w:rsid w:val="00BA4161"/>
    <w:rsid w:val="00BA465A"/>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52C9"/>
    <w:rsid w:val="00BC5ABD"/>
    <w:rsid w:val="00BC6BDA"/>
    <w:rsid w:val="00BC6DAD"/>
    <w:rsid w:val="00BD10C8"/>
    <w:rsid w:val="00BD16E8"/>
    <w:rsid w:val="00BD255E"/>
    <w:rsid w:val="00BD2C6A"/>
    <w:rsid w:val="00BD2E63"/>
    <w:rsid w:val="00BD3890"/>
    <w:rsid w:val="00BD79EA"/>
    <w:rsid w:val="00BD7AC5"/>
    <w:rsid w:val="00BD7F4D"/>
    <w:rsid w:val="00BE0E84"/>
    <w:rsid w:val="00BE1420"/>
    <w:rsid w:val="00BE1586"/>
    <w:rsid w:val="00BE19B8"/>
    <w:rsid w:val="00BE28AF"/>
    <w:rsid w:val="00BE2B7F"/>
    <w:rsid w:val="00BE2C75"/>
    <w:rsid w:val="00BE369D"/>
    <w:rsid w:val="00BE3AF2"/>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BF636C"/>
    <w:rsid w:val="00C00F72"/>
    <w:rsid w:val="00C01D3E"/>
    <w:rsid w:val="00C01DDE"/>
    <w:rsid w:val="00C03FFD"/>
    <w:rsid w:val="00C04D10"/>
    <w:rsid w:val="00C05116"/>
    <w:rsid w:val="00C0606C"/>
    <w:rsid w:val="00C0696D"/>
    <w:rsid w:val="00C1086B"/>
    <w:rsid w:val="00C11413"/>
    <w:rsid w:val="00C134EC"/>
    <w:rsid w:val="00C141C9"/>
    <w:rsid w:val="00C14BB6"/>
    <w:rsid w:val="00C15084"/>
    <w:rsid w:val="00C15940"/>
    <w:rsid w:val="00C15BA8"/>
    <w:rsid w:val="00C15CD4"/>
    <w:rsid w:val="00C203D4"/>
    <w:rsid w:val="00C210BB"/>
    <w:rsid w:val="00C21794"/>
    <w:rsid w:val="00C21E75"/>
    <w:rsid w:val="00C22D7A"/>
    <w:rsid w:val="00C23465"/>
    <w:rsid w:val="00C23AEC"/>
    <w:rsid w:val="00C23D65"/>
    <w:rsid w:val="00C24009"/>
    <w:rsid w:val="00C25FD4"/>
    <w:rsid w:val="00C26C41"/>
    <w:rsid w:val="00C26CA2"/>
    <w:rsid w:val="00C271DB"/>
    <w:rsid w:val="00C30062"/>
    <w:rsid w:val="00C31072"/>
    <w:rsid w:val="00C3162E"/>
    <w:rsid w:val="00C32603"/>
    <w:rsid w:val="00C32D21"/>
    <w:rsid w:val="00C330BA"/>
    <w:rsid w:val="00C3343D"/>
    <w:rsid w:val="00C3459C"/>
    <w:rsid w:val="00C35711"/>
    <w:rsid w:val="00C36C10"/>
    <w:rsid w:val="00C37F61"/>
    <w:rsid w:val="00C410D1"/>
    <w:rsid w:val="00C4121D"/>
    <w:rsid w:val="00C46465"/>
    <w:rsid w:val="00C4672B"/>
    <w:rsid w:val="00C468E9"/>
    <w:rsid w:val="00C4747B"/>
    <w:rsid w:val="00C50971"/>
    <w:rsid w:val="00C518BE"/>
    <w:rsid w:val="00C525C7"/>
    <w:rsid w:val="00C52BC8"/>
    <w:rsid w:val="00C52E2C"/>
    <w:rsid w:val="00C5328E"/>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F8A"/>
    <w:rsid w:val="00C704C0"/>
    <w:rsid w:val="00C70B92"/>
    <w:rsid w:val="00C70F8D"/>
    <w:rsid w:val="00C721A7"/>
    <w:rsid w:val="00C7227F"/>
    <w:rsid w:val="00C7284E"/>
    <w:rsid w:val="00C7417D"/>
    <w:rsid w:val="00C7417F"/>
    <w:rsid w:val="00C74DF9"/>
    <w:rsid w:val="00C76859"/>
    <w:rsid w:val="00C76938"/>
    <w:rsid w:val="00C76C16"/>
    <w:rsid w:val="00C80F89"/>
    <w:rsid w:val="00C81134"/>
    <w:rsid w:val="00C813DE"/>
    <w:rsid w:val="00C81F2E"/>
    <w:rsid w:val="00C820C0"/>
    <w:rsid w:val="00C82523"/>
    <w:rsid w:val="00C83623"/>
    <w:rsid w:val="00C836D5"/>
    <w:rsid w:val="00C842A2"/>
    <w:rsid w:val="00C850E2"/>
    <w:rsid w:val="00C86BA3"/>
    <w:rsid w:val="00C92255"/>
    <w:rsid w:val="00C93A92"/>
    <w:rsid w:val="00C93C59"/>
    <w:rsid w:val="00C94C58"/>
    <w:rsid w:val="00C95C76"/>
    <w:rsid w:val="00C9706D"/>
    <w:rsid w:val="00C9765D"/>
    <w:rsid w:val="00CA011C"/>
    <w:rsid w:val="00CA1CD7"/>
    <w:rsid w:val="00CA2250"/>
    <w:rsid w:val="00CA34C2"/>
    <w:rsid w:val="00CA3920"/>
    <w:rsid w:val="00CA42E3"/>
    <w:rsid w:val="00CA4517"/>
    <w:rsid w:val="00CA46AB"/>
    <w:rsid w:val="00CA58F5"/>
    <w:rsid w:val="00CA6417"/>
    <w:rsid w:val="00CA66B6"/>
    <w:rsid w:val="00CA66C7"/>
    <w:rsid w:val="00CA7BAE"/>
    <w:rsid w:val="00CB01EE"/>
    <w:rsid w:val="00CB0364"/>
    <w:rsid w:val="00CB0980"/>
    <w:rsid w:val="00CB1C0A"/>
    <w:rsid w:val="00CB1DF7"/>
    <w:rsid w:val="00CB21EF"/>
    <w:rsid w:val="00CB297C"/>
    <w:rsid w:val="00CB3948"/>
    <w:rsid w:val="00CB4B18"/>
    <w:rsid w:val="00CB4C95"/>
    <w:rsid w:val="00CB6C76"/>
    <w:rsid w:val="00CB6EC8"/>
    <w:rsid w:val="00CB7D30"/>
    <w:rsid w:val="00CC05D4"/>
    <w:rsid w:val="00CC2B9D"/>
    <w:rsid w:val="00CC494D"/>
    <w:rsid w:val="00CC4DE8"/>
    <w:rsid w:val="00CC5012"/>
    <w:rsid w:val="00CC54C1"/>
    <w:rsid w:val="00CC5A0C"/>
    <w:rsid w:val="00CD0E49"/>
    <w:rsid w:val="00CD1356"/>
    <w:rsid w:val="00CD1510"/>
    <w:rsid w:val="00CD1698"/>
    <w:rsid w:val="00CD23CE"/>
    <w:rsid w:val="00CD25EE"/>
    <w:rsid w:val="00CD2DE7"/>
    <w:rsid w:val="00CD2E25"/>
    <w:rsid w:val="00CD3679"/>
    <w:rsid w:val="00CD3D4A"/>
    <w:rsid w:val="00CD4DEF"/>
    <w:rsid w:val="00CD51E0"/>
    <w:rsid w:val="00CD5C1C"/>
    <w:rsid w:val="00CD71C8"/>
    <w:rsid w:val="00CD743F"/>
    <w:rsid w:val="00CE1191"/>
    <w:rsid w:val="00CE177A"/>
    <w:rsid w:val="00CE213F"/>
    <w:rsid w:val="00CE2279"/>
    <w:rsid w:val="00CE2B79"/>
    <w:rsid w:val="00CE2C00"/>
    <w:rsid w:val="00CE2D60"/>
    <w:rsid w:val="00CE3C9A"/>
    <w:rsid w:val="00CE408D"/>
    <w:rsid w:val="00CE4480"/>
    <w:rsid w:val="00CE4BD0"/>
    <w:rsid w:val="00CE4CD5"/>
    <w:rsid w:val="00CE6381"/>
    <w:rsid w:val="00CE6650"/>
    <w:rsid w:val="00CE6AC0"/>
    <w:rsid w:val="00CF0663"/>
    <w:rsid w:val="00CF1CEF"/>
    <w:rsid w:val="00CF245C"/>
    <w:rsid w:val="00CF2659"/>
    <w:rsid w:val="00CF350E"/>
    <w:rsid w:val="00CF3F70"/>
    <w:rsid w:val="00CF5166"/>
    <w:rsid w:val="00CF69AC"/>
    <w:rsid w:val="00CF723C"/>
    <w:rsid w:val="00CF7693"/>
    <w:rsid w:val="00D016CA"/>
    <w:rsid w:val="00D017BE"/>
    <w:rsid w:val="00D01B03"/>
    <w:rsid w:val="00D02F9C"/>
    <w:rsid w:val="00D031D0"/>
    <w:rsid w:val="00D035A9"/>
    <w:rsid w:val="00D03D6B"/>
    <w:rsid w:val="00D03F28"/>
    <w:rsid w:val="00D04082"/>
    <w:rsid w:val="00D047F3"/>
    <w:rsid w:val="00D04B61"/>
    <w:rsid w:val="00D063A9"/>
    <w:rsid w:val="00D07096"/>
    <w:rsid w:val="00D11C81"/>
    <w:rsid w:val="00D1208F"/>
    <w:rsid w:val="00D133EA"/>
    <w:rsid w:val="00D20B0D"/>
    <w:rsid w:val="00D21E42"/>
    <w:rsid w:val="00D22FAE"/>
    <w:rsid w:val="00D23EA0"/>
    <w:rsid w:val="00D24132"/>
    <w:rsid w:val="00D24153"/>
    <w:rsid w:val="00D24548"/>
    <w:rsid w:val="00D26276"/>
    <w:rsid w:val="00D26E98"/>
    <w:rsid w:val="00D27718"/>
    <w:rsid w:val="00D30081"/>
    <w:rsid w:val="00D30C4A"/>
    <w:rsid w:val="00D3167A"/>
    <w:rsid w:val="00D31AC2"/>
    <w:rsid w:val="00D31AEF"/>
    <w:rsid w:val="00D343B2"/>
    <w:rsid w:val="00D3532B"/>
    <w:rsid w:val="00D357CA"/>
    <w:rsid w:val="00D35DA5"/>
    <w:rsid w:val="00D376C1"/>
    <w:rsid w:val="00D404BE"/>
    <w:rsid w:val="00D40D8E"/>
    <w:rsid w:val="00D41B5E"/>
    <w:rsid w:val="00D41E2F"/>
    <w:rsid w:val="00D42672"/>
    <w:rsid w:val="00D4269F"/>
    <w:rsid w:val="00D42D09"/>
    <w:rsid w:val="00D4301D"/>
    <w:rsid w:val="00D4450E"/>
    <w:rsid w:val="00D44ACB"/>
    <w:rsid w:val="00D4539C"/>
    <w:rsid w:val="00D457F1"/>
    <w:rsid w:val="00D45CE3"/>
    <w:rsid w:val="00D46DD9"/>
    <w:rsid w:val="00D47A43"/>
    <w:rsid w:val="00D47FA2"/>
    <w:rsid w:val="00D504AF"/>
    <w:rsid w:val="00D51A4F"/>
    <w:rsid w:val="00D52684"/>
    <w:rsid w:val="00D53FF7"/>
    <w:rsid w:val="00D546F4"/>
    <w:rsid w:val="00D54A7A"/>
    <w:rsid w:val="00D553ED"/>
    <w:rsid w:val="00D5549E"/>
    <w:rsid w:val="00D56886"/>
    <w:rsid w:val="00D57009"/>
    <w:rsid w:val="00D60528"/>
    <w:rsid w:val="00D6182B"/>
    <w:rsid w:val="00D61F19"/>
    <w:rsid w:val="00D62452"/>
    <w:rsid w:val="00D62555"/>
    <w:rsid w:val="00D65A38"/>
    <w:rsid w:val="00D65FAC"/>
    <w:rsid w:val="00D66D19"/>
    <w:rsid w:val="00D67892"/>
    <w:rsid w:val="00D71451"/>
    <w:rsid w:val="00D71790"/>
    <w:rsid w:val="00D72441"/>
    <w:rsid w:val="00D72ADC"/>
    <w:rsid w:val="00D72BA6"/>
    <w:rsid w:val="00D7397C"/>
    <w:rsid w:val="00D73F66"/>
    <w:rsid w:val="00D74B2C"/>
    <w:rsid w:val="00D753F1"/>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31D7"/>
    <w:rsid w:val="00D93AEB"/>
    <w:rsid w:val="00D951D2"/>
    <w:rsid w:val="00D9781D"/>
    <w:rsid w:val="00D97CCD"/>
    <w:rsid w:val="00D97D0F"/>
    <w:rsid w:val="00DA11D1"/>
    <w:rsid w:val="00DA14A8"/>
    <w:rsid w:val="00DA23DC"/>
    <w:rsid w:val="00DA3DE4"/>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C0027"/>
    <w:rsid w:val="00DC046E"/>
    <w:rsid w:val="00DC0616"/>
    <w:rsid w:val="00DC0727"/>
    <w:rsid w:val="00DC09A6"/>
    <w:rsid w:val="00DC0B7E"/>
    <w:rsid w:val="00DC1A0D"/>
    <w:rsid w:val="00DC43E3"/>
    <w:rsid w:val="00DC4563"/>
    <w:rsid w:val="00DC4906"/>
    <w:rsid w:val="00DC52F6"/>
    <w:rsid w:val="00DC644A"/>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C1B"/>
    <w:rsid w:val="00DE1D2C"/>
    <w:rsid w:val="00DE2B6B"/>
    <w:rsid w:val="00DE2DFD"/>
    <w:rsid w:val="00DE3370"/>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0995"/>
    <w:rsid w:val="00E0206F"/>
    <w:rsid w:val="00E02269"/>
    <w:rsid w:val="00E029D5"/>
    <w:rsid w:val="00E03577"/>
    <w:rsid w:val="00E0378B"/>
    <w:rsid w:val="00E03F23"/>
    <w:rsid w:val="00E0404D"/>
    <w:rsid w:val="00E0456C"/>
    <w:rsid w:val="00E05628"/>
    <w:rsid w:val="00E06A26"/>
    <w:rsid w:val="00E06AD6"/>
    <w:rsid w:val="00E07AAE"/>
    <w:rsid w:val="00E07E09"/>
    <w:rsid w:val="00E105B8"/>
    <w:rsid w:val="00E118B9"/>
    <w:rsid w:val="00E1233C"/>
    <w:rsid w:val="00E1257B"/>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400BB"/>
    <w:rsid w:val="00E40516"/>
    <w:rsid w:val="00E405F5"/>
    <w:rsid w:val="00E4083F"/>
    <w:rsid w:val="00E40CC0"/>
    <w:rsid w:val="00E41521"/>
    <w:rsid w:val="00E4185A"/>
    <w:rsid w:val="00E42B00"/>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CAE"/>
    <w:rsid w:val="00E617C1"/>
    <w:rsid w:val="00E61935"/>
    <w:rsid w:val="00E61ABB"/>
    <w:rsid w:val="00E62B4D"/>
    <w:rsid w:val="00E62EB1"/>
    <w:rsid w:val="00E6358A"/>
    <w:rsid w:val="00E63CB4"/>
    <w:rsid w:val="00E64173"/>
    <w:rsid w:val="00E6495B"/>
    <w:rsid w:val="00E65B05"/>
    <w:rsid w:val="00E66266"/>
    <w:rsid w:val="00E666FB"/>
    <w:rsid w:val="00E6695E"/>
    <w:rsid w:val="00E66A42"/>
    <w:rsid w:val="00E66C0C"/>
    <w:rsid w:val="00E70D51"/>
    <w:rsid w:val="00E71289"/>
    <w:rsid w:val="00E71B13"/>
    <w:rsid w:val="00E71DC2"/>
    <w:rsid w:val="00E72564"/>
    <w:rsid w:val="00E73425"/>
    <w:rsid w:val="00E74359"/>
    <w:rsid w:val="00E77E0E"/>
    <w:rsid w:val="00E77E98"/>
    <w:rsid w:val="00E8076F"/>
    <w:rsid w:val="00E812AC"/>
    <w:rsid w:val="00E821D7"/>
    <w:rsid w:val="00E8274E"/>
    <w:rsid w:val="00E84C88"/>
    <w:rsid w:val="00E87406"/>
    <w:rsid w:val="00E87A9C"/>
    <w:rsid w:val="00E87B7D"/>
    <w:rsid w:val="00E87EAD"/>
    <w:rsid w:val="00E9045F"/>
    <w:rsid w:val="00E920C5"/>
    <w:rsid w:val="00E934A6"/>
    <w:rsid w:val="00E958C4"/>
    <w:rsid w:val="00E97011"/>
    <w:rsid w:val="00E97303"/>
    <w:rsid w:val="00E973E3"/>
    <w:rsid w:val="00E978B5"/>
    <w:rsid w:val="00E97D98"/>
    <w:rsid w:val="00EA0048"/>
    <w:rsid w:val="00EA0096"/>
    <w:rsid w:val="00EA0692"/>
    <w:rsid w:val="00EA1466"/>
    <w:rsid w:val="00EA2696"/>
    <w:rsid w:val="00EA3363"/>
    <w:rsid w:val="00EA34B8"/>
    <w:rsid w:val="00EA3E7A"/>
    <w:rsid w:val="00EA3FD8"/>
    <w:rsid w:val="00EA4330"/>
    <w:rsid w:val="00EA5BC8"/>
    <w:rsid w:val="00EA5EB5"/>
    <w:rsid w:val="00EA5EFF"/>
    <w:rsid w:val="00EA74CD"/>
    <w:rsid w:val="00EB196C"/>
    <w:rsid w:val="00EB2541"/>
    <w:rsid w:val="00EB2A4D"/>
    <w:rsid w:val="00EB349C"/>
    <w:rsid w:val="00EB4CA7"/>
    <w:rsid w:val="00EB574C"/>
    <w:rsid w:val="00EB5D91"/>
    <w:rsid w:val="00EB73AE"/>
    <w:rsid w:val="00EB7DB2"/>
    <w:rsid w:val="00EC014C"/>
    <w:rsid w:val="00EC07AC"/>
    <w:rsid w:val="00EC102A"/>
    <w:rsid w:val="00EC1F02"/>
    <w:rsid w:val="00EC2129"/>
    <w:rsid w:val="00EC24FD"/>
    <w:rsid w:val="00EC2961"/>
    <w:rsid w:val="00EC34DF"/>
    <w:rsid w:val="00EC4BDE"/>
    <w:rsid w:val="00EC4DB9"/>
    <w:rsid w:val="00EC57DE"/>
    <w:rsid w:val="00EC66F2"/>
    <w:rsid w:val="00EC6FA5"/>
    <w:rsid w:val="00EC7A06"/>
    <w:rsid w:val="00EC7B7C"/>
    <w:rsid w:val="00ED12BE"/>
    <w:rsid w:val="00ED1D39"/>
    <w:rsid w:val="00ED3597"/>
    <w:rsid w:val="00ED485F"/>
    <w:rsid w:val="00ED5598"/>
    <w:rsid w:val="00ED5AF8"/>
    <w:rsid w:val="00ED5EA1"/>
    <w:rsid w:val="00ED67F8"/>
    <w:rsid w:val="00ED6985"/>
    <w:rsid w:val="00ED6B1B"/>
    <w:rsid w:val="00EE02CF"/>
    <w:rsid w:val="00EE0AAC"/>
    <w:rsid w:val="00EE11DA"/>
    <w:rsid w:val="00EE15B3"/>
    <w:rsid w:val="00EE1BC5"/>
    <w:rsid w:val="00EE2345"/>
    <w:rsid w:val="00EE2436"/>
    <w:rsid w:val="00EE2B66"/>
    <w:rsid w:val="00EE2E28"/>
    <w:rsid w:val="00EE417F"/>
    <w:rsid w:val="00EE470A"/>
    <w:rsid w:val="00EE47E7"/>
    <w:rsid w:val="00EE564A"/>
    <w:rsid w:val="00EE58BF"/>
    <w:rsid w:val="00EE6BDC"/>
    <w:rsid w:val="00EE6FB7"/>
    <w:rsid w:val="00EF132F"/>
    <w:rsid w:val="00EF1652"/>
    <w:rsid w:val="00EF1C0D"/>
    <w:rsid w:val="00EF24DD"/>
    <w:rsid w:val="00EF2C0A"/>
    <w:rsid w:val="00EF367C"/>
    <w:rsid w:val="00EF3763"/>
    <w:rsid w:val="00EF3B41"/>
    <w:rsid w:val="00EF4FD1"/>
    <w:rsid w:val="00EF5884"/>
    <w:rsid w:val="00EF5A30"/>
    <w:rsid w:val="00EF636C"/>
    <w:rsid w:val="00EF66E3"/>
    <w:rsid w:val="00EF7AD1"/>
    <w:rsid w:val="00F00CDD"/>
    <w:rsid w:val="00F00E12"/>
    <w:rsid w:val="00F012B1"/>
    <w:rsid w:val="00F01C3C"/>
    <w:rsid w:val="00F0291D"/>
    <w:rsid w:val="00F029D8"/>
    <w:rsid w:val="00F02B44"/>
    <w:rsid w:val="00F04857"/>
    <w:rsid w:val="00F04D5D"/>
    <w:rsid w:val="00F067C2"/>
    <w:rsid w:val="00F0706C"/>
    <w:rsid w:val="00F07277"/>
    <w:rsid w:val="00F10673"/>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4C98"/>
    <w:rsid w:val="00F356A6"/>
    <w:rsid w:val="00F35DF9"/>
    <w:rsid w:val="00F35F9A"/>
    <w:rsid w:val="00F3693E"/>
    <w:rsid w:val="00F36A29"/>
    <w:rsid w:val="00F40CF0"/>
    <w:rsid w:val="00F41F7F"/>
    <w:rsid w:val="00F42046"/>
    <w:rsid w:val="00F420EB"/>
    <w:rsid w:val="00F456DC"/>
    <w:rsid w:val="00F50E37"/>
    <w:rsid w:val="00F512E8"/>
    <w:rsid w:val="00F5182F"/>
    <w:rsid w:val="00F521A6"/>
    <w:rsid w:val="00F52B84"/>
    <w:rsid w:val="00F531FC"/>
    <w:rsid w:val="00F54A4A"/>
    <w:rsid w:val="00F56637"/>
    <w:rsid w:val="00F56EAB"/>
    <w:rsid w:val="00F572B5"/>
    <w:rsid w:val="00F572B7"/>
    <w:rsid w:val="00F5753F"/>
    <w:rsid w:val="00F57559"/>
    <w:rsid w:val="00F57922"/>
    <w:rsid w:val="00F60AAC"/>
    <w:rsid w:val="00F60D93"/>
    <w:rsid w:val="00F60F99"/>
    <w:rsid w:val="00F616F6"/>
    <w:rsid w:val="00F617D9"/>
    <w:rsid w:val="00F62A9B"/>
    <w:rsid w:val="00F640BE"/>
    <w:rsid w:val="00F64156"/>
    <w:rsid w:val="00F6431A"/>
    <w:rsid w:val="00F64B7F"/>
    <w:rsid w:val="00F65A09"/>
    <w:rsid w:val="00F65FBE"/>
    <w:rsid w:val="00F66FEC"/>
    <w:rsid w:val="00F679DA"/>
    <w:rsid w:val="00F70979"/>
    <w:rsid w:val="00F70FCE"/>
    <w:rsid w:val="00F71B43"/>
    <w:rsid w:val="00F71F72"/>
    <w:rsid w:val="00F757F2"/>
    <w:rsid w:val="00F76037"/>
    <w:rsid w:val="00F7637F"/>
    <w:rsid w:val="00F766DA"/>
    <w:rsid w:val="00F77335"/>
    <w:rsid w:val="00F77B22"/>
    <w:rsid w:val="00F77BA2"/>
    <w:rsid w:val="00F8053B"/>
    <w:rsid w:val="00F81F7D"/>
    <w:rsid w:val="00F83154"/>
    <w:rsid w:val="00F83CF1"/>
    <w:rsid w:val="00F84107"/>
    <w:rsid w:val="00F858C6"/>
    <w:rsid w:val="00F87A0D"/>
    <w:rsid w:val="00F91EDD"/>
    <w:rsid w:val="00F91FD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4B2"/>
    <w:rsid w:val="00FA57ED"/>
    <w:rsid w:val="00FA5985"/>
    <w:rsid w:val="00FA6A77"/>
    <w:rsid w:val="00FB03BD"/>
    <w:rsid w:val="00FB11A0"/>
    <w:rsid w:val="00FB1964"/>
    <w:rsid w:val="00FB265B"/>
    <w:rsid w:val="00FB335F"/>
    <w:rsid w:val="00FB3FE6"/>
    <w:rsid w:val="00FB4C94"/>
    <w:rsid w:val="00FB596C"/>
    <w:rsid w:val="00FB5CF8"/>
    <w:rsid w:val="00FB6248"/>
    <w:rsid w:val="00FB6BE5"/>
    <w:rsid w:val="00FC044C"/>
    <w:rsid w:val="00FC0A4B"/>
    <w:rsid w:val="00FC3188"/>
    <w:rsid w:val="00FC4494"/>
    <w:rsid w:val="00FC4AFC"/>
    <w:rsid w:val="00FD0974"/>
    <w:rsid w:val="00FD188A"/>
    <w:rsid w:val="00FD1905"/>
    <w:rsid w:val="00FD1C7E"/>
    <w:rsid w:val="00FD1D32"/>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6E95"/>
    <w:rsid w:val="00FF7591"/>
    <w:rsid w:val="00FF7858"/>
    <w:rsid w:val="013523E1"/>
    <w:rsid w:val="013A1130"/>
    <w:rsid w:val="01474512"/>
    <w:rsid w:val="01B53780"/>
    <w:rsid w:val="01F07B20"/>
    <w:rsid w:val="01F91399"/>
    <w:rsid w:val="020672D6"/>
    <w:rsid w:val="02236824"/>
    <w:rsid w:val="028426B0"/>
    <w:rsid w:val="02964F82"/>
    <w:rsid w:val="029B4D40"/>
    <w:rsid w:val="02ED00BC"/>
    <w:rsid w:val="031B2597"/>
    <w:rsid w:val="03AB679F"/>
    <w:rsid w:val="03AE5239"/>
    <w:rsid w:val="03D012A8"/>
    <w:rsid w:val="0415192E"/>
    <w:rsid w:val="0476464C"/>
    <w:rsid w:val="04B92689"/>
    <w:rsid w:val="04BF387D"/>
    <w:rsid w:val="04F92F58"/>
    <w:rsid w:val="05007660"/>
    <w:rsid w:val="051143B9"/>
    <w:rsid w:val="052F1D41"/>
    <w:rsid w:val="0567065D"/>
    <w:rsid w:val="057D35B7"/>
    <w:rsid w:val="059B3AAE"/>
    <w:rsid w:val="05BA60D8"/>
    <w:rsid w:val="05C86530"/>
    <w:rsid w:val="06116CA1"/>
    <w:rsid w:val="06177C16"/>
    <w:rsid w:val="062B4BF2"/>
    <w:rsid w:val="0686670B"/>
    <w:rsid w:val="0692135E"/>
    <w:rsid w:val="06984505"/>
    <w:rsid w:val="06B80D45"/>
    <w:rsid w:val="06C115D0"/>
    <w:rsid w:val="072926EF"/>
    <w:rsid w:val="076013E0"/>
    <w:rsid w:val="0767136B"/>
    <w:rsid w:val="077F6C1A"/>
    <w:rsid w:val="07B82FA2"/>
    <w:rsid w:val="07DE1529"/>
    <w:rsid w:val="07EF2A88"/>
    <w:rsid w:val="07F54BC0"/>
    <w:rsid w:val="082008CE"/>
    <w:rsid w:val="0846747A"/>
    <w:rsid w:val="084E3529"/>
    <w:rsid w:val="08732BE6"/>
    <w:rsid w:val="08A24E62"/>
    <w:rsid w:val="08D66D78"/>
    <w:rsid w:val="08F16F10"/>
    <w:rsid w:val="095A700E"/>
    <w:rsid w:val="096B180A"/>
    <w:rsid w:val="09705438"/>
    <w:rsid w:val="097D40C4"/>
    <w:rsid w:val="09933D81"/>
    <w:rsid w:val="09A815EF"/>
    <w:rsid w:val="09BF0A5F"/>
    <w:rsid w:val="09C523E0"/>
    <w:rsid w:val="09DB1B09"/>
    <w:rsid w:val="09E7370B"/>
    <w:rsid w:val="09FF14CE"/>
    <w:rsid w:val="0A800311"/>
    <w:rsid w:val="0A970165"/>
    <w:rsid w:val="0AD71911"/>
    <w:rsid w:val="0B403159"/>
    <w:rsid w:val="0B6D3222"/>
    <w:rsid w:val="0BB4594B"/>
    <w:rsid w:val="0BCF050F"/>
    <w:rsid w:val="0BCF716F"/>
    <w:rsid w:val="0C25444D"/>
    <w:rsid w:val="0C3F5435"/>
    <w:rsid w:val="0D0A5D09"/>
    <w:rsid w:val="0D2D5EFE"/>
    <w:rsid w:val="0D533931"/>
    <w:rsid w:val="0D754567"/>
    <w:rsid w:val="0D8060B5"/>
    <w:rsid w:val="0DB17B67"/>
    <w:rsid w:val="0DC8005E"/>
    <w:rsid w:val="0DD52B96"/>
    <w:rsid w:val="0DFE788A"/>
    <w:rsid w:val="0E016D64"/>
    <w:rsid w:val="0E0A7653"/>
    <w:rsid w:val="0E3B5C34"/>
    <w:rsid w:val="0E7526B5"/>
    <w:rsid w:val="0EF4162B"/>
    <w:rsid w:val="0F3F6B10"/>
    <w:rsid w:val="0F5B2904"/>
    <w:rsid w:val="0FC841B7"/>
    <w:rsid w:val="0FD0315A"/>
    <w:rsid w:val="0FD55ECC"/>
    <w:rsid w:val="0FFB498F"/>
    <w:rsid w:val="102528B5"/>
    <w:rsid w:val="10435247"/>
    <w:rsid w:val="10817ED7"/>
    <w:rsid w:val="10A747F6"/>
    <w:rsid w:val="10CD52E1"/>
    <w:rsid w:val="11647498"/>
    <w:rsid w:val="11C306B8"/>
    <w:rsid w:val="11D3202B"/>
    <w:rsid w:val="11F27FAE"/>
    <w:rsid w:val="12061439"/>
    <w:rsid w:val="12143234"/>
    <w:rsid w:val="125E6002"/>
    <w:rsid w:val="12CC0B5C"/>
    <w:rsid w:val="12F05378"/>
    <w:rsid w:val="130A06A1"/>
    <w:rsid w:val="131E1190"/>
    <w:rsid w:val="132C75E5"/>
    <w:rsid w:val="133C352E"/>
    <w:rsid w:val="133F5BBD"/>
    <w:rsid w:val="137A4ABE"/>
    <w:rsid w:val="14267F53"/>
    <w:rsid w:val="14733CF2"/>
    <w:rsid w:val="14B91533"/>
    <w:rsid w:val="14D319D0"/>
    <w:rsid w:val="14D64844"/>
    <w:rsid w:val="14DB3B34"/>
    <w:rsid w:val="14DF58AF"/>
    <w:rsid w:val="15894C5D"/>
    <w:rsid w:val="159D60AA"/>
    <w:rsid w:val="160E074B"/>
    <w:rsid w:val="161533F4"/>
    <w:rsid w:val="161C19E1"/>
    <w:rsid w:val="16455480"/>
    <w:rsid w:val="166951DF"/>
    <w:rsid w:val="1679332F"/>
    <w:rsid w:val="168A7548"/>
    <w:rsid w:val="168E35F3"/>
    <w:rsid w:val="16D704B9"/>
    <w:rsid w:val="170C0021"/>
    <w:rsid w:val="178072CB"/>
    <w:rsid w:val="17C5097C"/>
    <w:rsid w:val="17C93E35"/>
    <w:rsid w:val="17CD7F2C"/>
    <w:rsid w:val="17FA67DF"/>
    <w:rsid w:val="181C41BC"/>
    <w:rsid w:val="185460E9"/>
    <w:rsid w:val="187674A9"/>
    <w:rsid w:val="18AC3253"/>
    <w:rsid w:val="18C01770"/>
    <w:rsid w:val="193F5D6F"/>
    <w:rsid w:val="194444AB"/>
    <w:rsid w:val="19503D2D"/>
    <w:rsid w:val="195E1359"/>
    <w:rsid w:val="19B74E9C"/>
    <w:rsid w:val="1A017D96"/>
    <w:rsid w:val="1A060D37"/>
    <w:rsid w:val="1A4C04ED"/>
    <w:rsid w:val="1A4D7C55"/>
    <w:rsid w:val="1A5D6BD9"/>
    <w:rsid w:val="1A5D7E51"/>
    <w:rsid w:val="1A673A51"/>
    <w:rsid w:val="1A7F68A4"/>
    <w:rsid w:val="1AA33CBC"/>
    <w:rsid w:val="1AE44FE0"/>
    <w:rsid w:val="1AF95386"/>
    <w:rsid w:val="1AFC4F19"/>
    <w:rsid w:val="1B2E373A"/>
    <w:rsid w:val="1B30632B"/>
    <w:rsid w:val="1B3D3845"/>
    <w:rsid w:val="1B536D2A"/>
    <w:rsid w:val="1B723B7D"/>
    <w:rsid w:val="1BC07DB7"/>
    <w:rsid w:val="1BDD49C8"/>
    <w:rsid w:val="1BE95AA6"/>
    <w:rsid w:val="1C4C5C0F"/>
    <w:rsid w:val="1C5814A8"/>
    <w:rsid w:val="1C63343D"/>
    <w:rsid w:val="1CA21993"/>
    <w:rsid w:val="1CC801BF"/>
    <w:rsid w:val="1D256CDA"/>
    <w:rsid w:val="1D49300A"/>
    <w:rsid w:val="1D5A0561"/>
    <w:rsid w:val="1D6C20DF"/>
    <w:rsid w:val="1E305F75"/>
    <w:rsid w:val="1E491587"/>
    <w:rsid w:val="1E9F34D0"/>
    <w:rsid w:val="1EA32E73"/>
    <w:rsid w:val="1EA80A09"/>
    <w:rsid w:val="1EBF464D"/>
    <w:rsid w:val="1EC16D2C"/>
    <w:rsid w:val="1EC835CB"/>
    <w:rsid w:val="1EFB142E"/>
    <w:rsid w:val="1F1923C9"/>
    <w:rsid w:val="1F2C7FBC"/>
    <w:rsid w:val="1FF76471"/>
    <w:rsid w:val="201574A1"/>
    <w:rsid w:val="20183540"/>
    <w:rsid w:val="203E157B"/>
    <w:rsid w:val="206D06C6"/>
    <w:rsid w:val="20822DE8"/>
    <w:rsid w:val="20857D58"/>
    <w:rsid w:val="20877D25"/>
    <w:rsid w:val="208C000E"/>
    <w:rsid w:val="20B67DCC"/>
    <w:rsid w:val="20CB5CFA"/>
    <w:rsid w:val="20CC07CE"/>
    <w:rsid w:val="211001FE"/>
    <w:rsid w:val="21560235"/>
    <w:rsid w:val="21817371"/>
    <w:rsid w:val="21911A1D"/>
    <w:rsid w:val="21913DBA"/>
    <w:rsid w:val="21D82BCE"/>
    <w:rsid w:val="22174A77"/>
    <w:rsid w:val="22564C3B"/>
    <w:rsid w:val="227117F0"/>
    <w:rsid w:val="228F1684"/>
    <w:rsid w:val="22E131C9"/>
    <w:rsid w:val="22E91128"/>
    <w:rsid w:val="2341379C"/>
    <w:rsid w:val="235A7207"/>
    <w:rsid w:val="23CD1FB5"/>
    <w:rsid w:val="23F519CD"/>
    <w:rsid w:val="23F9517F"/>
    <w:rsid w:val="23FC0D87"/>
    <w:rsid w:val="24287BD3"/>
    <w:rsid w:val="24316AC9"/>
    <w:rsid w:val="24340275"/>
    <w:rsid w:val="243D3B7F"/>
    <w:rsid w:val="246165DD"/>
    <w:rsid w:val="247E57AE"/>
    <w:rsid w:val="248F341C"/>
    <w:rsid w:val="24983B90"/>
    <w:rsid w:val="24AC7022"/>
    <w:rsid w:val="24E21EE4"/>
    <w:rsid w:val="24F417CC"/>
    <w:rsid w:val="250658E9"/>
    <w:rsid w:val="25410AF1"/>
    <w:rsid w:val="25E10967"/>
    <w:rsid w:val="25FD58B9"/>
    <w:rsid w:val="26287B91"/>
    <w:rsid w:val="265E792E"/>
    <w:rsid w:val="26647764"/>
    <w:rsid w:val="269D015C"/>
    <w:rsid w:val="26C82250"/>
    <w:rsid w:val="26E615A1"/>
    <w:rsid w:val="26F85FDC"/>
    <w:rsid w:val="27535BB4"/>
    <w:rsid w:val="2760332F"/>
    <w:rsid w:val="2797241C"/>
    <w:rsid w:val="27BF1F4A"/>
    <w:rsid w:val="284D56B8"/>
    <w:rsid w:val="285266F8"/>
    <w:rsid w:val="288A6993"/>
    <w:rsid w:val="28937502"/>
    <w:rsid w:val="28FC2B64"/>
    <w:rsid w:val="29047E7E"/>
    <w:rsid w:val="29561B03"/>
    <w:rsid w:val="29992D97"/>
    <w:rsid w:val="29DF5CBB"/>
    <w:rsid w:val="29E83B4C"/>
    <w:rsid w:val="2A0B08A8"/>
    <w:rsid w:val="2A1E0F5F"/>
    <w:rsid w:val="2A5B30DB"/>
    <w:rsid w:val="2A830702"/>
    <w:rsid w:val="2AAA539C"/>
    <w:rsid w:val="2ABE5E63"/>
    <w:rsid w:val="2AC95A00"/>
    <w:rsid w:val="2AFD3C60"/>
    <w:rsid w:val="2B150261"/>
    <w:rsid w:val="2B21703C"/>
    <w:rsid w:val="2B2835B3"/>
    <w:rsid w:val="2B4D0836"/>
    <w:rsid w:val="2B842296"/>
    <w:rsid w:val="2B861670"/>
    <w:rsid w:val="2BA2006A"/>
    <w:rsid w:val="2BD45416"/>
    <w:rsid w:val="2C040ED9"/>
    <w:rsid w:val="2C05252B"/>
    <w:rsid w:val="2C0F4C44"/>
    <w:rsid w:val="2C1B4A1E"/>
    <w:rsid w:val="2C5926E8"/>
    <w:rsid w:val="2C75796D"/>
    <w:rsid w:val="2C7B078F"/>
    <w:rsid w:val="2C7C41B6"/>
    <w:rsid w:val="2C7E66B1"/>
    <w:rsid w:val="2C8B6B16"/>
    <w:rsid w:val="2D146B05"/>
    <w:rsid w:val="2D4315B6"/>
    <w:rsid w:val="2D437898"/>
    <w:rsid w:val="2D4425D0"/>
    <w:rsid w:val="2D4A1A33"/>
    <w:rsid w:val="2DDB2055"/>
    <w:rsid w:val="2DE90481"/>
    <w:rsid w:val="2E1B338C"/>
    <w:rsid w:val="2E5D662D"/>
    <w:rsid w:val="2EC37CDE"/>
    <w:rsid w:val="2F136099"/>
    <w:rsid w:val="2F3B15D1"/>
    <w:rsid w:val="2F7E4C5A"/>
    <w:rsid w:val="2F9670CA"/>
    <w:rsid w:val="2FB2692C"/>
    <w:rsid w:val="2FCC2FBF"/>
    <w:rsid w:val="2FD36D71"/>
    <w:rsid w:val="2FD67739"/>
    <w:rsid w:val="2FD9588D"/>
    <w:rsid w:val="301C502A"/>
    <w:rsid w:val="30411F5E"/>
    <w:rsid w:val="307D6F3E"/>
    <w:rsid w:val="30830218"/>
    <w:rsid w:val="30876DB3"/>
    <w:rsid w:val="30B400A9"/>
    <w:rsid w:val="30C52AF8"/>
    <w:rsid w:val="30E259FA"/>
    <w:rsid w:val="31195BDD"/>
    <w:rsid w:val="31552BA5"/>
    <w:rsid w:val="3160494A"/>
    <w:rsid w:val="31626EEC"/>
    <w:rsid w:val="31782C33"/>
    <w:rsid w:val="31787D24"/>
    <w:rsid w:val="31BA1499"/>
    <w:rsid w:val="31E53686"/>
    <w:rsid w:val="323E5F2F"/>
    <w:rsid w:val="32556B94"/>
    <w:rsid w:val="32797093"/>
    <w:rsid w:val="32862880"/>
    <w:rsid w:val="32BE6D81"/>
    <w:rsid w:val="32E22510"/>
    <w:rsid w:val="32E90720"/>
    <w:rsid w:val="331972B4"/>
    <w:rsid w:val="339300E8"/>
    <w:rsid w:val="33D703A4"/>
    <w:rsid w:val="341010E3"/>
    <w:rsid w:val="34142E20"/>
    <w:rsid w:val="342C1FFE"/>
    <w:rsid w:val="34721BA5"/>
    <w:rsid w:val="34A233DF"/>
    <w:rsid w:val="34AA0755"/>
    <w:rsid w:val="34D74C20"/>
    <w:rsid w:val="34FB6027"/>
    <w:rsid w:val="353051D1"/>
    <w:rsid w:val="35F26294"/>
    <w:rsid w:val="363F3AC6"/>
    <w:rsid w:val="36613032"/>
    <w:rsid w:val="36937331"/>
    <w:rsid w:val="36B55F6B"/>
    <w:rsid w:val="36BB7831"/>
    <w:rsid w:val="37150197"/>
    <w:rsid w:val="37316B00"/>
    <w:rsid w:val="373852EB"/>
    <w:rsid w:val="37396ED7"/>
    <w:rsid w:val="3762715C"/>
    <w:rsid w:val="37D73EA7"/>
    <w:rsid w:val="37D91A5B"/>
    <w:rsid w:val="37E80F39"/>
    <w:rsid w:val="37F41BB3"/>
    <w:rsid w:val="37F97279"/>
    <w:rsid w:val="38152EFC"/>
    <w:rsid w:val="38157B80"/>
    <w:rsid w:val="382E4B58"/>
    <w:rsid w:val="382F5281"/>
    <w:rsid w:val="383119D1"/>
    <w:rsid w:val="38370967"/>
    <w:rsid w:val="38455D28"/>
    <w:rsid w:val="384D488B"/>
    <w:rsid w:val="386E3599"/>
    <w:rsid w:val="387B1BA3"/>
    <w:rsid w:val="38867BFA"/>
    <w:rsid w:val="38AD7CB6"/>
    <w:rsid w:val="38B127B3"/>
    <w:rsid w:val="38CD18D2"/>
    <w:rsid w:val="38F15222"/>
    <w:rsid w:val="391D12C2"/>
    <w:rsid w:val="39B1799E"/>
    <w:rsid w:val="3A020965"/>
    <w:rsid w:val="3A0A1BD7"/>
    <w:rsid w:val="3A36512A"/>
    <w:rsid w:val="3A496F92"/>
    <w:rsid w:val="3A8C029D"/>
    <w:rsid w:val="3AA114E6"/>
    <w:rsid w:val="3AAD3C6B"/>
    <w:rsid w:val="3AD84348"/>
    <w:rsid w:val="3B6D3113"/>
    <w:rsid w:val="3B776528"/>
    <w:rsid w:val="3B7D4803"/>
    <w:rsid w:val="3BBC0B3B"/>
    <w:rsid w:val="3BBC511F"/>
    <w:rsid w:val="3BDB63DE"/>
    <w:rsid w:val="3BFE0EB2"/>
    <w:rsid w:val="3C022718"/>
    <w:rsid w:val="3C267516"/>
    <w:rsid w:val="3C6510DB"/>
    <w:rsid w:val="3C824FB7"/>
    <w:rsid w:val="3C954E3B"/>
    <w:rsid w:val="3CD21274"/>
    <w:rsid w:val="3CEB1852"/>
    <w:rsid w:val="3D0F5AFE"/>
    <w:rsid w:val="3D4059A5"/>
    <w:rsid w:val="3D46093B"/>
    <w:rsid w:val="3DCE17F9"/>
    <w:rsid w:val="3DD63BA2"/>
    <w:rsid w:val="3DFE69F1"/>
    <w:rsid w:val="3E07767A"/>
    <w:rsid w:val="3E5D33E1"/>
    <w:rsid w:val="3E743817"/>
    <w:rsid w:val="3E9E5DB4"/>
    <w:rsid w:val="3EC035FB"/>
    <w:rsid w:val="3F5102FC"/>
    <w:rsid w:val="3F630CC4"/>
    <w:rsid w:val="3F662721"/>
    <w:rsid w:val="3F83211A"/>
    <w:rsid w:val="3F9F114C"/>
    <w:rsid w:val="3FBE237E"/>
    <w:rsid w:val="3FD008F7"/>
    <w:rsid w:val="3FDC2B95"/>
    <w:rsid w:val="403D7FEC"/>
    <w:rsid w:val="4062059F"/>
    <w:rsid w:val="408D1C30"/>
    <w:rsid w:val="40B50CF7"/>
    <w:rsid w:val="40CD2B8A"/>
    <w:rsid w:val="41122B16"/>
    <w:rsid w:val="41426BCB"/>
    <w:rsid w:val="416870FB"/>
    <w:rsid w:val="416E5774"/>
    <w:rsid w:val="41912701"/>
    <w:rsid w:val="41A00927"/>
    <w:rsid w:val="41BE275F"/>
    <w:rsid w:val="41CC423E"/>
    <w:rsid w:val="41CE7D37"/>
    <w:rsid w:val="41D85F1B"/>
    <w:rsid w:val="41DB6154"/>
    <w:rsid w:val="41DF01E8"/>
    <w:rsid w:val="41FA15A4"/>
    <w:rsid w:val="42355F51"/>
    <w:rsid w:val="42465FDE"/>
    <w:rsid w:val="42884742"/>
    <w:rsid w:val="42AE5AE3"/>
    <w:rsid w:val="42C12191"/>
    <w:rsid w:val="43205265"/>
    <w:rsid w:val="435A19B8"/>
    <w:rsid w:val="43AE5D90"/>
    <w:rsid w:val="43B97087"/>
    <w:rsid w:val="43C85B6C"/>
    <w:rsid w:val="44204351"/>
    <w:rsid w:val="4424373F"/>
    <w:rsid w:val="444075FB"/>
    <w:rsid w:val="44717C3B"/>
    <w:rsid w:val="448E2FD4"/>
    <w:rsid w:val="44BB6B8A"/>
    <w:rsid w:val="44BE65E0"/>
    <w:rsid w:val="45045AC7"/>
    <w:rsid w:val="45425615"/>
    <w:rsid w:val="455F7633"/>
    <w:rsid w:val="458E64E3"/>
    <w:rsid w:val="45C01CDD"/>
    <w:rsid w:val="45C16005"/>
    <w:rsid w:val="465D36F9"/>
    <w:rsid w:val="469A41BF"/>
    <w:rsid w:val="47044815"/>
    <w:rsid w:val="47067B68"/>
    <w:rsid w:val="471D5D1F"/>
    <w:rsid w:val="472A4DB0"/>
    <w:rsid w:val="4738342D"/>
    <w:rsid w:val="476C5878"/>
    <w:rsid w:val="47AD2243"/>
    <w:rsid w:val="47C43020"/>
    <w:rsid w:val="47C62521"/>
    <w:rsid w:val="47E706E1"/>
    <w:rsid w:val="48506B8D"/>
    <w:rsid w:val="486241FB"/>
    <w:rsid w:val="486C005E"/>
    <w:rsid w:val="489666F1"/>
    <w:rsid w:val="497D28CD"/>
    <w:rsid w:val="49BB3A1B"/>
    <w:rsid w:val="49E12AAB"/>
    <w:rsid w:val="49EB1F53"/>
    <w:rsid w:val="49FF35F0"/>
    <w:rsid w:val="4A027BF7"/>
    <w:rsid w:val="4A373CDD"/>
    <w:rsid w:val="4A3E11FF"/>
    <w:rsid w:val="4A8E43FC"/>
    <w:rsid w:val="4AD0313F"/>
    <w:rsid w:val="4B1005E7"/>
    <w:rsid w:val="4B520A84"/>
    <w:rsid w:val="4B582BD7"/>
    <w:rsid w:val="4B8C33E2"/>
    <w:rsid w:val="4B9C0EE4"/>
    <w:rsid w:val="4BAB7F93"/>
    <w:rsid w:val="4BDB4ECF"/>
    <w:rsid w:val="4BE551F9"/>
    <w:rsid w:val="4BE87558"/>
    <w:rsid w:val="4C150220"/>
    <w:rsid w:val="4C4B48D1"/>
    <w:rsid w:val="4C582B91"/>
    <w:rsid w:val="4C5E4473"/>
    <w:rsid w:val="4C6D6D63"/>
    <w:rsid w:val="4CD97F88"/>
    <w:rsid w:val="4D202F62"/>
    <w:rsid w:val="4D523BFC"/>
    <w:rsid w:val="4D57679E"/>
    <w:rsid w:val="4D8723BA"/>
    <w:rsid w:val="4D8A144D"/>
    <w:rsid w:val="4D937B14"/>
    <w:rsid w:val="4DAE107F"/>
    <w:rsid w:val="4DC17F4F"/>
    <w:rsid w:val="4DCB2E58"/>
    <w:rsid w:val="4DFB7EF1"/>
    <w:rsid w:val="4E081421"/>
    <w:rsid w:val="4E877208"/>
    <w:rsid w:val="4E953B4E"/>
    <w:rsid w:val="4EA86BDB"/>
    <w:rsid w:val="4ED37149"/>
    <w:rsid w:val="4EE851A5"/>
    <w:rsid w:val="4F0518B1"/>
    <w:rsid w:val="4F0E4B1D"/>
    <w:rsid w:val="4F140B78"/>
    <w:rsid w:val="4F2518BB"/>
    <w:rsid w:val="4F5E7ECC"/>
    <w:rsid w:val="4F915849"/>
    <w:rsid w:val="4FA47FEB"/>
    <w:rsid w:val="4FA539AE"/>
    <w:rsid w:val="501037C0"/>
    <w:rsid w:val="501D655A"/>
    <w:rsid w:val="50263228"/>
    <w:rsid w:val="507F1365"/>
    <w:rsid w:val="50A36372"/>
    <w:rsid w:val="50AA5848"/>
    <w:rsid w:val="50C845C8"/>
    <w:rsid w:val="50D802B2"/>
    <w:rsid w:val="50E13A61"/>
    <w:rsid w:val="50E768C2"/>
    <w:rsid w:val="510316BE"/>
    <w:rsid w:val="510332A5"/>
    <w:rsid w:val="5146382D"/>
    <w:rsid w:val="516A3109"/>
    <w:rsid w:val="517459E7"/>
    <w:rsid w:val="518911B3"/>
    <w:rsid w:val="518F1583"/>
    <w:rsid w:val="518F3A12"/>
    <w:rsid w:val="519604B6"/>
    <w:rsid w:val="51BA1695"/>
    <w:rsid w:val="523D1809"/>
    <w:rsid w:val="5248187A"/>
    <w:rsid w:val="52857C5F"/>
    <w:rsid w:val="52A96F98"/>
    <w:rsid w:val="52CE3B68"/>
    <w:rsid w:val="52E54537"/>
    <w:rsid w:val="531F2235"/>
    <w:rsid w:val="5351458D"/>
    <w:rsid w:val="537D7AE8"/>
    <w:rsid w:val="53965050"/>
    <w:rsid w:val="53BA22A0"/>
    <w:rsid w:val="540B48F1"/>
    <w:rsid w:val="54114993"/>
    <w:rsid w:val="54554C11"/>
    <w:rsid w:val="547107DB"/>
    <w:rsid w:val="54792622"/>
    <w:rsid w:val="549B6853"/>
    <w:rsid w:val="54BF5707"/>
    <w:rsid w:val="54C52B79"/>
    <w:rsid w:val="54F24A86"/>
    <w:rsid w:val="54FE620E"/>
    <w:rsid w:val="553118B0"/>
    <w:rsid w:val="55371A5D"/>
    <w:rsid w:val="558552B1"/>
    <w:rsid w:val="559001B2"/>
    <w:rsid w:val="55B2291D"/>
    <w:rsid w:val="55D04A1E"/>
    <w:rsid w:val="56576074"/>
    <w:rsid w:val="569F0911"/>
    <w:rsid w:val="56E24C0A"/>
    <w:rsid w:val="576E2CF5"/>
    <w:rsid w:val="57715FDB"/>
    <w:rsid w:val="577260CF"/>
    <w:rsid w:val="5778785A"/>
    <w:rsid w:val="57BA2093"/>
    <w:rsid w:val="57BF17DA"/>
    <w:rsid w:val="57D06006"/>
    <w:rsid w:val="58290EC7"/>
    <w:rsid w:val="587350E6"/>
    <w:rsid w:val="587C1CC6"/>
    <w:rsid w:val="58AC24B2"/>
    <w:rsid w:val="58B87927"/>
    <w:rsid w:val="58E72B95"/>
    <w:rsid w:val="58E927D8"/>
    <w:rsid w:val="58ED7FC8"/>
    <w:rsid w:val="5908573C"/>
    <w:rsid w:val="592B6D0A"/>
    <w:rsid w:val="592E742B"/>
    <w:rsid w:val="593144FC"/>
    <w:rsid w:val="59375F5C"/>
    <w:rsid w:val="593909F6"/>
    <w:rsid w:val="59545948"/>
    <w:rsid w:val="59DE0305"/>
    <w:rsid w:val="5A521EF4"/>
    <w:rsid w:val="5A52512D"/>
    <w:rsid w:val="5A6D682C"/>
    <w:rsid w:val="5AD255B7"/>
    <w:rsid w:val="5B2F1E00"/>
    <w:rsid w:val="5B3B15CF"/>
    <w:rsid w:val="5C5408DC"/>
    <w:rsid w:val="5CA63671"/>
    <w:rsid w:val="5CCA5A2B"/>
    <w:rsid w:val="5D1A42DE"/>
    <w:rsid w:val="5D4221F0"/>
    <w:rsid w:val="5DD64E41"/>
    <w:rsid w:val="5E055D89"/>
    <w:rsid w:val="5E057968"/>
    <w:rsid w:val="5E9742E1"/>
    <w:rsid w:val="5EA82DB6"/>
    <w:rsid w:val="5EFC43DB"/>
    <w:rsid w:val="5F001790"/>
    <w:rsid w:val="5F1F68E9"/>
    <w:rsid w:val="5F5B653F"/>
    <w:rsid w:val="5F726888"/>
    <w:rsid w:val="5F751977"/>
    <w:rsid w:val="5FD4537E"/>
    <w:rsid w:val="5FF21661"/>
    <w:rsid w:val="600913B2"/>
    <w:rsid w:val="60400389"/>
    <w:rsid w:val="604A6FFD"/>
    <w:rsid w:val="60754BB7"/>
    <w:rsid w:val="60764CF9"/>
    <w:rsid w:val="60C62B25"/>
    <w:rsid w:val="60CD272E"/>
    <w:rsid w:val="60DC1CDB"/>
    <w:rsid w:val="60F80550"/>
    <w:rsid w:val="610A32A7"/>
    <w:rsid w:val="61552F0D"/>
    <w:rsid w:val="617B2967"/>
    <w:rsid w:val="61B94195"/>
    <w:rsid w:val="61BE487C"/>
    <w:rsid w:val="61EF62E0"/>
    <w:rsid w:val="620575EC"/>
    <w:rsid w:val="620B22C0"/>
    <w:rsid w:val="620F2763"/>
    <w:rsid w:val="6231048F"/>
    <w:rsid w:val="623E7551"/>
    <w:rsid w:val="624A5543"/>
    <w:rsid w:val="62A409DA"/>
    <w:rsid w:val="62FB32C7"/>
    <w:rsid w:val="63091291"/>
    <w:rsid w:val="63462E7A"/>
    <w:rsid w:val="637A5270"/>
    <w:rsid w:val="63AC6F8D"/>
    <w:rsid w:val="63B327D4"/>
    <w:rsid w:val="63C34DE8"/>
    <w:rsid w:val="63E30612"/>
    <w:rsid w:val="63E35D12"/>
    <w:rsid w:val="63E7450A"/>
    <w:rsid w:val="63FE4EB5"/>
    <w:rsid w:val="644755C0"/>
    <w:rsid w:val="645C08F1"/>
    <w:rsid w:val="64837410"/>
    <w:rsid w:val="648A47B6"/>
    <w:rsid w:val="648F4E80"/>
    <w:rsid w:val="6506135C"/>
    <w:rsid w:val="65676711"/>
    <w:rsid w:val="65D94F2F"/>
    <w:rsid w:val="66C9418E"/>
    <w:rsid w:val="66F74058"/>
    <w:rsid w:val="6702522E"/>
    <w:rsid w:val="670B0904"/>
    <w:rsid w:val="671F6FDB"/>
    <w:rsid w:val="674065C0"/>
    <w:rsid w:val="679720DB"/>
    <w:rsid w:val="67BB3C02"/>
    <w:rsid w:val="67D21D97"/>
    <w:rsid w:val="68127CA1"/>
    <w:rsid w:val="682D65C2"/>
    <w:rsid w:val="68405151"/>
    <w:rsid w:val="68462EA0"/>
    <w:rsid w:val="68546102"/>
    <w:rsid w:val="686F5A24"/>
    <w:rsid w:val="68A13454"/>
    <w:rsid w:val="68B93CAE"/>
    <w:rsid w:val="6924256B"/>
    <w:rsid w:val="69300193"/>
    <w:rsid w:val="69335E53"/>
    <w:rsid w:val="69EC0773"/>
    <w:rsid w:val="6A6754CD"/>
    <w:rsid w:val="6A945A9B"/>
    <w:rsid w:val="6AEA2988"/>
    <w:rsid w:val="6B155834"/>
    <w:rsid w:val="6B5B1F6C"/>
    <w:rsid w:val="6BB44DDF"/>
    <w:rsid w:val="6BC6153D"/>
    <w:rsid w:val="6BE10C67"/>
    <w:rsid w:val="6BE175A3"/>
    <w:rsid w:val="6BEF5A57"/>
    <w:rsid w:val="6C054BBB"/>
    <w:rsid w:val="6C393F0B"/>
    <w:rsid w:val="6C490484"/>
    <w:rsid w:val="6CA874F3"/>
    <w:rsid w:val="6CD5347D"/>
    <w:rsid w:val="6CF55FCB"/>
    <w:rsid w:val="6D1C038D"/>
    <w:rsid w:val="6D5D62CF"/>
    <w:rsid w:val="6D777B45"/>
    <w:rsid w:val="6D806627"/>
    <w:rsid w:val="6DC438C5"/>
    <w:rsid w:val="6DD0636B"/>
    <w:rsid w:val="6E033242"/>
    <w:rsid w:val="6E172094"/>
    <w:rsid w:val="6E450AE0"/>
    <w:rsid w:val="6E4C468D"/>
    <w:rsid w:val="6E4E3233"/>
    <w:rsid w:val="6E636E1D"/>
    <w:rsid w:val="6E753F16"/>
    <w:rsid w:val="6EB159C7"/>
    <w:rsid w:val="6EC05B55"/>
    <w:rsid w:val="6EE460F8"/>
    <w:rsid w:val="6F0C033D"/>
    <w:rsid w:val="6F25742D"/>
    <w:rsid w:val="6F5748DD"/>
    <w:rsid w:val="6F6A455F"/>
    <w:rsid w:val="6F760B24"/>
    <w:rsid w:val="700B3712"/>
    <w:rsid w:val="703B084C"/>
    <w:rsid w:val="70B70481"/>
    <w:rsid w:val="710E044A"/>
    <w:rsid w:val="71963DF7"/>
    <w:rsid w:val="71D431E7"/>
    <w:rsid w:val="71D65021"/>
    <w:rsid w:val="71D66084"/>
    <w:rsid w:val="71D92F74"/>
    <w:rsid w:val="721232F7"/>
    <w:rsid w:val="7214068D"/>
    <w:rsid w:val="723D7030"/>
    <w:rsid w:val="724B1947"/>
    <w:rsid w:val="7260135B"/>
    <w:rsid w:val="7274424C"/>
    <w:rsid w:val="72774B5F"/>
    <w:rsid w:val="72790AE3"/>
    <w:rsid w:val="727D4B43"/>
    <w:rsid w:val="72876DEB"/>
    <w:rsid w:val="72A9655E"/>
    <w:rsid w:val="72C82DDB"/>
    <w:rsid w:val="72CE307C"/>
    <w:rsid w:val="731F50DA"/>
    <w:rsid w:val="73213242"/>
    <w:rsid w:val="736C0658"/>
    <w:rsid w:val="73F535D5"/>
    <w:rsid w:val="74046252"/>
    <w:rsid w:val="74240586"/>
    <w:rsid w:val="742B41E8"/>
    <w:rsid w:val="74904687"/>
    <w:rsid w:val="74F10EA4"/>
    <w:rsid w:val="74F555BA"/>
    <w:rsid w:val="75315330"/>
    <w:rsid w:val="758526DD"/>
    <w:rsid w:val="75B16316"/>
    <w:rsid w:val="760826FB"/>
    <w:rsid w:val="767A627F"/>
    <w:rsid w:val="76970BE9"/>
    <w:rsid w:val="76C02781"/>
    <w:rsid w:val="76C436E2"/>
    <w:rsid w:val="76EF588F"/>
    <w:rsid w:val="77067BB6"/>
    <w:rsid w:val="77331F25"/>
    <w:rsid w:val="777666AC"/>
    <w:rsid w:val="777C2CA0"/>
    <w:rsid w:val="77843A3E"/>
    <w:rsid w:val="778B254E"/>
    <w:rsid w:val="77900E7D"/>
    <w:rsid w:val="779644AA"/>
    <w:rsid w:val="77F3539D"/>
    <w:rsid w:val="7872717E"/>
    <w:rsid w:val="791F21A9"/>
    <w:rsid w:val="79881CB0"/>
    <w:rsid w:val="799F3F52"/>
    <w:rsid w:val="79B77AFD"/>
    <w:rsid w:val="7A522B55"/>
    <w:rsid w:val="7A996E9A"/>
    <w:rsid w:val="7A9A1EA4"/>
    <w:rsid w:val="7AA0261E"/>
    <w:rsid w:val="7ABA4E4E"/>
    <w:rsid w:val="7AD44C19"/>
    <w:rsid w:val="7AFD5EEC"/>
    <w:rsid w:val="7B127A63"/>
    <w:rsid w:val="7B1A2C8D"/>
    <w:rsid w:val="7B6B270A"/>
    <w:rsid w:val="7B6D3913"/>
    <w:rsid w:val="7B880DAC"/>
    <w:rsid w:val="7BA455C6"/>
    <w:rsid w:val="7BBC5AB7"/>
    <w:rsid w:val="7BBE3A01"/>
    <w:rsid w:val="7BCD6BDC"/>
    <w:rsid w:val="7CAB1C8C"/>
    <w:rsid w:val="7CC07229"/>
    <w:rsid w:val="7D374FCD"/>
    <w:rsid w:val="7D424EAA"/>
    <w:rsid w:val="7D464CFB"/>
    <w:rsid w:val="7DA05E73"/>
    <w:rsid w:val="7DC2009D"/>
    <w:rsid w:val="7DD341AE"/>
    <w:rsid w:val="7E18219E"/>
    <w:rsid w:val="7E206EC8"/>
    <w:rsid w:val="7E286A6E"/>
    <w:rsid w:val="7E490FDF"/>
    <w:rsid w:val="7E4F0FCD"/>
    <w:rsid w:val="7E750D36"/>
    <w:rsid w:val="7E7C113E"/>
    <w:rsid w:val="7EA94C29"/>
    <w:rsid w:val="7ECF5910"/>
    <w:rsid w:val="7F750620"/>
    <w:rsid w:val="7F886F5A"/>
    <w:rsid w:val="7F9434B8"/>
    <w:rsid w:val="7F967DE3"/>
    <w:rsid w:val="7FD13BEB"/>
    <w:rsid w:val="7FD35347"/>
    <w:rsid w:val="7FEC76AA"/>
    <w:rsid w:val="7FFD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5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50"/>
    <w:qFormat/>
    <w:uiPriority w:val="9"/>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6">
    <w:name w:val="Normal Indent"/>
    <w:basedOn w:val="1"/>
    <w:link w:val="40"/>
    <w:qFormat/>
    <w:uiPriority w:val="0"/>
    <w:pPr>
      <w:ind w:firstLine="420"/>
    </w:pPr>
    <w:rPr>
      <w:sz w:val="21"/>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67"/>
    <w:semiHidden/>
    <w:unhideWhenUsed/>
    <w:qFormat/>
    <w:uiPriority w:val="99"/>
    <w:rPr>
      <w:rFonts w:ascii="宋体"/>
      <w:sz w:val="18"/>
      <w:szCs w:val="18"/>
    </w:rPr>
  </w:style>
  <w:style w:type="paragraph" w:styleId="9">
    <w:name w:val="annotation text"/>
    <w:basedOn w:val="1"/>
    <w:link w:val="32"/>
    <w:unhideWhenUsed/>
    <w:qFormat/>
    <w:uiPriority w:val="99"/>
    <w:pPr>
      <w:jc w:val="left"/>
    </w:pPr>
  </w:style>
  <w:style w:type="paragraph" w:styleId="10">
    <w:name w:val="Body Text"/>
    <w:basedOn w:val="1"/>
    <w:qFormat/>
    <w:uiPriority w:val="1"/>
    <w:rPr>
      <w:rFonts w:ascii="宋体" w:hAnsi="宋体" w:eastAsia="宋体" w:cs="宋体"/>
      <w:sz w:val="21"/>
      <w:szCs w:val="21"/>
      <w:lang w:val="zh-CN" w:eastAsia="zh-CN" w:bidi="zh-CN"/>
    </w:rPr>
  </w:style>
  <w:style w:type="paragraph" w:styleId="11">
    <w:name w:val="Body Text Indent"/>
    <w:basedOn w:val="1"/>
    <w:link w:val="51"/>
    <w:qFormat/>
    <w:uiPriority w:val="0"/>
    <w:pPr>
      <w:spacing w:line="200" w:lineRule="atLeast"/>
      <w:ind w:firstLine="301"/>
    </w:pPr>
    <w:rPr>
      <w:rFonts w:ascii="宋体" w:hAnsi="Courier New"/>
      <w:spacing w:val="-4"/>
      <w:sz w:val="18"/>
      <w:szCs w:val="20"/>
    </w:rPr>
  </w:style>
  <w:style w:type="paragraph" w:styleId="12">
    <w:name w:val="List 2"/>
    <w:basedOn w:val="1"/>
    <w:unhideWhenUsed/>
    <w:qFormat/>
    <w:uiPriority w:val="99"/>
    <w:pPr>
      <w:ind w:left="100" w:leftChars="200" w:hanging="200" w:hangingChars="200"/>
      <w:contextualSpacing/>
    </w:pPr>
  </w:style>
  <w:style w:type="paragraph" w:styleId="13">
    <w:name w:val="Plain Text"/>
    <w:basedOn w:val="1"/>
    <w:link w:val="37"/>
    <w:qFormat/>
    <w:uiPriority w:val="99"/>
    <w:pPr>
      <w:spacing w:beforeLines="50" w:afterLines="50" w:line="400" w:lineRule="atLeast"/>
    </w:pPr>
    <w:rPr>
      <w:rFonts w:ascii="宋体" w:hAnsi="Courier New"/>
      <w:sz w:val="24"/>
    </w:rPr>
  </w:style>
  <w:style w:type="paragraph" w:styleId="14">
    <w:name w:val="Date"/>
    <w:basedOn w:val="1"/>
    <w:next w:val="1"/>
    <w:qFormat/>
    <w:uiPriority w:val="0"/>
    <w:pPr>
      <w:ind w:left="2500" w:leftChars="2500"/>
    </w:pPr>
    <w:rPr>
      <w:rFonts w:eastAsia="楷体_GB2312"/>
      <w:sz w:val="32"/>
      <w:szCs w:val="20"/>
    </w:rPr>
  </w:style>
  <w:style w:type="paragraph" w:styleId="15">
    <w:name w:val="Balloon Text"/>
    <w:basedOn w:val="1"/>
    <w:qFormat/>
    <w:uiPriority w:val="0"/>
    <w:rPr>
      <w:sz w:val="18"/>
      <w:szCs w:val="18"/>
    </w:rPr>
  </w:style>
  <w:style w:type="paragraph" w:styleId="16">
    <w:name w:val="footer"/>
    <w:basedOn w:val="1"/>
    <w:link w:val="31"/>
    <w:qFormat/>
    <w:uiPriority w:val="99"/>
    <w:pPr>
      <w:tabs>
        <w:tab w:val="center" w:pos="4153"/>
        <w:tab w:val="right" w:pos="8306"/>
      </w:tabs>
      <w:snapToGrid w:val="0"/>
      <w:jc w:val="left"/>
    </w:pPr>
    <w:rPr>
      <w:sz w:val="18"/>
      <w:szCs w:val="18"/>
    </w:rPr>
  </w:style>
  <w:style w:type="paragraph" w:styleId="17">
    <w:name w:val="header"/>
    <w:basedOn w:val="1"/>
    <w:qFormat/>
    <w:uiPriority w:val="0"/>
    <w:pPr>
      <w:tabs>
        <w:tab w:val="center" w:pos="4153"/>
        <w:tab w:val="right" w:pos="8306"/>
      </w:tabs>
      <w:snapToGrid w:val="0"/>
      <w:jc w:val="center"/>
    </w:pPr>
    <w:rPr>
      <w:sz w:val="18"/>
      <w:szCs w:val="18"/>
    </w:rPr>
  </w:style>
  <w:style w:type="paragraph" w:styleId="18">
    <w:name w:val="toc 1"/>
    <w:basedOn w:val="1"/>
    <w:next w:val="1"/>
    <w:semiHidden/>
    <w:unhideWhenUsed/>
    <w:qFormat/>
    <w:uiPriority w:val="39"/>
  </w:style>
  <w:style w:type="paragraph" w:styleId="19">
    <w:name w:val="List"/>
    <w:basedOn w:val="1"/>
    <w:qFormat/>
    <w:uiPriority w:val="0"/>
    <w:pPr>
      <w:ind w:left="200" w:hanging="200" w:hangingChars="200"/>
    </w:pPr>
  </w:style>
  <w:style w:type="paragraph" w:styleId="20">
    <w:name w:val="toc 2"/>
    <w:basedOn w:val="1"/>
    <w:next w:val="1"/>
    <w:semiHidden/>
    <w:unhideWhenUsed/>
    <w:qFormat/>
    <w:uiPriority w:val="39"/>
    <w:pPr>
      <w:ind w:left="420" w:leftChars="200"/>
    </w:pPr>
  </w:style>
  <w:style w:type="paragraph" w:styleId="21">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2">
    <w:name w:val="Normal (Web)"/>
    <w:basedOn w:val="1"/>
    <w:qFormat/>
    <w:uiPriority w:val="99"/>
    <w:pPr>
      <w:widowControl/>
      <w:spacing w:before="100" w:beforeAutospacing="1" w:after="100" w:afterAutospacing="1"/>
      <w:ind w:firstLine="420"/>
      <w:jc w:val="left"/>
    </w:pPr>
    <w:rPr>
      <w:rFonts w:ascii="宋体" w:hAnsi="宋体"/>
      <w:kern w:val="0"/>
      <w:sz w:val="20"/>
      <w:szCs w:val="20"/>
    </w:rPr>
  </w:style>
  <w:style w:type="paragraph" w:styleId="23">
    <w:name w:val="annotation subject"/>
    <w:basedOn w:val="9"/>
    <w:next w:val="9"/>
    <w:link w:val="49"/>
    <w:unhideWhenUsed/>
    <w:qFormat/>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Hyperlink"/>
    <w:qFormat/>
    <w:uiPriority w:val="0"/>
    <w:rPr>
      <w:color w:val="0000FF"/>
      <w:u w:val="single"/>
    </w:rPr>
  </w:style>
  <w:style w:type="character" w:styleId="30">
    <w:name w:val="annotation reference"/>
    <w:unhideWhenUsed/>
    <w:qFormat/>
    <w:uiPriority w:val="99"/>
    <w:rPr>
      <w:sz w:val="21"/>
      <w:szCs w:val="21"/>
    </w:rPr>
  </w:style>
  <w:style w:type="character" w:customStyle="1" w:styleId="31">
    <w:name w:val="页脚 字符"/>
    <w:link w:val="16"/>
    <w:qFormat/>
    <w:uiPriority w:val="99"/>
    <w:rPr>
      <w:kern w:val="2"/>
      <w:sz w:val="18"/>
      <w:szCs w:val="18"/>
    </w:rPr>
  </w:style>
  <w:style w:type="character" w:customStyle="1" w:styleId="32">
    <w:name w:val="批注文字 字符"/>
    <w:link w:val="9"/>
    <w:qFormat/>
    <w:uiPriority w:val="99"/>
    <w:rPr>
      <w:kern w:val="2"/>
      <w:sz w:val="28"/>
      <w:szCs w:val="24"/>
    </w:rPr>
  </w:style>
  <w:style w:type="character" w:customStyle="1" w:styleId="33">
    <w:name w:val="纯文本 Char1"/>
    <w:qFormat/>
    <w:uiPriority w:val="0"/>
    <w:rPr>
      <w:rFonts w:ascii="宋体" w:hAnsi="Courier New"/>
      <w:kern w:val="2"/>
      <w:sz w:val="21"/>
    </w:rPr>
  </w:style>
  <w:style w:type="character" w:customStyle="1" w:styleId="34">
    <w:name w:val="纯文本 Char"/>
    <w:qFormat/>
    <w:uiPriority w:val="99"/>
    <w:rPr>
      <w:rFonts w:ascii="宋体" w:hAnsi="Courier New"/>
      <w:kern w:val="2"/>
      <w:sz w:val="24"/>
      <w:szCs w:val="24"/>
    </w:rPr>
  </w:style>
  <w:style w:type="character" w:customStyle="1" w:styleId="35">
    <w:name w:val="maywed421"/>
    <w:qFormat/>
    <w:uiPriority w:val="0"/>
    <w:rPr>
      <w:color w:val="366FB6"/>
      <w:u w:val="none"/>
    </w:rPr>
  </w:style>
  <w:style w:type="character" w:customStyle="1" w:styleId="36">
    <w:name w:val="标题 1 Char Char"/>
    <w:qFormat/>
    <w:uiPriority w:val="0"/>
    <w:rPr>
      <w:rFonts w:eastAsia="宋体"/>
      <w:b/>
      <w:spacing w:val="-2"/>
      <w:sz w:val="24"/>
      <w:lang w:val="en-US" w:eastAsia="zh-CN" w:bidi="ar-SA"/>
    </w:rPr>
  </w:style>
  <w:style w:type="character" w:customStyle="1" w:styleId="37">
    <w:name w:val="纯文本 字符"/>
    <w:link w:val="13"/>
    <w:qFormat/>
    <w:uiPriority w:val="99"/>
    <w:rPr>
      <w:rFonts w:ascii="宋体" w:hAnsi="Courier New"/>
      <w:kern w:val="2"/>
      <w:sz w:val="24"/>
      <w:szCs w:val="24"/>
    </w:rPr>
  </w:style>
  <w:style w:type="character" w:customStyle="1" w:styleId="38">
    <w:name w:val="正文文本缩进 字符1"/>
    <w:qFormat/>
    <w:uiPriority w:val="0"/>
    <w:rPr>
      <w:rFonts w:ascii="宋体" w:hAnsi="Courier New"/>
      <w:spacing w:val="-4"/>
      <w:kern w:val="2"/>
      <w:sz w:val="18"/>
    </w:rPr>
  </w:style>
  <w:style w:type="character" w:customStyle="1" w:styleId="39">
    <w:name w:val="标题 2 字符"/>
    <w:link w:val="3"/>
    <w:semiHidden/>
    <w:qFormat/>
    <w:uiPriority w:val="9"/>
    <w:rPr>
      <w:rFonts w:ascii="Cambria" w:hAnsi="Cambria" w:eastAsia="宋体" w:cs="Times New Roman"/>
      <w:b/>
      <w:bCs/>
      <w:kern w:val="2"/>
      <w:sz w:val="32"/>
      <w:szCs w:val="32"/>
    </w:rPr>
  </w:style>
  <w:style w:type="character" w:customStyle="1" w:styleId="40">
    <w:name w:val="正文缩进 字符"/>
    <w:link w:val="6"/>
    <w:qFormat/>
    <w:uiPriority w:val="0"/>
    <w:rPr>
      <w:rFonts w:eastAsia="宋体"/>
      <w:kern w:val="2"/>
      <w:sz w:val="21"/>
      <w:lang w:val="en-US" w:eastAsia="zh-CN" w:bidi="ar-SA"/>
    </w:rPr>
  </w:style>
  <w:style w:type="character" w:customStyle="1" w:styleId="41">
    <w:name w:val="black601"/>
    <w:qFormat/>
    <w:uiPriority w:val="0"/>
    <w:rPr>
      <w:color w:val="666666"/>
    </w:rPr>
  </w:style>
  <w:style w:type="character" w:customStyle="1" w:styleId="42">
    <w:name w:val="访问过的超链接1"/>
    <w:unhideWhenUsed/>
    <w:qFormat/>
    <w:uiPriority w:val="99"/>
    <w:rPr>
      <w:color w:val="800080"/>
      <w:u w:val="single"/>
    </w:rPr>
  </w:style>
  <w:style w:type="character" w:customStyle="1" w:styleId="43">
    <w:name w:val="正文文本缩进 字符"/>
    <w:qFormat/>
    <w:uiPriority w:val="0"/>
    <w:rPr>
      <w:rFonts w:ascii="宋体" w:hAnsi="Courier New"/>
      <w:spacing w:val="-4"/>
      <w:kern w:val="2"/>
      <w:sz w:val="18"/>
    </w:rPr>
  </w:style>
  <w:style w:type="character" w:customStyle="1" w:styleId="44">
    <w:name w:val="z-窗体顶端 Char"/>
    <w:link w:val="45"/>
    <w:semiHidden/>
    <w:qFormat/>
    <w:uiPriority w:val="99"/>
    <w:rPr>
      <w:rFonts w:ascii="Arial" w:hAnsi="Arial"/>
      <w:vanish/>
      <w:sz w:val="16"/>
      <w:szCs w:val="16"/>
    </w:rPr>
  </w:style>
  <w:style w:type="paragraph" w:customStyle="1" w:styleId="45">
    <w:name w:val="z-窗体顶端1"/>
    <w:basedOn w:val="1"/>
    <w:next w:val="1"/>
    <w:link w:val="44"/>
    <w:unhideWhenUsed/>
    <w:qFormat/>
    <w:uiPriority w:val="99"/>
    <w:pPr>
      <w:widowControl/>
      <w:pBdr>
        <w:bottom w:val="single" w:color="auto" w:sz="6" w:space="1"/>
      </w:pBdr>
      <w:jc w:val="center"/>
    </w:pPr>
    <w:rPr>
      <w:rFonts w:ascii="Arial" w:hAnsi="Arial"/>
      <w:vanish/>
      <w:kern w:val="0"/>
      <w:sz w:val="16"/>
      <w:szCs w:val="16"/>
    </w:rPr>
  </w:style>
  <w:style w:type="character" w:customStyle="1" w:styleId="46">
    <w:name w:val="sub_title s0"/>
    <w:basedOn w:val="26"/>
    <w:qFormat/>
    <w:uiPriority w:val="0"/>
  </w:style>
  <w:style w:type="character" w:customStyle="1" w:styleId="47">
    <w:name w:val="z-窗体底端 Char"/>
    <w:link w:val="48"/>
    <w:semiHidden/>
    <w:qFormat/>
    <w:uiPriority w:val="99"/>
    <w:rPr>
      <w:rFonts w:ascii="Arial" w:hAnsi="Arial"/>
      <w:vanish/>
      <w:sz w:val="16"/>
      <w:szCs w:val="16"/>
    </w:rPr>
  </w:style>
  <w:style w:type="paragraph" w:customStyle="1" w:styleId="48">
    <w:name w:val="z-窗体底端1"/>
    <w:basedOn w:val="1"/>
    <w:next w:val="1"/>
    <w:link w:val="47"/>
    <w:unhideWhenUsed/>
    <w:qFormat/>
    <w:uiPriority w:val="99"/>
    <w:pPr>
      <w:widowControl/>
      <w:pBdr>
        <w:top w:val="single" w:color="auto" w:sz="6" w:space="1"/>
      </w:pBdr>
      <w:jc w:val="center"/>
    </w:pPr>
    <w:rPr>
      <w:rFonts w:ascii="Arial" w:hAnsi="Arial"/>
      <w:vanish/>
      <w:kern w:val="0"/>
      <w:sz w:val="16"/>
      <w:szCs w:val="16"/>
    </w:rPr>
  </w:style>
  <w:style w:type="character" w:customStyle="1" w:styleId="49">
    <w:name w:val="批注主题 字符"/>
    <w:link w:val="23"/>
    <w:semiHidden/>
    <w:qFormat/>
    <w:uiPriority w:val="99"/>
    <w:rPr>
      <w:b/>
      <w:bCs/>
      <w:kern w:val="2"/>
      <w:sz w:val="28"/>
      <w:szCs w:val="24"/>
    </w:rPr>
  </w:style>
  <w:style w:type="character" w:customStyle="1" w:styleId="50">
    <w:name w:val="标题 3 字符"/>
    <w:link w:val="4"/>
    <w:semiHidden/>
    <w:qFormat/>
    <w:uiPriority w:val="9"/>
    <w:rPr>
      <w:b/>
      <w:bCs/>
      <w:kern w:val="2"/>
      <w:sz w:val="32"/>
      <w:szCs w:val="32"/>
    </w:rPr>
  </w:style>
  <w:style w:type="character" w:customStyle="1" w:styleId="51">
    <w:name w:val="正文文本缩进 字符2"/>
    <w:link w:val="11"/>
    <w:qFormat/>
    <w:uiPriority w:val="0"/>
    <w:rPr>
      <w:rFonts w:ascii="宋体" w:hAnsi="Courier New"/>
      <w:spacing w:val="-4"/>
      <w:kern w:val="2"/>
      <w:sz w:val="18"/>
    </w:rPr>
  </w:style>
  <w:style w:type="character" w:customStyle="1" w:styleId="52">
    <w:name w:val="标题 1 字符"/>
    <w:link w:val="2"/>
    <w:qFormat/>
    <w:uiPriority w:val="9"/>
    <w:rPr>
      <w:b/>
      <w:bCs/>
      <w:kern w:val="44"/>
      <w:sz w:val="44"/>
      <w:szCs w:val="44"/>
    </w:rPr>
  </w:style>
  <w:style w:type="paragraph" w:customStyle="1" w:styleId="53">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4">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6">
    <w:name w:val="正文段"/>
    <w:basedOn w:val="1"/>
    <w:qFormat/>
    <w:uiPriority w:val="0"/>
    <w:pPr>
      <w:widowControl/>
      <w:snapToGrid w:val="0"/>
      <w:spacing w:afterLines="50"/>
      <w:ind w:firstLine="200" w:firstLineChars="200"/>
    </w:pPr>
    <w:rPr>
      <w:kern w:val="0"/>
      <w:sz w:val="24"/>
      <w:szCs w:val="20"/>
    </w:rPr>
  </w:style>
  <w:style w:type="paragraph" w:customStyle="1" w:styleId="57">
    <w:name w:val="彩色列表 - 强调文字颜色 11"/>
    <w:basedOn w:val="1"/>
    <w:qFormat/>
    <w:uiPriority w:val="34"/>
    <w:pPr>
      <w:ind w:firstLine="420" w:firstLineChars="200"/>
    </w:pPr>
    <w:rPr>
      <w:rFonts w:ascii="Calibri" w:hAnsi="Calibri"/>
      <w:sz w:val="21"/>
      <w:szCs w:val="22"/>
    </w:rPr>
  </w:style>
  <w:style w:type="paragraph" w:customStyle="1" w:styleId="58">
    <w:name w:val="List Paragraph1"/>
    <w:basedOn w:val="1"/>
    <w:qFormat/>
    <w:uiPriority w:val="0"/>
    <w:pPr>
      <w:ind w:firstLine="420" w:firstLineChars="200"/>
    </w:pPr>
    <w:rPr>
      <w:sz w:val="21"/>
    </w:rPr>
  </w:style>
  <w:style w:type="paragraph" w:customStyle="1" w:styleId="59">
    <w:name w:val="Proposals body"/>
    <w:basedOn w:val="1"/>
    <w:next w:val="1"/>
    <w:qFormat/>
    <w:uiPriority w:val="0"/>
    <w:pPr>
      <w:widowControl/>
      <w:spacing w:line="460" w:lineRule="exact"/>
      <w:jc w:val="left"/>
    </w:pPr>
    <w:rPr>
      <w:rFonts w:ascii="仿宋_GB2312" w:eastAsia="仿宋_GB2312"/>
      <w:snapToGrid w:val="0"/>
      <w:kern w:val="0"/>
      <w:sz w:val="24"/>
    </w:rPr>
  </w:style>
  <w:style w:type="paragraph" w:customStyle="1" w:styleId="60">
    <w:name w:val="Char Char Char Char1"/>
    <w:basedOn w:val="1"/>
    <w:qFormat/>
    <w:uiPriority w:val="0"/>
    <w:rPr>
      <w:rFonts w:ascii="Tahoma" w:hAnsi="Tahoma"/>
      <w:sz w:val="24"/>
      <w:szCs w:val="20"/>
    </w:rPr>
  </w:style>
  <w:style w:type="paragraph" w:customStyle="1" w:styleId="61">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62">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3">
    <w:name w:val="默认段落字体 Para Char Char Char Char Char Char Char Char Char1 Char Char Char Char"/>
    <w:basedOn w:val="1"/>
    <w:qFormat/>
    <w:uiPriority w:val="0"/>
    <w:rPr>
      <w:rFonts w:ascii="Tahoma" w:hAnsi="Tahoma"/>
      <w:sz w:val="24"/>
      <w:szCs w:val="20"/>
    </w:rPr>
  </w:style>
  <w:style w:type="paragraph" w:customStyle="1" w:styleId="6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5">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character" w:customStyle="1" w:styleId="66">
    <w:name w:val="批注文字 Char1"/>
    <w:semiHidden/>
    <w:qFormat/>
    <w:locked/>
    <w:uiPriority w:val="99"/>
    <w:rPr>
      <w:kern w:val="2"/>
      <w:sz w:val="28"/>
      <w:szCs w:val="24"/>
    </w:rPr>
  </w:style>
  <w:style w:type="character" w:customStyle="1" w:styleId="67">
    <w:name w:val="文档结构图 字符"/>
    <w:basedOn w:val="26"/>
    <w:link w:val="8"/>
    <w:semiHidden/>
    <w:qFormat/>
    <w:uiPriority w:val="99"/>
    <w:rPr>
      <w:rFonts w:ascii="宋体"/>
      <w:kern w:val="2"/>
      <w:sz w:val="18"/>
      <w:szCs w:val="18"/>
    </w:rPr>
  </w:style>
  <w:style w:type="paragraph" w:customStyle="1" w:styleId="68">
    <w:name w:val="WPSOffice手动目录 1"/>
    <w:qFormat/>
    <w:uiPriority w:val="0"/>
    <w:rPr>
      <w:rFonts w:ascii="Times New Roman" w:hAnsi="Times New Roman" w:eastAsia="宋体" w:cs="Times New Roman"/>
      <w:lang w:val="en-US" w:eastAsia="zh-CN" w:bidi="ar-SA"/>
    </w:rPr>
  </w:style>
  <w:style w:type="character" w:customStyle="1" w:styleId="69">
    <w:name w:val="font11"/>
    <w:basedOn w:val="26"/>
    <w:qFormat/>
    <w:uiPriority w:val="0"/>
    <w:rPr>
      <w:rFonts w:hint="eastAsia" w:ascii="宋体" w:hAnsi="宋体" w:eastAsia="宋体" w:cs="宋体"/>
      <w:color w:val="000000"/>
      <w:sz w:val="22"/>
      <w:szCs w:val="22"/>
      <w:u w:val="none"/>
    </w:rPr>
  </w:style>
  <w:style w:type="character" w:customStyle="1" w:styleId="70">
    <w:name w:val="font01"/>
    <w:basedOn w:val="26"/>
    <w:qFormat/>
    <w:uiPriority w:val="0"/>
    <w:rPr>
      <w:rFonts w:hint="eastAsia" w:ascii="宋体" w:hAnsi="宋体" w:eastAsia="宋体" w:cs="宋体"/>
      <w:color w:val="000000"/>
      <w:sz w:val="22"/>
      <w:szCs w:val="22"/>
      <w:u w:val="none"/>
    </w:rPr>
  </w:style>
  <w:style w:type="character" w:customStyle="1" w:styleId="71">
    <w:name w:val="font21"/>
    <w:basedOn w:val="26"/>
    <w:qFormat/>
    <w:uiPriority w:val="0"/>
    <w:rPr>
      <w:rFonts w:hint="default" w:ascii="Times New Roman" w:hAnsi="Times New Roman" w:cs="Times New Roman"/>
      <w:color w:val="000000"/>
      <w:sz w:val="22"/>
      <w:szCs w:val="22"/>
      <w:u w:val="none"/>
    </w:rPr>
  </w:style>
  <w:style w:type="paragraph" w:customStyle="1" w:styleId="7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91164b1-3e85-4a9a-92d3-b82eb6f80429}"/>
        <w:style w:val=""/>
        <w:category>
          <w:name w:val="常规"/>
          <w:gallery w:val="placeholder"/>
        </w:category>
        <w:types>
          <w:type w:val="bbPlcHdr"/>
        </w:types>
        <w:behaviors>
          <w:behavior w:val="content"/>
        </w:behaviors>
        <w:description w:val=""/>
        <w:guid w:val="{191164b1-3e85-4a9a-92d3-b82eb6f80429}"/>
      </w:docPartPr>
      <w:docPartBody>
        <w:p>
          <w:r>
            <w:rPr>
              <w:color w:val="808080"/>
            </w:rPr>
            <w:t>单击此处输入文字。</w:t>
          </w:r>
        </w:p>
      </w:docPartBody>
    </w:docPart>
    <w:docPart>
      <w:docPartPr>
        <w:name w:val="{a0d4e641-e8c7-4619-85c4-aa6a04deb80e}"/>
        <w:style w:val=""/>
        <w:category>
          <w:name w:val="常规"/>
          <w:gallery w:val="placeholder"/>
        </w:category>
        <w:types>
          <w:type w:val="bbPlcHdr"/>
        </w:types>
        <w:behaviors>
          <w:behavior w:val="content"/>
        </w:behaviors>
        <w:description w:val=""/>
        <w:guid w:val="{a0d4e641-e8c7-4619-85c4-aa6a04deb80e}"/>
      </w:docPartPr>
      <w:docPartBody>
        <w:p>
          <w:r>
            <w:rPr>
              <w:color w:val="808080"/>
            </w:rPr>
            <w:t>单击此处输入文字。</w:t>
          </w:r>
        </w:p>
      </w:docPartBody>
    </w:docPart>
    <w:docPart>
      <w:docPartPr>
        <w:name w:val="{5df8cb17-501f-4bee-b2e3-dc0371652f74}"/>
        <w:style w:val=""/>
        <w:category>
          <w:name w:val="常规"/>
          <w:gallery w:val="placeholder"/>
        </w:category>
        <w:types>
          <w:type w:val="bbPlcHdr"/>
        </w:types>
        <w:behaviors>
          <w:behavior w:val="content"/>
        </w:behaviors>
        <w:description w:val=""/>
        <w:guid w:val="{5df8cb17-501f-4bee-b2e3-dc0371652f74}"/>
      </w:docPartPr>
      <w:docPartBody>
        <w:p>
          <w:r>
            <w:rPr>
              <w:color w:val="808080"/>
            </w:rPr>
            <w:t>单击此处输入文字。</w:t>
          </w:r>
        </w:p>
      </w:docPartBody>
    </w:docPart>
    <w:docPart>
      <w:docPartPr>
        <w:name w:val="{fe75ab1c-2fc6-4605-be89-eb2132704cf3}"/>
        <w:style w:val=""/>
        <w:category>
          <w:name w:val="常规"/>
          <w:gallery w:val="placeholder"/>
        </w:category>
        <w:types>
          <w:type w:val="bbPlcHdr"/>
        </w:types>
        <w:behaviors>
          <w:behavior w:val="content"/>
        </w:behaviors>
        <w:description w:val=""/>
        <w:guid w:val="{fe75ab1c-2fc6-4605-be89-eb2132704cf3}"/>
      </w:docPartPr>
      <w:docPartBody>
        <w:p>
          <w:r>
            <w:rPr>
              <w:color w:val="808080"/>
            </w:rPr>
            <w:t>单击此处输入文字。</w:t>
          </w:r>
        </w:p>
      </w:docPartBody>
    </w:docPart>
    <w:docPart>
      <w:docPartPr>
        <w:name w:val="{60dc598b-85d7-427f-9f66-09e90b8ef25c}"/>
        <w:style w:val=""/>
        <w:category>
          <w:name w:val="常规"/>
          <w:gallery w:val="placeholder"/>
        </w:category>
        <w:types>
          <w:type w:val="bbPlcHdr"/>
        </w:types>
        <w:behaviors>
          <w:behavior w:val="content"/>
        </w:behaviors>
        <w:description w:val=""/>
        <w:guid w:val="{60dc598b-85d7-427f-9f66-09e90b8ef25c}"/>
      </w:docPartPr>
      <w:docPartBody>
        <w:p>
          <w:r>
            <w:rPr>
              <w:color w:val="808080"/>
            </w:rPr>
            <w:t>单击此处输入文字。</w:t>
          </w:r>
        </w:p>
      </w:docPartBody>
    </w:docPart>
    <w:docPart>
      <w:docPartPr>
        <w:name w:val="{a89b4e71-711f-42e7-8210-915b7069dd1a}"/>
        <w:style w:val=""/>
        <w:category>
          <w:name w:val="常规"/>
          <w:gallery w:val="placeholder"/>
        </w:category>
        <w:types>
          <w:type w:val="bbPlcHdr"/>
        </w:types>
        <w:behaviors>
          <w:behavior w:val="content"/>
        </w:behaviors>
        <w:description w:val=""/>
        <w:guid w:val="{a89b4e71-711f-42e7-8210-915b7069dd1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5394</Words>
  <Characters>30750</Characters>
  <Lines>256</Lines>
  <Paragraphs>72</Paragraphs>
  <TotalTime>278</TotalTime>
  <ScaleCrop>false</ScaleCrop>
  <LinksUpToDate>false</LinksUpToDate>
  <CharactersWithSpaces>36072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2019-05-27T03:19:00Z</dcterms:created>
  <dc:creator>jj</dc:creator>
  <cp:lastModifiedBy>雷霆</cp:lastModifiedBy>
  <cp:lastPrinted>2020-04-14T08:42:00Z</cp:lastPrinted>
  <dcterms:modified xsi:type="dcterms:W3CDTF">2020-07-28T07:39:11Z</dcterms:modified>
  <dc:title>求是招标代理有限公司</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