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olor w:val="000000"/>
          <w:sz w:val="44"/>
        </w:rPr>
      </w:pPr>
      <w:bookmarkStart w:id="219" w:name="_GoBack"/>
      <w:bookmarkEnd w:id="219"/>
    </w:p>
    <w:p>
      <w:pPr>
        <w:spacing w:before="120" w:beforeLines="50" w:line="360" w:lineRule="auto"/>
        <w:jc w:val="center"/>
        <w:rPr>
          <w:rFonts w:hint="eastAsia" w:ascii="宋体" w:hAnsi="宋体"/>
          <w:bCs/>
          <w:color w:val="000000"/>
          <w:sz w:val="52"/>
          <w:szCs w:val="44"/>
        </w:rPr>
      </w:pPr>
      <w:r>
        <w:rPr>
          <w:rFonts w:hint="eastAsia" w:ascii="宋体" w:hAnsi="宋体"/>
          <w:bCs/>
          <w:color w:val="000000"/>
          <w:sz w:val="52"/>
          <w:szCs w:val="44"/>
        </w:rPr>
        <w:t>浙江省第四监狱指挥中心迁建项目</w:t>
      </w:r>
    </w:p>
    <w:p>
      <w:pPr>
        <w:spacing w:before="120" w:beforeLines="50" w:line="360" w:lineRule="auto"/>
        <w:jc w:val="center"/>
        <w:rPr>
          <w:rFonts w:hint="eastAsia" w:ascii="宋体" w:hAnsi="宋体"/>
          <w:b/>
          <w:color w:val="000000"/>
          <w:sz w:val="48"/>
          <w:szCs w:val="48"/>
        </w:rPr>
      </w:pPr>
    </w:p>
    <w:p>
      <w:pPr>
        <w:spacing w:before="120" w:beforeLines="50" w:line="360" w:lineRule="auto"/>
        <w:jc w:val="center"/>
        <w:rPr>
          <w:rFonts w:hint="eastAsia" w:ascii="宋体" w:hAnsi="宋体"/>
          <w:b/>
          <w:color w:val="000000"/>
          <w:szCs w:val="21"/>
        </w:rPr>
      </w:pPr>
    </w:p>
    <w:p>
      <w:pPr>
        <w:spacing w:before="120" w:beforeLines="50" w:line="360" w:lineRule="auto"/>
        <w:jc w:val="center"/>
        <w:rPr>
          <w:rFonts w:ascii="宋体" w:hAnsi="宋体"/>
          <w:color w:val="000000"/>
          <w:sz w:val="72"/>
          <w:szCs w:val="72"/>
        </w:rPr>
      </w:pPr>
      <w:r>
        <w:rPr>
          <w:rFonts w:hint="eastAsia" w:ascii="宋体" w:hAnsi="宋体"/>
          <w:color w:val="000000"/>
          <w:sz w:val="72"/>
          <w:szCs w:val="72"/>
        </w:rPr>
        <w:t>公开招标采购文件</w:t>
      </w:r>
    </w:p>
    <w:p>
      <w:pPr>
        <w:pStyle w:val="16"/>
        <w:snapToGrid w:val="0"/>
        <w:spacing w:before="120" w:after="120" w:line="360" w:lineRule="auto"/>
        <w:ind w:firstLine="1343" w:firstLineChars="446"/>
        <w:rPr>
          <w:rFonts w:hint="eastAsia" w:hAnsi="宋体"/>
          <w:b/>
          <w:bCs/>
          <w:color w:val="000000"/>
          <w:sz w:val="30"/>
          <w:szCs w:val="30"/>
        </w:rPr>
      </w:pPr>
    </w:p>
    <w:p>
      <w:pPr>
        <w:pStyle w:val="16"/>
        <w:snapToGrid w:val="0"/>
        <w:spacing w:before="120" w:after="120" w:line="360" w:lineRule="auto"/>
        <w:ind w:firstLine="1459" w:firstLineChars="478"/>
        <w:rPr>
          <w:rFonts w:hAnsi="宋体"/>
          <w:b/>
          <w:bCs/>
          <w:color w:val="000000"/>
          <w:w w:val="95"/>
          <w:sz w:val="32"/>
          <w:szCs w:val="32"/>
        </w:rPr>
      </w:pPr>
    </w:p>
    <w:p>
      <w:pPr>
        <w:pStyle w:val="16"/>
        <w:snapToGrid w:val="0"/>
        <w:spacing w:before="120" w:after="120" w:line="360" w:lineRule="auto"/>
        <w:ind w:firstLine="1459" w:firstLineChars="478"/>
        <w:rPr>
          <w:rFonts w:hAnsi="宋体"/>
          <w:b/>
          <w:bCs/>
          <w:color w:val="000000"/>
          <w:w w:val="95"/>
          <w:sz w:val="32"/>
          <w:szCs w:val="32"/>
        </w:rPr>
      </w:pPr>
    </w:p>
    <w:p>
      <w:pPr>
        <w:pStyle w:val="16"/>
        <w:snapToGrid w:val="0"/>
        <w:spacing w:before="120" w:after="120" w:line="360" w:lineRule="auto"/>
        <w:ind w:firstLine="1459" w:firstLineChars="478"/>
        <w:rPr>
          <w:rFonts w:hint="eastAsia" w:hAnsi="宋体"/>
          <w:b/>
          <w:bCs/>
          <w:color w:val="000000"/>
          <w:w w:val="95"/>
          <w:sz w:val="32"/>
          <w:szCs w:val="32"/>
        </w:rPr>
      </w:pPr>
    </w:p>
    <w:p>
      <w:pPr>
        <w:pStyle w:val="16"/>
        <w:snapToGrid w:val="0"/>
        <w:spacing w:before="120" w:after="120" w:line="360" w:lineRule="auto"/>
        <w:ind w:firstLine="1526" w:firstLineChars="500"/>
        <w:rPr>
          <w:rFonts w:hAnsi="宋体"/>
          <w:b/>
          <w:bCs/>
          <w:color w:val="000000"/>
          <w:w w:val="95"/>
          <w:sz w:val="32"/>
          <w:szCs w:val="32"/>
        </w:rPr>
      </w:pPr>
      <w:r>
        <w:rPr>
          <w:rFonts w:hint="eastAsia" w:hAnsi="宋体"/>
          <w:b/>
          <w:bCs/>
          <w:color w:val="000000"/>
          <w:w w:val="95"/>
          <w:sz w:val="32"/>
          <w:szCs w:val="32"/>
        </w:rPr>
        <w:t>项目编号：S4J-B202105005</w:t>
      </w:r>
    </w:p>
    <w:p>
      <w:pPr>
        <w:pStyle w:val="16"/>
        <w:snapToGrid w:val="0"/>
        <w:spacing w:before="120" w:after="120" w:line="360" w:lineRule="auto"/>
        <w:ind w:firstLine="1526" w:firstLineChars="500"/>
        <w:rPr>
          <w:rFonts w:hint="eastAsia" w:hAnsi="宋体"/>
          <w:b/>
          <w:bCs/>
          <w:color w:val="000000"/>
          <w:w w:val="95"/>
          <w:sz w:val="32"/>
          <w:szCs w:val="32"/>
        </w:rPr>
      </w:pPr>
      <w:r>
        <w:rPr>
          <w:rFonts w:hint="eastAsia" w:hAnsi="宋体"/>
          <w:b/>
          <w:bCs/>
          <w:color w:val="000000"/>
          <w:w w:val="95"/>
          <w:sz w:val="32"/>
          <w:szCs w:val="32"/>
        </w:rPr>
        <w:t>确认书号：临【2020】</w:t>
      </w:r>
      <w:r>
        <w:rPr>
          <w:rFonts w:hAnsi="宋体"/>
          <w:b/>
          <w:bCs/>
          <w:color w:val="000000"/>
          <w:w w:val="95"/>
          <w:sz w:val="32"/>
          <w:szCs w:val="32"/>
        </w:rPr>
        <w:t>76787</w:t>
      </w:r>
    </w:p>
    <w:p>
      <w:pPr>
        <w:pStyle w:val="16"/>
        <w:snapToGrid w:val="0"/>
        <w:spacing w:before="120" w:after="120" w:line="360" w:lineRule="auto"/>
        <w:ind w:firstLine="1526" w:firstLineChars="500"/>
        <w:rPr>
          <w:rFonts w:hint="eastAsia" w:hAnsi="宋体"/>
          <w:b/>
          <w:bCs/>
          <w:color w:val="000000"/>
          <w:w w:val="95"/>
          <w:sz w:val="32"/>
          <w:szCs w:val="32"/>
        </w:rPr>
      </w:pPr>
      <w:r>
        <w:rPr>
          <w:rFonts w:hint="eastAsia" w:hAnsi="宋体"/>
          <w:b/>
          <w:bCs/>
          <w:color w:val="000000"/>
          <w:w w:val="95"/>
          <w:sz w:val="32"/>
          <w:szCs w:val="32"/>
        </w:rPr>
        <w:t xml:space="preserve">项目名称：指挥中心迁建项目 </w:t>
      </w:r>
    </w:p>
    <w:p>
      <w:pPr>
        <w:pStyle w:val="16"/>
        <w:snapToGrid w:val="0"/>
        <w:spacing w:before="120" w:after="120" w:line="360" w:lineRule="auto"/>
        <w:ind w:firstLine="1526" w:firstLineChars="500"/>
        <w:rPr>
          <w:rFonts w:hint="eastAsia" w:hAnsi="宋体"/>
          <w:b/>
          <w:bCs/>
          <w:color w:val="000000"/>
          <w:w w:val="95"/>
          <w:sz w:val="32"/>
          <w:szCs w:val="32"/>
        </w:rPr>
      </w:pPr>
      <w:r>
        <w:rPr>
          <w:rFonts w:hint="eastAsia" w:hAnsi="宋体"/>
          <w:b/>
          <w:bCs/>
          <w:color w:val="000000"/>
          <w:w w:val="95"/>
          <w:sz w:val="32"/>
          <w:szCs w:val="32"/>
        </w:rPr>
        <w:t>采购单位：浙江省第四监狱</w:t>
      </w:r>
    </w:p>
    <w:p>
      <w:pPr>
        <w:pStyle w:val="16"/>
        <w:snapToGrid w:val="0"/>
        <w:spacing w:before="120" w:after="120" w:line="360" w:lineRule="auto"/>
        <w:ind w:firstLine="1526" w:firstLineChars="500"/>
        <w:rPr>
          <w:rFonts w:hint="eastAsia" w:hAnsi="宋体"/>
          <w:b/>
          <w:bCs/>
          <w:color w:val="000000"/>
          <w:w w:val="95"/>
          <w:sz w:val="32"/>
          <w:szCs w:val="32"/>
        </w:rPr>
      </w:pPr>
      <w:r>
        <w:rPr>
          <w:rFonts w:hint="eastAsia" w:hAnsi="宋体"/>
          <w:b/>
          <w:bCs/>
          <w:color w:val="000000"/>
          <w:w w:val="95"/>
          <w:sz w:val="32"/>
          <w:szCs w:val="32"/>
        </w:rPr>
        <w:t>代理机构：浙江中际工程项目管理有限公司</w:t>
      </w:r>
    </w:p>
    <w:p>
      <w:pPr>
        <w:pStyle w:val="16"/>
        <w:snapToGrid w:val="0"/>
        <w:spacing w:before="120" w:after="120" w:line="360" w:lineRule="auto"/>
        <w:rPr>
          <w:rFonts w:hint="eastAsia" w:hAnsi="宋体"/>
          <w:b/>
          <w:bCs/>
          <w:color w:val="000000"/>
          <w:w w:val="95"/>
          <w:sz w:val="32"/>
          <w:szCs w:val="32"/>
        </w:rPr>
      </w:pPr>
    </w:p>
    <w:p>
      <w:pPr>
        <w:snapToGrid w:val="0"/>
        <w:spacing w:before="120" w:beforeLines="50" w:line="360" w:lineRule="auto"/>
        <w:jc w:val="center"/>
        <w:rPr>
          <w:rFonts w:ascii="宋体" w:hAnsi="宋体"/>
          <w:b/>
          <w:bCs/>
          <w:color w:val="000000"/>
          <w:w w:val="95"/>
          <w:sz w:val="30"/>
          <w:szCs w:val="30"/>
        </w:rPr>
        <w:sectPr>
          <w:headerReference r:id="rId3" w:type="default"/>
          <w:footerReference r:id="rId4" w:type="default"/>
          <w:footerReference r:id="rId5" w:type="even"/>
          <w:pgSz w:w="11906" w:h="16838"/>
          <w:pgMar w:top="1474" w:right="1797" w:bottom="1247" w:left="1797" w:header="851" w:footer="851" w:gutter="0"/>
          <w:cols w:space="720" w:num="1"/>
          <w:docGrid w:linePitch="312" w:charSpace="0"/>
        </w:sectPr>
      </w:pPr>
      <w:r>
        <w:rPr>
          <w:rFonts w:hint="eastAsia" w:ascii="宋体" w:hAnsi="宋体"/>
          <w:b/>
          <w:bCs/>
          <w:color w:val="000000"/>
          <w:w w:val="95"/>
          <w:sz w:val="32"/>
          <w:szCs w:val="32"/>
        </w:rPr>
        <w:t>202</w:t>
      </w:r>
      <w:r>
        <w:rPr>
          <w:rFonts w:ascii="宋体" w:hAnsi="宋体"/>
          <w:b/>
          <w:bCs/>
          <w:color w:val="000000"/>
          <w:w w:val="95"/>
          <w:sz w:val="32"/>
          <w:szCs w:val="32"/>
        </w:rPr>
        <w:t>1年3月</w:t>
      </w:r>
    </w:p>
    <w:p>
      <w:pPr>
        <w:pStyle w:val="16"/>
        <w:spacing w:before="120" w:after="120" w:line="360" w:lineRule="auto"/>
        <w:jc w:val="center"/>
        <w:rPr>
          <w:rFonts w:hint="eastAsia" w:hAnsi="宋体"/>
          <w:color w:val="000000"/>
          <w:sz w:val="36"/>
          <w:szCs w:val="36"/>
        </w:rPr>
      </w:pPr>
    </w:p>
    <w:p>
      <w:pPr>
        <w:pStyle w:val="16"/>
        <w:spacing w:before="120" w:after="120" w:line="360" w:lineRule="auto"/>
        <w:jc w:val="center"/>
        <w:rPr>
          <w:rFonts w:hint="eastAsia" w:hAnsi="宋体"/>
          <w:color w:val="000000"/>
          <w:sz w:val="36"/>
          <w:szCs w:val="36"/>
        </w:rPr>
      </w:pPr>
      <w:r>
        <w:rPr>
          <w:rFonts w:hint="eastAsia" w:hAnsi="宋体"/>
          <w:color w:val="000000"/>
          <w:sz w:val="36"/>
          <w:szCs w:val="36"/>
        </w:rPr>
        <w:t>目 录</w:t>
      </w:r>
    </w:p>
    <w:p>
      <w:pPr>
        <w:pStyle w:val="21"/>
        <w:tabs>
          <w:tab w:val="right" w:leader="dot" w:pos="8720"/>
        </w:tabs>
        <w:spacing w:line="360" w:lineRule="auto"/>
        <w:rPr>
          <w:rFonts w:ascii="宋体" w:hAnsi="宋体"/>
          <w:b/>
          <w:color w:val="000000"/>
          <w:sz w:val="30"/>
          <w:szCs w:val="30"/>
          <w:lang/>
        </w:rPr>
      </w:pPr>
      <w:r>
        <w:rPr>
          <w:rFonts w:ascii="宋体" w:hAnsi="宋体"/>
          <w:b/>
          <w:color w:val="000000"/>
          <w:sz w:val="30"/>
          <w:szCs w:val="30"/>
        </w:rPr>
        <w:fldChar w:fldCharType="begin"/>
      </w:r>
      <w:r>
        <w:rPr>
          <w:rFonts w:ascii="宋体" w:hAnsi="宋体"/>
          <w:b/>
          <w:color w:val="000000"/>
          <w:sz w:val="30"/>
          <w:szCs w:val="30"/>
        </w:rPr>
        <w:instrText xml:space="preserve"> </w:instrText>
      </w:r>
      <w:r>
        <w:rPr>
          <w:rFonts w:hint="eastAsia" w:ascii="宋体" w:hAnsi="宋体"/>
          <w:b/>
          <w:color w:val="000000"/>
          <w:sz w:val="30"/>
          <w:szCs w:val="30"/>
        </w:rPr>
        <w:instrText xml:space="preserve">TOC \o "1-1" \h \z \u</w:instrText>
      </w:r>
      <w:r>
        <w:rPr>
          <w:rFonts w:ascii="宋体" w:hAnsi="宋体"/>
          <w:b/>
          <w:color w:val="000000"/>
          <w:sz w:val="30"/>
          <w:szCs w:val="30"/>
        </w:rPr>
        <w:instrText xml:space="preserve"> </w:instrText>
      </w:r>
      <w:r>
        <w:rPr>
          <w:rFonts w:ascii="宋体" w:hAnsi="宋体"/>
          <w:b/>
          <w:color w:val="000000"/>
          <w:sz w:val="30"/>
          <w:szCs w:val="30"/>
        </w:rPr>
        <w:fldChar w:fldCharType="separate"/>
      </w:r>
      <w:r>
        <w:rPr>
          <w:rFonts w:ascii="宋体" w:hAnsi="宋体"/>
          <w:color w:val="000000"/>
          <w:lang/>
        </w:rPr>
        <w:fldChar w:fldCharType="begin"/>
      </w:r>
      <w:r>
        <w:rPr>
          <w:rFonts w:ascii="宋体" w:hAnsi="宋体"/>
          <w:color w:val="000000"/>
          <w:lang/>
        </w:rPr>
        <w:instrText xml:space="preserve"> HYPERLINK \l "_Toc44755893" </w:instrText>
      </w:r>
      <w:r>
        <w:rPr>
          <w:rFonts w:ascii="宋体" w:hAnsi="宋体"/>
          <w:color w:val="000000"/>
          <w:lang/>
        </w:rPr>
        <w:fldChar w:fldCharType="separate"/>
      </w:r>
      <w:r>
        <w:rPr>
          <w:rStyle w:val="30"/>
          <w:rFonts w:hint="eastAsia" w:ascii="宋体" w:hAnsi="宋体"/>
          <w:b/>
          <w:color w:val="000000"/>
          <w:sz w:val="30"/>
          <w:szCs w:val="30"/>
          <w:lang/>
        </w:rPr>
        <w:t>电子交易须知</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_Toc44755893 \h </w:instrText>
      </w:r>
      <w:r>
        <w:rPr>
          <w:rFonts w:ascii="宋体" w:hAnsi="宋体"/>
          <w:b/>
          <w:color w:val="000000"/>
          <w:sz w:val="30"/>
          <w:szCs w:val="30"/>
          <w:lang/>
        </w:rPr>
        <w:fldChar w:fldCharType="separate"/>
      </w:r>
      <w:r>
        <w:rPr>
          <w:rFonts w:ascii="宋体" w:hAnsi="宋体"/>
          <w:b/>
          <w:color w:val="000000"/>
          <w:sz w:val="30"/>
          <w:szCs w:val="30"/>
          <w:lang/>
        </w:rPr>
        <w:t>3</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"_Toc44755894" </w:instrText>
      </w:r>
      <w:r>
        <w:rPr>
          <w:rFonts w:ascii="宋体" w:hAnsi="宋体"/>
          <w:color w:val="000000"/>
          <w:lang/>
        </w:rPr>
        <w:fldChar w:fldCharType="separate"/>
      </w:r>
      <w:r>
        <w:rPr>
          <w:rStyle w:val="30"/>
          <w:rFonts w:hint="eastAsia" w:ascii="宋体" w:hAnsi="宋体"/>
          <w:b/>
          <w:color w:val="000000"/>
          <w:sz w:val="30"/>
          <w:szCs w:val="30"/>
          <w:lang/>
        </w:rPr>
        <w:t>第一章</w:t>
      </w:r>
      <w:r>
        <w:rPr>
          <w:rStyle w:val="30"/>
          <w:rFonts w:ascii="宋体" w:hAnsi="宋体"/>
          <w:b/>
          <w:color w:val="000000"/>
          <w:sz w:val="30"/>
          <w:szCs w:val="30"/>
          <w:lang/>
        </w:rPr>
        <w:t xml:space="preserve">  </w:t>
      </w:r>
      <w:r>
        <w:rPr>
          <w:rStyle w:val="30"/>
          <w:rFonts w:hint="eastAsia" w:ascii="宋体" w:hAnsi="宋体"/>
          <w:b/>
          <w:color w:val="000000"/>
          <w:sz w:val="30"/>
          <w:szCs w:val="30"/>
          <w:lang/>
        </w:rPr>
        <w:t>投标邀请</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_Toc44755894 \h </w:instrText>
      </w:r>
      <w:r>
        <w:rPr>
          <w:rFonts w:ascii="宋体" w:hAnsi="宋体"/>
          <w:b/>
          <w:color w:val="000000"/>
          <w:sz w:val="30"/>
          <w:szCs w:val="30"/>
          <w:lang/>
        </w:rPr>
        <w:fldChar w:fldCharType="separate"/>
      </w:r>
      <w:r>
        <w:rPr>
          <w:rFonts w:ascii="宋体" w:hAnsi="宋体"/>
          <w:b/>
          <w:color w:val="000000"/>
          <w:sz w:val="30"/>
          <w:szCs w:val="30"/>
          <w:lang/>
        </w:rPr>
        <w:t>4</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"_Toc44755895" </w:instrText>
      </w:r>
      <w:r>
        <w:rPr>
          <w:rFonts w:ascii="宋体" w:hAnsi="宋体"/>
          <w:color w:val="000000"/>
          <w:lang/>
        </w:rPr>
        <w:fldChar w:fldCharType="separate"/>
      </w:r>
      <w:r>
        <w:rPr>
          <w:rStyle w:val="30"/>
          <w:rFonts w:hint="eastAsia" w:ascii="宋体" w:hAnsi="宋体"/>
          <w:b/>
          <w:color w:val="000000"/>
          <w:sz w:val="30"/>
          <w:szCs w:val="30"/>
          <w:lang/>
        </w:rPr>
        <w:t>第二章</w:t>
      </w:r>
      <w:r>
        <w:rPr>
          <w:rStyle w:val="30"/>
          <w:rFonts w:ascii="宋体" w:hAnsi="宋体"/>
          <w:b/>
          <w:color w:val="000000"/>
          <w:sz w:val="30"/>
          <w:szCs w:val="30"/>
          <w:lang/>
        </w:rPr>
        <w:t xml:space="preserve">  </w:t>
      </w:r>
      <w:r>
        <w:rPr>
          <w:rStyle w:val="30"/>
          <w:rFonts w:hint="eastAsia" w:ascii="宋体" w:hAnsi="宋体"/>
          <w:b/>
          <w:color w:val="000000"/>
          <w:sz w:val="30"/>
          <w:szCs w:val="30"/>
          <w:lang/>
        </w:rPr>
        <w:t>投标人须知</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_Toc44755895 \h </w:instrText>
      </w:r>
      <w:r>
        <w:rPr>
          <w:rFonts w:ascii="宋体" w:hAnsi="宋体"/>
          <w:b/>
          <w:color w:val="000000"/>
          <w:sz w:val="30"/>
          <w:szCs w:val="30"/>
          <w:lang/>
        </w:rPr>
        <w:fldChar w:fldCharType="separate"/>
      </w:r>
      <w:r>
        <w:rPr>
          <w:rFonts w:ascii="宋体" w:hAnsi="宋体"/>
          <w:b/>
          <w:color w:val="000000"/>
          <w:sz w:val="30"/>
          <w:szCs w:val="30"/>
          <w:lang/>
        </w:rPr>
        <w:t>7</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"_Toc44755896" </w:instrText>
      </w:r>
      <w:r>
        <w:rPr>
          <w:rFonts w:ascii="宋体" w:hAnsi="宋体"/>
          <w:color w:val="000000"/>
          <w:lang/>
        </w:rPr>
        <w:fldChar w:fldCharType="separate"/>
      </w:r>
      <w:r>
        <w:rPr>
          <w:rStyle w:val="30"/>
          <w:rFonts w:hint="eastAsia" w:ascii="宋体" w:hAnsi="宋体"/>
          <w:b/>
          <w:color w:val="000000"/>
          <w:sz w:val="30"/>
          <w:szCs w:val="30"/>
          <w:lang/>
        </w:rPr>
        <w:t>第三章</w:t>
      </w:r>
      <w:r>
        <w:rPr>
          <w:rStyle w:val="30"/>
          <w:rFonts w:ascii="宋体" w:hAnsi="宋体"/>
          <w:b/>
          <w:color w:val="000000"/>
          <w:sz w:val="30"/>
          <w:szCs w:val="30"/>
          <w:lang/>
        </w:rPr>
        <w:t xml:space="preserve">  </w:t>
      </w:r>
      <w:r>
        <w:rPr>
          <w:rStyle w:val="30"/>
          <w:rFonts w:hint="eastAsia" w:ascii="宋体" w:hAnsi="宋体"/>
          <w:b/>
          <w:color w:val="000000"/>
          <w:sz w:val="30"/>
          <w:szCs w:val="30"/>
          <w:lang/>
        </w:rPr>
        <w:t>评标办法</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_Toc44755896 \h </w:instrText>
      </w:r>
      <w:r>
        <w:rPr>
          <w:rFonts w:ascii="宋体" w:hAnsi="宋体"/>
          <w:b/>
          <w:color w:val="000000"/>
          <w:sz w:val="30"/>
          <w:szCs w:val="30"/>
          <w:lang/>
        </w:rPr>
        <w:fldChar w:fldCharType="separate"/>
      </w:r>
      <w:r>
        <w:rPr>
          <w:rFonts w:ascii="宋体" w:hAnsi="宋体"/>
          <w:b/>
          <w:color w:val="000000"/>
          <w:sz w:val="30"/>
          <w:szCs w:val="30"/>
          <w:lang/>
        </w:rPr>
        <w:t>20</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"_Toc44755897" </w:instrText>
      </w:r>
      <w:r>
        <w:rPr>
          <w:rFonts w:ascii="宋体" w:hAnsi="宋体"/>
          <w:color w:val="000000"/>
          <w:lang/>
        </w:rPr>
        <w:fldChar w:fldCharType="separate"/>
      </w:r>
      <w:r>
        <w:rPr>
          <w:rStyle w:val="30"/>
          <w:rFonts w:hint="eastAsia" w:ascii="宋体" w:hAnsi="宋体"/>
          <w:b/>
          <w:color w:val="000000"/>
          <w:sz w:val="30"/>
          <w:szCs w:val="30"/>
          <w:lang/>
        </w:rPr>
        <w:t>第四章</w:t>
      </w:r>
      <w:r>
        <w:rPr>
          <w:rStyle w:val="30"/>
          <w:rFonts w:ascii="宋体" w:hAnsi="宋体"/>
          <w:b/>
          <w:color w:val="000000"/>
          <w:sz w:val="30"/>
          <w:szCs w:val="30"/>
          <w:lang/>
        </w:rPr>
        <w:t xml:space="preserve">  </w:t>
      </w:r>
      <w:r>
        <w:rPr>
          <w:rStyle w:val="30"/>
          <w:rFonts w:hint="eastAsia" w:ascii="宋体" w:hAnsi="宋体"/>
          <w:b/>
          <w:color w:val="000000"/>
          <w:sz w:val="30"/>
          <w:szCs w:val="30"/>
          <w:lang/>
        </w:rPr>
        <w:t>招标内容及需求</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_Toc44755897 \h </w:instrText>
      </w:r>
      <w:r>
        <w:rPr>
          <w:rFonts w:ascii="宋体" w:hAnsi="宋体"/>
          <w:b/>
          <w:color w:val="000000"/>
          <w:sz w:val="30"/>
          <w:szCs w:val="30"/>
          <w:lang/>
        </w:rPr>
        <w:fldChar w:fldCharType="separate"/>
      </w:r>
      <w:r>
        <w:rPr>
          <w:rFonts w:ascii="宋体" w:hAnsi="宋体"/>
          <w:b/>
          <w:color w:val="000000"/>
          <w:sz w:val="30"/>
          <w:szCs w:val="30"/>
          <w:lang/>
        </w:rPr>
        <w:t>25</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"_Toc44755898" </w:instrText>
      </w:r>
      <w:r>
        <w:rPr>
          <w:rFonts w:ascii="宋体" w:hAnsi="宋体"/>
          <w:color w:val="000000"/>
          <w:lang/>
        </w:rPr>
        <w:fldChar w:fldCharType="separate"/>
      </w:r>
      <w:r>
        <w:rPr>
          <w:rStyle w:val="30"/>
          <w:rFonts w:hint="eastAsia" w:ascii="宋体" w:hAnsi="宋体"/>
          <w:b/>
          <w:color w:val="000000"/>
          <w:sz w:val="30"/>
          <w:szCs w:val="30"/>
          <w:lang/>
        </w:rPr>
        <w:t>第五章</w:t>
      </w:r>
      <w:r>
        <w:rPr>
          <w:rStyle w:val="30"/>
          <w:rFonts w:ascii="宋体" w:hAnsi="宋体"/>
          <w:b/>
          <w:color w:val="000000"/>
          <w:sz w:val="30"/>
          <w:szCs w:val="30"/>
          <w:lang/>
        </w:rPr>
        <w:t xml:space="preserve">  </w:t>
      </w:r>
      <w:r>
        <w:rPr>
          <w:rStyle w:val="30"/>
          <w:rFonts w:hint="eastAsia" w:ascii="宋体" w:hAnsi="宋体"/>
          <w:b/>
          <w:bCs/>
          <w:color w:val="000000"/>
          <w:sz w:val="30"/>
          <w:szCs w:val="30"/>
          <w:lang/>
        </w:rPr>
        <w:t>合同主要条款</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_Toc44755898 \h </w:instrText>
      </w:r>
      <w:r>
        <w:rPr>
          <w:rFonts w:ascii="宋体" w:hAnsi="宋体"/>
          <w:b/>
          <w:color w:val="000000"/>
          <w:sz w:val="30"/>
          <w:szCs w:val="30"/>
          <w:lang/>
        </w:rPr>
        <w:fldChar w:fldCharType="separate"/>
      </w:r>
      <w:r>
        <w:rPr>
          <w:rFonts w:ascii="宋体" w:hAnsi="宋体"/>
          <w:b/>
          <w:color w:val="000000"/>
          <w:sz w:val="30"/>
          <w:szCs w:val="30"/>
          <w:lang/>
        </w:rPr>
        <w:t>54</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21"/>
        <w:tabs>
          <w:tab w:val="right" w:leader="dot" w:pos="8720"/>
        </w:tabs>
        <w:spacing w:line="360" w:lineRule="auto"/>
        <w:rPr>
          <w:rFonts w:ascii="宋体" w:hAnsi="宋体"/>
          <w:b/>
          <w:color w:val="000000"/>
          <w:sz w:val="30"/>
          <w:szCs w:val="30"/>
          <w:lang/>
        </w:rPr>
      </w:pPr>
      <w:r>
        <w:rPr>
          <w:rFonts w:ascii="宋体" w:hAnsi="宋体"/>
          <w:color w:val="000000"/>
          <w:lang/>
        </w:rPr>
        <w:fldChar w:fldCharType="begin"/>
      </w:r>
      <w:r>
        <w:rPr>
          <w:rFonts w:ascii="宋体" w:hAnsi="宋体"/>
          <w:color w:val="000000"/>
          <w:lang/>
        </w:rPr>
        <w:instrText xml:space="preserve"> HYPERLINK \l "_Toc44755899" </w:instrText>
      </w:r>
      <w:r>
        <w:rPr>
          <w:rFonts w:ascii="宋体" w:hAnsi="宋体"/>
          <w:color w:val="000000"/>
          <w:lang/>
        </w:rPr>
        <w:fldChar w:fldCharType="separate"/>
      </w:r>
      <w:r>
        <w:rPr>
          <w:rStyle w:val="30"/>
          <w:rFonts w:hint="eastAsia" w:ascii="宋体" w:hAnsi="宋体"/>
          <w:b/>
          <w:color w:val="000000"/>
          <w:sz w:val="30"/>
          <w:szCs w:val="30"/>
          <w:lang/>
        </w:rPr>
        <w:t>第六章　投标文件格式</w:t>
      </w:r>
      <w:r>
        <w:rPr>
          <w:rFonts w:ascii="宋体" w:hAnsi="宋体"/>
          <w:b/>
          <w:color w:val="000000"/>
          <w:sz w:val="30"/>
          <w:szCs w:val="30"/>
          <w:lang/>
        </w:rPr>
        <w:tab/>
      </w:r>
      <w:r>
        <w:rPr>
          <w:rFonts w:ascii="宋体" w:hAnsi="宋体"/>
          <w:b/>
          <w:color w:val="000000"/>
          <w:sz w:val="30"/>
          <w:szCs w:val="30"/>
          <w:lang/>
        </w:rPr>
        <w:fldChar w:fldCharType="begin"/>
      </w:r>
      <w:r>
        <w:rPr>
          <w:rFonts w:ascii="宋体" w:hAnsi="宋体"/>
          <w:b/>
          <w:color w:val="000000"/>
          <w:sz w:val="30"/>
          <w:szCs w:val="30"/>
          <w:lang/>
        </w:rPr>
        <w:instrText xml:space="preserve"> PAGEREF _Toc44755899 \h </w:instrText>
      </w:r>
      <w:r>
        <w:rPr>
          <w:rFonts w:ascii="宋体" w:hAnsi="宋体"/>
          <w:b/>
          <w:color w:val="000000"/>
          <w:sz w:val="30"/>
          <w:szCs w:val="30"/>
          <w:lang/>
        </w:rPr>
        <w:fldChar w:fldCharType="separate"/>
      </w:r>
      <w:r>
        <w:rPr>
          <w:rFonts w:ascii="宋体" w:hAnsi="宋体"/>
          <w:b/>
          <w:color w:val="000000"/>
          <w:sz w:val="30"/>
          <w:szCs w:val="30"/>
          <w:lang/>
        </w:rPr>
        <w:t>93</w:t>
      </w:r>
      <w:r>
        <w:rPr>
          <w:rFonts w:ascii="宋体" w:hAnsi="宋体"/>
          <w:b/>
          <w:color w:val="000000"/>
          <w:sz w:val="30"/>
          <w:szCs w:val="30"/>
          <w:lang/>
        </w:rPr>
        <w:fldChar w:fldCharType="end"/>
      </w:r>
      <w:r>
        <w:rPr>
          <w:rFonts w:ascii="宋体" w:hAnsi="宋体"/>
          <w:b/>
          <w:color w:val="000000"/>
          <w:sz w:val="30"/>
          <w:szCs w:val="30"/>
          <w:lang/>
        </w:rPr>
        <w:fldChar w:fldCharType="end"/>
      </w:r>
    </w:p>
    <w:p>
      <w:pPr>
        <w:pStyle w:val="16"/>
        <w:spacing w:before="120" w:after="120" w:line="360" w:lineRule="auto"/>
        <w:rPr>
          <w:rFonts w:hint="eastAsia" w:hAnsi="宋体"/>
          <w:color w:val="000000"/>
          <w:sz w:val="44"/>
          <w:szCs w:val="44"/>
        </w:rPr>
      </w:pPr>
      <w:r>
        <w:rPr>
          <w:rFonts w:hAnsi="宋体"/>
          <w:b/>
          <w:color w:val="000000"/>
          <w:sz w:val="30"/>
          <w:szCs w:val="30"/>
        </w:rPr>
        <w:fldChar w:fldCharType="end"/>
      </w:r>
    </w:p>
    <w:p>
      <w:pPr>
        <w:pStyle w:val="16"/>
        <w:spacing w:before="480" w:beforeLines="200" w:after="240" w:afterLines="100" w:line="360" w:lineRule="auto"/>
        <w:jc w:val="center"/>
        <w:outlineLvl w:val="0"/>
        <w:rPr>
          <w:rFonts w:hint="eastAsia" w:hAnsi="宋体"/>
          <w:color w:val="000000"/>
          <w:sz w:val="36"/>
          <w:szCs w:val="36"/>
        </w:rPr>
      </w:pPr>
      <w:r>
        <w:rPr>
          <w:rFonts w:hint="eastAsia" w:hAnsi="宋体"/>
          <w:color w:val="000000"/>
          <w:sz w:val="36"/>
          <w:szCs w:val="36"/>
        </w:rPr>
        <w:br w:type="page"/>
      </w:r>
      <w:bookmarkStart w:id="0" w:name="_Toc44755893"/>
      <w:r>
        <w:rPr>
          <w:rFonts w:hint="eastAsia" w:hAnsi="宋体"/>
          <w:color w:val="000000"/>
          <w:sz w:val="36"/>
          <w:szCs w:val="36"/>
        </w:rPr>
        <w:t>电子交易须知</w:t>
      </w:r>
      <w:bookmarkEnd w:id="0"/>
    </w:p>
    <w:p>
      <w:pPr>
        <w:pStyle w:val="16"/>
        <w:wordWrap w:val="0"/>
        <w:spacing w:before="120" w:after="120" w:line="360" w:lineRule="auto"/>
        <w:ind w:firstLine="480" w:firstLineChars="200"/>
        <w:jc w:val="left"/>
        <w:rPr>
          <w:rFonts w:hint="eastAsia" w:hAnsi="宋体"/>
          <w:color w:val="000000"/>
        </w:rPr>
      </w:pPr>
      <w:r>
        <w:rPr>
          <w:rFonts w:hint="eastAsia" w:hAnsi="宋体"/>
          <w:color w:val="000000"/>
        </w:rPr>
        <w:t>1、本次采购采用电子交易方式，电子交易平台为“政府采购云平台（www.zcygov.cn）”。供应商参与本项目电子交易活动前，应注册成为政府采购云平台正式供应商。编制电子投标文件前还需申领CA证书并绑定帐号。供应商应充分考虑完成平台注册、申领CA证书等所需的时间。</w:t>
      </w:r>
    </w:p>
    <w:p>
      <w:pPr>
        <w:pStyle w:val="16"/>
        <w:wordWrap w:val="0"/>
        <w:spacing w:before="120" w:after="120" w:line="360" w:lineRule="auto"/>
        <w:ind w:firstLine="480" w:firstLineChars="200"/>
        <w:jc w:val="left"/>
        <w:rPr>
          <w:rFonts w:hint="eastAsia" w:hAnsi="宋体"/>
          <w:color w:val="000000"/>
        </w:rPr>
      </w:pPr>
      <w:r>
        <w:rPr>
          <w:rFonts w:hint="eastAsia" w:hAnsi="宋体"/>
          <w:color w:val="000000"/>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zfcg.czt.zj.gov.cn）— 下载专区 — 电子交易客户端”版块获取。</w:t>
      </w:r>
    </w:p>
    <w:p>
      <w:pPr>
        <w:pStyle w:val="16"/>
        <w:wordWrap w:val="0"/>
        <w:spacing w:before="120" w:after="120" w:line="360" w:lineRule="auto"/>
        <w:ind w:firstLine="480" w:firstLineChars="200"/>
        <w:jc w:val="left"/>
        <w:rPr>
          <w:rFonts w:hint="eastAsia" w:hAnsi="宋体"/>
          <w:color w:val="000000"/>
        </w:rPr>
      </w:pPr>
      <w:r>
        <w:rPr>
          <w:rFonts w:hint="eastAsia" w:hAnsi="宋体"/>
          <w:color w:val="000000"/>
        </w:rPr>
        <w:t>3、供应商应当在投标截止时间前，将“电子交易客户端”生成的“电子加密投标文件”上传电子交易平台。</w:t>
      </w:r>
    </w:p>
    <w:p>
      <w:pPr>
        <w:pStyle w:val="16"/>
        <w:wordWrap w:val="0"/>
        <w:spacing w:before="120" w:after="120" w:line="360" w:lineRule="auto"/>
        <w:ind w:firstLine="480" w:firstLineChars="200"/>
        <w:jc w:val="left"/>
        <w:rPr>
          <w:rFonts w:hint="eastAsia" w:hAnsi="宋体"/>
          <w:color w:val="000000"/>
        </w:rPr>
      </w:pPr>
      <w:r>
        <w:rPr>
          <w:rFonts w:hint="eastAsia" w:hAnsi="宋体"/>
          <w:color w:val="000000"/>
        </w:rPr>
        <w:t>4、“电子备份投标文件”是指与“电子加密投标文件”同时生成的数据电文形式的投标文件。供应商在电子交易平台上传“电子加密投标文件”后，还可以邮寄或送达的方式在投标截止时间前提交以介质（U盘）存储的“电子备份投标文件”。“电子备份投标文件”应当密封包装并在包装上标注采购项目编号、项目名称、投标单位名称等并加盖公章。</w:t>
      </w:r>
    </w:p>
    <w:p>
      <w:pPr>
        <w:pStyle w:val="16"/>
        <w:wordWrap w:val="0"/>
        <w:spacing w:before="120" w:after="120" w:line="360" w:lineRule="auto"/>
        <w:ind w:firstLine="480" w:firstLineChars="200"/>
        <w:jc w:val="left"/>
        <w:rPr>
          <w:rFonts w:hint="eastAsia" w:hAnsi="宋体"/>
          <w:color w:val="000000"/>
        </w:rPr>
      </w:pPr>
      <w:r>
        <w:rPr>
          <w:rFonts w:hint="eastAsia" w:hAnsi="宋体"/>
          <w:color w:val="000000"/>
        </w:rPr>
        <w:t>5、开标时，通过“政府采购云平台”递交的“电子加密投标文件”如无法按时解密的，如供应商提交了“电子备份投标文件”的，则由采购组织机构按“政府采购云平台”操作规范将“电子备份投标文件”上传至“政府采购云平台”。上传成功后，以“电子备份投标文件”参与评标，“电子加密投标文件”自动失效; 在“政府采购云平台”正常运行情况下，“电子备份投标文件”无法上传至“政府采购云平台”的，视为投标文件撤回。供应商未按规定递交“电子备份投标文件”的，视为投标文件撤回。未上传“电子加密投标文件”，仅提交“电子备份投标文件”的，投标无效。</w:t>
      </w:r>
    </w:p>
    <w:p>
      <w:pPr>
        <w:pStyle w:val="16"/>
        <w:wordWrap w:val="0"/>
        <w:snapToGrid w:val="0"/>
        <w:spacing w:before="120" w:after="120" w:line="360" w:lineRule="auto"/>
        <w:jc w:val="center"/>
        <w:rPr>
          <w:rFonts w:hint="eastAsia" w:hAnsi="宋体"/>
          <w:color w:val="000000"/>
          <w:sz w:val="21"/>
          <w:szCs w:val="21"/>
        </w:rPr>
      </w:pPr>
      <w:r>
        <w:rPr>
          <w:rFonts w:hint="eastAsia" w:hAnsi="宋体"/>
          <w:color w:val="000000"/>
        </w:rPr>
        <w:t xml:space="preserve">    </w:t>
      </w:r>
      <w:bookmarkStart w:id="1" w:name="_Toc19947"/>
      <w:r>
        <w:rPr>
          <w:rFonts w:hint="eastAsia" w:hAnsi="宋体"/>
          <w:color w:val="000000"/>
        </w:rPr>
        <w:t>6、供应商在参加电子交易过程中,可登录电子交易平台“帮助文档”版面获取《电子交易管理操作指南》，或致电平台400-881-7190获取相关服务支持。</w:t>
      </w:r>
      <w:r>
        <w:rPr>
          <w:rFonts w:hAnsi="宋体"/>
          <w:color w:val="000000"/>
          <w:sz w:val="21"/>
          <w:szCs w:val="21"/>
        </w:rPr>
        <w:br w:type="page"/>
      </w:r>
      <w:bookmarkEnd w:id="1"/>
    </w:p>
    <w:p>
      <w:pPr>
        <w:pStyle w:val="16"/>
        <w:snapToGrid w:val="0"/>
        <w:spacing w:before="120" w:after="120" w:line="360" w:lineRule="auto"/>
        <w:jc w:val="center"/>
        <w:outlineLvl w:val="0"/>
        <w:rPr>
          <w:rFonts w:hint="eastAsia" w:hAnsi="宋体"/>
          <w:color w:val="000000"/>
          <w:sz w:val="30"/>
          <w:szCs w:val="30"/>
        </w:rPr>
      </w:pPr>
      <w:bookmarkStart w:id="2" w:name="_Toc4685"/>
      <w:bookmarkStart w:id="3" w:name="_Toc44755894"/>
      <w:r>
        <w:rPr>
          <w:rFonts w:hint="eastAsia" w:hAnsi="宋体"/>
          <w:color w:val="000000"/>
          <w:sz w:val="30"/>
          <w:szCs w:val="30"/>
        </w:rPr>
        <w:t>第一章  投标邀请</w:t>
      </w:r>
      <w:bookmarkEnd w:id="2"/>
      <w:bookmarkEnd w:id="3"/>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olor w:val="000000"/>
          <w:sz w:val="24"/>
        </w:rPr>
      </w:pPr>
      <w:r>
        <w:rPr>
          <w:rFonts w:hint="eastAsia" w:ascii="宋体" w:hAnsi="宋体"/>
          <w:color w:val="000000"/>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olor w:val="000000"/>
          <w:sz w:val="24"/>
        </w:rPr>
      </w:pPr>
      <w:r>
        <w:rPr>
          <w:rFonts w:hint="eastAsia" w:ascii="宋体" w:hAnsi="宋体"/>
          <w:color w:val="000000"/>
          <w:sz w:val="24"/>
          <w:u w:val="single"/>
        </w:rPr>
        <w:t>浙江省第四监狱指挥中心迁建项目</w:t>
      </w:r>
      <w:r>
        <w:rPr>
          <w:rFonts w:hint="eastAsia" w:ascii="宋体" w:hAnsi="宋体"/>
          <w:color w:val="000000"/>
          <w:sz w:val="24"/>
        </w:rPr>
        <w:t xml:space="preserve"> 招标项目的潜在投标人应在</w:t>
      </w:r>
      <w:r>
        <w:rPr>
          <w:rFonts w:hint="eastAsia" w:ascii="宋体" w:hAnsi="宋体"/>
          <w:color w:val="000000"/>
          <w:sz w:val="24"/>
          <w:u w:val="single"/>
        </w:rPr>
        <w:t>https://www.zcygov.cn</w:t>
      </w:r>
      <w:r>
        <w:rPr>
          <w:rFonts w:hint="eastAsia" w:ascii="宋体" w:hAnsi="宋体"/>
          <w:color w:val="000000"/>
          <w:sz w:val="24"/>
        </w:rPr>
        <w:t>获取（下载）招标文件，并于</w:t>
      </w:r>
      <w:r>
        <w:rPr>
          <w:rFonts w:hint="eastAsia" w:ascii="宋体" w:hAnsi="宋体"/>
          <w:color w:val="000000"/>
          <w:sz w:val="24"/>
          <w:u w:val="single"/>
        </w:rPr>
        <w:t>202</w:t>
      </w:r>
      <w:r>
        <w:rPr>
          <w:rFonts w:ascii="宋体" w:hAnsi="宋体"/>
          <w:color w:val="000000"/>
          <w:sz w:val="24"/>
          <w:u w:val="single"/>
        </w:rPr>
        <w:t>1</w:t>
      </w:r>
      <w:r>
        <w:rPr>
          <w:rFonts w:hint="eastAsia" w:ascii="宋体" w:hAnsi="宋体"/>
          <w:color w:val="000000"/>
          <w:sz w:val="24"/>
          <w:u w:val="single"/>
        </w:rPr>
        <w:t>年</w:t>
      </w:r>
      <w:r>
        <w:rPr>
          <w:rFonts w:ascii="宋体" w:hAnsi="宋体"/>
          <w:color w:val="000000"/>
          <w:sz w:val="24"/>
          <w:u w:val="single"/>
        </w:rPr>
        <w:t>3</w:t>
      </w:r>
      <w:r>
        <w:rPr>
          <w:rFonts w:hint="eastAsia" w:ascii="宋体" w:hAnsi="宋体"/>
          <w:color w:val="000000"/>
          <w:sz w:val="24"/>
          <w:u w:val="single"/>
        </w:rPr>
        <w:t>月</w:t>
      </w:r>
      <w:r>
        <w:rPr>
          <w:rFonts w:ascii="宋体" w:hAnsi="宋体"/>
          <w:color w:val="000000"/>
          <w:sz w:val="24"/>
          <w:u w:val="single"/>
        </w:rPr>
        <w:t>24</w:t>
      </w:r>
      <w:r>
        <w:rPr>
          <w:rFonts w:hint="eastAsia" w:ascii="宋体" w:hAnsi="宋体"/>
          <w:color w:val="000000"/>
          <w:sz w:val="24"/>
          <w:u w:val="single"/>
        </w:rPr>
        <w:t>日</w:t>
      </w:r>
      <w:r>
        <w:rPr>
          <w:rFonts w:ascii="宋体" w:hAnsi="宋体"/>
          <w:color w:val="000000"/>
          <w:sz w:val="24"/>
          <w:u w:val="single"/>
        </w:rPr>
        <w:t>09</w:t>
      </w:r>
      <w:r>
        <w:rPr>
          <w:rFonts w:hint="eastAsia" w:ascii="宋体" w:hAnsi="宋体"/>
          <w:color w:val="000000"/>
          <w:sz w:val="24"/>
          <w:u w:val="single"/>
        </w:rPr>
        <w:t>:</w:t>
      </w:r>
      <w:r>
        <w:rPr>
          <w:rFonts w:ascii="宋体" w:hAnsi="宋体"/>
          <w:color w:val="000000"/>
          <w:sz w:val="24"/>
          <w:u w:val="single"/>
        </w:rPr>
        <w:t>30</w:t>
      </w:r>
      <w:r>
        <w:rPr>
          <w:rFonts w:hint="eastAsia" w:ascii="宋体" w:hAnsi="宋体"/>
          <w:bCs/>
          <w:color w:val="000000"/>
          <w:sz w:val="24"/>
        </w:rPr>
        <w:t>（北京时间）前递交（上传）投标</w:t>
      </w:r>
      <w:r>
        <w:rPr>
          <w:rFonts w:ascii="宋体" w:hAnsi="宋体"/>
          <w:bCs/>
          <w:color w:val="000000"/>
          <w:sz w:val="24"/>
        </w:rPr>
        <w:t>文件</w:t>
      </w:r>
      <w:r>
        <w:rPr>
          <w:rFonts w:hint="eastAsia" w:ascii="宋体" w:hAnsi="宋体"/>
          <w:color w:val="000000"/>
          <w:sz w:val="24"/>
        </w:rPr>
        <w:t>。</w:t>
      </w:r>
    </w:p>
    <w:p>
      <w:pPr>
        <w:pStyle w:val="5"/>
        <w:spacing w:before="120" w:beforeLines="50" w:after="0" w:line="360" w:lineRule="auto"/>
        <w:rPr>
          <w:rFonts w:ascii="宋体" w:hAnsi="宋体" w:eastAsia="宋体" w:cs="宋体"/>
          <w:b w:val="0"/>
          <w:color w:val="000000"/>
          <w:sz w:val="24"/>
          <w:szCs w:val="24"/>
        </w:rPr>
      </w:pPr>
      <w:bookmarkStart w:id="4" w:name="_Toc35393621"/>
      <w:bookmarkStart w:id="5" w:name="_Toc28359079"/>
      <w:bookmarkStart w:id="6" w:name="_Toc35393790"/>
      <w:bookmarkStart w:id="7" w:name="_Toc28359002"/>
      <w:bookmarkStart w:id="8" w:name="_Hlk24379207"/>
      <w:r>
        <w:rPr>
          <w:rFonts w:hint="eastAsia" w:ascii="宋体" w:hAnsi="宋体" w:eastAsia="宋体" w:cs="宋体"/>
          <w:b w:val="0"/>
          <w:color w:val="000000"/>
          <w:sz w:val="24"/>
          <w:szCs w:val="24"/>
        </w:rPr>
        <w:t>一、项目基本情况</w:t>
      </w:r>
      <w:bookmarkEnd w:id="4"/>
      <w:bookmarkEnd w:id="5"/>
      <w:bookmarkEnd w:id="6"/>
      <w:bookmarkEnd w:id="7"/>
    </w:p>
    <w:p>
      <w:pPr>
        <w:spacing w:line="360" w:lineRule="auto"/>
        <w:ind w:firstLine="480" w:firstLineChars="200"/>
        <w:rPr>
          <w:rFonts w:hint="eastAsia" w:ascii="宋体" w:hAnsi="宋体"/>
          <w:color w:val="000000"/>
          <w:sz w:val="24"/>
        </w:rPr>
      </w:pPr>
      <w:r>
        <w:rPr>
          <w:rFonts w:hint="eastAsia" w:ascii="宋体" w:hAnsi="宋体"/>
          <w:color w:val="000000"/>
          <w:sz w:val="24"/>
        </w:rPr>
        <w:t>项目编号：S4J-B202105005</w:t>
      </w:r>
    </w:p>
    <w:p>
      <w:pPr>
        <w:spacing w:line="360" w:lineRule="auto"/>
        <w:ind w:firstLine="480" w:firstLineChars="200"/>
        <w:rPr>
          <w:rFonts w:hint="eastAsia" w:ascii="宋体" w:hAnsi="宋体"/>
          <w:color w:val="000000"/>
          <w:sz w:val="24"/>
        </w:rPr>
      </w:pPr>
      <w:r>
        <w:rPr>
          <w:rFonts w:hint="eastAsia" w:ascii="宋体" w:hAnsi="宋体"/>
          <w:color w:val="000000"/>
          <w:sz w:val="24"/>
        </w:rPr>
        <w:t>项目名称：指挥中心迁建项目</w:t>
      </w:r>
    </w:p>
    <w:p>
      <w:pPr>
        <w:spacing w:line="360" w:lineRule="auto"/>
        <w:ind w:firstLine="480" w:firstLineChars="200"/>
        <w:rPr>
          <w:rFonts w:hint="eastAsia" w:ascii="宋体" w:hAnsi="宋体"/>
          <w:color w:val="000000"/>
          <w:sz w:val="24"/>
        </w:rPr>
      </w:pPr>
      <w:r>
        <w:rPr>
          <w:rFonts w:hint="eastAsia" w:ascii="宋体" w:hAnsi="宋体"/>
          <w:color w:val="000000"/>
          <w:sz w:val="24"/>
        </w:rPr>
        <w:t>采购方式：公开招标</w:t>
      </w:r>
    </w:p>
    <w:bookmarkEnd w:id="8"/>
    <w:p>
      <w:pPr>
        <w:spacing w:line="360" w:lineRule="auto"/>
        <w:ind w:firstLine="480" w:firstLineChars="200"/>
        <w:rPr>
          <w:rFonts w:hint="eastAsia" w:ascii="宋体" w:hAnsi="宋体"/>
          <w:color w:val="000000"/>
          <w:sz w:val="24"/>
        </w:rPr>
      </w:pPr>
      <w:r>
        <w:rPr>
          <w:rFonts w:hint="eastAsia" w:ascii="宋体" w:hAnsi="宋体"/>
          <w:color w:val="000000"/>
          <w:sz w:val="24"/>
        </w:rPr>
        <w:t>预算金额（元）：</w:t>
      </w:r>
      <w:r>
        <w:rPr>
          <w:rFonts w:ascii="宋体" w:hAnsi="宋体"/>
          <w:color w:val="000000"/>
          <w:sz w:val="24"/>
        </w:rPr>
        <w:t>65000</w:t>
      </w:r>
      <w:r>
        <w:rPr>
          <w:rFonts w:hint="eastAsia" w:ascii="宋体" w:hAnsi="宋体"/>
          <w:color w:val="000000"/>
          <w:sz w:val="24"/>
        </w:rPr>
        <w:t>00.00</w:t>
      </w:r>
    </w:p>
    <w:p>
      <w:pPr>
        <w:spacing w:line="360" w:lineRule="auto"/>
        <w:ind w:firstLine="480" w:firstLineChars="200"/>
        <w:rPr>
          <w:rFonts w:hint="eastAsia" w:ascii="宋体" w:hAnsi="宋体"/>
          <w:color w:val="000000"/>
          <w:sz w:val="24"/>
        </w:rPr>
      </w:pPr>
      <w:r>
        <w:rPr>
          <w:rFonts w:hint="eastAsia" w:ascii="宋体" w:hAnsi="宋体"/>
          <w:color w:val="000000"/>
          <w:sz w:val="24"/>
        </w:rPr>
        <w:t>最高限价（元）：</w:t>
      </w:r>
      <w:r>
        <w:rPr>
          <w:rFonts w:ascii="宋体" w:hAnsi="宋体"/>
          <w:color w:val="000000"/>
          <w:sz w:val="24"/>
        </w:rPr>
        <w:t>40500</w:t>
      </w:r>
      <w:r>
        <w:rPr>
          <w:rFonts w:hint="eastAsia" w:ascii="宋体" w:hAnsi="宋体"/>
          <w:color w:val="000000"/>
          <w:sz w:val="24"/>
        </w:rPr>
        <w:t>00.00</w:t>
      </w:r>
    </w:p>
    <w:p>
      <w:pPr>
        <w:spacing w:line="360" w:lineRule="auto"/>
        <w:ind w:left="360" w:firstLine="480" w:firstLineChars="200"/>
        <w:rPr>
          <w:rFonts w:hint="eastAsia" w:ascii="宋体" w:hAnsi="宋体" w:cs="宋体"/>
          <w:color w:val="000000"/>
          <w:sz w:val="24"/>
          <w:lang w:bidi="ar"/>
        </w:rPr>
      </w:pPr>
      <w:bookmarkStart w:id="9" w:name="_Toc35393622"/>
      <w:bookmarkStart w:id="10" w:name="_Toc35393791"/>
      <w:bookmarkStart w:id="11" w:name="_Toc28359080"/>
      <w:bookmarkStart w:id="12" w:name="_Toc28359003"/>
      <w:r>
        <w:rPr>
          <w:rFonts w:hint="eastAsia" w:ascii="宋体" w:hAnsi="宋体" w:cs="宋体"/>
          <w:color w:val="000000"/>
          <w:sz w:val="24"/>
          <w:lang w:bidi="ar"/>
        </w:rPr>
        <w:t>标项一：</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标项名称：指挥中心迁建项目</w:t>
      </w:r>
    </w:p>
    <w:p>
      <w:pPr>
        <w:spacing w:line="360" w:lineRule="auto"/>
        <w:ind w:left="360" w:firstLine="480" w:firstLineChars="200"/>
        <w:rPr>
          <w:rFonts w:ascii="宋体" w:hAnsi="宋体" w:cs="宋体"/>
          <w:color w:val="000000"/>
          <w:sz w:val="24"/>
          <w:lang w:bidi="ar"/>
        </w:rPr>
      </w:pPr>
      <w:r>
        <w:rPr>
          <w:rFonts w:hint="eastAsia" w:ascii="宋体" w:hAnsi="宋体" w:cs="宋体"/>
          <w:color w:val="000000"/>
          <w:sz w:val="24"/>
          <w:lang w:bidi="ar"/>
        </w:rPr>
        <w:t xml:space="preserve">数量：1 </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 xml:space="preserve">单位：套 </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预算金额（元）：</w:t>
      </w:r>
      <w:r>
        <w:rPr>
          <w:rFonts w:ascii="宋体" w:hAnsi="宋体"/>
          <w:color w:val="000000"/>
          <w:sz w:val="24"/>
        </w:rPr>
        <w:t>65000</w:t>
      </w:r>
      <w:r>
        <w:rPr>
          <w:rFonts w:hint="eastAsia" w:ascii="宋体" w:hAnsi="宋体"/>
          <w:color w:val="000000"/>
          <w:sz w:val="24"/>
        </w:rPr>
        <w:t>00.00</w:t>
      </w:r>
    </w:p>
    <w:p>
      <w:pPr>
        <w:spacing w:line="360" w:lineRule="auto"/>
        <w:ind w:left="360" w:firstLine="480" w:firstLineChars="200"/>
        <w:rPr>
          <w:rFonts w:ascii="宋体" w:hAnsi="宋体" w:cs="仿宋_GB2312"/>
          <w:color w:val="000000"/>
          <w:sz w:val="24"/>
        </w:rPr>
      </w:pPr>
      <w:r>
        <w:rPr>
          <w:rFonts w:hint="eastAsia" w:ascii="宋体" w:hAnsi="宋体" w:cs="宋体"/>
          <w:color w:val="000000"/>
          <w:sz w:val="24"/>
          <w:lang w:bidi="ar"/>
        </w:rPr>
        <w:t>简要规格描述或项目基本概况介绍、用途</w:t>
      </w:r>
      <w:r>
        <w:rPr>
          <w:rFonts w:hint="eastAsia" w:ascii="宋体" w:hAnsi="宋体" w:cs="仿宋_GB2312"/>
          <w:color w:val="000000"/>
          <w:sz w:val="24"/>
        </w:rPr>
        <w:t>：</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拟建设的内容包括但不限于指挥中心大屏显示系统，音控系统，会商决策去信息系统、视频会议系统、无纸化信息发布系统、环境监测系统、配套机房、综合布线系统、原指挥中心机房设备搬迁调试等。</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备注：（不允许进口）</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合同履行期限：</w:t>
      </w:r>
      <w:r>
        <w:rPr>
          <w:rFonts w:hint="eastAsia" w:ascii="宋体" w:hAnsi="宋体" w:cs="宋体"/>
          <w:bCs/>
          <w:color w:val="000000"/>
          <w:sz w:val="24"/>
          <w:lang w:val="en-AU"/>
        </w:rPr>
        <w:t>2</w:t>
      </w:r>
      <w:r>
        <w:rPr>
          <w:rFonts w:ascii="宋体" w:hAnsi="宋体" w:cs="宋体"/>
          <w:bCs/>
          <w:color w:val="000000"/>
          <w:sz w:val="24"/>
          <w:lang w:val="en-AU"/>
        </w:rPr>
        <w:t>021</w:t>
      </w:r>
      <w:r>
        <w:rPr>
          <w:rFonts w:hint="eastAsia" w:ascii="宋体" w:hAnsi="宋体" w:cs="宋体"/>
          <w:bCs/>
          <w:color w:val="000000"/>
          <w:sz w:val="24"/>
          <w:lang w:val="en-AU"/>
        </w:rPr>
        <w:t>年6月</w:t>
      </w:r>
      <w:r>
        <w:rPr>
          <w:rFonts w:hint="eastAsia" w:ascii="宋体" w:hAnsi="宋体" w:cs="宋体"/>
          <w:bCs/>
          <w:color w:val="000000"/>
          <w:sz w:val="24"/>
        </w:rPr>
        <w:t>25</w:t>
      </w:r>
      <w:r>
        <w:rPr>
          <w:rFonts w:hint="eastAsia" w:ascii="宋体" w:hAnsi="宋体" w:cs="宋体"/>
          <w:bCs/>
          <w:color w:val="000000"/>
          <w:sz w:val="24"/>
          <w:lang w:val="en-AU"/>
        </w:rPr>
        <w:t>日前完成建设并通过项目初验。</w:t>
      </w:r>
    </w:p>
    <w:p>
      <w:pPr>
        <w:spacing w:line="360" w:lineRule="auto"/>
        <w:ind w:left="360" w:firstLine="480" w:firstLineChars="200"/>
        <w:rPr>
          <w:rFonts w:hint="eastAsia" w:ascii="宋体" w:hAnsi="宋体" w:cs="宋体"/>
          <w:color w:val="000000"/>
          <w:sz w:val="24"/>
          <w:lang w:bidi="ar"/>
        </w:rPr>
      </w:pPr>
      <w:r>
        <w:rPr>
          <w:rFonts w:hint="eastAsia" w:ascii="宋体" w:hAnsi="宋体" w:cs="宋体"/>
          <w:color w:val="000000"/>
          <w:sz w:val="24"/>
          <w:lang w:bidi="ar"/>
        </w:rPr>
        <w:t>本项目（否）接受联合体投标。</w:t>
      </w:r>
    </w:p>
    <w:p>
      <w:pPr>
        <w:pStyle w:val="5"/>
        <w:spacing w:before="120" w:beforeLines="50" w:after="0" w:line="360" w:lineRule="auto"/>
        <w:rPr>
          <w:rFonts w:ascii="宋体" w:hAnsi="宋体" w:eastAsia="宋体" w:cs="宋体"/>
          <w:b w:val="0"/>
          <w:color w:val="000000"/>
          <w:sz w:val="24"/>
          <w:szCs w:val="24"/>
        </w:rPr>
      </w:pPr>
      <w:r>
        <w:rPr>
          <w:rFonts w:hint="eastAsia" w:ascii="宋体" w:hAnsi="宋体" w:eastAsia="宋体" w:cs="宋体"/>
          <w:b w:val="0"/>
          <w:color w:val="000000"/>
          <w:sz w:val="24"/>
          <w:szCs w:val="24"/>
        </w:rPr>
        <w:t>二、申请人的资格要求：</w:t>
      </w:r>
      <w:bookmarkEnd w:id="9"/>
      <w:bookmarkEnd w:id="10"/>
      <w:bookmarkEnd w:id="11"/>
      <w:bookmarkEnd w:id="12"/>
    </w:p>
    <w:p>
      <w:pPr>
        <w:spacing w:line="360" w:lineRule="auto"/>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bidi="ar"/>
        </w:rPr>
        <w:t>满足《中华人民共和国政府采购法》第二十二条规定；未被“信用中国”（www.creditchina.gov.cn)、中国政府采购网（www.ccgp.gov.cn）列入失信被执行人、重大税收违法案件当事人名单、政府采购严重违法失信行为记录名单</w:t>
      </w:r>
      <w:r>
        <w:rPr>
          <w:rFonts w:hint="eastAsia" w:ascii="宋体" w:hAnsi="宋体"/>
          <w:color w:val="000000"/>
          <w:sz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2.落实政府采购政策需满足的资格要求：无；</w:t>
      </w:r>
    </w:p>
    <w:p>
      <w:pPr>
        <w:spacing w:line="360" w:lineRule="auto"/>
        <w:ind w:firstLine="480" w:firstLineChars="200"/>
        <w:rPr>
          <w:rFonts w:hint="eastAsia" w:ascii="宋体" w:hAnsi="宋体"/>
          <w:color w:val="000000"/>
          <w:sz w:val="24"/>
        </w:rPr>
      </w:pPr>
      <w:r>
        <w:rPr>
          <w:rFonts w:hint="eastAsia" w:ascii="宋体" w:hAnsi="宋体"/>
          <w:color w:val="000000"/>
          <w:sz w:val="24"/>
        </w:rPr>
        <w:t>3.本项目的特定资格要求：无。</w:t>
      </w:r>
    </w:p>
    <w:p>
      <w:pPr>
        <w:pStyle w:val="5"/>
        <w:spacing w:before="120" w:beforeLines="50" w:after="0" w:line="360" w:lineRule="auto"/>
        <w:rPr>
          <w:rFonts w:ascii="宋体" w:hAnsi="宋体" w:eastAsia="宋体" w:cs="宋体"/>
          <w:b w:val="0"/>
          <w:color w:val="000000"/>
          <w:sz w:val="24"/>
          <w:szCs w:val="24"/>
        </w:rPr>
      </w:pPr>
      <w:bookmarkStart w:id="13" w:name="_Toc28359081"/>
      <w:bookmarkStart w:id="14" w:name="_Toc28359004"/>
      <w:bookmarkStart w:id="15" w:name="_Toc35393792"/>
      <w:bookmarkStart w:id="16" w:name="_Toc35393623"/>
      <w:r>
        <w:rPr>
          <w:rFonts w:hint="eastAsia" w:ascii="宋体" w:hAnsi="宋体" w:eastAsia="宋体" w:cs="宋体"/>
          <w:b w:val="0"/>
          <w:color w:val="000000"/>
          <w:sz w:val="24"/>
          <w:szCs w:val="24"/>
        </w:rPr>
        <w:t>三、获取招标文件</w:t>
      </w:r>
      <w:bookmarkEnd w:id="13"/>
      <w:bookmarkEnd w:id="14"/>
      <w:bookmarkEnd w:id="15"/>
      <w:bookmarkEnd w:id="16"/>
    </w:p>
    <w:p>
      <w:pPr>
        <w:spacing w:line="360" w:lineRule="auto"/>
        <w:ind w:firstLine="540"/>
        <w:rPr>
          <w:rFonts w:ascii="宋体" w:hAnsi="宋体" w:cs="宋体"/>
          <w:color w:val="000000"/>
          <w:sz w:val="24"/>
        </w:rPr>
      </w:pPr>
      <w:r>
        <w:rPr>
          <w:rFonts w:ascii="宋体" w:hAnsi="宋体" w:cs="宋体"/>
          <w:color w:val="000000"/>
          <w:sz w:val="24"/>
        </w:rPr>
        <w:t>1.</w:t>
      </w:r>
      <w:r>
        <w:rPr>
          <w:rFonts w:hint="eastAsia" w:ascii="宋体" w:hAnsi="宋体" w:cs="宋体"/>
          <w:color w:val="000000"/>
          <w:sz w:val="24"/>
        </w:rPr>
        <w:t>时间：自本公告发布之日起至投标文件递交截止时间止（以供应商完成获取招标文件申请后下载招标文件的时间为准）。</w:t>
      </w:r>
    </w:p>
    <w:p>
      <w:pPr>
        <w:spacing w:line="360" w:lineRule="auto"/>
        <w:ind w:firstLine="540"/>
        <w:rPr>
          <w:rFonts w:ascii="宋体" w:hAnsi="宋体" w:cs="宋体"/>
          <w:color w:val="000000"/>
          <w:sz w:val="24"/>
          <w:u w:val="single"/>
        </w:rPr>
      </w:pPr>
      <w:r>
        <w:rPr>
          <w:rFonts w:ascii="宋体" w:hAnsi="宋体" w:cs="宋体"/>
          <w:color w:val="000000"/>
          <w:sz w:val="24"/>
        </w:rPr>
        <w:t>2.</w:t>
      </w:r>
      <w:r>
        <w:rPr>
          <w:rFonts w:hint="eastAsia" w:ascii="宋体" w:hAnsi="宋体" w:cs="宋体"/>
          <w:color w:val="000000"/>
          <w:sz w:val="24"/>
        </w:rPr>
        <w:t>地点（网址）：</w:t>
      </w:r>
      <w:r>
        <w:rPr>
          <w:rFonts w:ascii="宋体" w:hAnsi="宋体" w:cs="宋体"/>
          <w:color w:val="000000"/>
          <w:sz w:val="24"/>
          <w:u w:val="single"/>
        </w:rPr>
        <w:t>https://www.zcygov.cn</w:t>
      </w:r>
    </w:p>
    <w:p>
      <w:pPr>
        <w:spacing w:line="360" w:lineRule="auto"/>
        <w:ind w:firstLine="540"/>
        <w:rPr>
          <w:rFonts w:ascii="宋体" w:hAnsi="宋体" w:cs="宋体"/>
          <w:color w:val="000000"/>
          <w:sz w:val="24"/>
          <w:u w:val="single"/>
        </w:rPr>
      </w:pPr>
      <w:r>
        <w:rPr>
          <w:rFonts w:ascii="宋体" w:hAnsi="宋体" w:cs="宋体"/>
          <w:color w:val="000000"/>
          <w:sz w:val="24"/>
        </w:rPr>
        <w:t>3.</w:t>
      </w:r>
      <w:r>
        <w:rPr>
          <w:rFonts w:hint="eastAsia" w:ascii="宋体" w:hAnsi="宋体" w:cs="宋体"/>
          <w:color w:val="000000"/>
          <w:sz w:val="24"/>
        </w:rPr>
        <w:t>方式：</w:t>
      </w:r>
      <w:r>
        <w:rPr>
          <w:rFonts w:hint="eastAsia" w:ascii="宋体" w:hAnsi="宋体" w:cs="宋体"/>
          <w:color w:val="000000"/>
          <w:sz w:val="24"/>
          <w:lang w:bidi="ar"/>
        </w:rPr>
        <w:t>（1）线上获取（登录政府采购云平台 → 项目采购 → 获取采购文件 → 申请，审核通过后可下载招标文件）。本次招标不提供纸质版招标文件。（2）供应商获取招标文件前应注册成为政府采购云平台正式供应商。（3）招标公告所附招标文件仅供阅览使用，供应商只有在“政府采购云平台”完成获取招标文件申请并下载了招标文件后才被视为合法获取了招标文件，否则其投标将被拒绝。</w:t>
      </w:r>
    </w:p>
    <w:p>
      <w:pPr>
        <w:spacing w:line="360" w:lineRule="auto"/>
        <w:ind w:firstLine="540"/>
        <w:rPr>
          <w:rFonts w:ascii="宋体" w:hAnsi="宋体" w:cs="宋体"/>
          <w:color w:val="000000"/>
          <w:sz w:val="24"/>
        </w:rPr>
      </w:pPr>
      <w:r>
        <w:rPr>
          <w:rFonts w:ascii="宋体" w:hAnsi="宋体" w:cs="宋体"/>
          <w:color w:val="000000"/>
          <w:sz w:val="24"/>
        </w:rPr>
        <w:t>4.</w:t>
      </w:r>
      <w:r>
        <w:rPr>
          <w:rFonts w:hint="eastAsia" w:ascii="宋体" w:hAnsi="宋体" w:cs="宋体"/>
          <w:color w:val="000000"/>
          <w:sz w:val="24"/>
        </w:rPr>
        <w:t>售价（元）：</w:t>
      </w:r>
      <w:r>
        <w:rPr>
          <w:rFonts w:ascii="宋体" w:hAnsi="宋体" w:cs="宋体"/>
          <w:color w:val="000000"/>
          <w:sz w:val="24"/>
        </w:rPr>
        <w:t>0</w:t>
      </w:r>
    </w:p>
    <w:p>
      <w:pPr>
        <w:pStyle w:val="5"/>
        <w:spacing w:before="120" w:beforeLines="50" w:after="0" w:line="360" w:lineRule="auto"/>
        <w:rPr>
          <w:rFonts w:ascii="宋体" w:hAnsi="宋体" w:eastAsia="宋体" w:cs="宋体"/>
          <w:b w:val="0"/>
          <w:color w:val="000000"/>
          <w:sz w:val="24"/>
          <w:szCs w:val="24"/>
        </w:rPr>
      </w:pPr>
      <w:bookmarkStart w:id="17" w:name="_Toc28359082"/>
      <w:bookmarkStart w:id="18" w:name="_Toc28359005"/>
      <w:bookmarkStart w:id="19" w:name="_Toc35393793"/>
      <w:bookmarkStart w:id="20" w:name="_Toc35393624"/>
      <w:r>
        <w:rPr>
          <w:rFonts w:hint="eastAsia" w:ascii="宋体" w:hAnsi="宋体" w:eastAsia="宋体" w:cs="宋体"/>
          <w:b w:val="0"/>
          <w:color w:val="000000"/>
          <w:sz w:val="24"/>
          <w:szCs w:val="24"/>
        </w:rPr>
        <w:t>四、提交投标文件</w:t>
      </w:r>
      <w:bookmarkEnd w:id="17"/>
      <w:bookmarkEnd w:id="18"/>
      <w:r>
        <w:rPr>
          <w:rFonts w:hint="eastAsia" w:ascii="宋体" w:hAnsi="宋体" w:eastAsia="宋体" w:cs="宋体"/>
          <w:b w:val="0"/>
          <w:color w:val="000000"/>
          <w:sz w:val="24"/>
          <w:szCs w:val="24"/>
        </w:rPr>
        <w:t>截止时间、开标时间和地点</w:t>
      </w:r>
      <w:bookmarkEnd w:id="19"/>
      <w:bookmarkEnd w:id="20"/>
    </w:p>
    <w:p>
      <w:pPr>
        <w:spacing w:line="360" w:lineRule="auto"/>
        <w:ind w:firstLine="480" w:firstLineChars="200"/>
        <w:rPr>
          <w:rFonts w:hint="eastAsia" w:ascii="宋体" w:hAnsi="宋体"/>
          <w:bCs/>
          <w:color w:val="000000"/>
          <w:sz w:val="24"/>
        </w:rPr>
      </w:pPr>
      <w:r>
        <w:rPr>
          <w:rFonts w:hint="eastAsia" w:ascii="宋体" w:hAnsi="宋体"/>
          <w:bCs/>
          <w:color w:val="000000"/>
          <w:sz w:val="24"/>
        </w:rPr>
        <w:t>1.提交投标文件截止时间：</w:t>
      </w:r>
      <w:r>
        <w:rPr>
          <w:rFonts w:hint="eastAsia" w:ascii="宋体" w:hAnsi="宋体"/>
          <w:color w:val="000000"/>
          <w:sz w:val="24"/>
          <w:u w:val="single"/>
        </w:rPr>
        <w:t>202</w:t>
      </w:r>
      <w:r>
        <w:rPr>
          <w:rFonts w:ascii="宋体" w:hAnsi="宋体"/>
          <w:color w:val="000000"/>
          <w:sz w:val="24"/>
          <w:u w:val="single"/>
        </w:rPr>
        <w:t>1</w:t>
      </w:r>
      <w:r>
        <w:rPr>
          <w:rFonts w:hint="eastAsia" w:ascii="宋体" w:hAnsi="宋体"/>
          <w:color w:val="000000"/>
          <w:sz w:val="24"/>
          <w:u w:val="single"/>
        </w:rPr>
        <w:t>年</w:t>
      </w:r>
      <w:r>
        <w:rPr>
          <w:rFonts w:ascii="宋体" w:hAnsi="宋体"/>
          <w:color w:val="000000"/>
          <w:sz w:val="24"/>
          <w:u w:val="single"/>
        </w:rPr>
        <w:t>3</w:t>
      </w:r>
      <w:r>
        <w:rPr>
          <w:rFonts w:hint="eastAsia" w:ascii="宋体" w:hAnsi="宋体"/>
          <w:color w:val="000000"/>
          <w:sz w:val="24"/>
          <w:u w:val="single"/>
        </w:rPr>
        <w:t>月</w:t>
      </w:r>
      <w:r>
        <w:rPr>
          <w:rFonts w:ascii="宋体" w:hAnsi="宋体"/>
          <w:color w:val="000000"/>
          <w:sz w:val="24"/>
          <w:u w:val="single"/>
        </w:rPr>
        <w:t>24</w:t>
      </w:r>
      <w:r>
        <w:rPr>
          <w:rFonts w:hint="eastAsia" w:ascii="宋体" w:hAnsi="宋体"/>
          <w:color w:val="000000"/>
          <w:sz w:val="24"/>
          <w:u w:val="single"/>
        </w:rPr>
        <w:t>日</w:t>
      </w:r>
      <w:r>
        <w:rPr>
          <w:rFonts w:ascii="宋体" w:hAnsi="宋体"/>
          <w:color w:val="000000"/>
          <w:sz w:val="24"/>
          <w:u w:val="single"/>
        </w:rPr>
        <w:t>09</w:t>
      </w:r>
      <w:r>
        <w:rPr>
          <w:rFonts w:hint="eastAsia" w:ascii="宋体" w:hAnsi="宋体"/>
          <w:color w:val="000000"/>
          <w:sz w:val="24"/>
          <w:u w:val="single"/>
        </w:rPr>
        <w:t>:</w:t>
      </w:r>
      <w:r>
        <w:rPr>
          <w:rFonts w:ascii="宋体" w:hAnsi="宋体"/>
          <w:color w:val="000000"/>
          <w:sz w:val="24"/>
          <w:u w:val="single"/>
        </w:rPr>
        <w:t>30</w:t>
      </w:r>
      <w:r>
        <w:rPr>
          <w:rFonts w:hint="eastAsia" w:ascii="宋体" w:hAnsi="宋体"/>
          <w:bCs/>
          <w:color w:val="000000"/>
          <w:sz w:val="24"/>
        </w:rPr>
        <w:t>（北京时间）</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2.投标地点（网址）：</w:t>
      </w:r>
    </w:p>
    <w:p>
      <w:pPr>
        <w:spacing w:line="360" w:lineRule="auto"/>
        <w:ind w:firstLine="480" w:firstLineChars="200"/>
        <w:rPr>
          <w:rFonts w:hint="eastAsia" w:ascii="宋体" w:hAnsi="宋体"/>
          <w:bCs/>
          <w:color w:val="000000"/>
          <w:sz w:val="24"/>
          <w:u w:val="single"/>
        </w:rPr>
      </w:pPr>
      <w:r>
        <w:rPr>
          <w:rFonts w:hint="eastAsia" w:ascii="宋体" w:hAnsi="宋体"/>
          <w:bCs/>
          <w:color w:val="000000"/>
          <w:sz w:val="24"/>
        </w:rPr>
        <w:t>（1）“电子加密投标文件”：</w:t>
      </w:r>
      <w:r>
        <w:rPr>
          <w:rFonts w:hint="eastAsia" w:ascii="宋体" w:hAnsi="宋体"/>
          <w:bCs/>
          <w:color w:val="000000"/>
          <w:sz w:val="24"/>
          <w:u w:val="single"/>
        </w:rPr>
        <w:t>https://www.zcygov.cn</w:t>
      </w:r>
      <w:r>
        <w:rPr>
          <w:rFonts w:hint="eastAsia" w:ascii="宋体" w:hAnsi="宋体"/>
          <w:bCs/>
          <w:color w:val="000000"/>
          <w:sz w:val="24"/>
        </w:rPr>
        <w:t>在线投标</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（2）“电子备份投标文件”：杭州市江干区富春路308号华成国际发展大厦8楼。</w:t>
      </w:r>
    </w:p>
    <w:p>
      <w:pPr>
        <w:spacing w:line="360" w:lineRule="auto"/>
        <w:ind w:firstLine="480" w:firstLineChars="200"/>
        <w:rPr>
          <w:rFonts w:hint="eastAsia" w:ascii="宋体" w:hAnsi="宋体"/>
          <w:bCs/>
          <w:color w:val="000000"/>
          <w:sz w:val="24"/>
        </w:rPr>
      </w:pPr>
      <w:r>
        <w:rPr>
          <w:rFonts w:hint="eastAsia" w:ascii="宋体" w:hAnsi="宋体"/>
          <w:bCs/>
          <w:color w:val="000000"/>
          <w:sz w:val="24"/>
        </w:rPr>
        <w:t>3.开标时间：</w:t>
      </w:r>
      <w:r>
        <w:rPr>
          <w:rFonts w:hint="eastAsia" w:ascii="宋体" w:hAnsi="宋体"/>
          <w:color w:val="000000"/>
          <w:sz w:val="24"/>
          <w:u w:val="single"/>
        </w:rPr>
        <w:t>202</w:t>
      </w:r>
      <w:r>
        <w:rPr>
          <w:rFonts w:ascii="宋体" w:hAnsi="宋体"/>
          <w:color w:val="000000"/>
          <w:sz w:val="24"/>
          <w:u w:val="single"/>
        </w:rPr>
        <w:t>1</w:t>
      </w:r>
      <w:r>
        <w:rPr>
          <w:rFonts w:hint="eastAsia" w:ascii="宋体" w:hAnsi="宋体"/>
          <w:color w:val="000000"/>
          <w:sz w:val="24"/>
          <w:u w:val="single"/>
        </w:rPr>
        <w:t>年</w:t>
      </w:r>
      <w:r>
        <w:rPr>
          <w:rFonts w:ascii="宋体" w:hAnsi="宋体"/>
          <w:color w:val="000000"/>
          <w:sz w:val="24"/>
          <w:u w:val="single"/>
        </w:rPr>
        <w:t>3</w:t>
      </w:r>
      <w:r>
        <w:rPr>
          <w:rFonts w:hint="eastAsia" w:ascii="宋体" w:hAnsi="宋体"/>
          <w:color w:val="000000"/>
          <w:sz w:val="24"/>
          <w:u w:val="single"/>
        </w:rPr>
        <w:t>月</w:t>
      </w:r>
      <w:r>
        <w:rPr>
          <w:rFonts w:ascii="宋体" w:hAnsi="宋体"/>
          <w:color w:val="000000"/>
          <w:sz w:val="24"/>
          <w:u w:val="single"/>
        </w:rPr>
        <w:t>24</w:t>
      </w:r>
      <w:r>
        <w:rPr>
          <w:rFonts w:hint="eastAsia" w:ascii="宋体" w:hAnsi="宋体"/>
          <w:color w:val="000000"/>
          <w:sz w:val="24"/>
          <w:u w:val="single"/>
        </w:rPr>
        <w:t>日</w:t>
      </w:r>
      <w:r>
        <w:rPr>
          <w:rFonts w:ascii="宋体" w:hAnsi="宋体"/>
          <w:color w:val="000000"/>
          <w:sz w:val="24"/>
          <w:u w:val="single"/>
        </w:rPr>
        <w:t>09</w:t>
      </w:r>
      <w:r>
        <w:rPr>
          <w:rFonts w:hint="eastAsia" w:ascii="宋体" w:hAnsi="宋体"/>
          <w:color w:val="000000"/>
          <w:sz w:val="24"/>
          <w:u w:val="single"/>
        </w:rPr>
        <w:t>:</w:t>
      </w:r>
      <w:r>
        <w:rPr>
          <w:rFonts w:ascii="宋体" w:hAnsi="宋体"/>
          <w:color w:val="000000"/>
          <w:sz w:val="24"/>
          <w:u w:val="single"/>
        </w:rPr>
        <w:t>30</w:t>
      </w:r>
      <w:r>
        <w:rPr>
          <w:rFonts w:hint="eastAsia" w:ascii="宋体" w:hAnsi="宋体"/>
          <w:bCs/>
          <w:color w:val="000000"/>
          <w:sz w:val="24"/>
        </w:rPr>
        <w:t>（北京时间）</w:t>
      </w:r>
    </w:p>
    <w:p>
      <w:pPr>
        <w:spacing w:line="360" w:lineRule="auto"/>
        <w:ind w:firstLine="480" w:firstLineChars="200"/>
        <w:rPr>
          <w:rFonts w:ascii="宋体" w:hAnsi="宋体"/>
          <w:bCs/>
          <w:color w:val="000000"/>
          <w:sz w:val="24"/>
        </w:rPr>
      </w:pPr>
      <w:r>
        <w:rPr>
          <w:rFonts w:hint="eastAsia" w:ascii="宋体" w:hAnsi="宋体"/>
          <w:bCs/>
          <w:color w:val="000000"/>
          <w:sz w:val="24"/>
        </w:rPr>
        <w:t>4.开标地点（网址）：</w:t>
      </w:r>
      <w:r>
        <w:rPr>
          <w:rFonts w:hint="eastAsia" w:ascii="宋体" w:hAnsi="宋体"/>
          <w:bCs/>
          <w:color w:val="000000"/>
          <w:sz w:val="24"/>
          <w:u w:val="single"/>
        </w:rPr>
        <w:t>https://www.zcygov.cn</w:t>
      </w:r>
    </w:p>
    <w:p>
      <w:pPr>
        <w:pStyle w:val="5"/>
        <w:spacing w:before="120" w:beforeLines="50" w:after="0" w:line="360" w:lineRule="auto"/>
        <w:rPr>
          <w:rFonts w:ascii="宋体" w:hAnsi="宋体" w:eastAsia="宋体" w:cs="宋体"/>
          <w:b w:val="0"/>
          <w:color w:val="000000"/>
          <w:sz w:val="24"/>
          <w:szCs w:val="24"/>
        </w:rPr>
      </w:pPr>
      <w:bookmarkStart w:id="21" w:name="_Toc35393794"/>
      <w:bookmarkStart w:id="22" w:name="_Toc35393625"/>
      <w:bookmarkStart w:id="23" w:name="_Toc28359007"/>
      <w:bookmarkStart w:id="24" w:name="_Toc28359084"/>
      <w:r>
        <w:rPr>
          <w:rFonts w:hint="eastAsia" w:ascii="宋体" w:hAnsi="宋体" w:eastAsia="宋体" w:cs="宋体"/>
          <w:b w:val="0"/>
          <w:color w:val="000000"/>
          <w:sz w:val="24"/>
          <w:szCs w:val="24"/>
        </w:rPr>
        <w:t>五、公告期限</w:t>
      </w:r>
      <w:bookmarkEnd w:id="21"/>
      <w:bookmarkEnd w:id="22"/>
      <w:bookmarkEnd w:id="23"/>
      <w:bookmarkEnd w:id="24"/>
    </w:p>
    <w:p>
      <w:p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自本公告发布之日起5个工作日。</w:t>
      </w:r>
    </w:p>
    <w:p>
      <w:pPr>
        <w:pStyle w:val="5"/>
        <w:spacing w:before="120" w:beforeLines="50" w:after="0" w:line="360" w:lineRule="auto"/>
        <w:rPr>
          <w:rFonts w:hint="eastAsia" w:ascii="宋体" w:hAnsi="宋体" w:eastAsia="宋体" w:cs="宋体"/>
          <w:b w:val="0"/>
          <w:color w:val="000000"/>
          <w:sz w:val="24"/>
          <w:szCs w:val="24"/>
        </w:rPr>
      </w:pPr>
      <w:bookmarkStart w:id="25" w:name="_Toc35393795"/>
      <w:bookmarkStart w:id="26" w:name="_Toc35393626"/>
      <w:r>
        <w:rPr>
          <w:rFonts w:hint="eastAsia" w:ascii="宋体" w:hAnsi="宋体" w:eastAsia="宋体" w:cs="宋体"/>
          <w:b w:val="0"/>
          <w:color w:val="000000"/>
          <w:sz w:val="24"/>
          <w:szCs w:val="24"/>
        </w:rPr>
        <w:t>六、其他补充事宜</w:t>
      </w:r>
      <w:bookmarkEnd w:id="25"/>
      <w:bookmarkEnd w:id="26"/>
    </w:p>
    <w:p>
      <w:pPr>
        <w:pStyle w:val="62"/>
        <w:spacing w:line="360" w:lineRule="auto"/>
        <w:ind w:left="1" w:firstLine="465"/>
        <w:rPr>
          <w:rFonts w:hint="eastAsia" w:ascii="宋体" w:hAnsi="宋体"/>
          <w:color w:val="000000"/>
          <w:sz w:val="24"/>
          <w:szCs w:val="24"/>
          <w:lang w:eastAsia="zh-CN"/>
        </w:rPr>
      </w:pPr>
      <w:r>
        <w:rPr>
          <w:rFonts w:hint="eastAsia" w:ascii="宋体" w:hAnsi="宋体"/>
          <w:color w:val="000000"/>
          <w:sz w:val="24"/>
          <w:szCs w:val="24"/>
          <w:lang w:eastAsia="zh-CN"/>
        </w:rPr>
        <w:t>1. 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2"/>
        <w:spacing w:line="360" w:lineRule="auto"/>
        <w:ind w:left="1" w:firstLine="465"/>
        <w:rPr>
          <w:rFonts w:ascii="宋体" w:hAnsi="宋体"/>
          <w:color w:val="000000"/>
          <w:sz w:val="24"/>
          <w:szCs w:val="24"/>
          <w:lang w:eastAsia="zh-CN"/>
        </w:rPr>
      </w:pPr>
      <w:r>
        <w:rPr>
          <w:rFonts w:hint="eastAsia" w:ascii="宋体" w:hAnsi="宋体"/>
          <w:color w:val="000000"/>
          <w:sz w:val="24"/>
          <w:szCs w:val="24"/>
          <w:lang w:eastAsia="zh-CN"/>
        </w:rPr>
        <w:t>2.其他事项：（1）供应商对采购文件的质疑应以书面形式一次性提出。（2）单位负责人为同一人或者存在直接控股、管理关系的不同供应商，不得同时参加同一合同项下的投标。（3）为项目提供整体设计、规范编制或者项目管理、监理、检测等服务的供应商，不得再参加该采购项目的其他采购活动。（4）本项目不收取投标保证金。（5）本项目执行促进中小企业发展（监狱企业、残疾人福利性单位视同小型、微型企业）、优先采购节能产品、优先采购环境标志产品政策。</w:t>
      </w:r>
    </w:p>
    <w:p>
      <w:pPr>
        <w:pStyle w:val="5"/>
        <w:spacing w:before="120" w:beforeLines="50" w:after="0" w:line="360" w:lineRule="auto"/>
        <w:rPr>
          <w:rFonts w:ascii="宋体" w:hAnsi="宋体" w:eastAsia="宋体" w:cs="宋体"/>
          <w:b w:val="0"/>
          <w:color w:val="000000"/>
          <w:sz w:val="24"/>
          <w:szCs w:val="24"/>
        </w:rPr>
      </w:pPr>
      <w:bookmarkStart w:id="27" w:name="_Toc28359008"/>
      <w:bookmarkStart w:id="28" w:name="_Toc35393627"/>
      <w:bookmarkStart w:id="29" w:name="_Toc35393796"/>
      <w:bookmarkStart w:id="30" w:name="_Toc28359085"/>
      <w:r>
        <w:rPr>
          <w:rFonts w:hint="eastAsia" w:ascii="宋体" w:hAnsi="宋体" w:eastAsia="宋体" w:cs="宋体"/>
          <w:b w:val="0"/>
          <w:color w:val="000000"/>
          <w:sz w:val="24"/>
          <w:szCs w:val="24"/>
        </w:rPr>
        <w:t>七、对本次招标提出询问、质疑、投诉，请按以下方式联系。</w:t>
      </w:r>
      <w:bookmarkEnd w:id="27"/>
      <w:bookmarkEnd w:id="28"/>
      <w:bookmarkEnd w:id="29"/>
      <w:bookmarkEnd w:id="30"/>
    </w:p>
    <w:p>
      <w:pPr>
        <w:widowControl/>
        <w:spacing w:line="360" w:lineRule="auto"/>
        <w:ind w:firstLine="480" w:firstLineChars="200"/>
        <w:jc w:val="left"/>
        <w:rPr>
          <w:rFonts w:ascii="宋体" w:hAnsi="宋体"/>
          <w:color w:val="000000"/>
          <w:sz w:val="24"/>
        </w:rPr>
      </w:pPr>
      <w:r>
        <w:rPr>
          <w:rFonts w:ascii="宋体" w:hAnsi="宋体" w:cs="宋体"/>
          <w:color w:val="000000"/>
          <w:sz w:val="24"/>
        </w:rPr>
        <w:t>1.</w:t>
      </w:r>
      <w:r>
        <w:rPr>
          <w:rFonts w:hint="eastAsia" w:ascii="宋体" w:hAnsi="宋体" w:cs="宋体"/>
          <w:color w:val="000000"/>
          <w:sz w:val="24"/>
        </w:rPr>
        <w:t>采购人信息</w:t>
      </w:r>
    </w:p>
    <w:p>
      <w:pPr>
        <w:spacing w:line="360" w:lineRule="auto"/>
        <w:ind w:firstLine="720" w:firstLineChars="300"/>
        <w:jc w:val="left"/>
        <w:rPr>
          <w:rFonts w:ascii="宋体" w:hAnsi="宋体"/>
          <w:color w:val="000000"/>
          <w:sz w:val="24"/>
        </w:rPr>
      </w:pPr>
      <w:r>
        <w:rPr>
          <w:rFonts w:hint="eastAsia" w:ascii="宋体" w:hAnsi="宋体"/>
          <w:color w:val="000000"/>
          <w:sz w:val="24"/>
        </w:rPr>
        <w:t>名</w:t>
      </w:r>
      <w:r>
        <w:rPr>
          <w:rFonts w:ascii="宋体" w:hAnsi="宋体"/>
          <w:color w:val="000000"/>
          <w:sz w:val="24"/>
        </w:rPr>
        <w:t xml:space="preserve">  </w:t>
      </w:r>
      <w:r>
        <w:rPr>
          <w:rFonts w:hint="eastAsia" w:ascii="宋体" w:hAnsi="宋体"/>
          <w:color w:val="000000"/>
          <w:sz w:val="24"/>
        </w:rPr>
        <w:t>称：浙江省第四监狱</w:t>
      </w:r>
    </w:p>
    <w:p>
      <w:pPr>
        <w:spacing w:line="360" w:lineRule="auto"/>
        <w:ind w:firstLine="720" w:firstLineChars="300"/>
        <w:jc w:val="left"/>
        <w:rPr>
          <w:rFonts w:ascii="宋体" w:hAnsi="宋体"/>
          <w:color w:val="000000"/>
          <w:sz w:val="24"/>
        </w:rPr>
      </w:pPr>
      <w:r>
        <w:rPr>
          <w:rFonts w:hint="eastAsia" w:ascii="宋体" w:hAnsi="宋体"/>
          <w:color w:val="000000"/>
          <w:sz w:val="24"/>
        </w:rPr>
        <w:t>地</w:t>
      </w:r>
      <w:r>
        <w:rPr>
          <w:rFonts w:ascii="宋体" w:hAnsi="宋体"/>
          <w:color w:val="000000"/>
          <w:sz w:val="24"/>
        </w:rPr>
        <w:t xml:space="preserve">  </w:t>
      </w:r>
      <w:r>
        <w:rPr>
          <w:rFonts w:hint="eastAsia" w:ascii="宋体" w:hAnsi="宋体"/>
          <w:color w:val="000000"/>
          <w:sz w:val="24"/>
        </w:rPr>
        <w:t>址：浙江省杭州市余杭区临平</w:t>
      </w:r>
    </w:p>
    <w:p>
      <w:pPr>
        <w:spacing w:line="360" w:lineRule="auto"/>
        <w:ind w:firstLine="720" w:firstLineChars="300"/>
        <w:jc w:val="left"/>
        <w:rPr>
          <w:rFonts w:hint="eastAsia" w:ascii="宋体" w:hAnsi="宋体"/>
          <w:color w:val="000000"/>
          <w:sz w:val="24"/>
        </w:rPr>
      </w:pPr>
      <w:r>
        <w:rPr>
          <w:rFonts w:hint="eastAsia" w:ascii="宋体" w:hAnsi="宋体"/>
          <w:color w:val="000000"/>
          <w:sz w:val="24"/>
        </w:rPr>
        <w:t xml:space="preserve">技术咨询联系人：董先生 </w:t>
      </w:r>
    </w:p>
    <w:p>
      <w:pPr>
        <w:spacing w:line="360" w:lineRule="auto"/>
        <w:ind w:firstLine="720" w:firstLineChars="300"/>
        <w:jc w:val="left"/>
        <w:rPr>
          <w:rFonts w:hint="eastAsia" w:ascii="宋体" w:hAnsi="宋体"/>
          <w:color w:val="000000"/>
          <w:sz w:val="24"/>
        </w:rPr>
      </w:pPr>
      <w:r>
        <w:rPr>
          <w:rFonts w:hint="eastAsia" w:ascii="宋体" w:hAnsi="宋体"/>
          <w:color w:val="000000"/>
          <w:sz w:val="24"/>
        </w:rPr>
        <w:t>技术咨询联系电话：</w:t>
      </w:r>
      <w:bookmarkStart w:id="31" w:name="_Toc28359009"/>
      <w:bookmarkStart w:id="32" w:name="_Toc28359086"/>
      <w:r>
        <w:rPr>
          <w:rFonts w:hint="eastAsia" w:ascii="宋体" w:hAnsi="宋体"/>
          <w:color w:val="000000"/>
          <w:sz w:val="24"/>
        </w:rPr>
        <w:t>0571-86235241</w:t>
      </w:r>
    </w:p>
    <w:p>
      <w:pPr>
        <w:spacing w:line="360" w:lineRule="auto"/>
        <w:ind w:firstLine="720" w:firstLineChars="300"/>
        <w:jc w:val="left"/>
        <w:rPr>
          <w:rFonts w:ascii="宋体" w:hAnsi="宋体"/>
          <w:color w:val="000000"/>
          <w:sz w:val="24"/>
        </w:rPr>
      </w:pPr>
      <w:r>
        <w:rPr>
          <w:rFonts w:hint="eastAsia" w:ascii="宋体" w:hAnsi="宋体"/>
          <w:color w:val="000000"/>
          <w:sz w:val="24"/>
        </w:rPr>
        <w:t>质疑联系人：林先生</w:t>
      </w:r>
    </w:p>
    <w:p>
      <w:pPr>
        <w:spacing w:line="360" w:lineRule="auto"/>
        <w:ind w:firstLine="720" w:firstLineChars="300"/>
        <w:jc w:val="left"/>
        <w:rPr>
          <w:rFonts w:ascii="宋体" w:hAnsi="宋体"/>
          <w:color w:val="000000"/>
          <w:sz w:val="24"/>
        </w:rPr>
      </w:pPr>
      <w:r>
        <w:rPr>
          <w:rFonts w:hint="eastAsia" w:ascii="宋体" w:hAnsi="宋体"/>
          <w:color w:val="000000"/>
          <w:sz w:val="24"/>
        </w:rPr>
        <w:t>质疑联系方式：</w:t>
      </w:r>
      <w:r>
        <w:rPr>
          <w:rFonts w:ascii="宋体" w:hAnsi="宋体"/>
          <w:color w:val="000000"/>
          <w:sz w:val="24"/>
        </w:rPr>
        <w:t>0571-86249801</w:t>
      </w:r>
    </w:p>
    <w:p>
      <w:pPr>
        <w:spacing w:line="360" w:lineRule="auto"/>
        <w:ind w:firstLine="480" w:firstLineChars="200"/>
        <w:jc w:val="left"/>
        <w:rPr>
          <w:rFonts w:ascii="宋体" w:hAnsi="宋体"/>
          <w:color w:val="000000"/>
          <w:sz w:val="24"/>
        </w:rPr>
      </w:pPr>
      <w:r>
        <w:rPr>
          <w:rFonts w:ascii="宋体" w:hAnsi="宋体" w:cs="宋体"/>
          <w:color w:val="000000"/>
          <w:sz w:val="24"/>
        </w:rPr>
        <w:t>2.</w:t>
      </w:r>
      <w:r>
        <w:rPr>
          <w:rFonts w:hint="eastAsia" w:ascii="宋体" w:hAnsi="宋体" w:cs="宋体"/>
          <w:color w:val="000000"/>
          <w:sz w:val="24"/>
        </w:rPr>
        <w:t>采购代理机构信息</w:t>
      </w:r>
      <w:bookmarkEnd w:id="31"/>
      <w:bookmarkEnd w:id="32"/>
    </w:p>
    <w:p>
      <w:pPr>
        <w:spacing w:line="360" w:lineRule="auto"/>
        <w:ind w:firstLine="720" w:firstLineChars="300"/>
        <w:rPr>
          <w:rFonts w:ascii="宋体" w:hAnsi="宋体"/>
          <w:color w:val="000000"/>
          <w:sz w:val="24"/>
        </w:rPr>
      </w:pPr>
      <w:r>
        <w:rPr>
          <w:rFonts w:hint="eastAsia" w:ascii="宋体" w:hAnsi="宋体"/>
          <w:color w:val="000000"/>
          <w:sz w:val="24"/>
        </w:rPr>
        <w:t>名</w:t>
      </w:r>
      <w:r>
        <w:rPr>
          <w:rFonts w:ascii="宋体" w:hAnsi="宋体"/>
          <w:color w:val="000000"/>
          <w:sz w:val="24"/>
        </w:rPr>
        <w:t xml:space="preserve">  </w:t>
      </w:r>
      <w:r>
        <w:rPr>
          <w:rFonts w:hint="eastAsia" w:ascii="宋体" w:hAnsi="宋体"/>
          <w:color w:val="000000"/>
          <w:sz w:val="24"/>
        </w:rPr>
        <w:t>称： 浙江中际工程项目管理有限公司</w:t>
      </w:r>
    </w:p>
    <w:p>
      <w:pPr>
        <w:spacing w:line="360" w:lineRule="auto"/>
        <w:ind w:firstLine="720" w:firstLineChars="300"/>
        <w:rPr>
          <w:rFonts w:ascii="宋体" w:hAnsi="宋体"/>
          <w:color w:val="000000"/>
          <w:sz w:val="24"/>
        </w:rPr>
      </w:pPr>
      <w:r>
        <w:rPr>
          <w:rFonts w:hint="eastAsia" w:ascii="宋体" w:hAnsi="宋体"/>
          <w:color w:val="000000"/>
          <w:sz w:val="24"/>
        </w:rPr>
        <w:t>地</w:t>
      </w:r>
      <w:r>
        <w:rPr>
          <w:rFonts w:ascii="宋体" w:hAnsi="宋体"/>
          <w:color w:val="000000"/>
          <w:sz w:val="24"/>
        </w:rPr>
        <w:t xml:space="preserve">  </w:t>
      </w:r>
      <w:r>
        <w:rPr>
          <w:rFonts w:hint="eastAsia" w:ascii="宋体" w:hAnsi="宋体"/>
          <w:color w:val="000000"/>
          <w:sz w:val="24"/>
        </w:rPr>
        <w:t>址：杭州市江干区富春路308号华成国际发展大厦8楼</w:t>
      </w:r>
    </w:p>
    <w:p>
      <w:pPr>
        <w:spacing w:line="360" w:lineRule="auto"/>
        <w:ind w:firstLine="720" w:firstLineChars="300"/>
        <w:jc w:val="left"/>
        <w:rPr>
          <w:rFonts w:ascii="宋体" w:hAnsi="宋体"/>
          <w:color w:val="000000"/>
          <w:sz w:val="24"/>
        </w:rPr>
      </w:pPr>
      <w:bookmarkStart w:id="33" w:name="_Toc28359087"/>
      <w:bookmarkStart w:id="34" w:name="_Toc28359010"/>
      <w:r>
        <w:rPr>
          <w:rFonts w:hint="eastAsia" w:ascii="宋体" w:hAnsi="宋体"/>
          <w:color w:val="000000"/>
          <w:sz w:val="24"/>
        </w:rPr>
        <w:t>项目联系人（询问）：张冬</w:t>
      </w:r>
    </w:p>
    <w:p>
      <w:pPr>
        <w:spacing w:line="360" w:lineRule="auto"/>
        <w:ind w:firstLine="720" w:firstLineChars="300"/>
        <w:jc w:val="left"/>
        <w:rPr>
          <w:rFonts w:ascii="宋体" w:hAnsi="宋体"/>
          <w:color w:val="000000"/>
          <w:sz w:val="24"/>
          <w:u w:val="single"/>
        </w:rPr>
      </w:pPr>
      <w:r>
        <w:rPr>
          <w:rFonts w:hint="eastAsia" w:ascii="宋体" w:hAnsi="宋体"/>
          <w:color w:val="000000"/>
          <w:sz w:val="24"/>
        </w:rPr>
        <w:t>项目联系方式（询问）：</w:t>
      </w:r>
      <w:r>
        <w:rPr>
          <w:rFonts w:ascii="宋体" w:hAnsi="宋体"/>
          <w:color w:val="000000"/>
          <w:sz w:val="24"/>
        </w:rPr>
        <w:t>0571-86587316</w:t>
      </w:r>
      <w:r>
        <w:rPr>
          <w:rFonts w:hint="eastAsia" w:ascii="宋体" w:hAnsi="宋体"/>
          <w:color w:val="000000"/>
          <w:sz w:val="24"/>
        </w:rPr>
        <w:t>，1</w:t>
      </w:r>
      <w:r>
        <w:rPr>
          <w:rFonts w:ascii="宋体" w:hAnsi="宋体"/>
          <w:color w:val="000000"/>
          <w:sz w:val="24"/>
        </w:rPr>
        <w:t>8605883905</w:t>
      </w:r>
    </w:p>
    <w:p>
      <w:pPr>
        <w:spacing w:line="360" w:lineRule="auto"/>
        <w:ind w:firstLine="720" w:firstLineChars="300"/>
        <w:jc w:val="left"/>
        <w:rPr>
          <w:rFonts w:ascii="宋体" w:hAnsi="宋体"/>
          <w:color w:val="000000"/>
          <w:sz w:val="24"/>
        </w:rPr>
      </w:pPr>
      <w:r>
        <w:rPr>
          <w:rFonts w:hint="eastAsia" w:ascii="宋体" w:hAnsi="宋体"/>
          <w:color w:val="000000"/>
          <w:sz w:val="24"/>
        </w:rPr>
        <w:t>质疑联系人：兰丽霞</w:t>
      </w:r>
    </w:p>
    <w:p>
      <w:pPr>
        <w:spacing w:line="360" w:lineRule="auto"/>
        <w:ind w:firstLine="720" w:firstLineChars="300"/>
        <w:jc w:val="left"/>
        <w:rPr>
          <w:rFonts w:ascii="宋体" w:hAnsi="宋体"/>
          <w:color w:val="000000"/>
          <w:sz w:val="24"/>
        </w:rPr>
      </w:pPr>
      <w:r>
        <w:rPr>
          <w:rFonts w:hint="eastAsia" w:ascii="宋体" w:hAnsi="宋体"/>
          <w:color w:val="000000"/>
          <w:sz w:val="24"/>
        </w:rPr>
        <w:t>质疑联系方式：</w:t>
      </w:r>
      <w:r>
        <w:rPr>
          <w:rFonts w:ascii="宋体" w:hAnsi="宋体"/>
          <w:color w:val="000000"/>
          <w:sz w:val="24"/>
        </w:rPr>
        <w:t>0571-86587311</w:t>
      </w:r>
    </w:p>
    <w:bookmarkEnd w:id="33"/>
    <w:bookmarkEnd w:id="34"/>
    <w:p>
      <w:pPr>
        <w:spacing w:line="360" w:lineRule="auto"/>
        <w:ind w:firstLine="480" w:firstLineChars="200"/>
        <w:rPr>
          <w:rFonts w:ascii="宋体" w:hAnsi="宋体" w:cs="宋体"/>
          <w:color w:val="000000"/>
          <w:sz w:val="24"/>
        </w:rPr>
      </w:pPr>
      <w:r>
        <w:rPr>
          <w:rFonts w:ascii="宋体" w:hAnsi="宋体" w:cs="宋体"/>
          <w:color w:val="000000"/>
          <w:sz w:val="24"/>
        </w:rPr>
        <w:t>3.</w:t>
      </w:r>
      <w:r>
        <w:rPr>
          <w:rFonts w:hint="eastAsia" w:ascii="宋体" w:hAnsi="宋体" w:cs="宋体"/>
          <w:color w:val="000000"/>
          <w:sz w:val="24"/>
        </w:rPr>
        <w:t>同级政府采购监督管理部门</w:t>
      </w:r>
    </w:p>
    <w:p>
      <w:pPr>
        <w:spacing w:line="360" w:lineRule="auto"/>
        <w:ind w:firstLine="720" w:firstLineChars="300"/>
        <w:rPr>
          <w:rFonts w:ascii="宋体" w:hAnsi="宋体" w:cs="宋体"/>
          <w:color w:val="000000"/>
          <w:sz w:val="24"/>
        </w:rPr>
      </w:pPr>
      <w:r>
        <w:rPr>
          <w:rFonts w:hint="eastAsia" w:ascii="宋体" w:hAnsi="宋体" w:cs="宋体"/>
          <w:color w:val="000000"/>
          <w:sz w:val="24"/>
        </w:rPr>
        <w:t>名</w:t>
      </w:r>
      <w:r>
        <w:rPr>
          <w:rFonts w:ascii="宋体" w:hAnsi="宋体" w:cs="宋体"/>
          <w:color w:val="000000"/>
          <w:sz w:val="24"/>
        </w:rPr>
        <w:t xml:space="preserve">  </w:t>
      </w:r>
      <w:r>
        <w:rPr>
          <w:rFonts w:hint="eastAsia" w:ascii="宋体" w:hAnsi="宋体" w:cs="宋体"/>
          <w:color w:val="000000"/>
          <w:sz w:val="24"/>
        </w:rPr>
        <w:t>称：</w:t>
      </w:r>
      <w:r>
        <w:rPr>
          <w:rFonts w:hint="eastAsia" w:ascii="宋体" w:hAnsi="宋体"/>
          <w:color w:val="000000"/>
          <w:sz w:val="24"/>
        </w:rPr>
        <w:t>浙江省财政厅政府采购监管处</w:t>
      </w:r>
    </w:p>
    <w:p>
      <w:pPr>
        <w:spacing w:line="360" w:lineRule="auto"/>
        <w:ind w:firstLine="720" w:firstLineChars="300"/>
        <w:rPr>
          <w:rFonts w:ascii="宋体" w:hAnsi="宋体" w:cs="宋体"/>
          <w:color w:val="000000"/>
          <w:sz w:val="24"/>
        </w:rPr>
      </w:pPr>
      <w:r>
        <w:rPr>
          <w:rFonts w:hint="eastAsia" w:ascii="宋体" w:hAnsi="宋体" w:cs="宋体"/>
          <w:color w:val="000000"/>
          <w:sz w:val="24"/>
        </w:rPr>
        <w:t>地</w:t>
      </w:r>
      <w:r>
        <w:rPr>
          <w:rFonts w:ascii="宋体" w:hAnsi="宋体" w:cs="宋体"/>
          <w:color w:val="000000"/>
          <w:sz w:val="24"/>
        </w:rPr>
        <w:t xml:space="preserve">  </w:t>
      </w:r>
      <w:r>
        <w:rPr>
          <w:rFonts w:hint="eastAsia" w:ascii="宋体" w:hAnsi="宋体" w:cs="宋体"/>
          <w:color w:val="000000"/>
          <w:sz w:val="24"/>
        </w:rPr>
        <w:t>址：杭州市西湖区环城西路</w:t>
      </w:r>
      <w:r>
        <w:rPr>
          <w:rFonts w:ascii="宋体" w:hAnsi="宋体" w:cs="宋体"/>
          <w:color w:val="000000"/>
          <w:sz w:val="24"/>
        </w:rPr>
        <w:t>37</w:t>
      </w:r>
      <w:r>
        <w:rPr>
          <w:rFonts w:hint="eastAsia" w:ascii="宋体" w:hAnsi="宋体" w:cs="宋体"/>
          <w:color w:val="000000"/>
          <w:sz w:val="24"/>
        </w:rPr>
        <w:t>号</w:t>
      </w:r>
    </w:p>
    <w:p>
      <w:pPr>
        <w:spacing w:line="360" w:lineRule="auto"/>
        <w:ind w:firstLine="720" w:firstLineChars="300"/>
        <w:rPr>
          <w:rFonts w:ascii="宋体" w:hAnsi="宋体" w:cs="宋体"/>
          <w:color w:val="000000"/>
          <w:sz w:val="24"/>
        </w:rPr>
      </w:pPr>
      <w:r>
        <w:rPr>
          <w:rFonts w:hint="eastAsia" w:ascii="宋体" w:hAnsi="宋体" w:cs="宋体"/>
          <w:color w:val="000000"/>
          <w:sz w:val="24"/>
        </w:rPr>
        <w:t>联系人：倪文良</w:t>
      </w:r>
    </w:p>
    <w:p>
      <w:pPr>
        <w:spacing w:line="360" w:lineRule="auto"/>
        <w:ind w:firstLine="720" w:firstLineChars="300"/>
        <w:rPr>
          <w:rFonts w:ascii="宋体" w:hAnsi="宋体"/>
          <w:color w:val="000000"/>
          <w:sz w:val="24"/>
        </w:rPr>
      </w:pPr>
      <w:r>
        <w:rPr>
          <w:rFonts w:hint="eastAsia" w:ascii="宋体" w:hAnsi="宋体" w:cs="宋体"/>
          <w:color w:val="000000"/>
          <w:sz w:val="24"/>
        </w:rPr>
        <w:t>监督投诉电话：</w:t>
      </w:r>
      <w:r>
        <w:rPr>
          <w:rFonts w:ascii="宋体" w:hAnsi="宋体"/>
          <w:color w:val="000000"/>
          <w:sz w:val="24"/>
        </w:rPr>
        <w:t>0571-87057615</w:t>
      </w:r>
    </w:p>
    <w:p>
      <w:pPr>
        <w:pStyle w:val="12"/>
        <w:spacing w:line="360" w:lineRule="auto"/>
        <w:ind w:firstLine="0"/>
        <w:rPr>
          <w:rFonts w:hint="eastAsia" w:hAnsi="宋体"/>
          <w:color w:val="000000"/>
          <w:sz w:val="24"/>
        </w:rPr>
      </w:pPr>
    </w:p>
    <w:p>
      <w:pPr>
        <w:pageBreakBefore/>
        <w:snapToGrid w:val="0"/>
        <w:spacing w:line="360" w:lineRule="auto"/>
        <w:ind w:left="238"/>
        <w:jc w:val="center"/>
        <w:outlineLvl w:val="0"/>
        <w:rPr>
          <w:rFonts w:hint="eastAsia" w:ascii="宋体" w:hAnsi="宋体"/>
          <w:color w:val="000000"/>
          <w:sz w:val="30"/>
          <w:szCs w:val="30"/>
        </w:rPr>
      </w:pPr>
      <w:bookmarkStart w:id="35" w:name="_Toc44755895"/>
      <w:r>
        <w:rPr>
          <w:rFonts w:hint="eastAsia" w:ascii="宋体" w:hAnsi="宋体"/>
          <w:color w:val="000000"/>
          <w:sz w:val="30"/>
          <w:szCs w:val="30"/>
        </w:rPr>
        <w:t>第二章  投标人须知</w:t>
      </w:r>
      <w:bookmarkEnd w:id="35"/>
    </w:p>
    <w:p>
      <w:pPr>
        <w:snapToGrid w:val="0"/>
        <w:spacing w:before="120" w:beforeLines="50" w:after="120" w:afterLines="50" w:line="360" w:lineRule="auto"/>
        <w:ind w:left="238"/>
        <w:jc w:val="center"/>
        <w:rPr>
          <w:rFonts w:ascii="宋体" w:hAnsi="宋体"/>
          <w:b/>
          <w:color w:val="000000"/>
          <w:sz w:val="28"/>
          <w:szCs w:val="28"/>
        </w:rPr>
      </w:pPr>
      <w:r>
        <w:rPr>
          <w:rFonts w:hint="eastAsia" w:ascii="宋体" w:hAnsi="宋体"/>
          <w:b/>
          <w:color w:val="000000"/>
          <w:sz w:val="28"/>
          <w:szCs w:val="28"/>
        </w:rPr>
        <w:t>前附表</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0"/>
        <w:gridCol w:w="1440"/>
        <w:gridCol w:w="66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9"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szCs w:val="20"/>
              </w:rPr>
            </w:pPr>
            <w:r>
              <w:rPr>
                <w:rFonts w:hint="eastAsia" w:ascii="宋体" w:hAnsi="宋体" w:eastAsia="宋体"/>
                <w:color w:val="000000"/>
                <w:sz w:val="24"/>
              </w:rPr>
              <w:t>序号</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名  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szCs w:val="20"/>
              </w:rPr>
            </w:pPr>
            <w:r>
              <w:rPr>
                <w:rFonts w:hint="eastAsia" w:ascii="宋体" w:hAnsi="宋体" w:eastAsia="宋体"/>
                <w:color w:val="000000"/>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9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szCs w:val="20"/>
              </w:rPr>
            </w:pPr>
            <w:r>
              <w:rPr>
                <w:rFonts w:ascii="宋体" w:hAnsi="宋体" w:eastAsia="宋体"/>
                <w:color w:val="000000"/>
                <w:sz w:val="24"/>
              </w:rPr>
              <w:t>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项目名称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hint="eastAsia" w:ascii="宋体" w:hAnsi="宋体" w:eastAsia="宋体"/>
                <w:color w:val="000000"/>
                <w:sz w:val="24"/>
              </w:rPr>
              <w:t>指挥中心迁建项目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ascii="宋体" w:hAnsi="宋体" w:eastAsia="宋体"/>
                <w:color w:val="000000"/>
                <w:sz w:val="24"/>
              </w:rPr>
              <w:t>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采购内容</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及数量</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hint="eastAsia" w:ascii="宋体" w:hAnsi="宋体" w:eastAsia="宋体"/>
                <w:color w:val="000000"/>
                <w:sz w:val="24"/>
              </w:rPr>
              <w:t>详见“第一章  投标邀请”。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szCs w:val="20"/>
              </w:rPr>
            </w:pPr>
            <w:r>
              <w:rPr>
                <w:rFonts w:ascii="宋体" w:hAnsi="宋体" w:eastAsia="宋体"/>
                <w:color w:val="000000"/>
                <w:sz w:val="24"/>
              </w:rPr>
              <w:t>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预算金额</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hint="eastAsia" w:ascii="宋体" w:hAnsi="宋体" w:eastAsia="宋体"/>
                <w:color w:val="000000"/>
                <w:sz w:val="24"/>
              </w:rPr>
              <w:t>详见“第一章  投标邀请”。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szCs w:val="20"/>
              </w:rPr>
              <w:t>公告媒体</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olor w:val="000000"/>
                <w:sz w:val="24"/>
                <w:szCs w:val="20"/>
              </w:rPr>
            </w:pPr>
            <w:r>
              <w:rPr>
                <w:rFonts w:hint="eastAsia" w:ascii="宋体" w:hAnsi="宋体" w:eastAsia="宋体"/>
                <w:color w:val="000000"/>
                <w:sz w:val="24"/>
                <w:szCs w:val="20"/>
              </w:rPr>
              <w:t>浙江政府采购网</w:t>
            </w:r>
            <w:r>
              <w:rPr>
                <w:rFonts w:hint="eastAsia" w:ascii="宋体" w:hAnsi="宋体" w:eastAsia="宋体"/>
                <w:color w:val="000000"/>
                <w:sz w:val="24"/>
              </w:rPr>
              <w:t>（</w:t>
            </w:r>
            <w:r>
              <w:rPr>
                <w:rFonts w:ascii="宋体" w:hAnsi="宋体" w:eastAsia="宋体"/>
                <w:color w:val="000000"/>
              </w:rPr>
              <w:fldChar w:fldCharType="begin"/>
            </w:r>
            <w:r>
              <w:rPr>
                <w:rFonts w:ascii="宋体" w:hAnsi="宋体" w:eastAsia="宋体"/>
                <w:color w:val="000000"/>
              </w:rPr>
              <w:instrText xml:space="preserve"> HYPERLINK "http://zfcg.czt.zj.gov.cn" </w:instrText>
            </w:r>
            <w:r>
              <w:rPr>
                <w:rFonts w:ascii="宋体" w:hAnsi="宋体" w:eastAsia="宋体"/>
                <w:color w:val="000000"/>
              </w:rPr>
              <w:fldChar w:fldCharType="separate"/>
            </w:r>
            <w:r>
              <w:rPr>
                <w:rFonts w:hint="eastAsia" w:ascii="宋体" w:hAnsi="宋体" w:eastAsia="宋体"/>
                <w:color w:val="000000"/>
              </w:rPr>
              <w:t>http://zfcg.czt.zj.gov.cn</w:t>
            </w:r>
            <w:r>
              <w:rPr>
                <w:rFonts w:hint="eastAsia" w:ascii="宋体" w:hAnsi="宋体" w:eastAsia="宋体"/>
                <w:color w:val="000000"/>
              </w:rPr>
              <w:fldChar w:fldCharType="end"/>
            </w:r>
            <w:r>
              <w:rPr>
                <w:rFonts w:hint="eastAsia" w:ascii="宋体" w:hAnsi="宋体" w:eastAsia="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0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电子交</w:t>
            </w:r>
          </w:p>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易平台</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hint="eastAsia" w:ascii="宋体" w:hAnsi="宋体" w:eastAsia="宋体"/>
                <w:color w:val="000000"/>
                <w:sz w:val="24"/>
              </w:rPr>
              <w:t>政府采购云平台（</w:t>
            </w:r>
            <w:r>
              <w:rPr>
                <w:rFonts w:ascii="宋体" w:hAnsi="宋体" w:eastAsia="宋体"/>
                <w:color w:val="000000"/>
                <w:sz w:val="24"/>
              </w:rPr>
              <w:t>www.zcygov.cn</w:t>
            </w:r>
            <w:r>
              <w:rPr>
                <w:rFonts w:hint="eastAsia" w:ascii="宋体" w:hAnsi="宋体" w:eastAsia="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4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投标报价</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ascii="宋体" w:hAnsi="宋体" w:eastAsia="宋体"/>
                <w:color w:val="000000"/>
                <w:sz w:val="24"/>
              </w:rPr>
              <w:t>1</w:t>
            </w:r>
            <w:r>
              <w:rPr>
                <w:rFonts w:hint="eastAsia" w:ascii="宋体" w:hAnsi="宋体" w:eastAsia="宋体"/>
                <w:color w:val="000000"/>
                <w:sz w:val="24"/>
              </w:rPr>
              <w:t>、本项目投标应以人民币报价；</w:t>
            </w:r>
          </w:p>
          <w:p>
            <w:pPr>
              <w:snapToGrid w:val="0"/>
              <w:spacing w:line="320" w:lineRule="exact"/>
              <w:rPr>
                <w:rFonts w:hint="eastAsia" w:ascii="宋体" w:hAnsi="宋体" w:eastAsia="宋体"/>
                <w:color w:val="000000"/>
                <w:sz w:val="24"/>
              </w:rPr>
            </w:pPr>
            <w:r>
              <w:rPr>
                <w:rFonts w:hint="eastAsia" w:ascii="宋体" w:hAnsi="宋体" w:eastAsia="宋体"/>
                <w:color w:val="000000"/>
                <w:sz w:val="24"/>
              </w:rPr>
              <w:t>2、</w:t>
            </w:r>
            <w:r>
              <w:rPr>
                <w:rFonts w:ascii="宋体" w:hAnsi="宋体" w:eastAsia="宋体"/>
                <w:color w:val="000000"/>
                <w:sz w:val="24"/>
              </w:rPr>
              <w:t>投标</w:t>
            </w:r>
            <w:r>
              <w:rPr>
                <w:rFonts w:hint="eastAsia" w:ascii="宋体" w:hAnsi="宋体" w:eastAsia="宋体"/>
                <w:color w:val="000000"/>
                <w:sz w:val="24"/>
              </w:rPr>
              <w:t>报价</w:t>
            </w:r>
            <w:r>
              <w:rPr>
                <w:rFonts w:ascii="宋体" w:hAnsi="宋体" w:eastAsia="宋体"/>
                <w:color w:val="000000"/>
                <w:sz w:val="24"/>
              </w:rPr>
              <w:t>为</w:t>
            </w:r>
            <w:r>
              <w:rPr>
                <w:rFonts w:hint="eastAsia" w:ascii="宋体" w:hAnsi="宋体" w:eastAsia="宋体"/>
                <w:color w:val="000000"/>
                <w:sz w:val="24"/>
              </w:rPr>
              <w:t>交钥匙方式完成本项目的全部费用的价格体现，即供货至招标人指定的地点，设备报价包含采购、安装、验收、运杂费、保险费、利润、税金、安装调试费、培训费、质保期内的服务费以及货物到达正常条件下所包含的全部费用；</w:t>
            </w:r>
          </w:p>
          <w:p>
            <w:pPr>
              <w:snapToGrid w:val="0"/>
              <w:spacing w:line="320" w:lineRule="exact"/>
              <w:rPr>
                <w:rFonts w:hint="eastAsia" w:ascii="宋体" w:hAnsi="宋体" w:eastAsia="宋体"/>
                <w:color w:val="000000"/>
                <w:sz w:val="24"/>
              </w:rPr>
            </w:pPr>
            <w:r>
              <w:rPr>
                <w:rFonts w:hint="eastAsia" w:ascii="宋体" w:hAnsi="宋体" w:eastAsia="宋体"/>
                <w:color w:val="000000"/>
                <w:sz w:val="24"/>
              </w:rPr>
              <w:t>3、不论投标结果如何，投标人均应自行承担所有与投标有关的全部费用。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86"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7</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现场考察/标前答疑会</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ascii="宋体" w:hAnsi="宋体" w:eastAsia="宋体"/>
                <w:color w:val="000000"/>
                <w:sz w:val="24"/>
              </w:rPr>
            </w:pPr>
            <w:r>
              <w:rPr>
                <w:rFonts w:ascii="宋体" w:hAnsi="宋体" w:eastAsia="宋体" w:cs="宋体"/>
                <w:color w:val="000000"/>
                <w:sz w:val="24"/>
              </w:rPr>
              <w:sym w:font="Wingdings 2" w:char="0052"/>
            </w:r>
            <w:r>
              <w:rPr>
                <w:rFonts w:hint="eastAsia" w:ascii="宋体" w:hAnsi="宋体" w:eastAsia="宋体" w:cs="宋体"/>
                <w:color w:val="000000"/>
                <w:sz w:val="24"/>
              </w:rPr>
              <w:t xml:space="preserve"> </w:t>
            </w:r>
            <w:r>
              <w:rPr>
                <w:rFonts w:hint="eastAsia" w:ascii="宋体" w:hAnsi="宋体" w:eastAsia="宋体"/>
                <w:color w:val="000000"/>
                <w:sz w:val="24"/>
              </w:rPr>
              <w:t>组织</w:t>
            </w:r>
          </w:p>
          <w:p>
            <w:pPr>
              <w:spacing w:line="320" w:lineRule="exact"/>
              <w:ind w:firstLine="420"/>
              <w:rPr>
                <w:rFonts w:ascii="宋体" w:hAnsi="宋体" w:eastAsia="宋体"/>
                <w:color w:val="000000"/>
                <w:sz w:val="24"/>
              </w:rPr>
            </w:pPr>
            <w:r>
              <w:rPr>
                <w:rFonts w:hint="eastAsia" w:ascii="宋体" w:hAnsi="宋体" w:eastAsia="宋体"/>
                <w:color w:val="000000"/>
                <w:sz w:val="24"/>
              </w:rPr>
              <w:t>由潜在投标人自行进行现场踏勘，因项目建设的特殊性，本项目必须进行踏勘现场，进一步了解采购需求细节，潜在投标人出具现场踏勘确认函（格式见本文件附件）经使用方签字，在报价响应文件中提交经使用方签字的确认函复印件。踏勘期间发生的费用或意外导致伤亡等一切责任和损失均由供应商自负。</w:t>
            </w:r>
          </w:p>
          <w:p>
            <w:pPr>
              <w:spacing w:line="320" w:lineRule="exact"/>
              <w:ind w:firstLine="420"/>
              <w:rPr>
                <w:rFonts w:hint="eastAsia" w:ascii="宋体" w:hAnsi="宋体" w:eastAsia="宋体"/>
                <w:color w:val="000000"/>
                <w:sz w:val="24"/>
              </w:rPr>
            </w:pPr>
            <w:r>
              <w:rPr>
                <w:rFonts w:hint="eastAsia" w:ascii="宋体" w:hAnsi="宋体" w:eastAsia="宋体"/>
                <w:color w:val="000000"/>
                <w:sz w:val="24"/>
              </w:rPr>
              <w:t xml:space="preserve">踏勘联系人：董先生 </w:t>
            </w:r>
          </w:p>
          <w:p>
            <w:pPr>
              <w:spacing w:line="320" w:lineRule="exact"/>
              <w:ind w:firstLine="420"/>
              <w:rPr>
                <w:rFonts w:ascii="宋体" w:hAnsi="宋体" w:eastAsia="宋体"/>
                <w:color w:val="000000"/>
                <w:sz w:val="24"/>
              </w:rPr>
            </w:pPr>
            <w:r>
              <w:rPr>
                <w:rFonts w:hint="eastAsia" w:ascii="宋体" w:hAnsi="宋体" w:eastAsia="宋体"/>
                <w:color w:val="000000"/>
                <w:sz w:val="24"/>
              </w:rPr>
              <w:t xml:space="preserve">踏勘地址：杭州市余杭区临平邱山大街1号省第四监狱 </w:t>
            </w:r>
          </w:p>
          <w:p>
            <w:pPr>
              <w:spacing w:line="320" w:lineRule="exact"/>
              <w:ind w:firstLine="420"/>
              <w:rPr>
                <w:rFonts w:hint="eastAsia" w:ascii="宋体" w:hAnsi="宋体" w:eastAsia="宋体"/>
                <w:color w:val="000000"/>
                <w:sz w:val="24"/>
              </w:rPr>
            </w:pPr>
            <w:r>
              <w:rPr>
                <w:rFonts w:hint="eastAsia" w:ascii="宋体" w:hAnsi="宋体" w:eastAsia="宋体"/>
                <w:color w:val="000000"/>
                <w:sz w:val="24"/>
              </w:rPr>
              <w:t>联系电话：0571-86235241</w:t>
            </w:r>
          </w:p>
          <w:p>
            <w:pPr>
              <w:snapToGrid w:val="0"/>
              <w:spacing w:line="320" w:lineRule="exact"/>
              <w:rPr>
                <w:rFonts w:ascii="宋体" w:hAnsi="宋体" w:eastAsia="宋体"/>
                <w:color w:val="000000"/>
                <w:sz w:val="24"/>
                <w:szCs w:val="20"/>
              </w:rPr>
            </w:pPr>
            <w:r>
              <w:rPr>
                <w:rFonts w:ascii="宋体" w:hAnsi="宋体" w:eastAsia="宋体" w:cs="宋体"/>
                <w:color w:val="000000"/>
                <w:sz w:val="24"/>
              </w:rPr>
              <w:t>□</w:t>
            </w:r>
            <w:r>
              <w:rPr>
                <w:rFonts w:hint="eastAsia" w:ascii="宋体" w:hAnsi="宋体" w:eastAsia="宋体" w:cs="宋体"/>
                <w:color w:val="000000"/>
                <w:sz w:val="24"/>
              </w:rPr>
              <w:t xml:space="preserve"> </w:t>
            </w:r>
            <w:r>
              <w:rPr>
                <w:rFonts w:hint="eastAsia" w:ascii="宋体" w:hAnsi="宋体" w:eastAsia="宋体"/>
                <w:color w:val="000000"/>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8</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b/>
                <w:color w:val="000000"/>
                <w:sz w:val="24"/>
              </w:rPr>
            </w:pPr>
            <w:r>
              <w:rPr>
                <w:rFonts w:hint="eastAsia" w:ascii="宋体" w:hAnsi="宋体" w:eastAsia="宋体"/>
                <w:b/>
                <w:color w:val="000000"/>
                <w:sz w:val="24"/>
              </w:rPr>
              <w:t>样品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ascii="宋体" w:hAnsi="宋体" w:eastAsia="宋体"/>
                <w:color w:val="000000"/>
                <w:sz w:val="24"/>
              </w:rPr>
            </w:pPr>
            <w:r>
              <w:rPr>
                <w:rFonts w:ascii="宋体" w:hAnsi="宋体" w:eastAsia="宋体" w:cs="宋体"/>
                <w:color w:val="000000"/>
                <w:sz w:val="24"/>
              </w:rPr>
              <w:t>□</w:t>
            </w:r>
            <w:r>
              <w:rPr>
                <w:rFonts w:hint="eastAsia" w:ascii="宋体" w:hAnsi="宋体" w:eastAsia="宋体"/>
                <w:color w:val="000000"/>
                <w:sz w:val="24"/>
              </w:rPr>
              <w:t>提供（详细内容）</w:t>
            </w:r>
          </w:p>
          <w:p>
            <w:pPr>
              <w:snapToGrid w:val="0"/>
              <w:spacing w:line="320" w:lineRule="exact"/>
              <w:ind w:firstLine="480" w:firstLineChars="200"/>
              <w:rPr>
                <w:rFonts w:ascii="宋体" w:hAnsi="宋体" w:eastAsia="宋体"/>
                <w:color w:val="000000"/>
                <w:sz w:val="24"/>
              </w:rPr>
            </w:pPr>
            <w:r>
              <w:rPr>
                <w:rFonts w:hint="eastAsia" w:ascii="宋体" w:hAnsi="宋体" w:eastAsia="宋体"/>
                <w:color w:val="000000"/>
                <w:sz w:val="24"/>
              </w:rPr>
              <w:t>中标人提供的样品将由招标人保管、封存，并作为履约验收的参考。</w:t>
            </w:r>
          </w:p>
          <w:p>
            <w:pPr>
              <w:snapToGrid w:val="0"/>
              <w:spacing w:line="320" w:lineRule="exact"/>
              <w:rPr>
                <w:rFonts w:hint="eastAsia" w:ascii="宋体" w:hAnsi="宋体" w:eastAsia="宋体"/>
                <w:color w:val="000000"/>
                <w:sz w:val="24"/>
              </w:rPr>
            </w:pPr>
            <w:r>
              <w:rPr>
                <w:rFonts w:ascii="宋体" w:hAnsi="宋体" w:eastAsia="宋体" w:cs="宋体"/>
                <w:color w:val="000000"/>
                <w:sz w:val="24"/>
              </w:rPr>
              <w:sym w:font="Wingdings 2" w:char="0052"/>
            </w:r>
            <w:r>
              <w:rPr>
                <w:rFonts w:hint="eastAsia" w:ascii="宋体" w:hAnsi="宋体" w:eastAsia="宋体"/>
                <w:color w:val="000000"/>
                <w:sz w:val="24"/>
              </w:rPr>
              <w:t>不提供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9</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演示</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hint="eastAsia" w:ascii="宋体" w:hAnsi="宋体" w:eastAsia="宋体"/>
                <w:color w:val="000000"/>
                <w:sz w:val="24"/>
              </w:rPr>
            </w:pPr>
            <w:r>
              <w:rPr>
                <w:rFonts w:ascii="宋体" w:hAnsi="宋体" w:eastAsia="宋体" w:cs="宋体"/>
                <w:color w:val="000000"/>
                <w:sz w:val="24"/>
              </w:rPr>
              <w:t>□</w:t>
            </w:r>
            <w:r>
              <w:rPr>
                <w:rFonts w:hint="eastAsia" w:ascii="宋体" w:hAnsi="宋体" w:eastAsia="宋体"/>
                <w:color w:val="000000"/>
                <w:sz w:val="24"/>
              </w:rPr>
              <w:t>要求</w:t>
            </w:r>
          </w:p>
          <w:p>
            <w:pPr>
              <w:snapToGrid w:val="0"/>
              <w:spacing w:line="320" w:lineRule="exact"/>
              <w:rPr>
                <w:rFonts w:hint="eastAsia" w:ascii="宋体" w:hAnsi="宋体" w:eastAsia="宋体"/>
                <w:color w:val="000000"/>
                <w:sz w:val="24"/>
              </w:rPr>
            </w:pPr>
            <w:r>
              <w:rPr>
                <w:rFonts w:ascii="宋体" w:hAnsi="宋体" w:eastAsia="宋体" w:cs="宋体"/>
                <w:color w:val="000000"/>
                <w:sz w:val="24"/>
              </w:rPr>
              <w:sym w:font="Wingdings 2" w:char="0052"/>
            </w:r>
            <w:r>
              <w:rPr>
                <w:rFonts w:hint="eastAsia" w:ascii="宋体" w:hAnsi="宋体" w:eastAsia="宋体"/>
                <w:color w:val="000000"/>
                <w:sz w:val="24"/>
              </w:rPr>
              <w:t>不要求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10</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招标文</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件澄清</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ind w:firstLine="480" w:firstLineChars="200"/>
              <w:rPr>
                <w:rFonts w:ascii="宋体" w:hAnsi="宋体" w:eastAsia="宋体"/>
                <w:color w:val="000000"/>
                <w:sz w:val="24"/>
                <w:szCs w:val="20"/>
              </w:rPr>
            </w:pPr>
            <w:r>
              <w:rPr>
                <w:rFonts w:hint="eastAsia" w:ascii="宋体" w:hAnsi="宋体" w:eastAsia="宋体"/>
                <w:color w:val="000000"/>
                <w:sz w:val="24"/>
              </w:rPr>
              <w:t>投标人如认为招标文件表述不清晰、存在前后矛盾等内容的，应当在投标截止日</w:t>
            </w:r>
            <w:r>
              <w:rPr>
                <w:rFonts w:hint="eastAsia" w:ascii="宋体" w:hAnsi="宋体" w:eastAsia="宋体"/>
                <w:color w:val="000000"/>
                <w:sz w:val="24"/>
                <w:u w:val="single"/>
              </w:rPr>
              <w:t xml:space="preserve"> 10 </w:t>
            </w:r>
            <w:r>
              <w:rPr>
                <w:rFonts w:hint="eastAsia" w:ascii="宋体" w:hAnsi="宋体" w:eastAsia="宋体"/>
                <w:color w:val="000000"/>
                <w:sz w:val="24"/>
              </w:rPr>
              <w:t>天前以书面形式要求招标采购单位作出书面澄清。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11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投标文件</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的组成</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ind w:firstLine="480" w:firstLineChars="200"/>
              <w:textAlignment w:val="bottom"/>
              <w:rPr>
                <w:rFonts w:hint="eastAsia" w:ascii="宋体" w:hAnsi="宋体" w:eastAsia="宋体"/>
                <w:color w:val="000000"/>
                <w:sz w:val="24"/>
              </w:rPr>
            </w:pPr>
            <w:r>
              <w:rPr>
                <w:rFonts w:hint="eastAsia" w:ascii="宋体" w:hAnsi="宋体" w:eastAsia="宋体"/>
                <w:color w:val="000000"/>
                <w:sz w:val="24"/>
              </w:rPr>
              <w:t>投标文件由</w:t>
            </w:r>
            <w:r>
              <w:rPr>
                <w:rFonts w:hint="eastAsia" w:ascii="宋体" w:hAnsi="宋体" w:eastAsia="宋体" w:cs="Arial"/>
                <w:color w:val="000000"/>
                <w:sz w:val="24"/>
              </w:rPr>
              <w:t>资格证明文件、商务技术文件、报价文件三部分组成</w:t>
            </w:r>
            <w:r>
              <w:rPr>
                <w:rFonts w:hint="eastAsia" w:ascii="宋体" w:hAnsi="宋体" w:eastAsia="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ascii="宋体" w:hAnsi="宋体" w:eastAsia="宋体"/>
                <w:color w:val="000000"/>
                <w:sz w:val="24"/>
              </w:rPr>
              <w:t>1</w:t>
            </w:r>
            <w:r>
              <w:rPr>
                <w:rFonts w:hint="eastAsia" w:ascii="宋体" w:hAnsi="宋体" w:eastAsia="宋体"/>
                <w:color w:val="000000"/>
                <w:sz w:val="24"/>
              </w:rPr>
              <w:t>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投标文件</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的编制</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20" w:lineRule="exact"/>
              <w:ind w:left="360" w:hanging="360" w:hangingChars="150"/>
              <w:jc w:val="left"/>
              <w:rPr>
                <w:rFonts w:hint="eastAsia" w:ascii="宋体" w:hAnsi="宋体" w:eastAsia="宋体" w:cs="宋体"/>
                <w:color w:val="000000"/>
                <w:sz w:val="24"/>
              </w:rPr>
            </w:pPr>
            <w:r>
              <w:rPr>
                <w:rFonts w:hint="eastAsia" w:ascii="宋体" w:hAnsi="宋体" w:eastAsia="宋体" w:cs="宋体"/>
                <w:color w:val="000000"/>
                <w:sz w:val="24"/>
              </w:rPr>
              <w:t>1、“电子加密投标文件”：</w:t>
            </w:r>
          </w:p>
          <w:p>
            <w:pPr>
              <w:autoSpaceDE w:val="0"/>
              <w:autoSpaceDN w:val="0"/>
              <w:adjustRightInd w:val="0"/>
              <w:spacing w:line="320" w:lineRule="exact"/>
              <w:ind w:left="600" w:hanging="600" w:hangingChars="250"/>
              <w:jc w:val="left"/>
              <w:rPr>
                <w:rFonts w:hint="eastAsia" w:ascii="宋体" w:hAnsi="宋体" w:eastAsia="宋体" w:cs="宋体"/>
                <w:color w:val="000000"/>
                <w:sz w:val="24"/>
              </w:rPr>
            </w:pPr>
            <w:r>
              <w:rPr>
                <w:rFonts w:hint="eastAsia" w:ascii="宋体" w:hAnsi="宋体" w:eastAsia="宋体" w:cs="宋体"/>
                <w:color w:val="000000"/>
                <w:sz w:val="24"/>
              </w:rPr>
              <w:t>（1）“电子加密投标文件”是指通过“政采云电子交易客户端”完成投标文件编制后生成并加密的数据电文形式的投标文件。</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（2）供应商应先安装“政采云电子交易客户端”，并按照本招标文件和“政府采购云平台”的要求，通过“政采云电子交易客户端”编制并加密投标文件。</w:t>
            </w:r>
          </w:p>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2、“电子备份投标文件”：</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（1）“电子备份投标文件”是指与“电子加密投标文件”同时生成的数据电文形式的电子文件。</w:t>
            </w:r>
          </w:p>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（2）供应商可自主选择是否编制“电子备份投标文件”。</w:t>
            </w:r>
          </w:p>
          <w:p>
            <w:pPr>
              <w:spacing w:line="320" w:lineRule="exact"/>
              <w:rPr>
                <w:rFonts w:hint="eastAsia" w:ascii="宋体" w:hAnsi="宋体" w:eastAsia="宋体" w:cs="宋体"/>
                <w:color w:val="000000"/>
                <w:sz w:val="24"/>
              </w:rPr>
            </w:pPr>
            <w:r>
              <w:rPr>
                <w:rFonts w:hint="eastAsia" w:ascii="宋体" w:hAnsi="宋体" w:eastAsia="宋体" w:cs="宋体"/>
                <w:color w:val="000000"/>
                <w:sz w:val="24"/>
              </w:rPr>
              <w:t>（3）其他方式编制的备份投标文件视为无效备份投标文件。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13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投标文件</w:t>
            </w:r>
          </w:p>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的签章：</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20" w:lineRule="exact"/>
              <w:ind w:firstLine="480" w:firstLineChars="200"/>
              <w:jc w:val="left"/>
              <w:rPr>
                <w:rFonts w:hint="eastAsia" w:ascii="宋体" w:hAnsi="宋体" w:eastAsia="宋体"/>
                <w:color w:val="000000"/>
                <w:sz w:val="24"/>
              </w:rPr>
            </w:pPr>
            <w:r>
              <w:rPr>
                <w:rFonts w:hint="eastAsia" w:ascii="宋体" w:hAnsi="宋体" w:eastAsia="宋体"/>
                <w:color w:val="000000"/>
                <w:sz w:val="24"/>
              </w:rPr>
              <w:t>采用电子签章。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ascii="宋体" w:hAnsi="宋体" w:eastAsia="宋体"/>
                <w:color w:val="000000"/>
                <w:sz w:val="24"/>
              </w:rPr>
              <w:t>1</w:t>
            </w:r>
            <w:r>
              <w:rPr>
                <w:rFonts w:hint="eastAsia" w:ascii="宋体" w:hAnsi="宋体" w:eastAsia="宋体"/>
                <w:color w:val="000000"/>
                <w:sz w:val="24"/>
              </w:rPr>
              <w:t>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投标文件</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的包装、密封和递交</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s="宋体"/>
                <w:color w:val="000000"/>
                <w:sz w:val="24"/>
              </w:rPr>
            </w:pPr>
            <w:r>
              <w:rPr>
                <w:rFonts w:hint="eastAsia" w:ascii="宋体" w:hAnsi="宋体" w:eastAsia="宋体" w:cs="宋体"/>
                <w:color w:val="000000"/>
                <w:sz w:val="24"/>
              </w:rPr>
              <w:t>1、“电子加密投标文件”的递交：在线上传递交。</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（1）供应商应在投标截止时间前将“电子加密投标文件”成功上传递交至“政府采购云平台”，否则投标无效。</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（2）“电子加密投标文件”成功上传递交后，供应商可自行打印投标文件接收回执。</w:t>
            </w:r>
          </w:p>
          <w:p>
            <w:pPr>
              <w:spacing w:line="320" w:lineRule="exact"/>
              <w:rPr>
                <w:rFonts w:hint="eastAsia" w:ascii="宋体" w:hAnsi="宋体" w:eastAsia="宋体" w:cs="宋体"/>
                <w:color w:val="000000"/>
                <w:sz w:val="24"/>
              </w:rPr>
            </w:pPr>
            <w:r>
              <w:rPr>
                <w:rFonts w:hint="eastAsia" w:ascii="宋体" w:hAnsi="宋体" w:eastAsia="宋体" w:cs="宋体"/>
                <w:color w:val="000000"/>
                <w:sz w:val="24"/>
              </w:rPr>
              <w:t>2、“电子备份投标文件”的密封、包装和递交：</w:t>
            </w:r>
          </w:p>
          <w:p>
            <w:pPr>
              <w:spacing w:line="320" w:lineRule="exact"/>
              <w:rPr>
                <w:rFonts w:hint="eastAsia" w:ascii="宋体" w:hAnsi="宋体" w:eastAsia="宋体" w:cs="宋体"/>
                <w:color w:val="000000"/>
                <w:sz w:val="24"/>
              </w:rPr>
            </w:pPr>
            <w:r>
              <w:rPr>
                <w:rFonts w:hint="eastAsia" w:ascii="宋体" w:hAnsi="宋体" w:eastAsia="宋体" w:cs="宋体"/>
                <w:color w:val="000000"/>
                <w:sz w:val="24"/>
              </w:rPr>
              <w:t>（1）供应商可自主选择是否递交“电子备份投标文件”。</w:t>
            </w:r>
          </w:p>
          <w:p>
            <w:pPr>
              <w:spacing w:line="320" w:lineRule="exact"/>
              <w:rPr>
                <w:rFonts w:hint="eastAsia" w:ascii="宋体" w:hAnsi="宋体" w:eastAsia="宋体" w:cs="宋体"/>
                <w:color w:val="000000"/>
                <w:sz w:val="24"/>
              </w:rPr>
            </w:pPr>
            <w:r>
              <w:rPr>
                <w:rFonts w:hint="eastAsia" w:ascii="宋体" w:hAnsi="宋体" w:eastAsia="宋体" w:cs="宋体"/>
                <w:color w:val="000000"/>
                <w:sz w:val="24"/>
              </w:rPr>
              <w:t>（2）“电子备份投标文件”存入U盘（一份）。</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（3）“电子备份投标文件” 应在投标截止时间前以邮寄或送达方式递交。</w:t>
            </w:r>
          </w:p>
          <w:p>
            <w:pPr>
              <w:spacing w:line="320" w:lineRule="exact"/>
              <w:ind w:left="600" w:hanging="600" w:hangingChars="250"/>
              <w:rPr>
                <w:rFonts w:hint="eastAsia" w:ascii="宋体" w:hAnsi="宋体" w:eastAsia="宋体" w:cs="宋体"/>
                <w:color w:val="000000"/>
                <w:sz w:val="24"/>
              </w:rPr>
            </w:pPr>
            <w:r>
              <w:rPr>
                <w:rFonts w:hint="eastAsia" w:ascii="宋体" w:hAnsi="宋体" w:eastAsia="宋体" w:cs="宋体"/>
                <w:color w:val="000000"/>
                <w:sz w:val="24"/>
              </w:rPr>
              <w:t>（4）“电子备份投标文件”应当密封包装，并在包装上标注投标项目编号、项目名称、投标单位名称等并加盖公章（详见第六章投标文件格式）。没有密封包装或者逾期送达至 浙江中际工程项目管理有限公司的“电子备份投标文件”将不予接收。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ascii="宋体" w:hAnsi="宋体" w:eastAsia="宋体"/>
                <w:color w:val="000000"/>
                <w:sz w:val="24"/>
              </w:rPr>
              <w:t>1</w:t>
            </w:r>
            <w:r>
              <w:rPr>
                <w:rFonts w:hint="eastAsia" w:ascii="宋体" w:hAnsi="宋体" w:eastAsia="宋体"/>
                <w:color w:val="000000"/>
                <w:sz w:val="24"/>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投标截止</w:t>
            </w:r>
          </w:p>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时间和投</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标地址</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ascii="宋体" w:hAnsi="宋体" w:eastAsia="宋体"/>
                <w:color w:val="000000"/>
                <w:sz w:val="24"/>
                <w:szCs w:val="20"/>
              </w:rPr>
            </w:pPr>
            <w:r>
              <w:rPr>
                <w:rFonts w:hint="eastAsia" w:ascii="宋体" w:hAnsi="宋体" w:eastAsia="宋体"/>
                <w:b/>
                <w:bCs/>
                <w:color w:val="000000"/>
                <w:sz w:val="24"/>
              </w:rPr>
              <w:t>详见“第一章  投标邀请”。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ascii="宋体" w:hAnsi="宋体" w:eastAsia="宋体"/>
                <w:color w:val="000000"/>
                <w:sz w:val="24"/>
              </w:rPr>
              <w:t>1</w:t>
            </w:r>
            <w:r>
              <w:rPr>
                <w:rFonts w:hint="eastAsia" w:ascii="宋体" w:hAnsi="宋体" w:eastAsia="宋体"/>
                <w:color w:val="000000"/>
                <w:sz w:val="24"/>
              </w:rPr>
              <w:t>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开标时间</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和地址</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ascii="宋体" w:hAnsi="宋体" w:eastAsia="宋体"/>
                <w:color w:val="000000"/>
                <w:sz w:val="24"/>
                <w:szCs w:val="20"/>
              </w:rPr>
            </w:pPr>
            <w:r>
              <w:rPr>
                <w:rFonts w:hint="eastAsia" w:ascii="宋体" w:hAnsi="宋体" w:eastAsia="宋体"/>
                <w:b/>
                <w:bCs/>
                <w:color w:val="000000"/>
                <w:sz w:val="24"/>
              </w:rPr>
              <w:t>详见“第一章  投标邀请”。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2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17</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开标</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1、采购组织机构按照采购文件规定的时间通过电子交易平台组织开标，所有供应商均应当准时在线参加。</w:t>
            </w:r>
          </w:p>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2、开标时间后，采购组织机构将向各投标供应商发出“电子加密投标文件”的解密通知，各投标供应商代表应当在接到解密通知后</w:t>
            </w:r>
            <w:r>
              <w:rPr>
                <w:rFonts w:hint="eastAsia" w:ascii="宋体" w:hAnsi="宋体" w:eastAsia="宋体" w:cs="宋体"/>
                <w:i/>
                <w:color w:val="000000"/>
                <w:sz w:val="24"/>
                <w:u w:val="single"/>
              </w:rPr>
              <w:t>30</w:t>
            </w:r>
            <w:r>
              <w:rPr>
                <w:rFonts w:hint="eastAsia" w:ascii="宋体" w:hAnsi="宋体" w:eastAsia="宋体" w:cs="宋体"/>
                <w:color w:val="000000"/>
                <w:sz w:val="24"/>
              </w:rPr>
              <w:t>分钟内自行完成“电子加密投标文件”的在线解密。</w:t>
            </w:r>
          </w:p>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3、通过“政府采购云平台”上传递交的“电子加密投标文件”已按时解密的，“电子备份投标文件”自动失效。</w:t>
            </w:r>
          </w:p>
          <w:p>
            <w:pPr>
              <w:spacing w:line="320" w:lineRule="exact"/>
              <w:ind w:left="360" w:hanging="360" w:hangingChars="150"/>
              <w:rPr>
                <w:rFonts w:hint="eastAsia" w:ascii="宋体" w:hAnsi="宋体" w:eastAsia="宋体" w:cs="宋体"/>
                <w:color w:val="000000"/>
                <w:sz w:val="24"/>
              </w:rPr>
            </w:pPr>
            <w:r>
              <w:rPr>
                <w:rFonts w:hint="eastAsia" w:ascii="宋体" w:hAnsi="宋体" w:eastAsia="宋体" w:cs="宋体"/>
                <w:color w:val="000000"/>
                <w:sz w:val="24"/>
              </w:rPr>
              <w:t>4、通过“政府采购云平台”上传递交的“电子加密投标文件”无法按时解密的，如投标供应商按规定递交 “电子备份投标文件”的，则由采购组织机构按“政府采购云平台”操作规范将“电子备份投标文件”上传至“政府采购云平台”。上传成功后，以“电子备份投标文件”参与评标，“电子加密投标文件”自动失效; 在“政府采购云平台”正常运行情况下，“电子备份投标文件”无法上传至“政府采购云平台”的，视为投标文件撤回。如投标供应商未按规定递交“电子备份投标文件”的，视为投标文件撤回。</w:t>
            </w:r>
          </w:p>
          <w:p>
            <w:pPr>
              <w:snapToGrid w:val="0"/>
              <w:spacing w:line="320" w:lineRule="exact"/>
              <w:ind w:left="360" w:hanging="360" w:hangingChars="150"/>
              <w:rPr>
                <w:rFonts w:hint="eastAsia" w:ascii="宋体" w:hAnsi="宋体" w:eastAsia="宋体"/>
                <w:color w:val="000000"/>
                <w:sz w:val="24"/>
              </w:rPr>
            </w:pPr>
            <w:r>
              <w:rPr>
                <w:rFonts w:hint="eastAsia" w:ascii="宋体" w:hAnsi="宋体" w:eastAsia="宋体" w:cs="宋体"/>
                <w:color w:val="000000"/>
                <w:sz w:val="24"/>
              </w:rPr>
              <w:t>5、投标截止时间前，投标供应商仅递交了“电子备份投标文件”而未将“电子加密投标文件”上传至“政府采购云平台”的，投标无效。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4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ascii="宋体" w:hAnsi="宋体" w:eastAsia="宋体"/>
                <w:color w:val="000000"/>
                <w:sz w:val="24"/>
              </w:rPr>
              <w:t>1</w:t>
            </w:r>
            <w:r>
              <w:rPr>
                <w:rFonts w:hint="eastAsia" w:ascii="宋体" w:hAnsi="宋体" w:eastAsia="宋体"/>
                <w:color w:val="000000"/>
                <w:sz w:val="24"/>
              </w:rPr>
              <w:t>8</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评标办法</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ascii="宋体" w:hAnsi="宋体" w:eastAsia="宋体"/>
                <w:color w:val="000000"/>
                <w:sz w:val="24"/>
                <w:szCs w:val="20"/>
              </w:rPr>
            </w:pPr>
            <w:r>
              <w:rPr>
                <w:rFonts w:hint="eastAsia" w:ascii="宋体" w:hAnsi="宋体" w:eastAsia="宋体"/>
                <w:color w:val="000000"/>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rPr>
              <w:t>19</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投标文件</w:t>
            </w:r>
          </w:p>
          <w:p>
            <w:pPr>
              <w:snapToGrid w:val="0"/>
              <w:spacing w:line="320" w:lineRule="exact"/>
              <w:jc w:val="center"/>
              <w:rPr>
                <w:rFonts w:ascii="宋体" w:hAnsi="宋体" w:eastAsia="宋体"/>
                <w:color w:val="000000"/>
                <w:sz w:val="24"/>
              </w:rPr>
            </w:pPr>
            <w:r>
              <w:rPr>
                <w:rFonts w:hint="eastAsia" w:ascii="宋体" w:hAnsi="宋体" w:eastAsia="宋体"/>
                <w:color w:val="000000"/>
                <w:sz w:val="24"/>
              </w:rPr>
              <w:t>有效期</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ascii="宋体" w:hAnsi="宋体" w:eastAsia="宋体"/>
                <w:color w:val="000000"/>
                <w:sz w:val="24"/>
              </w:rPr>
            </w:pPr>
            <w:r>
              <w:rPr>
                <w:rFonts w:hint="eastAsia" w:ascii="宋体" w:hAnsi="宋体" w:eastAsia="宋体"/>
                <w:color w:val="000000"/>
                <w:sz w:val="24"/>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20</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进口</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rPr>
                <w:rFonts w:ascii="宋体" w:hAnsi="宋体" w:eastAsia="宋体"/>
                <w:color w:val="000000"/>
                <w:sz w:val="24"/>
              </w:rPr>
            </w:pPr>
            <w:r>
              <w:rPr>
                <w:rFonts w:hint="eastAsia" w:ascii="宋体" w:hAnsi="宋体" w:eastAsia="宋体"/>
                <w:color w:val="000000"/>
              </w:rPr>
              <w:t>不</w:t>
            </w:r>
            <w:r>
              <w:rPr>
                <w:rFonts w:hint="eastAsia" w:ascii="宋体" w:hAnsi="宋体" w:eastAsia="宋体"/>
                <w:color w:val="000000"/>
                <w:sz w:val="24"/>
              </w:rPr>
              <w:t>允许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21</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ascii="宋体" w:hAnsi="宋体" w:eastAsia="宋体"/>
                <w:color w:val="000000"/>
                <w:sz w:val="24"/>
              </w:rPr>
              <w:t>节能产品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olor w:val="000000"/>
                <w:sz w:val="24"/>
              </w:rPr>
            </w:pPr>
            <w:r>
              <w:rPr>
                <w:rFonts w:ascii="宋体" w:hAnsi="宋体" w:eastAsia="宋体"/>
                <w:color w:val="000000"/>
                <w:sz w:val="24"/>
              </w:rPr>
              <w:t>优先采购节能产品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hint="eastAsia" w:ascii="宋体" w:hAnsi="宋体" w:eastAsia="宋体"/>
                <w:color w:val="000000"/>
                <w:sz w:val="24"/>
              </w:rPr>
              <w:t>22</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ascii="宋体" w:hAnsi="宋体" w:eastAsia="宋体"/>
                <w:color w:val="000000"/>
                <w:sz w:val="24"/>
              </w:rPr>
              <w:t>环境标</w:t>
            </w:r>
          </w:p>
          <w:p>
            <w:pPr>
              <w:snapToGrid w:val="0"/>
              <w:spacing w:line="320" w:lineRule="exact"/>
              <w:jc w:val="center"/>
              <w:rPr>
                <w:rFonts w:hint="eastAsia" w:ascii="宋体" w:hAnsi="宋体" w:eastAsia="宋体"/>
                <w:color w:val="000000"/>
                <w:sz w:val="24"/>
              </w:rPr>
            </w:pPr>
            <w:r>
              <w:rPr>
                <w:rFonts w:ascii="宋体" w:hAnsi="宋体" w:eastAsia="宋体"/>
                <w:color w:val="000000"/>
                <w:sz w:val="24"/>
              </w:rPr>
              <w:t>志产品</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olor w:val="000000"/>
                <w:sz w:val="24"/>
              </w:rPr>
            </w:pPr>
            <w:r>
              <w:rPr>
                <w:rFonts w:ascii="宋体" w:hAnsi="宋体" w:eastAsia="宋体"/>
                <w:color w:val="000000"/>
                <w:sz w:val="24"/>
              </w:rPr>
              <w:t>优先采购环境标志</w:t>
            </w:r>
            <w:r>
              <w:rPr>
                <w:rFonts w:hint="eastAsia" w:ascii="宋体" w:hAnsi="宋体" w:eastAsia="宋体"/>
                <w:color w:val="000000"/>
                <w:sz w:val="24"/>
              </w:rPr>
              <w:t>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23</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rPr>
            </w:pPr>
            <w:r>
              <w:rPr>
                <w:rFonts w:ascii="宋体" w:hAnsi="宋体" w:eastAsia="宋体"/>
                <w:color w:val="000000"/>
                <w:sz w:val="24"/>
              </w:rPr>
              <w:t>促进中小</w:t>
            </w:r>
          </w:p>
          <w:p>
            <w:pPr>
              <w:snapToGrid w:val="0"/>
              <w:spacing w:line="320" w:lineRule="exact"/>
              <w:jc w:val="center"/>
              <w:rPr>
                <w:rFonts w:hint="eastAsia" w:ascii="宋体" w:hAnsi="宋体" w:eastAsia="宋体"/>
                <w:color w:val="000000"/>
                <w:sz w:val="24"/>
              </w:rPr>
            </w:pPr>
            <w:r>
              <w:rPr>
                <w:rFonts w:ascii="宋体" w:hAnsi="宋体" w:eastAsia="宋体"/>
                <w:color w:val="000000"/>
                <w:sz w:val="24"/>
              </w:rPr>
              <w:t>企业发展</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ind w:firstLine="480" w:firstLineChars="200"/>
              <w:textAlignment w:val="bottom"/>
              <w:rPr>
                <w:rFonts w:hint="eastAsia" w:ascii="宋体" w:hAnsi="宋体" w:eastAsia="宋体"/>
                <w:color w:val="000000"/>
                <w:sz w:val="24"/>
              </w:rPr>
            </w:pPr>
            <w:r>
              <w:rPr>
                <w:rFonts w:hint="eastAsia" w:ascii="宋体" w:hAnsi="宋体" w:eastAsia="宋体"/>
                <w:color w:val="000000"/>
                <w:sz w:val="24"/>
              </w:rPr>
              <w:t>本项目执行</w:t>
            </w:r>
            <w:r>
              <w:rPr>
                <w:rFonts w:ascii="宋体" w:hAnsi="宋体" w:eastAsia="宋体"/>
                <w:color w:val="000000"/>
                <w:sz w:val="24"/>
              </w:rPr>
              <w:t>促进中小企业发展</w:t>
            </w:r>
            <w:r>
              <w:rPr>
                <w:rFonts w:hint="eastAsia" w:ascii="宋体" w:hAnsi="宋体" w:eastAsia="宋体"/>
                <w:color w:val="000000"/>
                <w:sz w:val="24"/>
              </w:rPr>
              <w:t>政策，</w:t>
            </w:r>
            <w:r>
              <w:rPr>
                <w:rFonts w:hint="eastAsia" w:ascii="宋体" w:hAnsi="宋体" w:eastAsia="宋体" w:cs="宋体"/>
                <w:color w:val="000000"/>
                <w:kern w:val="0"/>
                <w:sz w:val="24"/>
              </w:rPr>
              <w:t>监狱企业、</w:t>
            </w:r>
            <w:r>
              <w:rPr>
                <w:rFonts w:ascii="宋体" w:hAnsi="宋体" w:eastAsia="宋体"/>
                <w:color w:val="000000"/>
                <w:sz w:val="24"/>
              </w:rPr>
              <w:t>残疾人福利性单位</w:t>
            </w:r>
            <w:r>
              <w:rPr>
                <w:rFonts w:hint="eastAsia" w:ascii="宋体" w:hAnsi="宋体" w:eastAsia="宋体" w:cs="宋体"/>
                <w:color w:val="000000"/>
                <w:kern w:val="0"/>
                <w:sz w:val="24"/>
              </w:rPr>
              <w:t>视同小型、微型企业</w:t>
            </w:r>
            <w:r>
              <w:rPr>
                <w:rFonts w:hint="eastAsia" w:ascii="宋体" w:hAnsi="宋体" w:eastAsia="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24</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代理服务费</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ind w:left="360" w:hanging="360" w:hangingChars="150"/>
              <w:rPr>
                <w:rFonts w:hint="eastAsia" w:ascii="宋体" w:hAnsi="宋体" w:eastAsia="宋体"/>
                <w:color w:val="000000"/>
                <w:sz w:val="24"/>
              </w:rPr>
            </w:pPr>
            <w:r>
              <w:rPr>
                <w:rFonts w:hint="eastAsia" w:ascii="宋体" w:hAnsi="宋体" w:eastAsia="宋体"/>
                <w:color w:val="000000"/>
                <w:sz w:val="24"/>
              </w:rPr>
              <w:t>1、本项目代理服务费为</w:t>
            </w:r>
            <w:r>
              <w:rPr>
                <w:rFonts w:hint="eastAsia" w:ascii="宋体" w:hAnsi="宋体" w:eastAsia="宋体"/>
                <w:color w:val="000000"/>
                <w:sz w:val="24"/>
                <w:u w:val="single"/>
              </w:rPr>
              <w:t xml:space="preserve"> </w:t>
            </w:r>
            <w:r>
              <w:rPr>
                <w:rFonts w:ascii="宋体" w:hAnsi="宋体" w:eastAsia="宋体"/>
                <w:b/>
                <w:color w:val="000000"/>
                <w:sz w:val="24"/>
                <w:u w:val="single"/>
              </w:rPr>
              <w:t xml:space="preserve">19980 </w:t>
            </w:r>
            <w:r>
              <w:rPr>
                <w:rFonts w:hint="eastAsia" w:ascii="宋体" w:hAnsi="宋体" w:eastAsia="宋体"/>
                <w:color w:val="000000"/>
                <w:sz w:val="24"/>
              </w:rPr>
              <w:t>元人民币。投标人应当自中标公告发布之日起5个工作日内一次性向采购代理机构支付代理服务费，并在投标文件中出具代理服务费支付承诺书（格式见第六章）。</w:t>
            </w:r>
          </w:p>
          <w:p>
            <w:pPr>
              <w:snapToGrid w:val="0"/>
              <w:spacing w:line="320" w:lineRule="exact"/>
              <w:rPr>
                <w:rFonts w:hint="eastAsia" w:ascii="宋体" w:hAnsi="宋体" w:eastAsia="宋体"/>
                <w:color w:val="000000"/>
                <w:sz w:val="24"/>
              </w:rPr>
            </w:pPr>
            <w:r>
              <w:rPr>
                <w:rFonts w:hint="eastAsia" w:ascii="宋体" w:hAnsi="宋体" w:eastAsia="宋体"/>
                <w:color w:val="000000"/>
                <w:sz w:val="24"/>
              </w:rPr>
              <w:t>2、代理服务费支付：</w:t>
            </w:r>
          </w:p>
          <w:p>
            <w:pPr>
              <w:snapToGrid w:val="0"/>
              <w:spacing w:line="320" w:lineRule="exact"/>
              <w:rPr>
                <w:rFonts w:ascii="宋体" w:hAnsi="宋体" w:eastAsia="宋体"/>
                <w:color w:val="000000"/>
                <w:sz w:val="24"/>
              </w:rPr>
            </w:pPr>
            <w:r>
              <w:rPr>
                <w:rFonts w:hint="eastAsia" w:ascii="宋体" w:hAnsi="宋体" w:eastAsia="宋体"/>
                <w:color w:val="000000"/>
                <w:sz w:val="24"/>
              </w:rPr>
              <w:t>① 代理服务费缴纳形式：汇票</w:t>
            </w:r>
            <w:r>
              <w:rPr>
                <w:rFonts w:ascii="宋体" w:hAnsi="宋体" w:eastAsia="宋体"/>
                <w:color w:val="000000"/>
                <w:sz w:val="24"/>
              </w:rPr>
              <w:t>/</w:t>
            </w:r>
            <w:r>
              <w:rPr>
                <w:rFonts w:hint="eastAsia" w:ascii="宋体" w:hAnsi="宋体" w:eastAsia="宋体"/>
                <w:color w:val="000000"/>
                <w:sz w:val="24"/>
              </w:rPr>
              <w:t>支票</w:t>
            </w:r>
            <w:r>
              <w:rPr>
                <w:rFonts w:ascii="宋体" w:hAnsi="宋体" w:eastAsia="宋体"/>
                <w:color w:val="000000"/>
                <w:sz w:val="24"/>
              </w:rPr>
              <w:t>/</w:t>
            </w:r>
            <w:r>
              <w:rPr>
                <w:rFonts w:hint="eastAsia" w:ascii="宋体" w:hAnsi="宋体" w:eastAsia="宋体"/>
                <w:color w:val="000000"/>
                <w:sz w:val="24"/>
              </w:rPr>
              <w:t>电汇</w:t>
            </w:r>
            <w:r>
              <w:rPr>
                <w:rFonts w:ascii="宋体" w:hAnsi="宋体" w:eastAsia="宋体"/>
                <w:color w:val="000000"/>
                <w:sz w:val="24"/>
              </w:rPr>
              <w:t>/</w:t>
            </w:r>
            <w:r>
              <w:rPr>
                <w:rFonts w:hint="eastAsia" w:ascii="宋体" w:hAnsi="宋体" w:eastAsia="宋体"/>
                <w:color w:val="000000"/>
                <w:sz w:val="24"/>
              </w:rPr>
              <w:t>现金</w:t>
            </w:r>
          </w:p>
          <w:p>
            <w:pPr>
              <w:snapToGrid w:val="0"/>
              <w:spacing w:line="320" w:lineRule="exact"/>
              <w:rPr>
                <w:rFonts w:hint="eastAsia" w:ascii="宋体" w:hAnsi="宋体" w:eastAsia="宋体"/>
                <w:color w:val="000000"/>
                <w:sz w:val="24"/>
              </w:rPr>
            </w:pPr>
            <w:r>
              <w:rPr>
                <w:rFonts w:hint="eastAsia" w:ascii="宋体" w:hAnsi="宋体" w:eastAsia="宋体"/>
                <w:color w:val="000000"/>
                <w:sz w:val="24"/>
              </w:rPr>
              <w:t>② 代理服务费汇入以下账户</w:t>
            </w:r>
            <w:r>
              <w:rPr>
                <w:rFonts w:ascii="宋体" w:hAnsi="宋体" w:eastAsia="宋体"/>
                <w:color w:val="000000"/>
                <w:sz w:val="24"/>
              </w:rPr>
              <w:t xml:space="preserve"> </w:t>
            </w:r>
            <w:r>
              <w:rPr>
                <w:rFonts w:hint="eastAsia" w:ascii="宋体" w:hAnsi="宋体" w:eastAsia="宋体"/>
                <w:color w:val="000000"/>
                <w:sz w:val="24"/>
              </w:rPr>
              <w:t>：</w:t>
            </w:r>
          </w:p>
          <w:p>
            <w:pPr>
              <w:pStyle w:val="12"/>
              <w:spacing w:line="320" w:lineRule="exact"/>
              <w:ind w:firstLine="348" w:firstLineChars="150"/>
              <w:rPr>
                <w:rFonts w:hAnsi="宋体" w:eastAsia="宋体"/>
                <w:color w:val="000000"/>
                <w:sz w:val="24"/>
              </w:rPr>
            </w:pPr>
            <w:r>
              <w:rPr>
                <w:rFonts w:hint="eastAsia" w:hAnsi="宋体" w:eastAsia="宋体"/>
                <w:color w:val="000000"/>
                <w:sz w:val="24"/>
              </w:rPr>
              <w:t>收款单位（户名）： 浙江中际工程项目管理有限公司</w:t>
            </w:r>
          </w:p>
          <w:p>
            <w:pPr>
              <w:pStyle w:val="12"/>
              <w:spacing w:line="320" w:lineRule="exact"/>
              <w:ind w:firstLine="348" w:firstLineChars="150"/>
              <w:rPr>
                <w:rFonts w:hAnsi="宋体" w:eastAsia="宋体"/>
                <w:color w:val="000000"/>
                <w:sz w:val="24"/>
              </w:rPr>
            </w:pPr>
            <w:r>
              <w:rPr>
                <w:rFonts w:hint="eastAsia" w:hAnsi="宋体" w:eastAsia="宋体"/>
                <w:color w:val="000000"/>
                <w:sz w:val="24"/>
              </w:rPr>
              <w:t>开</w:t>
            </w:r>
            <w:r>
              <w:rPr>
                <w:rFonts w:hAnsi="宋体" w:eastAsia="宋体"/>
                <w:color w:val="000000"/>
                <w:sz w:val="24"/>
              </w:rPr>
              <w:t xml:space="preserve">  </w:t>
            </w:r>
            <w:r>
              <w:rPr>
                <w:rFonts w:hint="eastAsia" w:hAnsi="宋体" w:eastAsia="宋体"/>
                <w:color w:val="000000"/>
                <w:sz w:val="24"/>
              </w:rPr>
              <w:t>户：</w:t>
            </w:r>
            <w:r>
              <w:rPr>
                <w:rFonts w:hint="eastAsia" w:hAnsi="宋体" w:eastAsia="宋体" w:cs="仿宋_GB2312"/>
                <w:color w:val="000000"/>
                <w:sz w:val="24"/>
                <w:szCs w:val="24"/>
              </w:rPr>
              <w:t>中国银行杭州城东支行</w:t>
            </w:r>
          </w:p>
          <w:p>
            <w:pPr>
              <w:snapToGrid w:val="0"/>
              <w:spacing w:line="320" w:lineRule="exact"/>
              <w:ind w:firstLine="360" w:firstLineChars="150"/>
              <w:rPr>
                <w:rFonts w:hint="eastAsia" w:ascii="宋体" w:hAnsi="宋体" w:eastAsia="宋体"/>
                <w:color w:val="000000"/>
                <w:sz w:val="24"/>
              </w:rPr>
            </w:pPr>
            <w:r>
              <w:rPr>
                <w:rFonts w:hint="eastAsia" w:ascii="宋体" w:hAnsi="宋体" w:eastAsia="宋体"/>
                <w:color w:val="000000"/>
                <w:sz w:val="24"/>
              </w:rPr>
              <w:t>账</w:t>
            </w:r>
            <w:r>
              <w:rPr>
                <w:rFonts w:ascii="宋体" w:hAnsi="宋体" w:eastAsia="宋体"/>
                <w:color w:val="000000"/>
                <w:sz w:val="24"/>
              </w:rPr>
              <w:t xml:space="preserve">  </w:t>
            </w:r>
            <w:r>
              <w:rPr>
                <w:rFonts w:hint="eastAsia" w:ascii="宋体" w:hAnsi="宋体" w:eastAsia="宋体"/>
                <w:color w:val="000000"/>
                <w:sz w:val="24"/>
              </w:rPr>
              <w:t>号：</w:t>
            </w:r>
            <w:r>
              <w:rPr>
                <w:rFonts w:hint="eastAsia" w:ascii="宋体" w:hAnsi="宋体" w:eastAsia="宋体" w:cs="仿宋_GB2312"/>
                <w:color w:val="000000"/>
                <w:sz w:val="24"/>
              </w:rPr>
              <w:t>401358327200</w:t>
            </w:r>
          </w:p>
          <w:p>
            <w:pPr>
              <w:autoSpaceDE w:val="0"/>
              <w:autoSpaceDN w:val="0"/>
              <w:snapToGrid w:val="0"/>
              <w:spacing w:line="320" w:lineRule="exact"/>
              <w:ind w:left="360" w:hanging="360" w:hangingChars="150"/>
              <w:textAlignment w:val="bottom"/>
              <w:rPr>
                <w:rFonts w:ascii="宋体" w:hAnsi="宋体" w:eastAsia="宋体"/>
                <w:color w:val="000000"/>
                <w:sz w:val="24"/>
              </w:rPr>
            </w:pPr>
            <w:r>
              <w:rPr>
                <w:rFonts w:hint="eastAsia" w:ascii="宋体" w:hAnsi="宋体" w:eastAsia="宋体"/>
                <w:color w:val="000000"/>
                <w:sz w:val="24"/>
              </w:rPr>
              <w:t>3、</w:t>
            </w:r>
            <w:r>
              <w:rPr>
                <w:rFonts w:hint="eastAsia" w:ascii="宋体" w:hAnsi="宋体" w:eastAsia="宋体"/>
                <w:b/>
                <w:color w:val="000000"/>
                <w:sz w:val="24"/>
              </w:rPr>
              <w:t>增值税发票开票资料：单位名称、税号（统一社会信用代码）、开户行名称、账号、地址及联系电话。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30"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25</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最高限价</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本项目最高限价为</w:t>
            </w:r>
            <w:r>
              <w:rPr>
                <w:rFonts w:ascii="宋体" w:hAnsi="宋体" w:eastAsia="宋体"/>
                <w:color w:val="000000"/>
                <w:sz w:val="24"/>
                <w:szCs w:val="20"/>
              </w:rPr>
              <w:t>4050000</w:t>
            </w:r>
            <w:r>
              <w:rPr>
                <w:rFonts w:hint="eastAsia" w:ascii="宋体" w:hAnsi="宋体" w:eastAsia="宋体"/>
                <w:color w:val="000000"/>
                <w:sz w:val="24"/>
                <w:szCs w:val="20"/>
              </w:rPr>
              <w:t>元，超过此限价的投标将被否决。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94"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r>
              <w:rPr>
                <w:rFonts w:hint="eastAsia" w:ascii="宋体" w:hAnsi="宋体" w:eastAsia="宋体"/>
                <w:color w:val="000000"/>
                <w:sz w:val="24"/>
                <w:szCs w:val="20"/>
              </w:rPr>
              <w:t>26</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rPr>
              <w:t>解释权</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ascii="宋体" w:hAnsi="宋体" w:eastAsia="宋体"/>
                <w:color w:val="000000"/>
                <w:sz w:val="24"/>
              </w:rPr>
            </w:pPr>
            <w:r>
              <w:rPr>
                <w:rFonts w:hint="eastAsia" w:ascii="宋体" w:hAnsi="宋体" w:eastAsia="宋体"/>
                <w:color w:val="000000"/>
                <w:sz w:val="24"/>
              </w:rPr>
              <w:t>本招标文件的解释权属于采购人和采购</w:t>
            </w:r>
            <w:r>
              <w:rPr>
                <w:rFonts w:ascii="宋体" w:hAnsi="宋体" w:eastAsia="宋体"/>
                <w:color w:val="000000"/>
                <w:sz w:val="24"/>
              </w:rPr>
              <w:t>代理机构</w:t>
            </w:r>
            <w:r>
              <w:rPr>
                <w:rFonts w:hint="eastAsia" w:ascii="宋体" w:hAnsi="宋体" w:eastAsia="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615"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hint="eastAsia" w:ascii="宋体" w:hAnsi="宋体" w:eastAsia="宋体"/>
                <w:color w:val="00000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center"/>
          </w:tcPr>
          <w:p>
            <w:pPr>
              <w:snapToGrid w:val="0"/>
              <w:spacing w:line="320" w:lineRule="exact"/>
              <w:jc w:val="center"/>
              <w:rPr>
                <w:rFonts w:ascii="宋体" w:hAnsi="宋体" w:eastAsia="宋体"/>
                <w:color w:val="000000"/>
                <w:sz w:val="24"/>
              </w:rPr>
            </w:pPr>
            <w:r>
              <w:rPr>
                <w:rFonts w:hint="eastAsia" w:ascii="宋体" w:hAnsi="宋体" w:eastAsia="宋体"/>
                <w:color w:val="000000"/>
                <w:sz w:val="24"/>
                <w:szCs w:val="20"/>
              </w:rPr>
              <w:t>其他</w:t>
            </w:r>
          </w:p>
        </w:tc>
        <w:tc>
          <w:tcPr>
            <w:tcW w:w="665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spacing w:line="320" w:lineRule="exact"/>
              <w:textAlignment w:val="bottom"/>
              <w:rPr>
                <w:rFonts w:hint="eastAsia" w:ascii="宋体" w:hAnsi="宋体" w:eastAsia="宋体"/>
                <w:color w:val="000000"/>
                <w:sz w:val="24"/>
                <w:szCs w:val="20"/>
              </w:rPr>
            </w:pPr>
            <w:r>
              <w:rPr>
                <w:rFonts w:ascii="宋体" w:hAnsi="宋体" w:eastAsia="宋体"/>
                <w:color w:val="000000"/>
                <w:sz w:val="24"/>
              </w:rPr>
              <w:t>如果</w:t>
            </w:r>
            <w:r>
              <w:rPr>
                <w:rFonts w:hint="eastAsia" w:ascii="宋体" w:hAnsi="宋体" w:eastAsia="宋体"/>
                <w:color w:val="000000"/>
                <w:sz w:val="24"/>
              </w:rPr>
              <w:t>招标文件中有文字表述与本投标人须知前附表内容不一致时,以本投标人须知前附表为准。</w:t>
            </w:r>
          </w:p>
        </w:tc>
      </w:tr>
    </w:tbl>
    <w:p>
      <w:pPr>
        <w:spacing w:line="360" w:lineRule="auto"/>
        <w:rPr>
          <w:rFonts w:hint="eastAsia" w:ascii="宋体" w:hAnsi="宋体"/>
          <w:color w:val="000000"/>
        </w:rPr>
      </w:pPr>
    </w:p>
    <w:p>
      <w:pPr>
        <w:snapToGrid w:val="0"/>
        <w:spacing w:line="360" w:lineRule="auto"/>
        <w:ind w:firstLine="308" w:firstLineChars="147"/>
        <w:jc w:val="left"/>
        <w:rPr>
          <w:rFonts w:hint="eastAsia" w:ascii="宋体" w:hAnsi="宋体"/>
          <w:b/>
          <w:color w:val="000000"/>
          <w:sz w:val="24"/>
        </w:rPr>
      </w:pPr>
      <w:r>
        <w:rPr>
          <w:rFonts w:ascii="宋体" w:hAnsi="宋体"/>
          <w:color w:val="000000"/>
        </w:rPr>
        <w:br w:type="page"/>
      </w:r>
      <w:r>
        <w:rPr>
          <w:rFonts w:hint="eastAsia" w:ascii="宋体" w:hAnsi="宋体"/>
          <w:b/>
          <w:color w:val="000000"/>
          <w:sz w:val="24"/>
        </w:rPr>
        <w:t>一、总  则</w:t>
      </w:r>
    </w:p>
    <w:p>
      <w:pPr>
        <w:snapToGrid w:val="0"/>
        <w:spacing w:line="360" w:lineRule="auto"/>
        <w:ind w:firstLine="354" w:firstLineChars="147"/>
        <w:jc w:val="left"/>
        <w:rPr>
          <w:rFonts w:ascii="宋体" w:hAnsi="宋体"/>
          <w:b/>
          <w:color w:val="000000"/>
          <w:sz w:val="24"/>
          <w:szCs w:val="20"/>
        </w:rPr>
      </w:pPr>
      <w:r>
        <w:rPr>
          <w:rFonts w:hint="eastAsia" w:ascii="宋体" w:hAnsi="宋体"/>
          <w:b/>
          <w:color w:val="000000"/>
          <w:sz w:val="24"/>
        </w:rPr>
        <w:t>（一）</w:t>
      </w:r>
      <w:r>
        <w:rPr>
          <w:rFonts w:ascii="宋体" w:hAnsi="宋体"/>
          <w:b/>
          <w:color w:val="000000"/>
          <w:sz w:val="24"/>
        </w:rPr>
        <w:t xml:space="preserve"> 适用范围</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本招标文件适用于本次采购项目的招标、投标、评标、定标、验收、合同履约、付款等行为（法律、法规另有规定的，从其规定）。</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（二）定义</w:t>
      </w:r>
    </w:p>
    <w:p>
      <w:pPr>
        <w:snapToGrid w:val="0"/>
        <w:spacing w:line="360" w:lineRule="auto"/>
        <w:ind w:firstLine="480" w:firstLineChars="200"/>
        <w:jc w:val="left"/>
        <w:rPr>
          <w:rFonts w:ascii="宋体" w:hAnsi="宋体"/>
          <w:color w:val="000000"/>
          <w:sz w:val="24"/>
          <w:szCs w:val="20"/>
        </w:rPr>
      </w:pPr>
      <w:r>
        <w:rPr>
          <w:rFonts w:ascii="宋体" w:hAnsi="宋体"/>
          <w:color w:val="000000"/>
          <w:sz w:val="24"/>
        </w:rPr>
        <w:t>1</w:t>
      </w:r>
      <w:r>
        <w:rPr>
          <w:rFonts w:hint="eastAsia" w:ascii="宋体" w:hAnsi="宋体"/>
          <w:color w:val="000000"/>
          <w:sz w:val="24"/>
        </w:rPr>
        <w:t>.</w:t>
      </w:r>
      <w:r>
        <w:rPr>
          <w:rFonts w:ascii="宋体" w:hAnsi="宋体"/>
          <w:color w:val="000000"/>
          <w:sz w:val="24"/>
        </w:rPr>
        <w:t>招标采购单位</w:t>
      </w:r>
      <w:r>
        <w:rPr>
          <w:rFonts w:hint="eastAsia" w:ascii="宋体" w:hAnsi="宋体"/>
          <w:color w:val="000000"/>
          <w:sz w:val="24"/>
        </w:rPr>
        <w:t>：</w:t>
      </w:r>
      <w:r>
        <w:rPr>
          <w:rFonts w:ascii="宋体" w:hAnsi="宋体"/>
          <w:color w:val="000000"/>
          <w:sz w:val="24"/>
        </w:rPr>
        <w:t>系指组织本次招标的代理机构和采购</w:t>
      </w:r>
      <w:r>
        <w:rPr>
          <w:rFonts w:hint="eastAsia" w:ascii="宋体" w:hAnsi="宋体"/>
          <w:color w:val="000000"/>
          <w:sz w:val="24"/>
        </w:rPr>
        <w:t>人</w:t>
      </w:r>
      <w:r>
        <w:rPr>
          <w:rFonts w:ascii="宋体" w:hAnsi="宋体"/>
          <w:color w:val="000000"/>
          <w:sz w:val="24"/>
        </w:rPr>
        <w:t>。</w:t>
      </w:r>
    </w:p>
    <w:p>
      <w:pPr>
        <w:snapToGrid w:val="0"/>
        <w:spacing w:line="360" w:lineRule="auto"/>
        <w:ind w:firstLine="480" w:firstLineChars="200"/>
        <w:jc w:val="left"/>
        <w:rPr>
          <w:rFonts w:hint="eastAsia" w:ascii="宋体" w:hAnsi="宋体"/>
          <w:color w:val="000000"/>
          <w:sz w:val="24"/>
        </w:rPr>
      </w:pPr>
      <w:r>
        <w:rPr>
          <w:rFonts w:ascii="宋体" w:hAnsi="宋体"/>
          <w:color w:val="000000"/>
          <w:sz w:val="24"/>
        </w:rPr>
        <w:t>2</w:t>
      </w:r>
      <w:r>
        <w:rPr>
          <w:rFonts w:hint="eastAsia" w:ascii="宋体" w:hAnsi="宋体"/>
          <w:color w:val="000000"/>
          <w:sz w:val="24"/>
        </w:rPr>
        <w:t>.</w:t>
      </w:r>
      <w:r>
        <w:rPr>
          <w:rFonts w:ascii="宋体" w:hAnsi="宋体"/>
          <w:color w:val="000000"/>
          <w:sz w:val="24"/>
        </w:rPr>
        <w:t>投标人</w:t>
      </w:r>
      <w:r>
        <w:rPr>
          <w:rFonts w:hint="eastAsia" w:ascii="宋体" w:hAnsi="宋体"/>
          <w:color w:val="000000"/>
          <w:sz w:val="24"/>
        </w:rPr>
        <w:t>：</w:t>
      </w:r>
      <w:r>
        <w:rPr>
          <w:rFonts w:ascii="宋体" w:hAnsi="宋体"/>
          <w:color w:val="000000"/>
          <w:sz w:val="24"/>
        </w:rPr>
        <w:t>系指</w:t>
      </w:r>
      <w:r>
        <w:rPr>
          <w:rFonts w:hint="eastAsia" w:ascii="宋体" w:hAnsi="宋体"/>
          <w:color w:val="000000"/>
          <w:sz w:val="24"/>
        </w:rPr>
        <w:t>按招标文件规定合法获取了招标文件并</w:t>
      </w:r>
      <w:r>
        <w:rPr>
          <w:rFonts w:ascii="宋体" w:hAnsi="宋体"/>
          <w:color w:val="000000"/>
          <w:sz w:val="24"/>
        </w:rPr>
        <w:t>向招标采购单位提交投标文件的单位或个人</w:t>
      </w:r>
      <w:r>
        <w:rPr>
          <w:rFonts w:hint="eastAsia" w:ascii="宋体" w:hAnsi="宋体"/>
          <w:color w:val="000000"/>
          <w:sz w:val="24"/>
        </w:rPr>
        <w:t>，也称作供应商</w:t>
      </w:r>
      <w:r>
        <w:rPr>
          <w:rFonts w:ascii="宋体" w:hAnsi="宋体"/>
          <w:color w:val="000000"/>
          <w:sz w:val="24"/>
        </w:rPr>
        <w:t>。</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3.投标人代表：是指参加本项目投标活动的供应商法定代表人或法定代表人授权代表。</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4.联合体：是指两个以上供应商组成联合体，以一个供应商的身份参加投标。</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5.甲方：是指合同签订的一方，一般与采购人、招标人、用户相同。</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6.乙方：是指合同签订的另一方，与中标人相同。</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7.</w:t>
      </w:r>
      <w:r>
        <w:rPr>
          <w:rFonts w:ascii="宋体" w:hAnsi="宋体"/>
          <w:color w:val="000000"/>
          <w:sz w:val="24"/>
        </w:rPr>
        <w:t>“产品”系指供方按</w:t>
      </w:r>
      <w:r>
        <w:rPr>
          <w:rFonts w:hint="eastAsia" w:ascii="宋体" w:hAnsi="宋体"/>
          <w:color w:val="000000"/>
          <w:sz w:val="24"/>
        </w:rPr>
        <w:t>招标文件</w:t>
      </w:r>
      <w:r>
        <w:rPr>
          <w:rFonts w:ascii="宋体" w:hAnsi="宋体"/>
          <w:color w:val="000000"/>
          <w:sz w:val="24"/>
        </w:rPr>
        <w:t>规定，须向采购人提供的一切设备、保险、税金、备品备件、工具、手册及其它有关技术资料和材料。</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8.</w:t>
      </w:r>
      <w:r>
        <w:rPr>
          <w:rFonts w:ascii="宋体" w:hAnsi="宋体"/>
          <w:color w:val="000000"/>
          <w:sz w:val="24"/>
        </w:rPr>
        <w:t>“服务”系指招</w:t>
      </w:r>
      <w:r>
        <w:rPr>
          <w:rFonts w:hint="eastAsia" w:ascii="宋体" w:hAnsi="宋体"/>
          <w:color w:val="000000"/>
          <w:sz w:val="24"/>
        </w:rPr>
        <w:t>标文</w:t>
      </w:r>
      <w:r>
        <w:rPr>
          <w:rFonts w:ascii="宋体" w:hAnsi="宋体"/>
          <w:color w:val="000000"/>
          <w:sz w:val="24"/>
        </w:rPr>
        <w:t>件规定投标人须承担的安装、调试、技术协助、校准、培训、技术指导以及其他类似的义务。</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9.</w:t>
      </w:r>
      <w:r>
        <w:rPr>
          <w:rFonts w:ascii="宋体" w:hAnsi="宋体"/>
          <w:color w:val="000000"/>
          <w:sz w:val="24"/>
        </w:rPr>
        <w:t>“项目”系指投标人按</w:t>
      </w:r>
      <w:r>
        <w:rPr>
          <w:rFonts w:hint="eastAsia" w:ascii="宋体" w:hAnsi="宋体"/>
          <w:color w:val="000000"/>
          <w:sz w:val="24"/>
        </w:rPr>
        <w:t>招标文件</w:t>
      </w:r>
      <w:r>
        <w:rPr>
          <w:rFonts w:ascii="宋体" w:hAnsi="宋体"/>
          <w:color w:val="000000"/>
          <w:sz w:val="24"/>
        </w:rPr>
        <w:t>规定向采购人提供的产品和服务。</w:t>
      </w:r>
    </w:p>
    <w:p>
      <w:pPr>
        <w:snapToGrid w:val="0"/>
        <w:spacing w:line="360" w:lineRule="auto"/>
        <w:ind w:firstLine="480" w:firstLineChars="200"/>
        <w:jc w:val="left"/>
        <w:rPr>
          <w:rFonts w:ascii="宋体" w:hAnsi="宋体"/>
          <w:color w:val="000000"/>
          <w:sz w:val="24"/>
          <w:szCs w:val="20"/>
        </w:rPr>
      </w:pPr>
      <w:r>
        <w:rPr>
          <w:rFonts w:hint="eastAsia" w:ascii="宋体" w:hAnsi="宋体"/>
          <w:color w:val="000000"/>
          <w:sz w:val="24"/>
        </w:rPr>
        <w:t>10.</w:t>
      </w:r>
      <w:r>
        <w:rPr>
          <w:rFonts w:ascii="宋体" w:hAnsi="宋体"/>
          <w:color w:val="000000"/>
          <w:sz w:val="24"/>
        </w:rPr>
        <w:t>“书面形式”包括信函、传真、电报等。</w:t>
      </w:r>
    </w:p>
    <w:p>
      <w:pPr>
        <w:snapToGrid w:val="0"/>
        <w:spacing w:line="360" w:lineRule="auto"/>
        <w:ind w:firstLine="480" w:firstLineChars="200"/>
        <w:jc w:val="left"/>
        <w:rPr>
          <w:rFonts w:hint="eastAsia" w:ascii="宋体" w:hAnsi="宋体"/>
          <w:color w:val="000000"/>
          <w:sz w:val="24"/>
          <w:szCs w:val="20"/>
        </w:rPr>
      </w:pPr>
      <w:r>
        <w:rPr>
          <w:rFonts w:hint="eastAsia" w:ascii="宋体" w:hAnsi="宋体"/>
          <w:color w:val="000000"/>
          <w:sz w:val="24"/>
        </w:rPr>
        <w:t>11.</w:t>
      </w:r>
      <w:r>
        <w:rPr>
          <w:rFonts w:ascii="宋体" w:hAnsi="宋体"/>
          <w:color w:val="000000"/>
          <w:sz w:val="24"/>
        </w:rPr>
        <w:t>“</w:t>
      </w:r>
      <w:r>
        <w:rPr>
          <w:rFonts w:hint="eastAsia" w:ascii="宋体" w:hAnsi="宋体"/>
          <w:color w:val="000000"/>
          <w:sz w:val="24"/>
        </w:rPr>
        <w:t>▲</w:t>
      </w:r>
      <w:r>
        <w:rPr>
          <w:rFonts w:ascii="宋体" w:hAnsi="宋体"/>
          <w:color w:val="000000"/>
          <w:sz w:val="24"/>
        </w:rPr>
        <w:t>”系指实质性要求条款。</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（三）招标方式</w:t>
      </w:r>
    </w:p>
    <w:p>
      <w:pPr>
        <w:snapToGrid w:val="0"/>
        <w:spacing w:line="360" w:lineRule="auto"/>
        <w:ind w:firstLine="480" w:firstLineChars="200"/>
        <w:jc w:val="left"/>
        <w:rPr>
          <w:rFonts w:ascii="宋体" w:hAnsi="宋体"/>
          <w:color w:val="000000"/>
          <w:sz w:val="24"/>
        </w:rPr>
      </w:pPr>
      <w:r>
        <w:rPr>
          <w:rFonts w:ascii="宋体" w:hAnsi="宋体"/>
          <w:color w:val="000000"/>
          <w:sz w:val="24"/>
        </w:rPr>
        <w:t>本次招标采用公开招标方式进行。</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（四）投标费用</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不论投标结果如何，投标人均应自行承担所有与投标有关的全部费用。</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（五）联合体投标</w:t>
      </w:r>
    </w:p>
    <w:p>
      <w:pPr>
        <w:snapToGrid w:val="0"/>
        <w:spacing w:line="360" w:lineRule="auto"/>
        <w:ind w:firstLine="480" w:firstLineChars="200"/>
        <w:jc w:val="left"/>
        <w:rPr>
          <w:rFonts w:hint="eastAsia" w:ascii="宋体" w:hAnsi="宋体"/>
          <w:color w:val="000000"/>
          <w:sz w:val="24"/>
        </w:rPr>
      </w:pPr>
      <w:r>
        <w:rPr>
          <w:rFonts w:ascii="宋体" w:hAnsi="宋体"/>
          <w:color w:val="000000"/>
          <w:sz w:val="24"/>
        </w:rPr>
        <w:t>以联合体形式进行</w:t>
      </w:r>
      <w:r>
        <w:rPr>
          <w:rFonts w:hint="eastAsia" w:ascii="宋体" w:hAnsi="宋体"/>
          <w:color w:val="000000"/>
          <w:sz w:val="24"/>
        </w:rPr>
        <w:t>投标</w:t>
      </w:r>
      <w:r>
        <w:rPr>
          <w:rFonts w:ascii="宋体" w:hAnsi="宋体"/>
          <w:color w:val="000000"/>
          <w:sz w:val="24"/>
        </w:rPr>
        <w:t>的，参加联合体的供应商均应当具备</w:t>
      </w:r>
      <w:r>
        <w:rPr>
          <w:rFonts w:hint="eastAsia" w:ascii="宋体" w:hAnsi="宋体"/>
          <w:color w:val="000000"/>
          <w:sz w:val="24"/>
        </w:rPr>
        <w:t>政府采购</w:t>
      </w:r>
      <w:r>
        <w:rPr>
          <w:rFonts w:ascii="宋体" w:hAnsi="宋体"/>
          <w:color w:val="000000"/>
          <w:sz w:val="24"/>
        </w:rPr>
        <w:t>法第二十二条规定的条件，并应当</w:t>
      </w:r>
      <w:r>
        <w:rPr>
          <w:rFonts w:hint="eastAsia" w:ascii="宋体" w:hAnsi="宋体"/>
          <w:color w:val="000000"/>
          <w:sz w:val="24"/>
        </w:rPr>
        <w:t>在投标文件中</w:t>
      </w:r>
      <w:r>
        <w:rPr>
          <w:rFonts w:ascii="宋体" w:hAnsi="宋体"/>
          <w:color w:val="000000"/>
          <w:sz w:val="24"/>
        </w:rPr>
        <w:t>提交联合协议，载明联合体各方承担的工作和义务。联合体各方应当共同与采购人签订采购合同，就采购合同约定的事项对采购人承担连带责任。</w:t>
      </w:r>
    </w:p>
    <w:p>
      <w:pPr>
        <w:snapToGrid w:val="0"/>
        <w:spacing w:line="360" w:lineRule="auto"/>
        <w:ind w:firstLine="480" w:firstLineChars="200"/>
        <w:jc w:val="left"/>
        <w:rPr>
          <w:rFonts w:ascii="宋体" w:hAnsi="宋体"/>
          <w:color w:val="000000"/>
          <w:sz w:val="24"/>
        </w:rPr>
      </w:pPr>
      <w:r>
        <w:rPr>
          <w:rFonts w:hint="eastAsia" w:ascii="宋体" w:hAnsi="宋体"/>
          <w:color w:val="000000"/>
          <w:sz w:val="24"/>
        </w:rPr>
        <w:t>联合体中有同类资质的供应商按照联合体分工承担相同工作的，应当按照资质等级较低的供应商确定资质等级。</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以联合体形式参加投标的，联合体各方不得再单独参加或者与其他供应商另外组成联合体参加本项目的投标。</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（六）转包与分包</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1.本项目不允许转包。</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2.本项目不允许分包。</w:t>
      </w:r>
    </w:p>
    <w:p>
      <w:pPr>
        <w:snapToGrid w:val="0"/>
        <w:spacing w:line="360" w:lineRule="auto"/>
        <w:ind w:firstLine="354" w:firstLineChars="147"/>
        <w:jc w:val="left"/>
        <w:rPr>
          <w:rFonts w:hint="eastAsia" w:ascii="宋体" w:hAnsi="宋体"/>
          <w:b/>
          <w:color w:val="000000"/>
          <w:sz w:val="24"/>
        </w:rPr>
      </w:pPr>
      <w:r>
        <w:rPr>
          <w:rFonts w:hint="eastAsia" w:ascii="宋体" w:hAnsi="宋体"/>
          <w:b/>
          <w:color w:val="000000"/>
          <w:sz w:val="24"/>
        </w:rPr>
        <w:t>（七）特别说明：</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1.本次招标采用电子交易方式。</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2.招标文件中指出的工艺、材料、设备、服务等标准以及推荐、参照的品牌或型号仅起说明作用，并没有任何限制性。投标人在投标中可以选用替代标准、品牌或型号，但这些替代要实质上满足或超过招标文件的要求。</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3.投标人应仔细阅读招标文件的所有内容，按照招标文件的要求提交投标文件，并对所提供的全部资料的真实性承担法律责任。</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4.采购过程中出现以下情形，导致电子交易平台无法正常运行，或者无法保证电子交易的公平、公正和安全时，采购人（或代理机构）可中止电子交易活动：</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 xml:space="preserve">（1）电子交易平台发生故障而无法登录访问的； </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（2）电子交易平台应用或数据库出现错误，不能进行正常操作的；</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（3）电子交易平台发现严重安全漏洞，有潜在泄密危险的；</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（4）病毒发作导致不能进行正常操作的；</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（5）其他无法保证电子交易的公平、公正和安全的情况。</w:t>
      </w:r>
    </w:p>
    <w:p>
      <w:pPr>
        <w:snapToGrid w:val="0"/>
        <w:spacing w:line="360" w:lineRule="auto"/>
        <w:ind w:firstLine="480" w:firstLineChars="200"/>
        <w:jc w:val="left"/>
        <w:rPr>
          <w:rFonts w:hint="eastAsia" w:ascii="宋体" w:hAnsi="宋体"/>
          <w:color w:val="000000"/>
          <w:sz w:val="24"/>
        </w:rPr>
      </w:pPr>
      <w:r>
        <w:rPr>
          <w:rFonts w:hint="eastAsia" w:ascii="宋体" w:hAnsi="宋体"/>
          <w:color w:val="000000"/>
          <w:sz w:val="24"/>
        </w:rPr>
        <w:t>出现上述规定情形，不影响采购公平、公正性的，采购人（或代理机构）可以待上述情形消除后继续组织电子交易活动，也可以决定某些环节以纸质形式进行。</w:t>
      </w:r>
    </w:p>
    <w:p>
      <w:pPr>
        <w:snapToGrid w:val="0"/>
        <w:spacing w:line="360" w:lineRule="auto"/>
        <w:ind w:firstLine="354" w:firstLineChars="147"/>
        <w:jc w:val="left"/>
        <w:rPr>
          <w:rFonts w:ascii="宋体" w:hAnsi="宋体"/>
          <w:b/>
          <w:color w:val="000000"/>
          <w:sz w:val="24"/>
        </w:rPr>
      </w:pPr>
      <w:r>
        <w:rPr>
          <w:rFonts w:ascii="宋体" w:hAnsi="宋体"/>
          <w:b/>
          <w:color w:val="000000"/>
          <w:sz w:val="24"/>
        </w:rPr>
        <w:t>（</w:t>
      </w:r>
      <w:r>
        <w:rPr>
          <w:rFonts w:hint="eastAsia" w:ascii="宋体" w:hAnsi="宋体"/>
          <w:b/>
          <w:color w:val="000000"/>
          <w:sz w:val="24"/>
        </w:rPr>
        <w:t>八</w:t>
      </w:r>
      <w:r>
        <w:rPr>
          <w:rFonts w:ascii="宋体" w:hAnsi="宋体"/>
          <w:b/>
          <w:color w:val="000000"/>
          <w:sz w:val="24"/>
        </w:rPr>
        <w:t>）质疑和投诉</w:t>
      </w:r>
    </w:p>
    <w:p>
      <w:pPr>
        <w:pStyle w:val="16"/>
        <w:snapToGrid w:val="0"/>
        <w:spacing w:beforeLines="0" w:afterLines="0" w:line="360" w:lineRule="auto"/>
        <w:ind w:firstLine="480" w:firstLineChars="200"/>
        <w:rPr>
          <w:rFonts w:hint="eastAsia" w:hAnsi="宋体"/>
          <w:color w:val="000000"/>
        </w:rPr>
      </w:pPr>
      <w:r>
        <w:rPr>
          <w:rFonts w:hAnsi="宋体"/>
          <w:bCs/>
          <w:color w:val="000000"/>
        </w:rPr>
        <w:t>1</w:t>
      </w:r>
      <w:r>
        <w:rPr>
          <w:rFonts w:hint="eastAsia" w:hAnsi="宋体"/>
          <w:bCs/>
          <w:color w:val="000000"/>
        </w:rPr>
        <w:t>.</w:t>
      </w:r>
      <w:r>
        <w:rPr>
          <w:rFonts w:hAnsi="宋体"/>
          <w:bCs/>
          <w:color w:val="000000"/>
        </w:rPr>
        <w:t>投标人认为</w:t>
      </w:r>
      <w:r>
        <w:rPr>
          <w:rFonts w:hint="eastAsia" w:hAnsi="宋体"/>
          <w:bCs/>
          <w:color w:val="000000"/>
        </w:rPr>
        <w:t>招标</w:t>
      </w:r>
      <w:r>
        <w:rPr>
          <w:rFonts w:hAnsi="宋体"/>
          <w:bCs/>
          <w:color w:val="000000"/>
        </w:rPr>
        <w:t>文件、招标过程</w:t>
      </w:r>
      <w:r>
        <w:rPr>
          <w:rFonts w:hint="eastAsia" w:hAnsi="宋体"/>
          <w:bCs/>
          <w:color w:val="000000"/>
        </w:rPr>
        <w:t>或</w:t>
      </w:r>
      <w:r>
        <w:rPr>
          <w:rFonts w:hAnsi="宋体"/>
          <w:bCs/>
          <w:color w:val="000000"/>
        </w:rPr>
        <w:t>中标结果使自己的合法权益受到损害的，应当在知道或者应知其权益受到损害之日起七个工作日内，以书面形式向采购人、采购代理机构提出质疑。</w:t>
      </w:r>
      <w:r>
        <w:rPr>
          <w:rFonts w:hAnsi="宋体"/>
          <w:color w:val="000000"/>
        </w:rPr>
        <w:t>投标人对</w:t>
      </w:r>
      <w:r>
        <w:rPr>
          <w:rFonts w:hAnsi="宋体"/>
          <w:bCs/>
          <w:color w:val="000000"/>
        </w:rPr>
        <w:t>采购人、采购代理机构</w:t>
      </w:r>
      <w:r>
        <w:rPr>
          <w:rFonts w:hAnsi="宋体"/>
          <w:color w:val="000000"/>
        </w:rPr>
        <w:t>的质疑答复不满意或者</w:t>
      </w:r>
      <w:r>
        <w:rPr>
          <w:rFonts w:hAnsi="宋体"/>
          <w:bCs/>
          <w:color w:val="000000"/>
        </w:rPr>
        <w:t>采购人、采购代理机构</w:t>
      </w:r>
      <w:r>
        <w:rPr>
          <w:rFonts w:hAnsi="宋体"/>
          <w:color w:val="000000"/>
        </w:rPr>
        <w:t>未在规定时间内作出答复的，可以在答复期满后十五个工作日内向同级采购监管部门投诉。</w:t>
      </w:r>
    </w:p>
    <w:p>
      <w:pPr>
        <w:pStyle w:val="12"/>
        <w:spacing w:line="360" w:lineRule="auto"/>
        <w:ind w:firstLine="464" w:firstLineChars="200"/>
        <w:rPr>
          <w:rFonts w:hint="eastAsia" w:hAnsi="宋体"/>
          <w:color w:val="000000"/>
          <w:sz w:val="24"/>
        </w:rPr>
      </w:pPr>
      <w:r>
        <w:rPr>
          <w:rFonts w:hAnsi="宋体"/>
          <w:color w:val="000000"/>
          <w:sz w:val="24"/>
        </w:rPr>
        <w:t>供应商应知其权益受到损害之日，是指：</w:t>
      </w:r>
    </w:p>
    <w:p>
      <w:pPr>
        <w:pStyle w:val="12"/>
        <w:spacing w:line="360" w:lineRule="auto"/>
        <w:ind w:firstLine="464" w:firstLineChars="200"/>
        <w:rPr>
          <w:rFonts w:hint="eastAsia" w:hAnsi="宋体" w:cs="Arial"/>
          <w:color w:val="000000"/>
          <w:kern w:val="0"/>
          <w:sz w:val="24"/>
        </w:rPr>
      </w:pPr>
      <w:r>
        <w:rPr>
          <w:rFonts w:hAnsi="宋体"/>
          <w:color w:val="000000"/>
          <w:sz w:val="24"/>
        </w:rPr>
        <w:t>（1）对</w:t>
      </w:r>
      <w:r>
        <w:rPr>
          <w:rFonts w:hint="eastAsia" w:hAnsi="宋体"/>
          <w:color w:val="000000"/>
          <w:sz w:val="24"/>
        </w:rPr>
        <w:t>可以质疑的招标文件</w:t>
      </w:r>
      <w:r>
        <w:rPr>
          <w:rFonts w:hAnsi="宋体"/>
          <w:color w:val="000000"/>
          <w:sz w:val="24"/>
        </w:rPr>
        <w:t>提出质疑的，</w:t>
      </w:r>
      <w:r>
        <w:rPr>
          <w:rFonts w:hint="eastAsia" w:hAnsi="宋体"/>
          <w:color w:val="000000"/>
          <w:sz w:val="24"/>
        </w:rPr>
        <w:t>为获取招标文件之日（公告期限届满之日后获取招标文件的为招标公告期限届满之日）。</w:t>
      </w:r>
    </w:p>
    <w:p>
      <w:pPr>
        <w:pStyle w:val="12"/>
        <w:spacing w:line="360" w:lineRule="auto"/>
        <w:ind w:firstLine="464" w:firstLineChars="200"/>
        <w:rPr>
          <w:rFonts w:hint="eastAsia" w:hAnsi="宋体"/>
          <w:color w:val="000000"/>
          <w:sz w:val="24"/>
        </w:rPr>
      </w:pPr>
      <w:r>
        <w:rPr>
          <w:rFonts w:hAnsi="宋体"/>
          <w:color w:val="000000"/>
          <w:sz w:val="24"/>
        </w:rPr>
        <w:t>（2）对采购过程提出质疑的，为各采购程序环节结束之日</w:t>
      </w:r>
      <w:r>
        <w:rPr>
          <w:rFonts w:hint="eastAsia" w:hAnsi="宋体"/>
          <w:color w:val="000000"/>
          <w:sz w:val="24"/>
        </w:rPr>
        <w:t>。</w:t>
      </w:r>
    </w:p>
    <w:p>
      <w:pPr>
        <w:pStyle w:val="12"/>
        <w:spacing w:line="360" w:lineRule="auto"/>
        <w:ind w:firstLine="464" w:firstLineChars="200"/>
        <w:rPr>
          <w:rFonts w:hint="eastAsia" w:hAnsi="宋体"/>
          <w:color w:val="000000"/>
          <w:sz w:val="24"/>
        </w:rPr>
      </w:pPr>
      <w:r>
        <w:rPr>
          <w:rFonts w:hint="eastAsia" w:hAnsi="宋体"/>
          <w:color w:val="000000"/>
          <w:sz w:val="24"/>
        </w:rPr>
        <w:t>（</w:t>
      </w:r>
      <w:r>
        <w:rPr>
          <w:rFonts w:hAnsi="宋体"/>
          <w:color w:val="000000"/>
          <w:sz w:val="24"/>
        </w:rPr>
        <w:t>3）对中标结果提出质疑的，为</w:t>
      </w:r>
      <w:r>
        <w:rPr>
          <w:rFonts w:hint="eastAsia" w:hAnsi="宋体"/>
          <w:color w:val="000000"/>
          <w:sz w:val="24"/>
        </w:rPr>
        <w:t>成交</w:t>
      </w:r>
      <w:r>
        <w:rPr>
          <w:rFonts w:hAnsi="宋体"/>
          <w:color w:val="000000"/>
          <w:sz w:val="24"/>
        </w:rPr>
        <w:t>结果公告期限届满之日</w:t>
      </w:r>
      <w:r>
        <w:rPr>
          <w:rFonts w:hint="eastAsia" w:hAnsi="宋体"/>
          <w:color w:val="000000"/>
          <w:sz w:val="24"/>
        </w:rPr>
        <w:t>。</w:t>
      </w:r>
    </w:p>
    <w:p>
      <w:pPr>
        <w:pStyle w:val="12"/>
        <w:spacing w:line="360" w:lineRule="auto"/>
        <w:ind w:left="359" w:leftChars="171" w:firstLine="116" w:firstLineChars="50"/>
        <w:rPr>
          <w:rFonts w:hint="eastAsia" w:hAnsi="宋体"/>
          <w:color w:val="000000"/>
          <w:sz w:val="24"/>
        </w:rPr>
      </w:pPr>
      <w:r>
        <w:rPr>
          <w:rFonts w:hAnsi="宋体"/>
          <w:color w:val="000000"/>
          <w:sz w:val="24"/>
        </w:rPr>
        <w:t>2</w:t>
      </w:r>
      <w:r>
        <w:rPr>
          <w:rFonts w:hint="eastAsia" w:hAnsi="宋体"/>
          <w:color w:val="000000"/>
          <w:sz w:val="24"/>
        </w:rPr>
        <w:t>.</w:t>
      </w:r>
      <w:r>
        <w:rPr>
          <w:rFonts w:hAnsi="宋体"/>
          <w:color w:val="000000"/>
          <w:sz w:val="24"/>
        </w:rPr>
        <w:t>质疑、投诉应当采用书面形式，质疑书、投诉书均应明确阐述招标</w:t>
      </w:r>
    </w:p>
    <w:p>
      <w:pPr>
        <w:pStyle w:val="12"/>
        <w:spacing w:line="360" w:lineRule="auto"/>
        <w:ind w:firstLine="0"/>
        <w:rPr>
          <w:rFonts w:hint="eastAsia" w:hAnsi="宋体"/>
          <w:color w:val="000000"/>
          <w:sz w:val="24"/>
        </w:rPr>
      </w:pPr>
      <w:r>
        <w:rPr>
          <w:rFonts w:hAnsi="宋体"/>
          <w:color w:val="000000"/>
          <w:sz w:val="24"/>
        </w:rPr>
        <w:t>文件、招标过程</w:t>
      </w:r>
      <w:r>
        <w:rPr>
          <w:rFonts w:hint="eastAsia" w:hAnsi="宋体"/>
          <w:color w:val="000000"/>
          <w:sz w:val="24"/>
        </w:rPr>
        <w:t>或</w:t>
      </w:r>
      <w:r>
        <w:rPr>
          <w:rFonts w:hAnsi="宋体"/>
          <w:color w:val="000000"/>
          <w:sz w:val="24"/>
        </w:rPr>
        <w:t>中标结果中使自己合法权益受到损害的实质性内容，提供相关事实、依据和证据及其来源或线索，便于有关单位调查、答复和处理</w:t>
      </w:r>
      <w:r>
        <w:rPr>
          <w:rFonts w:hint="eastAsia" w:hAnsi="宋体"/>
          <w:color w:val="000000"/>
          <w:sz w:val="24"/>
        </w:rPr>
        <w:t>。</w:t>
      </w:r>
    </w:p>
    <w:p>
      <w:pPr>
        <w:snapToGrid w:val="0"/>
        <w:spacing w:line="360" w:lineRule="auto"/>
        <w:ind w:firstLine="354" w:firstLineChars="147"/>
        <w:jc w:val="left"/>
        <w:rPr>
          <w:rFonts w:hint="eastAsia" w:ascii="宋体" w:hAnsi="宋体"/>
          <w:b/>
          <w:color w:val="000000"/>
          <w:sz w:val="24"/>
        </w:rPr>
      </w:pPr>
      <w:r>
        <w:rPr>
          <w:rFonts w:hint="eastAsia" w:ascii="宋体" w:hAnsi="宋体"/>
          <w:b/>
          <w:color w:val="000000"/>
          <w:sz w:val="24"/>
        </w:rPr>
        <w:t>二、招标文件</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（一）招标文件的构成。本招标文件由以下部份组成：</w:t>
      </w:r>
    </w:p>
    <w:p>
      <w:pPr>
        <w:pStyle w:val="12"/>
        <w:spacing w:line="360" w:lineRule="auto"/>
        <w:ind w:firstLine="464" w:firstLineChars="200"/>
        <w:rPr>
          <w:rFonts w:hint="eastAsia" w:hAnsi="宋体"/>
          <w:color w:val="000000"/>
          <w:sz w:val="24"/>
        </w:rPr>
      </w:pPr>
      <w:r>
        <w:rPr>
          <w:rFonts w:hAnsi="宋体"/>
          <w:color w:val="000000"/>
          <w:sz w:val="24"/>
        </w:rPr>
        <w:t>1</w:t>
      </w:r>
      <w:r>
        <w:rPr>
          <w:rFonts w:hint="eastAsia" w:hAnsi="宋体"/>
          <w:color w:val="000000"/>
          <w:sz w:val="24"/>
        </w:rPr>
        <w:t>.投标邀请</w:t>
      </w:r>
    </w:p>
    <w:p>
      <w:pPr>
        <w:pStyle w:val="12"/>
        <w:spacing w:line="360" w:lineRule="auto"/>
        <w:ind w:firstLine="464" w:firstLineChars="200"/>
        <w:rPr>
          <w:rFonts w:hAnsi="宋体"/>
          <w:color w:val="000000"/>
          <w:sz w:val="24"/>
        </w:rPr>
      </w:pPr>
      <w:r>
        <w:rPr>
          <w:rFonts w:hAnsi="宋体"/>
          <w:color w:val="000000"/>
          <w:sz w:val="24"/>
        </w:rPr>
        <w:t>2</w:t>
      </w:r>
      <w:r>
        <w:rPr>
          <w:rFonts w:hint="eastAsia" w:hAnsi="宋体"/>
          <w:color w:val="000000"/>
          <w:sz w:val="24"/>
        </w:rPr>
        <w:t>.</w:t>
      </w:r>
      <w:r>
        <w:rPr>
          <w:rFonts w:hAnsi="宋体"/>
          <w:color w:val="000000"/>
          <w:sz w:val="24"/>
        </w:rPr>
        <w:t>投标人须知</w:t>
      </w:r>
    </w:p>
    <w:p>
      <w:pPr>
        <w:pStyle w:val="12"/>
        <w:spacing w:line="360" w:lineRule="auto"/>
        <w:ind w:firstLine="464" w:firstLineChars="200"/>
        <w:rPr>
          <w:rFonts w:hAnsi="宋体"/>
          <w:color w:val="000000"/>
          <w:sz w:val="24"/>
        </w:rPr>
      </w:pPr>
      <w:r>
        <w:rPr>
          <w:rFonts w:hAnsi="宋体"/>
          <w:color w:val="000000"/>
          <w:sz w:val="24"/>
        </w:rPr>
        <w:t>3</w:t>
      </w:r>
      <w:r>
        <w:rPr>
          <w:rFonts w:hint="eastAsia" w:hAnsi="宋体"/>
          <w:color w:val="000000"/>
          <w:sz w:val="24"/>
        </w:rPr>
        <w:t>.</w:t>
      </w:r>
      <w:r>
        <w:rPr>
          <w:rFonts w:hAnsi="宋体"/>
          <w:color w:val="000000"/>
          <w:sz w:val="24"/>
        </w:rPr>
        <w:t>评标办法</w:t>
      </w:r>
    </w:p>
    <w:p>
      <w:pPr>
        <w:pStyle w:val="12"/>
        <w:spacing w:line="360" w:lineRule="auto"/>
        <w:ind w:firstLine="464" w:firstLineChars="200"/>
        <w:rPr>
          <w:rFonts w:hint="eastAsia" w:hAnsi="宋体"/>
          <w:color w:val="000000"/>
          <w:sz w:val="24"/>
        </w:rPr>
      </w:pPr>
      <w:r>
        <w:rPr>
          <w:rFonts w:hint="eastAsia" w:hAnsi="宋体"/>
          <w:color w:val="000000"/>
          <w:sz w:val="24"/>
        </w:rPr>
        <w:t>4.采购内容及需求</w:t>
      </w:r>
    </w:p>
    <w:p>
      <w:pPr>
        <w:pStyle w:val="12"/>
        <w:spacing w:line="360" w:lineRule="auto"/>
        <w:ind w:firstLine="464" w:firstLineChars="200"/>
        <w:rPr>
          <w:rFonts w:hAnsi="宋体"/>
          <w:color w:val="000000"/>
          <w:sz w:val="24"/>
        </w:rPr>
      </w:pPr>
      <w:r>
        <w:rPr>
          <w:rFonts w:hAnsi="宋体"/>
          <w:color w:val="000000"/>
          <w:sz w:val="24"/>
        </w:rPr>
        <w:t>5</w:t>
      </w:r>
      <w:r>
        <w:rPr>
          <w:rFonts w:hint="eastAsia" w:hAnsi="宋体"/>
          <w:color w:val="000000"/>
          <w:sz w:val="24"/>
        </w:rPr>
        <w:t>.合</w:t>
      </w:r>
      <w:r>
        <w:rPr>
          <w:rFonts w:hAnsi="宋体"/>
          <w:color w:val="000000"/>
          <w:sz w:val="24"/>
        </w:rPr>
        <w:t>同主要条款</w:t>
      </w:r>
    </w:p>
    <w:p>
      <w:pPr>
        <w:pStyle w:val="12"/>
        <w:spacing w:line="360" w:lineRule="auto"/>
        <w:ind w:firstLine="464" w:firstLineChars="200"/>
        <w:rPr>
          <w:rFonts w:hint="eastAsia" w:hAnsi="宋体"/>
          <w:color w:val="000000"/>
          <w:sz w:val="24"/>
        </w:rPr>
      </w:pPr>
      <w:r>
        <w:rPr>
          <w:rFonts w:hAnsi="宋体"/>
          <w:color w:val="000000"/>
          <w:sz w:val="24"/>
        </w:rPr>
        <w:t>6</w:t>
      </w:r>
      <w:r>
        <w:rPr>
          <w:rFonts w:hint="eastAsia" w:hAnsi="宋体"/>
          <w:color w:val="000000"/>
          <w:sz w:val="24"/>
        </w:rPr>
        <w:t>.</w:t>
      </w:r>
      <w:r>
        <w:rPr>
          <w:rFonts w:hAnsi="宋体"/>
          <w:color w:val="000000"/>
          <w:sz w:val="24"/>
        </w:rPr>
        <w:t>投标文件格式</w:t>
      </w:r>
    </w:p>
    <w:p>
      <w:pPr>
        <w:pStyle w:val="12"/>
        <w:spacing w:line="360" w:lineRule="auto"/>
        <w:ind w:firstLine="464" w:firstLineChars="200"/>
        <w:rPr>
          <w:rFonts w:hint="eastAsia" w:hAnsi="宋体"/>
          <w:color w:val="000000"/>
          <w:sz w:val="24"/>
        </w:rPr>
      </w:pPr>
      <w:r>
        <w:rPr>
          <w:rFonts w:hint="eastAsia" w:hAnsi="宋体"/>
          <w:color w:val="000000"/>
          <w:sz w:val="24"/>
        </w:rPr>
        <w:t>7.本项目</w:t>
      </w:r>
      <w:r>
        <w:rPr>
          <w:rFonts w:hAnsi="宋体"/>
          <w:color w:val="000000"/>
          <w:sz w:val="24"/>
        </w:rPr>
        <w:t>招标文件</w:t>
      </w:r>
      <w:r>
        <w:rPr>
          <w:rFonts w:hint="eastAsia" w:hAnsi="宋体"/>
          <w:color w:val="000000"/>
          <w:sz w:val="24"/>
        </w:rPr>
        <w:t>的</w:t>
      </w:r>
      <w:r>
        <w:rPr>
          <w:rFonts w:hAnsi="宋体"/>
          <w:color w:val="000000"/>
          <w:sz w:val="24"/>
        </w:rPr>
        <w:t>澄清、修改内容</w:t>
      </w:r>
      <w:r>
        <w:rPr>
          <w:rFonts w:hint="eastAsia" w:hAnsi="宋体"/>
          <w:color w:val="000000"/>
          <w:sz w:val="24"/>
        </w:rPr>
        <w:t>（如有）</w:t>
      </w:r>
    </w:p>
    <w:p>
      <w:pPr>
        <w:snapToGrid w:val="0"/>
        <w:spacing w:line="360" w:lineRule="auto"/>
        <w:ind w:firstLine="354" w:firstLineChars="147"/>
        <w:jc w:val="left"/>
        <w:rPr>
          <w:rFonts w:ascii="宋体" w:hAnsi="宋体"/>
          <w:b/>
          <w:color w:val="000000"/>
          <w:sz w:val="24"/>
        </w:rPr>
      </w:pPr>
      <w:r>
        <w:rPr>
          <w:rFonts w:hint="eastAsia" w:ascii="宋体" w:hAnsi="宋体"/>
          <w:b/>
          <w:color w:val="000000"/>
          <w:sz w:val="24"/>
        </w:rPr>
        <w:t>（二）投标人的风险</w:t>
      </w:r>
    </w:p>
    <w:p>
      <w:pPr>
        <w:pStyle w:val="12"/>
        <w:spacing w:line="360" w:lineRule="auto"/>
        <w:ind w:firstLine="464" w:firstLineChars="200"/>
        <w:rPr>
          <w:rFonts w:hint="eastAsia" w:hAnsi="宋体"/>
          <w:color w:val="000000"/>
          <w:sz w:val="24"/>
        </w:rPr>
      </w:pPr>
      <w:r>
        <w:rPr>
          <w:rFonts w:hint="eastAsia" w:hAnsi="宋体"/>
          <w:color w:val="000000"/>
          <w:sz w:val="24"/>
        </w:rPr>
        <w:t>1. 投标截止时间前，投标供应商仅递交了“ 电子备份投标文件”而未将“电子加密投标文件” 成功上传至“政府采购云平台”的，投标无效；通过“政府采购云平台”上传递交的“电子加密投标文件”无法按时解密的，如投标供应商未按规定递交“ 电子备份投标文件”的，视为投标文件撤回；在“政府采购云平台”正常运行情况下，“电子备份投标文件”无法上传至“政府采购云平台”的，视为投标文件撤回。</w:t>
      </w:r>
    </w:p>
    <w:p>
      <w:pPr>
        <w:pStyle w:val="12"/>
        <w:spacing w:line="360" w:lineRule="auto"/>
        <w:ind w:firstLine="464" w:firstLineChars="200"/>
        <w:rPr>
          <w:rFonts w:hint="eastAsia" w:hAnsi="宋体"/>
          <w:color w:val="000000"/>
          <w:sz w:val="24"/>
        </w:rPr>
      </w:pPr>
      <w:r>
        <w:rPr>
          <w:rFonts w:hint="eastAsia" w:hAnsi="宋体"/>
          <w:color w:val="000000"/>
          <w:sz w:val="24"/>
        </w:rPr>
        <w:t>2.投标人没有按照招标文件要求提供全部资料，或者投标人没有对招标文件在各方面作出实质性响应是投标人的风险，并可能导致其投标无效。</w:t>
      </w:r>
    </w:p>
    <w:p>
      <w:pPr>
        <w:snapToGrid w:val="0"/>
        <w:spacing w:line="360" w:lineRule="auto"/>
        <w:ind w:firstLine="354" w:firstLineChars="147"/>
        <w:jc w:val="left"/>
        <w:rPr>
          <w:rFonts w:hint="eastAsia" w:ascii="宋体" w:hAnsi="宋体"/>
          <w:b/>
          <w:color w:val="000000"/>
          <w:sz w:val="24"/>
        </w:rPr>
      </w:pPr>
      <w:r>
        <w:rPr>
          <w:rFonts w:hint="eastAsia" w:ascii="宋体" w:hAnsi="宋体"/>
          <w:b/>
          <w:color w:val="000000"/>
          <w:sz w:val="24"/>
        </w:rPr>
        <w:t>（三）招标文件的澄清与修改</w:t>
      </w:r>
      <w:r>
        <w:rPr>
          <w:rFonts w:ascii="宋体" w:hAnsi="宋体"/>
          <w:b/>
          <w:color w:val="000000"/>
          <w:sz w:val="24"/>
        </w:rPr>
        <w:t xml:space="preserve"> </w:t>
      </w:r>
    </w:p>
    <w:p>
      <w:pPr>
        <w:pStyle w:val="16"/>
        <w:snapToGrid w:val="0"/>
        <w:spacing w:beforeLines="0" w:afterLines="0" w:line="360" w:lineRule="auto"/>
        <w:ind w:firstLine="480" w:firstLineChars="200"/>
        <w:rPr>
          <w:rFonts w:hAnsi="宋体"/>
          <w:color w:val="000000"/>
        </w:rPr>
      </w:pPr>
      <w:r>
        <w:rPr>
          <w:rFonts w:hAnsi="宋体"/>
          <w:color w:val="000000"/>
        </w:rPr>
        <w:t>1</w:t>
      </w:r>
      <w:r>
        <w:rPr>
          <w:rFonts w:hint="eastAsia" w:hAnsi="宋体"/>
          <w:color w:val="000000"/>
        </w:rPr>
        <w:t>.</w:t>
      </w:r>
      <w:r>
        <w:rPr>
          <w:rFonts w:hAnsi="宋体"/>
          <w:bCs/>
          <w:color w:val="000000"/>
        </w:rPr>
        <w:t>投标人应认真阅读本招标文件，发现其中有</w:t>
      </w:r>
      <w:r>
        <w:rPr>
          <w:rFonts w:hint="eastAsia" w:hAnsi="宋体"/>
          <w:color w:val="000000"/>
        </w:rPr>
        <w:t>表述不清晰、前后矛盾等内容的</w:t>
      </w:r>
      <w:r>
        <w:rPr>
          <w:rFonts w:hAnsi="宋体"/>
          <w:bCs/>
          <w:color w:val="000000"/>
        </w:rPr>
        <w:t>，投标人</w:t>
      </w:r>
      <w:r>
        <w:rPr>
          <w:rFonts w:hint="eastAsia" w:hAnsi="宋体"/>
          <w:bCs/>
          <w:color w:val="000000"/>
        </w:rPr>
        <w:t>可以</w:t>
      </w:r>
      <w:r>
        <w:rPr>
          <w:rFonts w:hint="eastAsia" w:hAnsi="宋体"/>
          <w:color w:val="000000"/>
        </w:rPr>
        <w:t>在投标截止日</w:t>
      </w:r>
      <w:r>
        <w:rPr>
          <w:rFonts w:hint="eastAsia" w:hAnsi="宋体"/>
          <w:color w:val="000000"/>
          <w:u w:val="single"/>
        </w:rPr>
        <w:t xml:space="preserve"> 10 </w:t>
      </w:r>
      <w:r>
        <w:rPr>
          <w:rFonts w:hint="eastAsia" w:hAnsi="宋体"/>
          <w:color w:val="000000"/>
        </w:rPr>
        <w:t>天前</w:t>
      </w:r>
      <w:r>
        <w:rPr>
          <w:rFonts w:hAnsi="宋体"/>
          <w:bCs/>
          <w:color w:val="000000"/>
        </w:rPr>
        <w:t>以书面形式要求招标采购单位澄清</w:t>
      </w:r>
      <w:r>
        <w:rPr>
          <w:rFonts w:hAnsi="宋体"/>
          <w:color w:val="000000"/>
        </w:rPr>
        <w:t>。招标采购单位对已发出的招标文件进行必要澄清、修改</w:t>
      </w:r>
      <w:r>
        <w:rPr>
          <w:rFonts w:hint="eastAsia" w:hAnsi="宋体" w:cs="Arial"/>
          <w:color w:val="000000"/>
        </w:rPr>
        <w:t>的内容可能影响投标文件编制的，</w:t>
      </w:r>
      <w:r>
        <w:rPr>
          <w:rFonts w:hAnsi="宋体"/>
          <w:color w:val="000000"/>
        </w:rPr>
        <w:t>应当在招标文件要求提交投标文件截止时间</w:t>
      </w:r>
      <w:r>
        <w:rPr>
          <w:rFonts w:hint="eastAsia" w:hAnsi="宋体"/>
          <w:color w:val="000000"/>
        </w:rPr>
        <w:t>十</w:t>
      </w:r>
      <w:r>
        <w:rPr>
          <w:rFonts w:hAnsi="宋体"/>
          <w:color w:val="000000"/>
        </w:rPr>
        <w:t>五日前，在财政部门指定的政府采购信息发布媒体上发布更正公告，并以书面形式通知所有招标文件收受人。</w:t>
      </w:r>
    </w:p>
    <w:p>
      <w:pPr>
        <w:pStyle w:val="16"/>
        <w:snapToGrid w:val="0"/>
        <w:spacing w:beforeLines="0" w:afterLines="0" w:line="360" w:lineRule="auto"/>
        <w:ind w:firstLine="480" w:firstLineChars="200"/>
        <w:rPr>
          <w:rFonts w:hAnsi="宋体"/>
          <w:color w:val="000000"/>
        </w:rPr>
      </w:pPr>
      <w:r>
        <w:rPr>
          <w:rFonts w:hAnsi="宋体"/>
          <w:color w:val="000000"/>
        </w:rPr>
        <w:t>2</w:t>
      </w:r>
      <w:r>
        <w:rPr>
          <w:rFonts w:hint="eastAsia" w:hAnsi="宋体"/>
          <w:color w:val="000000"/>
        </w:rPr>
        <w:t>.</w:t>
      </w:r>
      <w:r>
        <w:rPr>
          <w:rFonts w:hAnsi="宋体"/>
          <w:color w:val="000000"/>
        </w:rPr>
        <w:t>招标采购单位必须以书面形式答复投标人要求澄清的问题，并将不包含问题来源的答复书面通知所有</w:t>
      </w:r>
      <w:r>
        <w:rPr>
          <w:rFonts w:hint="eastAsia" w:hAnsi="宋体"/>
          <w:color w:val="000000"/>
        </w:rPr>
        <w:t>合法获取了</w:t>
      </w:r>
      <w:r>
        <w:rPr>
          <w:rFonts w:hAnsi="宋体"/>
          <w:color w:val="000000"/>
        </w:rPr>
        <w:t>招标文件的投标人；除书面答复以外的其他澄清方式及澄清内容均无效。</w:t>
      </w:r>
    </w:p>
    <w:p>
      <w:pPr>
        <w:pStyle w:val="16"/>
        <w:snapToGrid w:val="0"/>
        <w:spacing w:beforeLines="0" w:afterLines="0" w:line="360" w:lineRule="auto"/>
        <w:ind w:firstLine="480" w:firstLineChars="200"/>
        <w:rPr>
          <w:rFonts w:hAnsi="宋体"/>
          <w:color w:val="000000"/>
        </w:rPr>
      </w:pPr>
      <w:r>
        <w:rPr>
          <w:rFonts w:hint="eastAsia" w:hAnsi="宋体"/>
          <w:color w:val="000000"/>
        </w:rPr>
        <w:t>3.</w:t>
      </w:r>
      <w:r>
        <w:rPr>
          <w:rFonts w:hAnsi="宋体"/>
          <w:color w:val="000000"/>
        </w:rPr>
        <w:t>招标文件澄清、修改的内容为招标文件的组成部分。当招标文件与招标文件的澄清、修改通知就同一内容的表述不一致时，以最后发出的书面文件为准。</w:t>
      </w:r>
    </w:p>
    <w:p>
      <w:pPr>
        <w:pStyle w:val="16"/>
        <w:snapToGrid w:val="0"/>
        <w:spacing w:beforeLines="0" w:afterLines="0" w:line="360" w:lineRule="auto"/>
        <w:ind w:firstLine="480" w:firstLineChars="200"/>
        <w:rPr>
          <w:rFonts w:hAnsi="宋体"/>
          <w:color w:val="000000"/>
        </w:rPr>
      </w:pPr>
      <w:r>
        <w:rPr>
          <w:rFonts w:hint="eastAsia" w:hAnsi="宋体"/>
          <w:color w:val="000000"/>
        </w:rPr>
        <w:t>4.</w:t>
      </w:r>
      <w:r>
        <w:rPr>
          <w:rFonts w:hAnsi="宋体"/>
          <w:color w:val="000000"/>
        </w:rPr>
        <w:t>招标文件的澄清、修改都应该通过本代理机构发布。</w:t>
      </w:r>
    </w:p>
    <w:p>
      <w:pPr>
        <w:snapToGrid w:val="0"/>
        <w:spacing w:line="360" w:lineRule="auto"/>
        <w:ind w:firstLine="354" w:firstLineChars="147"/>
        <w:jc w:val="left"/>
        <w:rPr>
          <w:rFonts w:ascii="宋体" w:hAnsi="宋体"/>
          <w:b/>
          <w:color w:val="000000"/>
          <w:sz w:val="24"/>
        </w:rPr>
      </w:pPr>
      <w:r>
        <w:rPr>
          <w:rFonts w:ascii="宋体" w:hAnsi="宋体"/>
          <w:b/>
          <w:color w:val="000000"/>
          <w:sz w:val="24"/>
        </w:rPr>
        <w:t>三、投标文件</w:t>
      </w:r>
    </w:p>
    <w:p>
      <w:pPr>
        <w:snapToGrid w:val="0"/>
        <w:spacing w:line="360" w:lineRule="auto"/>
        <w:ind w:firstLine="354" w:firstLineChars="147"/>
        <w:jc w:val="left"/>
        <w:rPr>
          <w:rFonts w:ascii="宋体" w:hAnsi="宋体"/>
          <w:b/>
          <w:color w:val="000000"/>
          <w:sz w:val="24"/>
        </w:rPr>
      </w:pPr>
      <w:bookmarkStart w:id="36" w:name="_Toc5828"/>
      <w:r>
        <w:rPr>
          <w:rFonts w:hint="eastAsia" w:ascii="宋体" w:hAnsi="宋体"/>
          <w:b/>
          <w:color w:val="000000"/>
          <w:sz w:val="24"/>
        </w:rPr>
        <w:t>（一）投标文件的组成</w:t>
      </w:r>
      <w:bookmarkEnd w:id="36"/>
    </w:p>
    <w:p>
      <w:pPr>
        <w:pStyle w:val="12"/>
        <w:spacing w:line="360" w:lineRule="auto"/>
        <w:ind w:firstLine="464" w:firstLineChars="200"/>
        <w:rPr>
          <w:rFonts w:hAnsi="宋体"/>
          <w:color w:val="000000"/>
          <w:sz w:val="24"/>
        </w:rPr>
      </w:pPr>
      <w:r>
        <w:rPr>
          <w:rFonts w:hint="eastAsia" w:hAnsi="宋体"/>
          <w:color w:val="000000"/>
          <w:sz w:val="24"/>
        </w:rPr>
        <w:t>投标文件由资格证明文件、商务技术文件、报价文件三部份组成。</w:t>
      </w:r>
    </w:p>
    <w:p>
      <w:pPr>
        <w:snapToGrid w:val="0"/>
        <w:spacing w:line="360" w:lineRule="auto"/>
        <w:ind w:firstLine="354" w:firstLineChars="147"/>
        <w:jc w:val="left"/>
        <w:rPr>
          <w:rFonts w:hint="eastAsia" w:ascii="宋体" w:hAnsi="宋体"/>
          <w:b/>
          <w:color w:val="000000"/>
          <w:sz w:val="24"/>
        </w:rPr>
      </w:pPr>
      <w:r>
        <w:rPr>
          <w:rFonts w:ascii="宋体" w:hAnsi="宋体"/>
          <w:b/>
          <w:color w:val="000000"/>
          <w:sz w:val="24"/>
        </w:rPr>
        <w:t>1</w:t>
      </w:r>
      <w:r>
        <w:rPr>
          <w:rFonts w:hint="eastAsia" w:ascii="宋体" w:hAnsi="宋体"/>
          <w:b/>
          <w:color w:val="000000"/>
          <w:sz w:val="24"/>
        </w:rPr>
        <w:t>.资格证明</w:t>
      </w:r>
      <w:r>
        <w:rPr>
          <w:rFonts w:ascii="宋体" w:hAnsi="宋体"/>
          <w:b/>
          <w:color w:val="000000"/>
          <w:sz w:val="24"/>
        </w:rPr>
        <w:t>文件：</w:t>
      </w:r>
    </w:p>
    <w:p>
      <w:pPr>
        <w:pStyle w:val="12"/>
        <w:spacing w:line="360" w:lineRule="auto"/>
        <w:ind w:firstLine="464" w:firstLineChars="200"/>
        <w:rPr>
          <w:rFonts w:hint="eastAsia" w:hAnsi="宋体"/>
          <w:color w:val="000000"/>
          <w:sz w:val="24"/>
        </w:rPr>
      </w:pPr>
      <w:r>
        <w:rPr>
          <w:rFonts w:hint="eastAsia" w:hAnsi="宋体"/>
          <w:color w:val="000000"/>
          <w:sz w:val="24"/>
        </w:rPr>
        <w:t>（1）法人或者其他组织的营业执照等证明文件，自然人的身份证明；</w:t>
      </w:r>
    </w:p>
    <w:p>
      <w:pPr>
        <w:pStyle w:val="12"/>
        <w:spacing w:line="360" w:lineRule="auto"/>
        <w:ind w:firstLine="464" w:firstLineChars="200"/>
        <w:rPr>
          <w:rFonts w:hint="eastAsia" w:hAnsi="宋体"/>
          <w:color w:val="000000"/>
          <w:sz w:val="24"/>
        </w:rPr>
      </w:pPr>
      <w:r>
        <w:rPr>
          <w:rFonts w:hint="eastAsia" w:hAnsi="宋体"/>
          <w:color w:val="000000"/>
          <w:sz w:val="24"/>
        </w:rPr>
        <w:t>（2）具有良好的商业信誉和健全的财务会计制度（提供近三年的第三方提供的财务审计报告，或其基本开户银行出具的资信证明，或财政部门认可的采购专业担保机构出具的投标担保函；）；</w:t>
      </w:r>
    </w:p>
    <w:p>
      <w:pPr>
        <w:pStyle w:val="12"/>
        <w:spacing w:line="360" w:lineRule="auto"/>
        <w:ind w:firstLine="464" w:firstLineChars="200"/>
        <w:rPr>
          <w:rFonts w:hint="eastAsia" w:hAnsi="宋体"/>
          <w:color w:val="000000"/>
          <w:sz w:val="24"/>
        </w:rPr>
      </w:pPr>
      <w:r>
        <w:rPr>
          <w:rFonts w:hint="eastAsia" w:hAnsi="宋体"/>
          <w:color w:val="000000"/>
          <w:sz w:val="24"/>
        </w:rPr>
        <w:t>（3）具有履行合同所必需的场地、设备和专业技术能力的承诺函或相关证明资料；（须提供相关证明（说明）材料，内容格式自拟，证明材料可以是：投标人专业设备发票或代理证明或以往同类项目实施案例、专业技术人员等。）</w:t>
      </w:r>
    </w:p>
    <w:p>
      <w:pPr>
        <w:pStyle w:val="12"/>
        <w:spacing w:line="360" w:lineRule="auto"/>
        <w:ind w:firstLine="464" w:firstLineChars="200"/>
        <w:rPr>
          <w:rFonts w:hint="eastAsia" w:hAnsi="宋体"/>
          <w:color w:val="000000"/>
          <w:sz w:val="24"/>
        </w:rPr>
      </w:pPr>
      <w:r>
        <w:rPr>
          <w:rFonts w:hint="eastAsia" w:hAnsi="宋体"/>
          <w:color w:val="000000"/>
          <w:sz w:val="24"/>
        </w:rPr>
        <w:t>（4）依法缴纳税收和社会保障资金的证明资料；（1、须提供税务登记证（多证合一提供营业执照复印件即可）及近期的依法缴纳税收的记录； 2、须提供社保登记证（多证合一提供营业执照复印件即可）及近期的社会保险缴纳凭据（专用收据或社会保险缴纳清单））</w:t>
      </w:r>
    </w:p>
    <w:p>
      <w:pPr>
        <w:snapToGrid w:val="0"/>
        <w:spacing w:line="360" w:lineRule="auto"/>
        <w:ind w:firstLine="472" w:firstLineChars="196"/>
        <w:jc w:val="left"/>
        <w:rPr>
          <w:rFonts w:hint="eastAsia" w:ascii="宋体" w:hAnsi="宋体"/>
          <w:b/>
          <w:bCs/>
          <w:color w:val="000000"/>
          <w:sz w:val="24"/>
        </w:rPr>
      </w:pPr>
      <w:r>
        <w:rPr>
          <w:rFonts w:ascii="宋体" w:hAnsi="宋体"/>
          <w:b/>
          <w:bCs/>
          <w:color w:val="000000"/>
          <w:sz w:val="24"/>
        </w:rPr>
        <w:t>2</w:t>
      </w:r>
      <w:r>
        <w:rPr>
          <w:rFonts w:hint="eastAsia" w:ascii="宋体" w:hAnsi="宋体"/>
          <w:b/>
          <w:bCs/>
          <w:color w:val="000000"/>
          <w:sz w:val="24"/>
        </w:rPr>
        <w:t>.商务</w:t>
      </w:r>
      <w:r>
        <w:rPr>
          <w:rFonts w:ascii="宋体" w:hAnsi="宋体"/>
          <w:b/>
          <w:bCs/>
          <w:color w:val="000000"/>
          <w:sz w:val="24"/>
        </w:rPr>
        <w:t>技术文件</w:t>
      </w:r>
    </w:p>
    <w:p>
      <w:pPr>
        <w:pStyle w:val="12"/>
        <w:spacing w:line="360" w:lineRule="auto"/>
        <w:ind w:firstLine="464" w:firstLineChars="200"/>
        <w:rPr>
          <w:rFonts w:hint="eastAsia" w:hAnsi="宋体"/>
          <w:color w:val="000000"/>
          <w:sz w:val="24"/>
        </w:rPr>
      </w:pPr>
      <w:r>
        <w:rPr>
          <w:rFonts w:hint="eastAsia" w:hAnsi="宋体"/>
          <w:color w:val="000000"/>
          <w:sz w:val="24"/>
        </w:rPr>
        <w:t>（1）投标声明书；</w:t>
      </w:r>
    </w:p>
    <w:p>
      <w:pPr>
        <w:pStyle w:val="12"/>
        <w:spacing w:line="360" w:lineRule="auto"/>
        <w:ind w:firstLine="464" w:firstLineChars="200"/>
        <w:rPr>
          <w:rFonts w:hint="eastAsia" w:hAnsi="宋体"/>
          <w:color w:val="000000"/>
          <w:sz w:val="24"/>
        </w:rPr>
      </w:pPr>
      <w:r>
        <w:rPr>
          <w:rFonts w:hint="eastAsia" w:hAnsi="宋体"/>
          <w:color w:val="000000"/>
          <w:sz w:val="24"/>
        </w:rPr>
        <w:t>（2）法定代表人授权委托书(格式见第六章)；</w:t>
      </w:r>
    </w:p>
    <w:p>
      <w:pPr>
        <w:pStyle w:val="12"/>
        <w:spacing w:line="360" w:lineRule="auto"/>
        <w:ind w:firstLine="464" w:firstLineChars="200"/>
        <w:rPr>
          <w:rFonts w:hint="eastAsia" w:hAnsi="宋体"/>
          <w:color w:val="000000"/>
          <w:sz w:val="24"/>
        </w:rPr>
      </w:pPr>
      <w:r>
        <w:rPr>
          <w:rFonts w:hint="eastAsia" w:hAnsi="宋体"/>
          <w:color w:val="000000"/>
          <w:sz w:val="24"/>
        </w:rPr>
        <w:t>（3）中小企业的相关证明材料（如投标人和投标产品生产企业为小型或微型企业）：</w:t>
      </w:r>
    </w:p>
    <w:p>
      <w:pPr>
        <w:pStyle w:val="12"/>
        <w:spacing w:line="360" w:lineRule="auto"/>
        <w:ind w:firstLine="464" w:firstLineChars="200"/>
        <w:rPr>
          <w:rFonts w:hint="eastAsia" w:hAnsi="宋体"/>
          <w:color w:val="000000"/>
          <w:sz w:val="24"/>
        </w:rPr>
      </w:pPr>
      <w:r>
        <w:rPr>
          <w:rFonts w:hint="eastAsia" w:hAnsi="宋体"/>
          <w:color w:val="000000"/>
          <w:sz w:val="24"/>
        </w:rPr>
        <w:t>① 中小企业声明函(格式见第六章)；</w:t>
      </w:r>
    </w:p>
    <w:p>
      <w:pPr>
        <w:pStyle w:val="12"/>
        <w:spacing w:line="360" w:lineRule="auto"/>
        <w:ind w:firstLine="464" w:firstLineChars="200"/>
        <w:rPr>
          <w:rFonts w:hint="eastAsia" w:hAnsi="宋体"/>
          <w:color w:val="000000"/>
          <w:sz w:val="24"/>
        </w:rPr>
      </w:pPr>
      <w:r>
        <w:rPr>
          <w:rFonts w:hint="eastAsia" w:hAnsi="宋体"/>
          <w:color w:val="000000"/>
          <w:sz w:val="24"/>
        </w:rPr>
        <w:t>（4）残疾人福利性单位声明函（如投标人为残疾人福利性单位，格式见第六章）；</w:t>
      </w:r>
    </w:p>
    <w:p>
      <w:pPr>
        <w:pStyle w:val="12"/>
        <w:spacing w:line="360" w:lineRule="auto"/>
        <w:ind w:firstLine="464" w:firstLineChars="200"/>
        <w:rPr>
          <w:rFonts w:hint="eastAsia" w:hAnsi="宋体"/>
          <w:color w:val="000000"/>
          <w:sz w:val="24"/>
        </w:rPr>
      </w:pPr>
      <w:r>
        <w:rPr>
          <w:rFonts w:hint="eastAsia" w:hAnsi="宋体"/>
          <w:color w:val="000000"/>
          <w:sz w:val="24"/>
        </w:rPr>
        <w:t>（5）监狱企业的相关证明材料（如投标人为监狱企业）：</w:t>
      </w:r>
    </w:p>
    <w:p>
      <w:pPr>
        <w:pStyle w:val="12"/>
        <w:spacing w:line="360" w:lineRule="auto"/>
        <w:ind w:firstLine="464" w:firstLineChars="200"/>
        <w:rPr>
          <w:rFonts w:hint="eastAsia" w:hAnsi="宋体"/>
          <w:color w:val="000000"/>
          <w:sz w:val="24"/>
        </w:rPr>
      </w:pPr>
      <w:r>
        <w:rPr>
          <w:rFonts w:hint="eastAsia" w:hAnsi="宋体"/>
          <w:color w:val="000000"/>
          <w:sz w:val="24"/>
        </w:rPr>
        <w:t>① 由省级以上监狱管理局、戒毒管理局（含新疆生产建设兵团）出具的属于监狱企业的证明文件。</w:t>
      </w:r>
    </w:p>
    <w:p>
      <w:pPr>
        <w:pStyle w:val="12"/>
        <w:spacing w:line="360" w:lineRule="auto"/>
        <w:ind w:firstLine="464" w:firstLineChars="200"/>
        <w:rPr>
          <w:rFonts w:hint="eastAsia" w:hAnsi="宋体"/>
          <w:color w:val="000000"/>
          <w:sz w:val="24"/>
        </w:rPr>
      </w:pPr>
      <w:r>
        <w:rPr>
          <w:rFonts w:hint="eastAsia" w:hAnsi="宋体"/>
          <w:color w:val="000000"/>
          <w:sz w:val="24"/>
        </w:rPr>
        <w:t>（6）节能产品的相关证明材料：</w:t>
      </w:r>
    </w:p>
    <w:p>
      <w:pPr>
        <w:pStyle w:val="12"/>
        <w:spacing w:line="360" w:lineRule="auto"/>
        <w:ind w:firstLine="464" w:firstLineChars="200"/>
        <w:rPr>
          <w:rFonts w:hint="eastAsia" w:hAnsi="宋体"/>
          <w:color w:val="000000"/>
          <w:sz w:val="24"/>
        </w:rPr>
      </w:pPr>
      <w:r>
        <w:rPr>
          <w:rFonts w:hint="eastAsia" w:hAnsi="宋体"/>
          <w:color w:val="000000"/>
          <w:sz w:val="24"/>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pPr>
        <w:pStyle w:val="12"/>
        <w:spacing w:line="360" w:lineRule="auto"/>
        <w:ind w:firstLine="464" w:firstLineChars="200"/>
        <w:rPr>
          <w:rFonts w:hint="eastAsia" w:hAnsi="宋体"/>
          <w:color w:val="000000"/>
          <w:sz w:val="24"/>
        </w:rPr>
      </w:pPr>
      <w:r>
        <w:rPr>
          <w:rFonts w:hint="eastAsia" w:hAnsi="宋体"/>
          <w:color w:val="000000"/>
          <w:sz w:val="24"/>
        </w:rPr>
        <w:t>（7）环境标志产品的相关证明材料：</w:t>
      </w:r>
    </w:p>
    <w:p>
      <w:pPr>
        <w:pStyle w:val="12"/>
        <w:spacing w:line="360" w:lineRule="auto"/>
        <w:ind w:firstLine="464" w:firstLineChars="200"/>
        <w:rPr>
          <w:rFonts w:hint="eastAsia" w:hAnsi="宋体"/>
          <w:color w:val="000000"/>
          <w:sz w:val="24"/>
        </w:rPr>
      </w:pPr>
      <w:r>
        <w:rPr>
          <w:rFonts w:hint="eastAsia" w:hAnsi="宋体"/>
          <w:color w:val="000000"/>
          <w:sz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pStyle w:val="12"/>
        <w:spacing w:line="360" w:lineRule="auto"/>
        <w:ind w:firstLine="464" w:firstLineChars="200"/>
        <w:rPr>
          <w:rFonts w:hint="eastAsia" w:hAnsi="宋体"/>
          <w:color w:val="000000"/>
          <w:sz w:val="24"/>
        </w:rPr>
      </w:pPr>
      <w:r>
        <w:rPr>
          <w:rFonts w:hint="eastAsia" w:hAnsi="宋体"/>
          <w:color w:val="000000"/>
          <w:sz w:val="24"/>
        </w:rPr>
        <w:t>（8）投标人情况介绍；</w:t>
      </w:r>
    </w:p>
    <w:p>
      <w:pPr>
        <w:pStyle w:val="12"/>
        <w:spacing w:line="360" w:lineRule="auto"/>
        <w:ind w:firstLine="464" w:firstLineChars="200"/>
        <w:rPr>
          <w:rFonts w:hint="eastAsia" w:hAnsi="宋体"/>
          <w:color w:val="000000"/>
          <w:sz w:val="24"/>
        </w:rPr>
      </w:pPr>
      <w:r>
        <w:rPr>
          <w:rFonts w:hint="eastAsia" w:hAnsi="宋体"/>
          <w:color w:val="000000"/>
          <w:sz w:val="24"/>
        </w:rPr>
        <w:t>（9）商务响应表（格式见第六章）；</w:t>
      </w:r>
    </w:p>
    <w:p>
      <w:pPr>
        <w:pStyle w:val="12"/>
        <w:spacing w:line="360" w:lineRule="auto"/>
        <w:ind w:firstLine="464" w:firstLineChars="200"/>
        <w:rPr>
          <w:rFonts w:hint="eastAsia" w:hAnsi="宋体"/>
          <w:color w:val="000000"/>
          <w:sz w:val="24"/>
        </w:rPr>
      </w:pPr>
      <w:r>
        <w:rPr>
          <w:rFonts w:hint="eastAsia" w:hAnsi="宋体"/>
          <w:color w:val="000000"/>
          <w:sz w:val="24"/>
        </w:rPr>
        <w:t>（10）投标人认为可以证明其能力或业绩的其他材料；</w:t>
      </w:r>
    </w:p>
    <w:p>
      <w:pPr>
        <w:pStyle w:val="12"/>
        <w:spacing w:line="360" w:lineRule="auto"/>
        <w:ind w:firstLine="464" w:firstLineChars="200"/>
        <w:rPr>
          <w:rFonts w:hint="eastAsia" w:hAnsi="宋体"/>
          <w:color w:val="000000"/>
          <w:sz w:val="24"/>
        </w:rPr>
      </w:pPr>
      <w:r>
        <w:rPr>
          <w:rFonts w:hint="eastAsia" w:hAnsi="宋体"/>
          <w:color w:val="000000"/>
          <w:sz w:val="24"/>
        </w:rPr>
        <w:t>（11）技术响应表（格式见第六章）；</w:t>
      </w:r>
    </w:p>
    <w:p>
      <w:pPr>
        <w:pStyle w:val="13"/>
        <w:spacing w:line="360" w:lineRule="auto"/>
        <w:ind w:firstLine="464"/>
        <w:rPr>
          <w:rFonts w:hint="eastAsia" w:hAnsi="宋体"/>
          <w:color w:val="000000"/>
          <w:sz w:val="24"/>
        </w:rPr>
      </w:pPr>
      <w:r>
        <w:rPr>
          <w:rFonts w:hint="eastAsia" w:hAnsi="宋体"/>
          <w:color w:val="000000"/>
          <w:sz w:val="24"/>
        </w:rPr>
        <w:t>（12）投标人针对本项目需求的设计方案内容以及对设计方案的相关阐述；</w:t>
      </w:r>
    </w:p>
    <w:p>
      <w:pPr>
        <w:pStyle w:val="12"/>
        <w:spacing w:line="360" w:lineRule="auto"/>
        <w:ind w:firstLine="464" w:firstLineChars="200"/>
        <w:rPr>
          <w:rFonts w:hint="eastAsia" w:hAnsi="宋体"/>
          <w:color w:val="000000"/>
          <w:sz w:val="24"/>
        </w:rPr>
      </w:pPr>
      <w:r>
        <w:rPr>
          <w:rFonts w:hint="eastAsia" w:hAnsi="宋体"/>
          <w:color w:val="000000"/>
          <w:sz w:val="24"/>
        </w:rPr>
        <w:t>（13）设备的详细配置及零部件清单；其中：零部件需说明制造商和国别（不含报价,格式见第六章），技术规格书、所投设备的品牌、型号规格、主要技术性能、特点、操作说明和质量水平的详细描述（不含报价）；产品样本说明书；（样本为英文版的，须同时提供中文版。如英文版与 中文版不一致的，以中文版为准）；</w:t>
      </w:r>
    </w:p>
    <w:p>
      <w:pPr>
        <w:pStyle w:val="12"/>
        <w:spacing w:line="360" w:lineRule="auto"/>
        <w:ind w:firstLine="464" w:firstLineChars="200"/>
        <w:rPr>
          <w:rFonts w:hint="eastAsia" w:hAnsi="宋体"/>
          <w:color w:val="000000"/>
          <w:sz w:val="24"/>
        </w:rPr>
      </w:pPr>
      <w:r>
        <w:rPr>
          <w:rFonts w:hint="eastAsia" w:hAnsi="宋体"/>
          <w:color w:val="000000"/>
          <w:sz w:val="24"/>
        </w:rPr>
        <w:t>（14）投标人建议的安装、调试、验收方法或方案；</w:t>
      </w:r>
    </w:p>
    <w:p>
      <w:pPr>
        <w:pStyle w:val="12"/>
        <w:spacing w:line="360" w:lineRule="auto"/>
        <w:ind w:firstLine="464" w:firstLineChars="200"/>
        <w:rPr>
          <w:rFonts w:hint="eastAsia" w:hAnsi="宋体"/>
          <w:color w:val="000000"/>
          <w:sz w:val="24"/>
        </w:rPr>
      </w:pPr>
      <w:r>
        <w:rPr>
          <w:rFonts w:hint="eastAsia" w:hAnsi="宋体"/>
          <w:color w:val="000000"/>
          <w:sz w:val="24"/>
        </w:rPr>
        <w:t>（15）技术服务、技术培训、售后服务的内容和措施；</w:t>
      </w:r>
    </w:p>
    <w:p>
      <w:pPr>
        <w:pStyle w:val="12"/>
        <w:spacing w:line="360" w:lineRule="auto"/>
        <w:ind w:firstLine="464" w:firstLineChars="200"/>
        <w:rPr>
          <w:rFonts w:hint="eastAsia" w:hAnsi="宋体"/>
          <w:color w:val="000000"/>
          <w:sz w:val="24"/>
        </w:rPr>
      </w:pPr>
      <w:r>
        <w:rPr>
          <w:rFonts w:hint="eastAsia" w:hAnsi="宋体"/>
          <w:color w:val="000000"/>
          <w:sz w:val="24"/>
        </w:rPr>
        <w:t>（16）项目实施人员一览表（格式见第六章）；</w:t>
      </w:r>
    </w:p>
    <w:p>
      <w:pPr>
        <w:pStyle w:val="12"/>
        <w:spacing w:line="360" w:lineRule="auto"/>
        <w:ind w:firstLine="464" w:firstLineChars="200"/>
        <w:rPr>
          <w:rFonts w:hint="eastAsia" w:hAnsi="宋体"/>
          <w:color w:val="000000"/>
          <w:sz w:val="24"/>
        </w:rPr>
      </w:pPr>
      <w:r>
        <w:rPr>
          <w:rFonts w:hint="eastAsia" w:hAnsi="宋体"/>
          <w:color w:val="000000"/>
          <w:sz w:val="24"/>
        </w:rPr>
        <w:t xml:space="preserve">（17）选配件、专用耗材、售后服务优惠表（格式见第六章）； </w:t>
      </w:r>
    </w:p>
    <w:p>
      <w:pPr>
        <w:pStyle w:val="12"/>
        <w:spacing w:line="360" w:lineRule="auto"/>
        <w:ind w:firstLine="464" w:firstLineChars="200"/>
        <w:rPr>
          <w:rFonts w:hint="eastAsia" w:hAnsi="宋体"/>
          <w:color w:val="000000"/>
          <w:sz w:val="24"/>
        </w:rPr>
      </w:pPr>
      <w:r>
        <w:rPr>
          <w:rFonts w:hint="eastAsia" w:hAnsi="宋体"/>
          <w:color w:val="000000"/>
          <w:sz w:val="24"/>
        </w:rPr>
        <w:t>（18）投标人对本项目的合理化建议和改进措施；</w:t>
      </w:r>
    </w:p>
    <w:p>
      <w:pPr>
        <w:pStyle w:val="12"/>
        <w:spacing w:line="360" w:lineRule="auto"/>
        <w:ind w:firstLine="464" w:firstLineChars="200"/>
        <w:rPr>
          <w:rFonts w:hAnsi="宋体"/>
          <w:color w:val="000000"/>
          <w:sz w:val="24"/>
        </w:rPr>
      </w:pPr>
      <w:r>
        <w:rPr>
          <w:rFonts w:hint="eastAsia" w:hAnsi="宋体"/>
          <w:color w:val="000000"/>
          <w:sz w:val="24"/>
        </w:rPr>
        <w:t>（19）现场踏勘确认函（格式见第六章）</w:t>
      </w:r>
    </w:p>
    <w:p>
      <w:pPr>
        <w:pStyle w:val="12"/>
        <w:spacing w:line="360" w:lineRule="auto"/>
        <w:ind w:firstLine="464" w:firstLineChars="200"/>
        <w:rPr>
          <w:rFonts w:hint="eastAsia" w:hAnsi="宋体"/>
          <w:color w:val="000000"/>
          <w:sz w:val="24"/>
        </w:rPr>
      </w:pPr>
      <w:r>
        <w:rPr>
          <w:rFonts w:hint="eastAsia" w:hAnsi="宋体"/>
          <w:color w:val="000000"/>
          <w:sz w:val="24"/>
        </w:rPr>
        <w:t>（20）投标人需要说明的其他文件和说明；</w:t>
      </w:r>
    </w:p>
    <w:p>
      <w:pPr>
        <w:pStyle w:val="12"/>
        <w:spacing w:line="360" w:lineRule="auto"/>
        <w:ind w:firstLine="464" w:firstLineChars="200"/>
        <w:rPr>
          <w:rFonts w:hint="eastAsia" w:hAnsi="宋体"/>
          <w:color w:val="000000"/>
          <w:sz w:val="24"/>
        </w:rPr>
      </w:pPr>
      <w:r>
        <w:rPr>
          <w:rFonts w:hint="eastAsia" w:hAnsi="宋体"/>
          <w:color w:val="000000"/>
          <w:sz w:val="24"/>
        </w:rPr>
        <w:t>（2</w:t>
      </w:r>
      <w:r>
        <w:rPr>
          <w:rFonts w:hAnsi="宋体"/>
          <w:color w:val="000000"/>
          <w:sz w:val="24"/>
        </w:rPr>
        <w:t>1</w:t>
      </w:r>
      <w:r>
        <w:rPr>
          <w:rFonts w:hint="eastAsia" w:hAnsi="宋体"/>
          <w:color w:val="000000"/>
          <w:sz w:val="24"/>
        </w:rPr>
        <w:t>）与评审、评分有关的其他技术资料；</w:t>
      </w:r>
    </w:p>
    <w:p>
      <w:pPr>
        <w:snapToGrid w:val="0"/>
        <w:spacing w:line="360" w:lineRule="auto"/>
        <w:ind w:firstLine="472" w:firstLineChars="196"/>
        <w:jc w:val="left"/>
        <w:rPr>
          <w:rFonts w:ascii="宋体" w:hAnsi="宋体"/>
          <w:b/>
          <w:bCs/>
          <w:color w:val="000000"/>
          <w:sz w:val="24"/>
        </w:rPr>
      </w:pPr>
      <w:r>
        <w:rPr>
          <w:rFonts w:ascii="宋体" w:hAnsi="宋体"/>
          <w:b/>
          <w:bCs/>
          <w:color w:val="000000"/>
          <w:sz w:val="24"/>
        </w:rPr>
        <w:t>3</w:t>
      </w:r>
      <w:r>
        <w:rPr>
          <w:rFonts w:hint="eastAsia" w:ascii="宋体" w:hAnsi="宋体"/>
          <w:b/>
          <w:bCs/>
          <w:color w:val="000000"/>
          <w:sz w:val="24"/>
        </w:rPr>
        <w:t>.</w:t>
      </w:r>
      <w:r>
        <w:rPr>
          <w:rFonts w:ascii="宋体" w:hAnsi="宋体"/>
          <w:b/>
          <w:bCs/>
          <w:color w:val="000000"/>
          <w:sz w:val="24"/>
        </w:rPr>
        <w:t>报价文件：</w:t>
      </w:r>
    </w:p>
    <w:p>
      <w:pPr>
        <w:pStyle w:val="12"/>
        <w:spacing w:line="360" w:lineRule="auto"/>
        <w:ind w:firstLine="464" w:firstLineChars="200"/>
        <w:rPr>
          <w:rFonts w:hint="eastAsia" w:hAnsi="宋体"/>
          <w:color w:val="000000"/>
          <w:sz w:val="24"/>
        </w:rPr>
      </w:pPr>
      <w:r>
        <w:rPr>
          <w:rFonts w:hint="eastAsia" w:hAnsi="宋体"/>
          <w:color w:val="000000"/>
          <w:sz w:val="24"/>
        </w:rPr>
        <w:t xml:space="preserve">（1）投标函（格式见第六章）； </w:t>
      </w:r>
    </w:p>
    <w:p>
      <w:pPr>
        <w:pStyle w:val="12"/>
        <w:spacing w:line="360" w:lineRule="auto"/>
        <w:ind w:firstLine="464" w:firstLineChars="200"/>
        <w:rPr>
          <w:rFonts w:hint="eastAsia" w:hAnsi="宋体"/>
          <w:color w:val="000000"/>
          <w:sz w:val="24"/>
        </w:rPr>
      </w:pPr>
      <w:r>
        <w:rPr>
          <w:rFonts w:hint="eastAsia" w:hAnsi="宋体"/>
          <w:color w:val="000000"/>
          <w:sz w:val="24"/>
        </w:rPr>
        <w:t>（2）开标一览表（格式见第六章）；</w:t>
      </w:r>
    </w:p>
    <w:p>
      <w:pPr>
        <w:pStyle w:val="12"/>
        <w:spacing w:line="360" w:lineRule="auto"/>
        <w:ind w:firstLine="464" w:firstLineChars="200"/>
        <w:rPr>
          <w:rFonts w:hint="eastAsia" w:hAnsi="宋体"/>
          <w:color w:val="000000"/>
          <w:sz w:val="24"/>
        </w:rPr>
      </w:pPr>
      <w:r>
        <w:rPr>
          <w:rFonts w:hint="eastAsia" w:hAnsi="宋体"/>
          <w:color w:val="000000"/>
          <w:sz w:val="24"/>
        </w:rPr>
        <w:t>（3）投标报价明细表（格式见第六章）；</w:t>
      </w:r>
    </w:p>
    <w:p>
      <w:pPr>
        <w:pStyle w:val="12"/>
        <w:spacing w:line="360" w:lineRule="auto"/>
        <w:ind w:firstLine="464" w:firstLineChars="200"/>
        <w:rPr>
          <w:rFonts w:hint="eastAsia" w:hAnsi="宋体"/>
          <w:color w:val="000000"/>
          <w:sz w:val="24"/>
        </w:rPr>
      </w:pPr>
      <w:r>
        <w:rPr>
          <w:rFonts w:hint="eastAsia" w:hAnsi="宋体"/>
          <w:color w:val="000000"/>
          <w:sz w:val="24"/>
        </w:rPr>
        <w:t>（4）政府采购政策情况表(格式见第六章)；</w:t>
      </w:r>
    </w:p>
    <w:p>
      <w:pPr>
        <w:pStyle w:val="12"/>
        <w:spacing w:line="360" w:lineRule="auto"/>
        <w:ind w:firstLine="464" w:firstLineChars="200"/>
        <w:rPr>
          <w:rFonts w:hint="eastAsia" w:hAnsi="宋体"/>
          <w:color w:val="000000"/>
          <w:sz w:val="24"/>
        </w:rPr>
      </w:pPr>
      <w:r>
        <w:rPr>
          <w:rFonts w:hint="eastAsia" w:hAnsi="宋体"/>
          <w:color w:val="000000"/>
          <w:sz w:val="24"/>
        </w:rPr>
        <w:t>（5）投标人针对报价需要说明的其他文件和说明；</w:t>
      </w:r>
    </w:p>
    <w:p>
      <w:pPr>
        <w:snapToGrid w:val="0"/>
        <w:spacing w:line="360" w:lineRule="auto"/>
        <w:ind w:firstLine="472" w:firstLineChars="196"/>
        <w:jc w:val="left"/>
        <w:rPr>
          <w:rFonts w:ascii="宋体" w:hAnsi="宋体"/>
          <w:b/>
          <w:bCs/>
          <w:color w:val="000000"/>
          <w:sz w:val="24"/>
        </w:rPr>
      </w:pPr>
      <w:bookmarkStart w:id="37" w:name="_Toc13182"/>
      <w:r>
        <w:rPr>
          <w:rFonts w:hint="eastAsia" w:ascii="宋体" w:hAnsi="宋体"/>
          <w:b/>
          <w:bCs/>
          <w:color w:val="000000"/>
          <w:sz w:val="24"/>
        </w:rPr>
        <w:t>（二）投标文件的语言及计量</w:t>
      </w:r>
      <w:bookmarkEnd w:id="37"/>
    </w:p>
    <w:p>
      <w:pPr>
        <w:pStyle w:val="12"/>
        <w:spacing w:line="360" w:lineRule="auto"/>
        <w:ind w:firstLine="464" w:firstLineChars="200"/>
        <w:rPr>
          <w:rFonts w:hint="eastAsia" w:hAnsi="宋体"/>
          <w:color w:val="000000"/>
          <w:sz w:val="24"/>
        </w:rPr>
      </w:pPr>
      <w:r>
        <w:rPr>
          <w:rFonts w:hAnsi="宋体"/>
          <w:color w:val="000000"/>
          <w:sz w:val="24"/>
        </w:rPr>
        <w:t>1</w:t>
      </w:r>
      <w:r>
        <w:rPr>
          <w:rFonts w:hint="eastAsia" w:hAnsi="宋体"/>
          <w:color w:val="000000"/>
          <w:sz w:val="24"/>
        </w:rPr>
        <w:t>、</w:t>
      </w:r>
      <w:r>
        <w:rPr>
          <w:rFonts w:hAnsi="宋体"/>
          <w:color w:val="000000"/>
          <w:sz w:val="24"/>
        </w:rPr>
        <w:t>投标文件以及投标方与招标方就有关投标事宜的所有来往函电，均应以中文汉语书写。除签名、盖章、专用名称等特殊情形外，以中文汉语以外的文字表述的投标文件视同未提供。</w:t>
      </w:r>
      <w:r>
        <w:rPr>
          <w:rFonts w:hint="eastAsia" w:hAnsi="宋体"/>
          <w:color w:val="000000"/>
          <w:sz w:val="24"/>
        </w:rPr>
        <w:t xml:space="preserve"> </w:t>
      </w:r>
    </w:p>
    <w:p>
      <w:pPr>
        <w:pStyle w:val="12"/>
        <w:spacing w:line="360" w:lineRule="auto"/>
        <w:ind w:firstLine="464" w:firstLineChars="200"/>
        <w:rPr>
          <w:rFonts w:hAnsi="宋体"/>
          <w:color w:val="000000"/>
          <w:sz w:val="24"/>
        </w:rPr>
      </w:pPr>
      <w:r>
        <w:rPr>
          <w:rFonts w:hAnsi="宋体"/>
          <w:color w:val="000000"/>
          <w:sz w:val="24"/>
        </w:rPr>
        <w:t>2</w:t>
      </w:r>
      <w:r>
        <w:rPr>
          <w:rFonts w:hint="eastAsia" w:hAnsi="宋体"/>
          <w:color w:val="000000"/>
          <w:sz w:val="24"/>
        </w:rPr>
        <w:t>、</w:t>
      </w:r>
      <w:r>
        <w:rPr>
          <w:rFonts w:hAnsi="宋体"/>
          <w:color w:val="000000"/>
          <w:sz w:val="24"/>
        </w:rPr>
        <w:t>投标计量单位，招标文件已有明确规定的，使用招标文件规定的计量单位；招标文件没有规定的，应采用中华人民共和国法定计量单位（货币单位：人民币元），否则视同未响应。</w:t>
      </w:r>
    </w:p>
    <w:p>
      <w:pPr>
        <w:snapToGrid w:val="0"/>
        <w:spacing w:line="360" w:lineRule="auto"/>
        <w:ind w:firstLine="472" w:firstLineChars="196"/>
        <w:jc w:val="left"/>
        <w:rPr>
          <w:rFonts w:ascii="宋体" w:hAnsi="宋体"/>
          <w:b/>
          <w:bCs/>
          <w:color w:val="000000"/>
          <w:sz w:val="24"/>
        </w:rPr>
      </w:pPr>
      <w:bookmarkStart w:id="38" w:name="_Toc16931"/>
      <w:r>
        <w:rPr>
          <w:rFonts w:hint="eastAsia" w:ascii="宋体" w:hAnsi="宋体"/>
          <w:b/>
          <w:bCs/>
          <w:color w:val="000000"/>
          <w:sz w:val="24"/>
        </w:rPr>
        <w:t>（三）投标报价</w:t>
      </w:r>
      <w:bookmarkEnd w:id="38"/>
    </w:p>
    <w:p>
      <w:pPr>
        <w:pStyle w:val="12"/>
        <w:spacing w:line="360" w:lineRule="auto"/>
        <w:ind w:firstLine="464" w:firstLineChars="200"/>
        <w:rPr>
          <w:rFonts w:hint="eastAsia" w:hAnsi="宋体"/>
          <w:color w:val="000000"/>
          <w:sz w:val="24"/>
        </w:rPr>
      </w:pPr>
      <w:r>
        <w:rPr>
          <w:rFonts w:hint="eastAsia" w:hAnsi="宋体"/>
          <w:color w:val="000000"/>
          <w:sz w:val="24"/>
        </w:rPr>
        <w:t>1.</w:t>
      </w:r>
      <w:r>
        <w:rPr>
          <w:rFonts w:hAnsi="宋体"/>
          <w:color w:val="000000"/>
          <w:sz w:val="24"/>
        </w:rPr>
        <w:t>投标报价</w:t>
      </w:r>
      <w:r>
        <w:rPr>
          <w:rFonts w:hint="eastAsia" w:hAnsi="宋体"/>
          <w:color w:val="000000"/>
          <w:sz w:val="24"/>
        </w:rPr>
        <w:t>应当包括</w:t>
      </w:r>
      <w:r>
        <w:rPr>
          <w:rFonts w:hAnsi="宋体"/>
          <w:color w:val="000000"/>
          <w:sz w:val="24"/>
        </w:rPr>
        <w:t>履行合同的</w:t>
      </w:r>
      <w:r>
        <w:rPr>
          <w:rFonts w:hint="eastAsia" w:hAnsi="宋体"/>
          <w:color w:val="000000"/>
          <w:sz w:val="24"/>
        </w:rPr>
        <w:t>全部</w:t>
      </w:r>
      <w:r>
        <w:rPr>
          <w:rFonts w:hAnsi="宋体"/>
          <w:color w:val="000000"/>
          <w:sz w:val="24"/>
        </w:rPr>
        <w:t>价格，包括</w:t>
      </w:r>
      <w:r>
        <w:rPr>
          <w:rFonts w:hint="eastAsia" w:hAnsi="宋体"/>
          <w:color w:val="000000"/>
          <w:sz w:val="24"/>
        </w:rPr>
        <w:t>但不限于</w:t>
      </w:r>
      <w:r>
        <w:rPr>
          <w:rFonts w:hAnsi="宋体"/>
          <w:color w:val="000000"/>
          <w:sz w:val="24"/>
        </w:rPr>
        <w:t>货款、标准附件、备品备件、专用工具、包装、运输、装卸、保险、税金、货到就位以及安装、调试、</w:t>
      </w:r>
      <w:r>
        <w:rPr>
          <w:rFonts w:hint="eastAsia" w:hAnsi="宋体"/>
          <w:color w:val="000000"/>
          <w:sz w:val="24"/>
        </w:rPr>
        <w:t>验收、</w:t>
      </w:r>
      <w:r>
        <w:rPr>
          <w:rFonts w:hAnsi="宋体"/>
          <w:color w:val="000000"/>
          <w:sz w:val="24"/>
        </w:rPr>
        <w:t>培训、</w:t>
      </w:r>
      <w:r>
        <w:rPr>
          <w:rFonts w:hint="eastAsia" w:hAnsi="宋体"/>
          <w:color w:val="000000"/>
          <w:sz w:val="24"/>
        </w:rPr>
        <w:t>质保期内的服务费、</w:t>
      </w:r>
      <w:r>
        <w:rPr>
          <w:rFonts w:hAnsi="宋体"/>
          <w:color w:val="000000"/>
          <w:sz w:val="24"/>
        </w:rPr>
        <w:t>税金等一切费用</w:t>
      </w:r>
      <w:r>
        <w:rPr>
          <w:rFonts w:hint="eastAsia" w:hAnsi="宋体"/>
          <w:color w:val="000000"/>
          <w:sz w:val="24"/>
        </w:rPr>
        <w:t>，以及中标后向采购代理机构支付的代理服务费</w:t>
      </w:r>
      <w:r>
        <w:rPr>
          <w:rFonts w:hAnsi="宋体"/>
          <w:color w:val="000000"/>
          <w:sz w:val="24"/>
        </w:rPr>
        <w:t>。</w:t>
      </w:r>
    </w:p>
    <w:p>
      <w:pPr>
        <w:pStyle w:val="12"/>
        <w:spacing w:line="360" w:lineRule="auto"/>
        <w:ind w:firstLine="464" w:firstLineChars="200"/>
        <w:rPr>
          <w:rFonts w:hint="eastAsia" w:hAnsi="宋体"/>
          <w:color w:val="000000"/>
          <w:sz w:val="24"/>
        </w:rPr>
      </w:pPr>
      <w:r>
        <w:rPr>
          <w:rFonts w:hint="eastAsia" w:hAnsi="宋体"/>
          <w:color w:val="000000"/>
          <w:sz w:val="24"/>
        </w:rPr>
        <w:t>2.</w:t>
      </w:r>
      <w:r>
        <w:rPr>
          <w:rFonts w:hAnsi="宋体"/>
          <w:color w:val="000000"/>
          <w:sz w:val="24"/>
        </w:rPr>
        <w:t>投标文件只允许有一个报价，有选择</w:t>
      </w:r>
      <w:r>
        <w:rPr>
          <w:rFonts w:hint="eastAsia" w:hAnsi="宋体"/>
          <w:color w:val="000000"/>
          <w:sz w:val="24"/>
        </w:rPr>
        <w:t>或有条件的</w:t>
      </w:r>
      <w:r>
        <w:rPr>
          <w:rFonts w:hAnsi="宋体"/>
          <w:color w:val="000000"/>
          <w:sz w:val="24"/>
        </w:rPr>
        <w:t>报价将不予接受</w:t>
      </w:r>
      <w:r>
        <w:rPr>
          <w:rFonts w:hint="eastAsia" w:hAnsi="宋体"/>
          <w:color w:val="000000"/>
          <w:sz w:val="24"/>
        </w:rPr>
        <w:t>，其</w:t>
      </w:r>
      <w:r>
        <w:rPr>
          <w:rFonts w:hAnsi="宋体"/>
          <w:color w:val="000000"/>
          <w:sz w:val="24"/>
        </w:rPr>
        <w:t>投标</w:t>
      </w:r>
      <w:r>
        <w:rPr>
          <w:rFonts w:hint="eastAsia" w:hAnsi="宋体"/>
          <w:color w:val="000000"/>
          <w:sz w:val="24"/>
        </w:rPr>
        <w:t>无效</w:t>
      </w:r>
      <w:r>
        <w:rPr>
          <w:rFonts w:hAnsi="宋体"/>
          <w:color w:val="000000"/>
          <w:sz w:val="24"/>
        </w:rPr>
        <w:t>。</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（四）投标文件的有效期</w:t>
      </w:r>
    </w:p>
    <w:p>
      <w:pPr>
        <w:pStyle w:val="12"/>
        <w:spacing w:line="360" w:lineRule="auto"/>
        <w:ind w:firstLine="464" w:firstLineChars="200"/>
        <w:rPr>
          <w:rFonts w:hint="eastAsia" w:hAnsi="宋体"/>
          <w:color w:val="000000"/>
          <w:sz w:val="24"/>
        </w:rPr>
      </w:pPr>
      <w:r>
        <w:rPr>
          <w:rFonts w:hint="eastAsia" w:hAnsi="宋体"/>
          <w:color w:val="000000"/>
          <w:sz w:val="24"/>
        </w:rPr>
        <w:t>1.自投标截止日起90天投标文件应保持有效。有效期不足的投标文件将被视为无效。</w:t>
      </w:r>
    </w:p>
    <w:p>
      <w:pPr>
        <w:pStyle w:val="12"/>
        <w:spacing w:line="360" w:lineRule="auto"/>
        <w:ind w:firstLine="464" w:firstLineChars="200"/>
        <w:rPr>
          <w:rFonts w:hint="eastAsia" w:hAnsi="宋体"/>
          <w:color w:val="000000"/>
          <w:sz w:val="24"/>
        </w:rPr>
      </w:pPr>
      <w:r>
        <w:rPr>
          <w:rFonts w:hint="eastAsia" w:hAnsi="宋体"/>
          <w:color w:val="000000"/>
          <w:sz w:val="24"/>
        </w:rPr>
        <w:t>2.在特殊情况下，招标人可与投标人协商延长投标书的有效期，这种要求和答复均以书面形式进行。</w:t>
      </w:r>
    </w:p>
    <w:p>
      <w:pPr>
        <w:pStyle w:val="12"/>
        <w:spacing w:line="360" w:lineRule="auto"/>
        <w:ind w:firstLine="464" w:firstLineChars="200"/>
        <w:rPr>
          <w:rFonts w:hint="eastAsia" w:hAnsi="宋体"/>
          <w:color w:val="000000"/>
          <w:sz w:val="24"/>
        </w:rPr>
      </w:pPr>
      <w:bookmarkStart w:id="39" w:name="_Toc32299"/>
      <w:r>
        <w:rPr>
          <w:rFonts w:hint="eastAsia" w:hAnsi="宋体"/>
          <w:color w:val="000000"/>
          <w:sz w:val="24"/>
        </w:rPr>
        <w:t>3.投标人可拒绝接受延期要求。同意延长有效期的，投标人不能修改其投标文件。</w:t>
      </w:r>
      <w:bookmarkEnd w:id="39"/>
      <w:r>
        <w:rPr>
          <w:rFonts w:hint="eastAsia" w:hAnsi="宋体"/>
          <w:color w:val="000000"/>
          <w:sz w:val="24"/>
        </w:rPr>
        <w:t xml:space="preserve"> </w:t>
      </w:r>
    </w:p>
    <w:p>
      <w:pPr>
        <w:snapToGrid w:val="0"/>
        <w:spacing w:line="360" w:lineRule="auto"/>
        <w:ind w:firstLine="480" w:firstLineChars="200"/>
        <w:jc w:val="left"/>
        <w:rPr>
          <w:rFonts w:hint="eastAsia" w:ascii="宋体" w:hAnsi="宋体"/>
          <w:color w:val="000000"/>
          <w:sz w:val="24"/>
        </w:rPr>
      </w:pPr>
      <w:bookmarkStart w:id="40" w:name="_Toc3803"/>
      <w:r>
        <w:rPr>
          <w:rFonts w:hint="eastAsia" w:ascii="宋体" w:hAnsi="宋体"/>
          <w:color w:val="000000"/>
          <w:sz w:val="24"/>
        </w:rPr>
        <w:t>4.中标人的投标文件自开标之日起至合同履行完毕止均应保持有效。</w:t>
      </w:r>
      <w:bookmarkEnd w:id="40"/>
    </w:p>
    <w:p>
      <w:pPr>
        <w:snapToGrid w:val="0"/>
        <w:spacing w:line="360" w:lineRule="auto"/>
        <w:ind w:firstLine="472" w:firstLineChars="196"/>
        <w:jc w:val="left"/>
        <w:rPr>
          <w:rFonts w:ascii="宋体" w:hAnsi="宋体"/>
          <w:b/>
          <w:bCs/>
          <w:color w:val="000000"/>
          <w:sz w:val="24"/>
        </w:rPr>
      </w:pPr>
      <w:bookmarkStart w:id="41" w:name="_Toc22624"/>
      <w:r>
        <w:rPr>
          <w:rFonts w:hint="eastAsia" w:ascii="宋体" w:hAnsi="宋体"/>
          <w:b/>
          <w:bCs/>
          <w:color w:val="000000"/>
          <w:sz w:val="24"/>
        </w:rPr>
        <w:t>（五）投标文件的编制</w:t>
      </w:r>
      <w:bookmarkEnd w:id="41"/>
    </w:p>
    <w:p>
      <w:pPr>
        <w:pStyle w:val="12"/>
        <w:spacing w:line="360" w:lineRule="auto"/>
        <w:ind w:firstLine="464" w:firstLineChars="200"/>
        <w:rPr>
          <w:rFonts w:hint="eastAsia" w:hAnsi="宋体"/>
          <w:color w:val="000000"/>
          <w:sz w:val="24"/>
        </w:rPr>
      </w:pPr>
      <w:r>
        <w:rPr>
          <w:rFonts w:hint="eastAsia" w:hAnsi="宋体"/>
          <w:color w:val="000000"/>
          <w:sz w:val="24"/>
        </w:rPr>
        <w:t>1、“电子加密投标文件”：</w:t>
      </w:r>
    </w:p>
    <w:p>
      <w:pPr>
        <w:pStyle w:val="12"/>
        <w:spacing w:line="360" w:lineRule="auto"/>
        <w:ind w:firstLine="464" w:firstLineChars="200"/>
        <w:rPr>
          <w:rFonts w:hint="eastAsia" w:hAnsi="宋体"/>
          <w:color w:val="000000"/>
          <w:sz w:val="24"/>
        </w:rPr>
      </w:pPr>
      <w:r>
        <w:rPr>
          <w:rFonts w:hint="eastAsia" w:hAnsi="宋体"/>
          <w:color w:val="000000"/>
          <w:sz w:val="24"/>
        </w:rPr>
        <w:t>（1）“电子加密投标文件”是指通过“政采云电子交易客户端”完成投标文件编制后生成并加密的数据电文形式的投标文件。</w:t>
      </w:r>
    </w:p>
    <w:p>
      <w:pPr>
        <w:pStyle w:val="12"/>
        <w:spacing w:line="360" w:lineRule="auto"/>
        <w:ind w:firstLine="464" w:firstLineChars="200"/>
        <w:rPr>
          <w:rFonts w:hint="eastAsia" w:hAnsi="宋体"/>
          <w:color w:val="000000"/>
          <w:sz w:val="24"/>
        </w:rPr>
      </w:pPr>
      <w:r>
        <w:rPr>
          <w:rFonts w:hint="eastAsia" w:hAnsi="宋体"/>
          <w:color w:val="000000"/>
          <w:sz w:val="24"/>
        </w:rPr>
        <w:t>（2）供应商应先安装“政采云电子交易客户端”，并按照本招标文件和“政</w:t>
      </w:r>
    </w:p>
    <w:p>
      <w:pPr>
        <w:pStyle w:val="12"/>
        <w:spacing w:line="360" w:lineRule="auto"/>
        <w:ind w:firstLine="464" w:firstLineChars="200"/>
        <w:rPr>
          <w:rFonts w:hint="eastAsia" w:hAnsi="宋体"/>
          <w:color w:val="000000"/>
          <w:sz w:val="24"/>
        </w:rPr>
      </w:pPr>
      <w:r>
        <w:rPr>
          <w:rFonts w:hint="eastAsia" w:hAnsi="宋体"/>
          <w:color w:val="000000"/>
          <w:sz w:val="24"/>
        </w:rPr>
        <w:t>府采购云平台”的要求，通过“政采云电子交易客户端”编制并加密投标文件。</w:t>
      </w:r>
    </w:p>
    <w:p>
      <w:pPr>
        <w:pStyle w:val="12"/>
        <w:spacing w:line="360" w:lineRule="auto"/>
        <w:ind w:firstLine="464" w:firstLineChars="200"/>
        <w:rPr>
          <w:rFonts w:hint="eastAsia" w:hAnsi="宋体"/>
          <w:color w:val="000000"/>
          <w:sz w:val="24"/>
        </w:rPr>
      </w:pPr>
      <w:r>
        <w:rPr>
          <w:rFonts w:hint="eastAsia" w:hAnsi="宋体"/>
          <w:color w:val="000000"/>
          <w:sz w:val="24"/>
        </w:rPr>
        <w:t>2、“电子备份投标文件”：</w:t>
      </w:r>
    </w:p>
    <w:p>
      <w:pPr>
        <w:pStyle w:val="12"/>
        <w:spacing w:line="360" w:lineRule="auto"/>
        <w:ind w:firstLine="464" w:firstLineChars="200"/>
        <w:rPr>
          <w:rFonts w:hint="eastAsia" w:hAnsi="宋体"/>
          <w:color w:val="000000"/>
          <w:sz w:val="24"/>
        </w:rPr>
      </w:pPr>
      <w:r>
        <w:rPr>
          <w:rFonts w:hint="eastAsia" w:hAnsi="宋体"/>
          <w:color w:val="000000"/>
          <w:sz w:val="24"/>
        </w:rPr>
        <w:t>（1）“电子备份投标文件”是指与“电子加密投标文件”同时生成的数据电</w:t>
      </w:r>
    </w:p>
    <w:p>
      <w:pPr>
        <w:pStyle w:val="12"/>
        <w:spacing w:line="360" w:lineRule="auto"/>
        <w:ind w:firstLine="464" w:firstLineChars="200"/>
        <w:rPr>
          <w:rFonts w:hint="eastAsia" w:hAnsi="宋体"/>
          <w:color w:val="000000"/>
          <w:sz w:val="24"/>
        </w:rPr>
      </w:pPr>
      <w:r>
        <w:rPr>
          <w:rFonts w:hint="eastAsia" w:hAnsi="宋体"/>
          <w:color w:val="000000"/>
          <w:sz w:val="24"/>
        </w:rPr>
        <w:t>文形式的电子文件。</w:t>
      </w:r>
    </w:p>
    <w:p>
      <w:pPr>
        <w:pStyle w:val="12"/>
        <w:spacing w:line="360" w:lineRule="auto"/>
        <w:ind w:firstLine="464" w:firstLineChars="200"/>
        <w:rPr>
          <w:rFonts w:hint="eastAsia" w:hAnsi="宋体"/>
          <w:color w:val="000000"/>
          <w:sz w:val="24"/>
        </w:rPr>
      </w:pPr>
      <w:r>
        <w:rPr>
          <w:rFonts w:hint="eastAsia" w:hAnsi="宋体"/>
          <w:color w:val="000000"/>
          <w:sz w:val="24"/>
        </w:rPr>
        <w:t>（2）供应商可自主选择是否编制“电子备份投标文件”。</w:t>
      </w:r>
    </w:p>
    <w:p>
      <w:pPr>
        <w:pStyle w:val="12"/>
        <w:spacing w:line="360" w:lineRule="auto"/>
        <w:ind w:firstLine="464" w:firstLineChars="200"/>
        <w:rPr>
          <w:rFonts w:hAnsi="宋体"/>
          <w:color w:val="000000"/>
          <w:sz w:val="24"/>
        </w:rPr>
      </w:pPr>
      <w:r>
        <w:rPr>
          <w:rFonts w:hint="eastAsia" w:hAnsi="宋体"/>
          <w:color w:val="000000"/>
          <w:sz w:val="24"/>
        </w:rPr>
        <w:t>（3）其他方式编制的备份投标文件视为无效备份投标文件。</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（六）投标文件的签章</w:t>
      </w:r>
    </w:p>
    <w:p>
      <w:pPr>
        <w:pStyle w:val="12"/>
        <w:spacing w:line="360" w:lineRule="auto"/>
        <w:ind w:firstLine="464" w:firstLineChars="200"/>
        <w:rPr>
          <w:rFonts w:hint="eastAsia" w:hAnsi="宋体"/>
          <w:color w:val="000000"/>
          <w:sz w:val="24"/>
        </w:rPr>
      </w:pPr>
      <w:r>
        <w:rPr>
          <w:rFonts w:hint="eastAsia" w:hAnsi="宋体"/>
          <w:color w:val="000000"/>
          <w:sz w:val="24"/>
        </w:rPr>
        <w:t>采用电子签章。</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（七）投标文件的包装、密封和递交</w:t>
      </w:r>
    </w:p>
    <w:p>
      <w:pPr>
        <w:pStyle w:val="12"/>
        <w:spacing w:line="360" w:lineRule="auto"/>
        <w:ind w:firstLine="464" w:firstLineChars="200"/>
        <w:rPr>
          <w:rFonts w:hint="eastAsia" w:hAnsi="宋体"/>
          <w:color w:val="000000"/>
          <w:sz w:val="24"/>
        </w:rPr>
      </w:pPr>
      <w:r>
        <w:rPr>
          <w:rFonts w:hint="eastAsia" w:hAnsi="宋体"/>
          <w:color w:val="000000"/>
          <w:sz w:val="24"/>
        </w:rPr>
        <w:t>1、“电子加密投标文件”的递交：在线上传递交。</w:t>
      </w:r>
    </w:p>
    <w:p>
      <w:pPr>
        <w:pStyle w:val="12"/>
        <w:spacing w:line="360" w:lineRule="auto"/>
        <w:ind w:firstLine="464" w:firstLineChars="200"/>
        <w:rPr>
          <w:rFonts w:hint="eastAsia" w:hAnsi="宋体"/>
          <w:color w:val="000000"/>
          <w:sz w:val="24"/>
        </w:rPr>
      </w:pPr>
      <w:r>
        <w:rPr>
          <w:rFonts w:hint="eastAsia" w:hAnsi="宋体"/>
          <w:color w:val="000000"/>
          <w:sz w:val="24"/>
        </w:rPr>
        <w:t>（1）供应商应在投标截止时间前将“电子加密投标文件”成功上传递交至“政</w:t>
      </w:r>
    </w:p>
    <w:p>
      <w:pPr>
        <w:pStyle w:val="12"/>
        <w:spacing w:line="360" w:lineRule="auto"/>
        <w:ind w:firstLine="464" w:firstLineChars="200"/>
        <w:rPr>
          <w:rFonts w:hint="eastAsia" w:hAnsi="宋体"/>
          <w:color w:val="000000"/>
          <w:sz w:val="24"/>
        </w:rPr>
      </w:pPr>
      <w:r>
        <w:rPr>
          <w:rFonts w:hint="eastAsia" w:hAnsi="宋体"/>
          <w:color w:val="000000"/>
          <w:sz w:val="24"/>
        </w:rPr>
        <w:t>府采购云平台”，否则投标无效。</w:t>
      </w:r>
    </w:p>
    <w:p>
      <w:pPr>
        <w:pStyle w:val="12"/>
        <w:spacing w:line="360" w:lineRule="auto"/>
        <w:ind w:firstLine="464" w:firstLineChars="200"/>
        <w:rPr>
          <w:rFonts w:hint="eastAsia" w:hAnsi="宋体"/>
          <w:color w:val="000000"/>
          <w:sz w:val="24"/>
        </w:rPr>
      </w:pPr>
      <w:r>
        <w:rPr>
          <w:rFonts w:hint="eastAsia" w:hAnsi="宋体"/>
          <w:color w:val="000000"/>
          <w:sz w:val="24"/>
        </w:rPr>
        <w:t>（2）“电子加密投标文件”成功上传递交后，供应商可自行打印投标文件接</w:t>
      </w:r>
    </w:p>
    <w:p>
      <w:pPr>
        <w:pStyle w:val="12"/>
        <w:spacing w:line="360" w:lineRule="auto"/>
        <w:ind w:firstLine="464" w:firstLineChars="200"/>
        <w:rPr>
          <w:rFonts w:hint="eastAsia" w:hAnsi="宋体"/>
          <w:color w:val="000000"/>
          <w:sz w:val="24"/>
        </w:rPr>
      </w:pPr>
      <w:r>
        <w:rPr>
          <w:rFonts w:hint="eastAsia" w:hAnsi="宋体"/>
          <w:color w:val="000000"/>
          <w:sz w:val="24"/>
        </w:rPr>
        <w:t>收回执。</w:t>
      </w:r>
    </w:p>
    <w:p>
      <w:pPr>
        <w:pStyle w:val="12"/>
        <w:spacing w:line="360" w:lineRule="auto"/>
        <w:ind w:firstLine="464" w:firstLineChars="200"/>
        <w:rPr>
          <w:rFonts w:hint="eastAsia" w:hAnsi="宋体"/>
          <w:color w:val="000000"/>
          <w:sz w:val="24"/>
        </w:rPr>
      </w:pPr>
      <w:r>
        <w:rPr>
          <w:rFonts w:hint="eastAsia" w:hAnsi="宋体"/>
          <w:color w:val="000000"/>
          <w:sz w:val="24"/>
        </w:rPr>
        <w:t>2、“电子备份投标文件”的密封、包装和递交：</w:t>
      </w:r>
    </w:p>
    <w:p>
      <w:pPr>
        <w:pStyle w:val="12"/>
        <w:spacing w:line="360" w:lineRule="auto"/>
        <w:ind w:firstLine="464" w:firstLineChars="200"/>
        <w:rPr>
          <w:rFonts w:hint="eastAsia" w:hAnsi="宋体"/>
          <w:color w:val="000000"/>
          <w:sz w:val="24"/>
        </w:rPr>
      </w:pPr>
      <w:r>
        <w:rPr>
          <w:rFonts w:hint="eastAsia" w:hAnsi="宋体"/>
          <w:color w:val="000000"/>
          <w:sz w:val="24"/>
        </w:rPr>
        <w:t>（1）供应商可自主选择是否递交“电子备份投标文件”。</w:t>
      </w:r>
    </w:p>
    <w:p>
      <w:pPr>
        <w:pStyle w:val="12"/>
        <w:spacing w:line="360" w:lineRule="auto"/>
        <w:ind w:firstLine="464" w:firstLineChars="200"/>
        <w:rPr>
          <w:rFonts w:hint="eastAsia" w:hAnsi="宋体"/>
          <w:color w:val="000000"/>
          <w:sz w:val="24"/>
        </w:rPr>
      </w:pPr>
      <w:r>
        <w:rPr>
          <w:rFonts w:hint="eastAsia" w:hAnsi="宋体"/>
          <w:color w:val="000000"/>
          <w:sz w:val="24"/>
        </w:rPr>
        <w:t>（2）“电子备份投标文件”存入U盘（一份）。</w:t>
      </w:r>
    </w:p>
    <w:p>
      <w:pPr>
        <w:pStyle w:val="12"/>
        <w:spacing w:line="360" w:lineRule="auto"/>
        <w:ind w:firstLine="464" w:firstLineChars="200"/>
        <w:rPr>
          <w:rFonts w:hint="eastAsia" w:hAnsi="宋体"/>
          <w:color w:val="000000"/>
          <w:sz w:val="24"/>
        </w:rPr>
      </w:pPr>
      <w:r>
        <w:rPr>
          <w:rFonts w:hint="eastAsia" w:hAnsi="宋体"/>
          <w:color w:val="000000"/>
          <w:sz w:val="24"/>
        </w:rPr>
        <w:t>（3）“电子备份投标文件” 应当在投标截止时间前以邮寄或送达方式递交。</w:t>
      </w:r>
    </w:p>
    <w:p>
      <w:pPr>
        <w:pStyle w:val="12"/>
        <w:spacing w:line="360" w:lineRule="auto"/>
        <w:ind w:firstLine="464" w:firstLineChars="200"/>
        <w:rPr>
          <w:rFonts w:hint="eastAsia" w:hAnsi="宋体"/>
          <w:color w:val="000000"/>
          <w:sz w:val="24"/>
        </w:rPr>
      </w:pPr>
      <w:r>
        <w:rPr>
          <w:rFonts w:hint="eastAsia" w:hAnsi="宋体"/>
          <w:color w:val="000000"/>
          <w:sz w:val="24"/>
        </w:rPr>
        <w:t>（4）“电子备投标应文件”应当密封包装，并在包装上标注项目编号、采购项目名称、投标单位名称并加盖公章（详见第六章响投标件格式）。没有密封包装或者逾期送达至 浙江中际工程项目管理有限公司的“电子备份投标文件”将不予接收。</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（八）投标文件的修改和撤回</w:t>
      </w:r>
    </w:p>
    <w:p>
      <w:pPr>
        <w:pStyle w:val="12"/>
        <w:spacing w:line="360" w:lineRule="auto"/>
        <w:ind w:firstLine="464" w:firstLineChars="200"/>
        <w:rPr>
          <w:rFonts w:hint="eastAsia" w:hAnsi="宋体"/>
          <w:color w:val="000000"/>
          <w:sz w:val="24"/>
        </w:rPr>
      </w:pPr>
      <w:r>
        <w:rPr>
          <w:rFonts w:hint="eastAsia" w:hAnsi="宋体"/>
          <w:color w:val="000000"/>
          <w:sz w:val="24"/>
        </w:rPr>
        <w:t>1、供应商在投标截止时间前可以补充、修改或者撤回投标文件。</w:t>
      </w:r>
    </w:p>
    <w:p>
      <w:pPr>
        <w:pStyle w:val="12"/>
        <w:spacing w:line="360" w:lineRule="auto"/>
        <w:ind w:firstLine="464" w:firstLineChars="200"/>
        <w:rPr>
          <w:rFonts w:hint="eastAsia" w:hAnsi="宋体"/>
          <w:color w:val="000000"/>
          <w:sz w:val="24"/>
        </w:rPr>
      </w:pPr>
      <w:r>
        <w:rPr>
          <w:rFonts w:hint="eastAsia" w:hAnsi="宋体"/>
          <w:color w:val="000000"/>
          <w:sz w:val="24"/>
        </w:rPr>
        <w:t>2、补充或者修改投标文件的，应当先行撤回原投标文件，补充、修改后重新上传递交。</w:t>
      </w:r>
    </w:p>
    <w:p>
      <w:pPr>
        <w:pStyle w:val="12"/>
        <w:spacing w:line="360" w:lineRule="auto"/>
        <w:ind w:firstLine="464" w:firstLineChars="200"/>
        <w:rPr>
          <w:rFonts w:hint="eastAsia" w:hAnsi="宋体"/>
          <w:color w:val="000000"/>
          <w:sz w:val="24"/>
        </w:rPr>
      </w:pPr>
      <w:r>
        <w:rPr>
          <w:rFonts w:hint="eastAsia" w:hAnsi="宋体"/>
          <w:color w:val="000000"/>
          <w:sz w:val="24"/>
        </w:rPr>
        <w:t>3、投标截止时间前未完成上传的，视为撤回投标文件。</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四、开标</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（一）开标形式</w:t>
      </w:r>
    </w:p>
    <w:p>
      <w:pPr>
        <w:pStyle w:val="12"/>
        <w:spacing w:line="360" w:lineRule="auto"/>
        <w:ind w:firstLine="464" w:firstLineChars="200"/>
        <w:rPr>
          <w:rFonts w:hint="eastAsia" w:hAnsi="宋体"/>
          <w:color w:val="000000"/>
          <w:sz w:val="24"/>
        </w:rPr>
      </w:pPr>
      <w:r>
        <w:rPr>
          <w:rFonts w:hint="eastAsia" w:hAnsi="宋体"/>
          <w:color w:val="000000"/>
          <w:sz w:val="24"/>
        </w:rPr>
        <w:t>采购组织机构将按照招标文件规定的时间通过“政府采购云平台”组织在线开标，所有供应商均应当准时在线参加。</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 xml:space="preserve">（二） </w:t>
      </w:r>
      <w:r>
        <w:rPr>
          <w:rFonts w:ascii="宋体" w:hAnsi="宋体"/>
          <w:b/>
          <w:bCs/>
          <w:color w:val="000000"/>
          <w:sz w:val="24"/>
        </w:rPr>
        <w:t>开标准备</w:t>
      </w:r>
    </w:p>
    <w:p>
      <w:pPr>
        <w:pStyle w:val="12"/>
        <w:spacing w:line="360" w:lineRule="auto"/>
        <w:ind w:firstLine="464" w:firstLineChars="200"/>
        <w:rPr>
          <w:rFonts w:hint="eastAsia" w:hAnsi="宋体"/>
          <w:color w:val="000000"/>
          <w:sz w:val="24"/>
        </w:rPr>
      </w:pPr>
      <w:r>
        <w:rPr>
          <w:rFonts w:hint="eastAsia" w:hAnsi="宋体"/>
          <w:color w:val="000000"/>
          <w:sz w:val="24"/>
        </w:rPr>
        <w:t>1、开标的准备工作由采购组织机构负责落实。</w:t>
      </w:r>
    </w:p>
    <w:p>
      <w:pPr>
        <w:pStyle w:val="12"/>
        <w:spacing w:line="360" w:lineRule="auto"/>
        <w:ind w:firstLine="464" w:firstLineChars="200"/>
        <w:rPr>
          <w:rFonts w:hint="eastAsia" w:hAnsi="宋体"/>
          <w:color w:val="000000"/>
          <w:sz w:val="24"/>
        </w:rPr>
      </w:pPr>
      <w:r>
        <w:rPr>
          <w:rFonts w:hAnsi="宋体"/>
          <w:color w:val="000000"/>
          <w:sz w:val="24"/>
        </w:rPr>
        <w:t>2</w:t>
      </w:r>
      <w:r>
        <w:rPr>
          <w:rFonts w:hint="eastAsia" w:hAnsi="宋体"/>
          <w:color w:val="000000"/>
          <w:sz w:val="24"/>
        </w:rPr>
        <w:t>、采购组织机构将按照招标文件规定的时间通过“政府采购云平台”组织开标，所有供应商均应当准时在线参加。供应商自行承担因</w:t>
      </w:r>
      <w:r>
        <w:rPr>
          <w:rFonts w:hAnsi="宋体"/>
          <w:color w:val="000000"/>
          <w:sz w:val="24"/>
        </w:rPr>
        <w:t>不</w:t>
      </w:r>
      <w:r>
        <w:rPr>
          <w:rFonts w:hint="eastAsia" w:hAnsi="宋体"/>
          <w:color w:val="000000"/>
          <w:sz w:val="24"/>
        </w:rPr>
        <w:t>参加在线</w:t>
      </w:r>
      <w:r>
        <w:rPr>
          <w:rFonts w:hAnsi="宋体"/>
          <w:color w:val="000000"/>
          <w:sz w:val="24"/>
        </w:rPr>
        <w:t>开标</w:t>
      </w:r>
      <w:r>
        <w:rPr>
          <w:rFonts w:hint="eastAsia" w:hAnsi="宋体"/>
          <w:color w:val="000000"/>
          <w:sz w:val="24"/>
        </w:rPr>
        <w:t>而产生的不利后果。</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（三）</w:t>
      </w:r>
      <w:r>
        <w:rPr>
          <w:rFonts w:ascii="宋体" w:hAnsi="宋体"/>
          <w:b/>
          <w:bCs/>
          <w:color w:val="000000"/>
          <w:sz w:val="24"/>
        </w:rPr>
        <w:t>开标</w:t>
      </w:r>
      <w:r>
        <w:rPr>
          <w:rFonts w:hint="eastAsia" w:ascii="宋体" w:hAnsi="宋体"/>
          <w:b/>
          <w:bCs/>
          <w:color w:val="000000"/>
          <w:sz w:val="24"/>
        </w:rPr>
        <w:t>流程</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1、开标第一阶段</w:t>
      </w:r>
    </w:p>
    <w:p>
      <w:pPr>
        <w:pStyle w:val="12"/>
        <w:spacing w:line="360" w:lineRule="auto"/>
        <w:ind w:firstLine="464" w:firstLineChars="200"/>
        <w:rPr>
          <w:rFonts w:hint="eastAsia"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）向各投标供应商发出电子加密投标文件【开始解密】通知，各投标供应商代表应当在接到解密通知后</w:t>
      </w:r>
      <w:r>
        <w:rPr>
          <w:rFonts w:hint="eastAsia" w:hAnsi="宋体"/>
          <w:color w:val="000000"/>
          <w:sz w:val="24"/>
          <w:u w:val="single"/>
        </w:rPr>
        <w:t xml:space="preserve"> </w:t>
      </w:r>
      <w:r>
        <w:rPr>
          <w:rFonts w:hint="eastAsia" w:hAnsi="宋体"/>
          <w:b/>
          <w:i/>
          <w:color w:val="000000"/>
          <w:sz w:val="24"/>
          <w:u w:val="single"/>
        </w:rPr>
        <w:t>30</w:t>
      </w:r>
      <w:r>
        <w:rPr>
          <w:rFonts w:hAnsi="宋体"/>
          <w:b/>
          <w:i/>
          <w:color w:val="000000"/>
          <w:sz w:val="24"/>
          <w:u w:val="single"/>
        </w:rPr>
        <w:t xml:space="preserve"> </w:t>
      </w:r>
      <w:r>
        <w:rPr>
          <w:rFonts w:hint="eastAsia" w:hAnsi="宋体"/>
          <w:color w:val="000000"/>
          <w:sz w:val="24"/>
        </w:rPr>
        <w:t>分钟内自行完成“电子加密投标文件”的在线解密。投标供应商在规定的时间内无法完成“电子加密投标文件”解密的，如投标供应商按规定递交 “电子备份投标文件”的，则由采购组织机构按“政府采购云平台”操作规范将“电子备份投标文件”上传至“政府采购云平台”。上传成功后，以“电子备份投标文件”参与评标，“电子加密投标文件”自动失效; 在“政府采购云平台”正常运行情况下，“电子备份投标文件”无法上传至“政府采购云平台”的，视为投标文件撤回。如投标供应商未按规定递交“电子备份投标文件”的，视为投标文件撤回。</w:t>
      </w:r>
    </w:p>
    <w:p>
      <w:pPr>
        <w:pStyle w:val="12"/>
        <w:spacing w:line="360" w:lineRule="auto"/>
        <w:ind w:firstLine="464" w:firstLineChars="200"/>
        <w:rPr>
          <w:rFonts w:hint="eastAsia" w:hAnsi="宋体"/>
          <w:color w:val="000000"/>
          <w:sz w:val="24"/>
        </w:rPr>
      </w:pPr>
      <w:r>
        <w:rPr>
          <w:rFonts w:hint="eastAsia" w:hAnsi="宋体"/>
          <w:color w:val="000000"/>
          <w:sz w:val="24"/>
        </w:rPr>
        <w:t>（2）开启资格证明文件、商务技术文件。</w:t>
      </w:r>
    </w:p>
    <w:p>
      <w:pPr>
        <w:pStyle w:val="12"/>
        <w:spacing w:line="360" w:lineRule="auto"/>
        <w:ind w:firstLine="464" w:firstLineChars="200"/>
        <w:rPr>
          <w:rFonts w:hint="eastAsia" w:hAnsi="宋体"/>
          <w:color w:val="000000"/>
          <w:sz w:val="24"/>
        </w:rPr>
      </w:pPr>
      <w:r>
        <w:rPr>
          <w:rFonts w:hint="eastAsia" w:hAnsi="宋体"/>
          <w:color w:val="000000"/>
          <w:sz w:val="24"/>
        </w:rPr>
        <w:t>（3）进行资格审查。对通过资格审查的投标供应商进行符合性审查、商务技术评审；</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2、开标第二阶段</w:t>
      </w:r>
    </w:p>
    <w:p>
      <w:pPr>
        <w:pStyle w:val="12"/>
        <w:spacing w:line="360" w:lineRule="auto"/>
        <w:ind w:firstLine="464" w:firstLineChars="200"/>
        <w:rPr>
          <w:rFonts w:hint="eastAsia" w:hAnsi="宋体"/>
          <w:color w:val="000000"/>
          <w:sz w:val="24"/>
        </w:rPr>
      </w:pPr>
      <w:r>
        <w:rPr>
          <w:rFonts w:hint="eastAsia" w:hAnsi="宋体"/>
          <w:color w:val="000000"/>
          <w:sz w:val="24"/>
        </w:rPr>
        <w:t>（1）资格审查、符合性审查、商务技术评审结束后，进入开标第二阶段。</w:t>
      </w:r>
    </w:p>
    <w:p>
      <w:pPr>
        <w:pStyle w:val="12"/>
        <w:spacing w:line="360" w:lineRule="auto"/>
        <w:ind w:firstLine="464" w:firstLineChars="200"/>
        <w:rPr>
          <w:rFonts w:hint="eastAsia" w:hAnsi="宋体"/>
          <w:color w:val="000000"/>
          <w:sz w:val="24"/>
        </w:rPr>
      </w:pPr>
      <w:r>
        <w:rPr>
          <w:rFonts w:hint="eastAsia" w:hAnsi="宋体"/>
          <w:color w:val="000000"/>
          <w:sz w:val="24"/>
        </w:rPr>
        <w:t>（2）通过电子交易平台公布无效供应商名单及导致无效的原因</w:t>
      </w:r>
      <w:r>
        <w:rPr>
          <w:rFonts w:hAnsi="宋体"/>
          <w:color w:val="000000"/>
          <w:sz w:val="24"/>
        </w:rPr>
        <w:t>；公布</w:t>
      </w:r>
      <w:r>
        <w:rPr>
          <w:rFonts w:hint="eastAsia" w:hAnsi="宋体"/>
          <w:color w:val="000000"/>
          <w:sz w:val="24"/>
        </w:rPr>
        <w:t>有效</w:t>
      </w:r>
      <w:r>
        <w:rPr>
          <w:rFonts w:hAnsi="宋体"/>
          <w:color w:val="000000"/>
          <w:sz w:val="24"/>
        </w:rPr>
        <w:t>供应商</w:t>
      </w:r>
      <w:r>
        <w:rPr>
          <w:rFonts w:hint="eastAsia" w:hAnsi="宋体"/>
          <w:color w:val="000000"/>
          <w:sz w:val="24"/>
        </w:rPr>
        <w:t>的</w:t>
      </w:r>
      <w:r>
        <w:rPr>
          <w:rFonts w:hAnsi="宋体"/>
          <w:color w:val="000000"/>
          <w:sz w:val="24"/>
        </w:rPr>
        <w:t>名单</w:t>
      </w:r>
      <w:r>
        <w:rPr>
          <w:rFonts w:hint="eastAsia" w:hAnsi="宋体"/>
          <w:color w:val="000000"/>
          <w:sz w:val="24"/>
        </w:rPr>
        <w:t>及其资信</w:t>
      </w:r>
      <w:r>
        <w:rPr>
          <w:rFonts w:hAnsi="宋体"/>
          <w:color w:val="000000"/>
          <w:sz w:val="24"/>
        </w:rPr>
        <w:t>商务</w:t>
      </w:r>
      <w:r>
        <w:rPr>
          <w:rFonts w:hint="eastAsia" w:hAnsi="宋体"/>
          <w:color w:val="000000"/>
          <w:sz w:val="24"/>
        </w:rPr>
        <w:t>得分、</w:t>
      </w:r>
      <w:r>
        <w:rPr>
          <w:rFonts w:hAnsi="宋体"/>
          <w:color w:val="000000"/>
          <w:sz w:val="24"/>
        </w:rPr>
        <w:t>技术得分</w:t>
      </w:r>
      <w:r>
        <w:rPr>
          <w:rFonts w:hint="eastAsia" w:hAnsi="宋体"/>
          <w:color w:val="000000"/>
          <w:sz w:val="24"/>
        </w:rPr>
        <w:t>。</w:t>
      </w:r>
    </w:p>
    <w:p>
      <w:pPr>
        <w:pStyle w:val="12"/>
        <w:spacing w:line="360" w:lineRule="auto"/>
        <w:ind w:firstLine="464" w:firstLineChars="200"/>
        <w:rPr>
          <w:rFonts w:hint="eastAsia" w:hAnsi="宋体"/>
          <w:color w:val="000000"/>
          <w:sz w:val="24"/>
        </w:rPr>
      </w:pPr>
      <w:r>
        <w:rPr>
          <w:rFonts w:hint="eastAsia" w:hAnsi="宋体"/>
          <w:color w:val="000000"/>
          <w:sz w:val="24"/>
        </w:rPr>
        <w:t>（3）开启有效供应商的《报价文件》，系统形成开标记录。</w:t>
      </w:r>
    </w:p>
    <w:p>
      <w:pPr>
        <w:pStyle w:val="12"/>
        <w:spacing w:line="360" w:lineRule="auto"/>
        <w:ind w:firstLine="464" w:firstLineChars="200"/>
        <w:rPr>
          <w:rFonts w:hint="eastAsia" w:hAnsi="宋体"/>
          <w:color w:val="000000"/>
          <w:sz w:val="24"/>
        </w:rPr>
      </w:pPr>
      <w:r>
        <w:rPr>
          <w:rFonts w:hint="eastAsia" w:hAnsi="宋体"/>
          <w:color w:val="000000"/>
          <w:sz w:val="24"/>
        </w:rPr>
        <w:t>（4）价格评审。价格评审结束后，通过电子交易平台公布中标候选供应商名单。</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五、评标</w:t>
      </w:r>
    </w:p>
    <w:p>
      <w:pPr>
        <w:snapToGrid w:val="0"/>
        <w:spacing w:line="360" w:lineRule="auto"/>
        <w:ind w:firstLine="472" w:firstLineChars="196"/>
        <w:jc w:val="left"/>
        <w:rPr>
          <w:rFonts w:ascii="宋体" w:hAnsi="宋体"/>
          <w:b/>
          <w:bCs/>
          <w:color w:val="000000"/>
          <w:sz w:val="24"/>
        </w:rPr>
      </w:pPr>
      <w:r>
        <w:rPr>
          <w:rFonts w:ascii="宋体" w:hAnsi="宋体"/>
          <w:b/>
          <w:bCs/>
          <w:color w:val="000000"/>
          <w:sz w:val="24"/>
        </w:rPr>
        <w:t>（一）组建评标委员会</w:t>
      </w:r>
    </w:p>
    <w:p>
      <w:pPr>
        <w:pStyle w:val="12"/>
        <w:spacing w:line="360" w:lineRule="auto"/>
        <w:ind w:firstLine="464" w:firstLineChars="200"/>
        <w:rPr>
          <w:rFonts w:hAnsi="宋体"/>
          <w:color w:val="000000"/>
          <w:sz w:val="24"/>
        </w:rPr>
      </w:pPr>
      <w:r>
        <w:rPr>
          <w:rFonts w:hAnsi="宋体"/>
          <w:color w:val="000000"/>
          <w:sz w:val="24"/>
        </w:rPr>
        <w:t>评</w:t>
      </w:r>
      <w:r>
        <w:rPr>
          <w:rFonts w:hint="eastAsia" w:hAnsi="宋体"/>
          <w:color w:val="000000"/>
          <w:sz w:val="24"/>
        </w:rPr>
        <w:t>标</w:t>
      </w:r>
      <w:r>
        <w:rPr>
          <w:rFonts w:hAnsi="宋体"/>
          <w:color w:val="000000"/>
          <w:sz w:val="24"/>
        </w:rPr>
        <w:t>委员会由采购人代表和有关技术、经济等方面的专家组成,成员人数应当为五人以上单数。其中,技术、经济等方面的专家不得少于成员总数的三分之二。</w:t>
      </w:r>
    </w:p>
    <w:p>
      <w:pPr>
        <w:snapToGrid w:val="0"/>
        <w:spacing w:line="360" w:lineRule="auto"/>
        <w:ind w:firstLine="472" w:firstLineChars="196"/>
        <w:jc w:val="left"/>
        <w:rPr>
          <w:rFonts w:hint="eastAsia" w:ascii="宋体" w:hAnsi="宋体"/>
          <w:b/>
          <w:bCs/>
          <w:color w:val="000000"/>
          <w:sz w:val="24"/>
        </w:rPr>
      </w:pPr>
      <w:r>
        <w:rPr>
          <w:rFonts w:ascii="宋体" w:hAnsi="宋体"/>
          <w:b/>
          <w:bCs/>
          <w:color w:val="000000"/>
          <w:sz w:val="24"/>
        </w:rPr>
        <w:t>（</w:t>
      </w:r>
      <w:r>
        <w:rPr>
          <w:rFonts w:hint="eastAsia" w:ascii="宋体" w:hAnsi="宋体"/>
          <w:b/>
          <w:bCs/>
          <w:color w:val="000000"/>
          <w:sz w:val="24"/>
        </w:rPr>
        <w:t>二</w:t>
      </w:r>
      <w:r>
        <w:rPr>
          <w:rFonts w:ascii="宋体" w:hAnsi="宋体"/>
          <w:b/>
          <w:bCs/>
          <w:color w:val="000000"/>
          <w:sz w:val="24"/>
        </w:rPr>
        <w:t>）评标程序</w:t>
      </w:r>
    </w:p>
    <w:p>
      <w:pPr>
        <w:pStyle w:val="12"/>
        <w:spacing w:line="360" w:lineRule="auto"/>
        <w:ind w:firstLine="464" w:firstLineChars="200"/>
        <w:rPr>
          <w:rFonts w:hint="eastAsia" w:hAnsi="宋体"/>
          <w:color w:val="000000"/>
          <w:sz w:val="24"/>
        </w:rPr>
      </w:pPr>
      <w:r>
        <w:rPr>
          <w:rFonts w:hint="eastAsia" w:hAnsi="宋体"/>
          <w:color w:val="000000"/>
          <w:sz w:val="24"/>
        </w:rPr>
        <w:t>1.</w:t>
      </w:r>
      <w:r>
        <w:rPr>
          <w:rFonts w:hAnsi="宋体"/>
          <w:color w:val="000000"/>
          <w:sz w:val="24"/>
        </w:rPr>
        <w:t>在评审专家中推选评审小组组长。</w:t>
      </w:r>
    </w:p>
    <w:p>
      <w:pPr>
        <w:pStyle w:val="12"/>
        <w:spacing w:line="360" w:lineRule="auto"/>
        <w:ind w:firstLine="464" w:firstLineChars="200"/>
        <w:rPr>
          <w:rFonts w:hint="eastAsia" w:hAnsi="宋体"/>
          <w:color w:val="000000"/>
          <w:sz w:val="24"/>
        </w:rPr>
      </w:pPr>
      <w:r>
        <w:rPr>
          <w:rFonts w:hint="eastAsia" w:hAnsi="宋体"/>
          <w:color w:val="000000"/>
          <w:sz w:val="24"/>
        </w:rPr>
        <w:t>2.</w:t>
      </w:r>
      <w:r>
        <w:rPr>
          <w:rFonts w:hAnsi="宋体"/>
          <w:color w:val="000000"/>
          <w:sz w:val="24"/>
        </w:rPr>
        <w:t>评审小组组长召集成员认真阅读招标文件以及相关补充、质疑、答复文件、项目书面说明等材料，熟悉采购项目的基本概况，采购项目的质量要求、数量、主要技术标准或服务需求，采购合同主要条款，投标无效情形，评审方法、评审依据、评审标准等。</w:t>
      </w:r>
    </w:p>
    <w:p>
      <w:pPr>
        <w:pStyle w:val="12"/>
        <w:spacing w:line="360" w:lineRule="auto"/>
        <w:ind w:firstLine="464" w:firstLineChars="200"/>
        <w:rPr>
          <w:rFonts w:hint="eastAsia" w:hAnsi="宋体"/>
          <w:color w:val="000000"/>
          <w:sz w:val="24"/>
        </w:rPr>
      </w:pPr>
      <w:r>
        <w:rPr>
          <w:rFonts w:hint="eastAsia" w:hAnsi="宋体"/>
          <w:color w:val="000000"/>
          <w:sz w:val="24"/>
        </w:rPr>
        <w:t>3.招标人或者招标代理机构对</w:t>
      </w:r>
      <w:r>
        <w:rPr>
          <w:rFonts w:hAnsi="宋体"/>
          <w:color w:val="000000"/>
          <w:sz w:val="24"/>
        </w:rPr>
        <w:t>各</w:t>
      </w:r>
      <w:r>
        <w:rPr>
          <w:rFonts w:hint="eastAsia" w:hAnsi="宋体"/>
          <w:color w:val="000000"/>
          <w:sz w:val="24"/>
        </w:rPr>
        <w:t>投标人的资格进行审查，投标人资格条件不符合招标文件要求的投标无效，不再进入符合性审查。</w:t>
      </w:r>
    </w:p>
    <w:p>
      <w:pPr>
        <w:pStyle w:val="12"/>
        <w:spacing w:line="360" w:lineRule="auto"/>
        <w:ind w:firstLine="464" w:firstLineChars="200"/>
        <w:rPr>
          <w:rFonts w:hint="eastAsia" w:hAnsi="宋体"/>
          <w:color w:val="000000"/>
          <w:sz w:val="24"/>
        </w:rPr>
      </w:pPr>
      <w:r>
        <w:rPr>
          <w:rFonts w:hint="eastAsia" w:hAnsi="宋体"/>
          <w:color w:val="000000"/>
          <w:sz w:val="24"/>
        </w:rPr>
        <w:t>4.</w:t>
      </w:r>
      <w:r>
        <w:rPr>
          <w:rFonts w:hAnsi="宋体"/>
          <w:color w:val="000000"/>
          <w:sz w:val="24"/>
        </w:rPr>
        <w:t>评审小组</w:t>
      </w:r>
      <w:r>
        <w:rPr>
          <w:rFonts w:hint="eastAsia" w:hAnsi="宋体"/>
          <w:color w:val="000000"/>
          <w:sz w:val="24"/>
        </w:rPr>
        <w:t>对各</w:t>
      </w:r>
      <w:r>
        <w:rPr>
          <w:rFonts w:hAnsi="宋体"/>
          <w:color w:val="000000"/>
          <w:sz w:val="24"/>
        </w:rPr>
        <w:t>投标文件的</w:t>
      </w:r>
      <w:r>
        <w:rPr>
          <w:rFonts w:hint="eastAsia" w:hAnsi="宋体"/>
          <w:color w:val="000000"/>
          <w:sz w:val="24"/>
        </w:rPr>
        <w:t>符合</w:t>
      </w:r>
      <w:r>
        <w:rPr>
          <w:rFonts w:hAnsi="宋体"/>
          <w:color w:val="000000"/>
          <w:sz w:val="24"/>
        </w:rPr>
        <w:t>性进行审查，确定是否对招标文件</w:t>
      </w:r>
      <w:r>
        <w:rPr>
          <w:rFonts w:hint="eastAsia" w:hAnsi="宋体"/>
          <w:color w:val="000000"/>
          <w:sz w:val="24"/>
        </w:rPr>
        <w:t>作出了实质性响应</w:t>
      </w:r>
      <w:r>
        <w:rPr>
          <w:rFonts w:hAnsi="宋体"/>
          <w:color w:val="000000"/>
          <w:sz w:val="24"/>
        </w:rPr>
        <w:t>。</w:t>
      </w:r>
      <w:r>
        <w:rPr>
          <w:rFonts w:hint="eastAsia" w:hAnsi="宋体"/>
          <w:color w:val="000000"/>
          <w:sz w:val="24"/>
        </w:rPr>
        <w:t>实质上没有响应招标文件要求的投标将被视为无效投标，不再进入下一阶段的评审。</w:t>
      </w:r>
    </w:p>
    <w:p>
      <w:pPr>
        <w:pStyle w:val="12"/>
        <w:spacing w:line="360" w:lineRule="auto"/>
        <w:ind w:firstLine="464" w:firstLineChars="200"/>
        <w:rPr>
          <w:rFonts w:hint="eastAsia" w:hAnsi="宋体"/>
          <w:color w:val="000000"/>
          <w:sz w:val="24"/>
        </w:rPr>
      </w:pPr>
      <w:r>
        <w:rPr>
          <w:rFonts w:hint="eastAsia" w:hAnsi="宋体"/>
          <w:color w:val="000000"/>
          <w:sz w:val="24"/>
        </w:rPr>
        <w:t>5.</w:t>
      </w:r>
      <w:r>
        <w:rPr>
          <w:rFonts w:hAnsi="宋体"/>
          <w:color w:val="000000"/>
          <w:sz w:val="24"/>
        </w:rPr>
        <w:t>评审人员按招标文件规定的评审方法和评审标准，依法独立对供应商投</w:t>
      </w:r>
    </w:p>
    <w:p>
      <w:pPr>
        <w:pStyle w:val="12"/>
        <w:spacing w:line="360" w:lineRule="auto"/>
        <w:ind w:firstLine="464" w:firstLineChars="200"/>
        <w:rPr>
          <w:rFonts w:hint="eastAsia" w:hAnsi="宋体"/>
          <w:color w:val="000000"/>
          <w:sz w:val="24"/>
        </w:rPr>
      </w:pPr>
      <w:r>
        <w:rPr>
          <w:rFonts w:hAnsi="宋体"/>
          <w:color w:val="000000"/>
          <w:sz w:val="24"/>
        </w:rPr>
        <w:t>标文件进行评估、比较，并给予评价或打分，不受任何单位和个人的干预。</w:t>
      </w:r>
    </w:p>
    <w:p>
      <w:pPr>
        <w:pStyle w:val="12"/>
        <w:spacing w:line="360" w:lineRule="auto"/>
        <w:ind w:firstLine="464" w:firstLineChars="200"/>
        <w:rPr>
          <w:rFonts w:hAnsi="宋体"/>
          <w:color w:val="000000"/>
          <w:sz w:val="24"/>
        </w:rPr>
      </w:pPr>
      <w:r>
        <w:rPr>
          <w:rFonts w:hint="eastAsia" w:hAnsi="宋体"/>
          <w:color w:val="000000"/>
          <w:sz w:val="24"/>
        </w:rPr>
        <w:t>6.</w:t>
      </w:r>
      <w:r>
        <w:rPr>
          <w:rFonts w:hAnsi="宋体"/>
          <w:color w:val="000000"/>
          <w:sz w:val="24"/>
        </w:rPr>
        <w:t>各投标人的得分为所有评委的有效评分的算术平均数</w:t>
      </w:r>
      <w:r>
        <w:rPr>
          <w:rFonts w:hint="eastAsia" w:hAnsi="宋体"/>
          <w:color w:val="000000"/>
          <w:sz w:val="24"/>
        </w:rPr>
        <w:t>，</w:t>
      </w:r>
      <w:r>
        <w:rPr>
          <w:rFonts w:hAnsi="宋体"/>
          <w:color w:val="000000"/>
          <w:sz w:val="24"/>
        </w:rPr>
        <w:t>由指定专人进行计算复核。</w:t>
      </w:r>
    </w:p>
    <w:p>
      <w:pPr>
        <w:pStyle w:val="12"/>
        <w:spacing w:line="360" w:lineRule="auto"/>
        <w:ind w:firstLine="464" w:firstLineChars="200"/>
        <w:rPr>
          <w:rFonts w:hint="eastAsia" w:hAnsi="宋体"/>
          <w:color w:val="000000"/>
          <w:sz w:val="24"/>
        </w:rPr>
      </w:pPr>
      <w:r>
        <w:rPr>
          <w:rFonts w:hint="eastAsia" w:hAnsi="宋体"/>
          <w:color w:val="000000"/>
          <w:sz w:val="24"/>
        </w:rPr>
        <w:t>7.</w:t>
      </w:r>
      <w:r>
        <w:rPr>
          <w:rFonts w:hAnsi="宋体"/>
          <w:color w:val="000000"/>
          <w:sz w:val="24"/>
        </w:rPr>
        <w:t>评标委员会完成评标后,评委对各部分得分汇总,</w:t>
      </w:r>
      <w:r>
        <w:rPr>
          <w:rFonts w:hint="eastAsia" w:hAnsi="宋体"/>
          <w:color w:val="000000"/>
          <w:sz w:val="24"/>
        </w:rPr>
        <w:t>计算</w:t>
      </w:r>
      <w:r>
        <w:rPr>
          <w:rFonts w:hAnsi="宋体"/>
          <w:color w:val="000000"/>
          <w:sz w:val="24"/>
        </w:rPr>
        <w:t>出本项目</w:t>
      </w:r>
      <w:r>
        <w:rPr>
          <w:rFonts w:hint="eastAsia" w:hAnsi="宋体"/>
          <w:color w:val="000000"/>
          <w:sz w:val="24"/>
        </w:rPr>
        <w:t>最终得分</w:t>
      </w:r>
      <w:r>
        <w:rPr>
          <w:rFonts w:hAnsi="宋体"/>
          <w:color w:val="000000"/>
          <w:sz w:val="24"/>
        </w:rPr>
        <w:t>。评标委员会按评标原则推荐中标候选人</w:t>
      </w:r>
      <w:r>
        <w:rPr>
          <w:rFonts w:hint="eastAsia" w:hAnsi="宋体"/>
          <w:color w:val="000000"/>
          <w:sz w:val="24"/>
        </w:rPr>
        <w:t>，</w:t>
      </w:r>
      <w:r>
        <w:rPr>
          <w:rFonts w:hAnsi="宋体"/>
          <w:color w:val="000000"/>
          <w:sz w:val="24"/>
        </w:rPr>
        <w:t>同时起草评标报告。</w:t>
      </w:r>
    </w:p>
    <w:p>
      <w:pPr>
        <w:pStyle w:val="12"/>
        <w:spacing w:line="360" w:lineRule="auto"/>
        <w:ind w:firstLine="464" w:firstLineChars="200"/>
        <w:rPr>
          <w:rFonts w:hint="eastAsia" w:hAnsi="宋体"/>
          <w:color w:val="000000"/>
          <w:sz w:val="24"/>
        </w:rPr>
      </w:pPr>
      <w:r>
        <w:rPr>
          <w:rFonts w:hint="eastAsia" w:hAnsi="宋体"/>
          <w:color w:val="000000"/>
          <w:sz w:val="24"/>
        </w:rPr>
        <w:t>8.实质上响应招标文件要求的投标人不足三家的，除财政部门另有规定外，应当作废标处理。</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（三）澄清问题的形式</w:t>
      </w:r>
    </w:p>
    <w:p>
      <w:pPr>
        <w:pStyle w:val="12"/>
        <w:spacing w:line="360" w:lineRule="auto"/>
        <w:ind w:firstLine="464" w:firstLineChars="200"/>
        <w:rPr>
          <w:rFonts w:hint="eastAsia" w:hAnsi="宋体"/>
          <w:color w:val="000000"/>
          <w:sz w:val="24"/>
        </w:rPr>
      </w:pPr>
      <w:r>
        <w:rPr>
          <w:rFonts w:hint="eastAsia" w:hAnsi="宋体"/>
          <w:color w:val="000000"/>
          <w:sz w:val="24"/>
        </w:rPr>
        <w:t xml:space="preserve">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  </w:t>
      </w:r>
    </w:p>
    <w:p>
      <w:pPr>
        <w:pStyle w:val="12"/>
        <w:spacing w:line="360" w:lineRule="auto"/>
        <w:ind w:firstLine="464" w:firstLineChars="200"/>
        <w:rPr>
          <w:rFonts w:hAnsi="宋体"/>
          <w:color w:val="000000"/>
          <w:sz w:val="24"/>
        </w:rPr>
      </w:pPr>
      <w:r>
        <w:rPr>
          <w:rFonts w:hint="eastAsia" w:hAnsi="宋体"/>
          <w:color w:val="000000"/>
          <w:sz w:val="24"/>
        </w:rPr>
        <w:t>评标委员会发出澄清内容后，供应商应当在规定的时间内钟内提交澄清说明或补正，否则视为供应商放弃答复，并自行承担因此而产生的不利后果。澄清、说明或者补正不得超出投标文件的范围或者改变投标文件的实质性内容。</w:t>
      </w:r>
    </w:p>
    <w:p>
      <w:pPr>
        <w:snapToGrid w:val="0"/>
        <w:spacing w:line="360" w:lineRule="auto"/>
        <w:ind w:firstLine="472" w:firstLineChars="196"/>
        <w:jc w:val="left"/>
        <w:rPr>
          <w:rFonts w:ascii="宋体" w:hAnsi="宋体"/>
          <w:b/>
          <w:bCs/>
          <w:color w:val="000000"/>
          <w:sz w:val="24"/>
        </w:rPr>
      </w:pPr>
      <w:r>
        <w:rPr>
          <w:rFonts w:ascii="宋体" w:hAnsi="宋体"/>
          <w:b/>
          <w:bCs/>
          <w:color w:val="000000"/>
          <w:sz w:val="24"/>
        </w:rPr>
        <w:t>（</w:t>
      </w:r>
      <w:r>
        <w:rPr>
          <w:rFonts w:hint="eastAsia" w:ascii="宋体" w:hAnsi="宋体"/>
          <w:b/>
          <w:bCs/>
          <w:color w:val="000000"/>
          <w:sz w:val="24"/>
        </w:rPr>
        <w:t>四</w:t>
      </w:r>
      <w:r>
        <w:rPr>
          <w:rFonts w:ascii="宋体" w:hAnsi="宋体"/>
          <w:b/>
          <w:bCs/>
          <w:color w:val="000000"/>
          <w:sz w:val="24"/>
        </w:rPr>
        <w:t>）错误修正</w:t>
      </w:r>
    </w:p>
    <w:p>
      <w:pPr>
        <w:pStyle w:val="12"/>
        <w:spacing w:line="360" w:lineRule="auto"/>
        <w:ind w:firstLine="464" w:firstLineChars="200"/>
        <w:rPr>
          <w:rFonts w:hAnsi="宋体"/>
          <w:color w:val="000000"/>
          <w:sz w:val="24"/>
        </w:rPr>
      </w:pPr>
      <w:r>
        <w:rPr>
          <w:rFonts w:hAnsi="宋体"/>
          <w:color w:val="000000"/>
          <w:sz w:val="24"/>
        </w:rPr>
        <w:t>投标文件如果出现计算或表达上的错误，修正错误的原则如下：</w:t>
      </w:r>
    </w:p>
    <w:p>
      <w:pPr>
        <w:pStyle w:val="12"/>
        <w:spacing w:line="360" w:lineRule="auto"/>
        <w:ind w:firstLine="464" w:firstLineChars="200"/>
        <w:rPr>
          <w:rFonts w:hint="eastAsia" w:hAnsi="宋体"/>
          <w:color w:val="000000"/>
          <w:sz w:val="24"/>
        </w:rPr>
      </w:pPr>
      <w:r>
        <w:rPr>
          <w:rFonts w:hint="eastAsia" w:hAnsi="宋体"/>
          <w:color w:val="000000"/>
          <w:sz w:val="24"/>
        </w:rPr>
        <w:t>1.电子交易平台生成的开标记录表内容与投标文件中相应内容不一致的，以电子交易平台生成的开标记录表为准；</w:t>
      </w:r>
    </w:p>
    <w:p>
      <w:pPr>
        <w:pStyle w:val="12"/>
        <w:spacing w:line="360" w:lineRule="auto"/>
        <w:ind w:firstLine="464" w:firstLineChars="200"/>
        <w:rPr>
          <w:rFonts w:hint="eastAsia" w:hAnsi="宋体"/>
          <w:color w:val="000000"/>
          <w:sz w:val="24"/>
        </w:rPr>
      </w:pPr>
      <w:r>
        <w:rPr>
          <w:rFonts w:hint="eastAsia" w:hAnsi="宋体"/>
          <w:color w:val="000000"/>
          <w:sz w:val="24"/>
        </w:rPr>
        <w:t>2.大写金额和小写金额不一致的，以大写金额为准；</w:t>
      </w:r>
    </w:p>
    <w:p>
      <w:pPr>
        <w:pStyle w:val="12"/>
        <w:spacing w:line="360" w:lineRule="auto"/>
        <w:ind w:firstLine="464" w:firstLineChars="200"/>
        <w:rPr>
          <w:rFonts w:hint="eastAsia" w:hAnsi="宋体"/>
          <w:color w:val="000000"/>
          <w:sz w:val="24"/>
        </w:rPr>
      </w:pPr>
      <w:r>
        <w:rPr>
          <w:rFonts w:hint="eastAsia" w:hAnsi="宋体"/>
          <w:color w:val="000000"/>
          <w:sz w:val="24"/>
        </w:rPr>
        <w:t>3.单价金额小数点或者百分比有明显错位的，以开标一览表的总价为准，并修改单价；</w:t>
      </w:r>
    </w:p>
    <w:p>
      <w:pPr>
        <w:pStyle w:val="12"/>
        <w:spacing w:line="360" w:lineRule="auto"/>
        <w:ind w:firstLine="464" w:firstLineChars="200"/>
        <w:rPr>
          <w:rFonts w:hint="eastAsia" w:hAnsi="宋体"/>
          <w:color w:val="000000"/>
          <w:sz w:val="24"/>
        </w:rPr>
      </w:pPr>
      <w:r>
        <w:rPr>
          <w:rFonts w:hint="eastAsia" w:hAnsi="宋体"/>
          <w:color w:val="000000"/>
          <w:sz w:val="24"/>
        </w:rPr>
        <w:t>4.总价金额与按单价汇总金额不一致的，以单价金额计算结果为准。</w:t>
      </w:r>
    </w:p>
    <w:p>
      <w:pPr>
        <w:pStyle w:val="12"/>
        <w:spacing w:line="360" w:lineRule="auto"/>
        <w:ind w:firstLine="464" w:firstLineChars="200"/>
        <w:rPr>
          <w:rFonts w:hint="eastAsia" w:hAnsi="宋体"/>
          <w:color w:val="000000"/>
          <w:sz w:val="24"/>
        </w:rPr>
      </w:pPr>
      <w:r>
        <w:rPr>
          <w:rFonts w:hint="eastAsia" w:hAnsi="宋体"/>
          <w:color w:val="000000"/>
          <w:sz w:val="24"/>
        </w:rPr>
        <w:t>同时出现两种以上不一致的，按照前款规定的顺序修正。评标委员会应当通过电子交易平台要求投标人对修正后的报价予以确认并对投标人产生约束力。投标人不接受修正或在</w:t>
      </w:r>
      <w:r>
        <w:rPr>
          <w:rFonts w:hint="eastAsia" w:hAnsi="宋体"/>
          <w:color w:val="000000"/>
          <w:sz w:val="24"/>
          <w:u w:val="single"/>
        </w:rPr>
        <w:t xml:space="preserve"> </w:t>
      </w:r>
      <w:r>
        <w:rPr>
          <w:rFonts w:hAnsi="宋体"/>
          <w:b/>
          <w:i/>
          <w:color w:val="000000"/>
          <w:sz w:val="24"/>
          <w:u w:val="single"/>
        </w:rPr>
        <w:t>30</w:t>
      </w:r>
      <w:r>
        <w:rPr>
          <w:rFonts w:hint="eastAsia" w:hAnsi="宋体"/>
          <w:b/>
          <w:i/>
          <w:color w:val="000000"/>
          <w:sz w:val="24"/>
          <w:u w:val="single"/>
        </w:rPr>
        <w:t xml:space="preserve">分钟内 </w:t>
      </w:r>
      <w:r>
        <w:rPr>
          <w:rFonts w:hint="eastAsia" w:hAnsi="宋体"/>
          <w:color w:val="000000"/>
          <w:sz w:val="24"/>
        </w:rPr>
        <w:t>不予确认的，其投标无效。</w:t>
      </w:r>
    </w:p>
    <w:p>
      <w:pPr>
        <w:snapToGrid w:val="0"/>
        <w:spacing w:line="360" w:lineRule="auto"/>
        <w:ind w:firstLine="472" w:firstLineChars="196"/>
        <w:jc w:val="left"/>
        <w:rPr>
          <w:rFonts w:ascii="宋体" w:hAnsi="宋体"/>
          <w:b/>
          <w:bCs/>
          <w:color w:val="000000"/>
          <w:sz w:val="24"/>
        </w:rPr>
      </w:pPr>
      <w:r>
        <w:rPr>
          <w:rFonts w:ascii="宋体" w:hAnsi="宋体"/>
          <w:b/>
          <w:bCs/>
          <w:color w:val="000000"/>
          <w:sz w:val="24"/>
        </w:rPr>
        <w:t>（</w:t>
      </w:r>
      <w:r>
        <w:rPr>
          <w:rFonts w:hint="eastAsia" w:ascii="宋体" w:hAnsi="宋体"/>
          <w:b/>
          <w:bCs/>
          <w:color w:val="000000"/>
          <w:sz w:val="24"/>
        </w:rPr>
        <w:t>五</w:t>
      </w:r>
      <w:r>
        <w:rPr>
          <w:rFonts w:ascii="宋体" w:hAnsi="宋体"/>
          <w:b/>
          <w:bCs/>
          <w:color w:val="000000"/>
          <w:sz w:val="24"/>
        </w:rPr>
        <w:t>）评标原则和评标办法</w:t>
      </w:r>
    </w:p>
    <w:p>
      <w:pPr>
        <w:pStyle w:val="12"/>
        <w:spacing w:line="360" w:lineRule="auto"/>
        <w:ind w:firstLine="464" w:firstLineChars="200"/>
        <w:rPr>
          <w:rFonts w:hint="eastAsia" w:hAnsi="宋体"/>
          <w:color w:val="000000"/>
          <w:sz w:val="24"/>
        </w:rPr>
      </w:pPr>
      <w:r>
        <w:rPr>
          <w:rFonts w:hAnsi="宋体"/>
          <w:color w:val="000000"/>
          <w:sz w:val="24"/>
        </w:rPr>
        <w:t>1</w:t>
      </w:r>
      <w:r>
        <w:rPr>
          <w:rFonts w:hint="eastAsia" w:hAnsi="宋体"/>
          <w:color w:val="000000"/>
          <w:sz w:val="24"/>
        </w:rPr>
        <w:t>.</w:t>
      </w:r>
      <w:r>
        <w:rPr>
          <w:rFonts w:hAnsi="宋体"/>
          <w:color w:val="000000"/>
          <w:sz w:val="24"/>
        </w:rPr>
        <w:t>评标委员会必须公平、公正、客观，不带任何倾向性和启发性；不得向外界透露任何与评标有关的内容；任何单位和个人不得干扰、影响评标的正常进行；评标委员会及有关工作人员不得私下与投标人接触。</w:t>
      </w:r>
    </w:p>
    <w:p>
      <w:pPr>
        <w:pStyle w:val="12"/>
        <w:spacing w:line="360" w:lineRule="auto"/>
        <w:ind w:firstLine="464" w:firstLineChars="200"/>
        <w:rPr>
          <w:rFonts w:hint="eastAsia" w:hAnsi="宋体"/>
          <w:color w:val="000000"/>
          <w:sz w:val="24"/>
        </w:rPr>
      </w:pPr>
      <w:r>
        <w:rPr>
          <w:rFonts w:hint="eastAsia" w:hAnsi="宋体"/>
          <w:color w:val="000000"/>
          <w:sz w:val="24"/>
        </w:rPr>
        <w:t>2.采用最低评标价法的采购项目，提供相同品牌产品的不同投标人参加同一合同项下投标的，以其中通过资格审查、符合性审查且报价最低的参加评标；报价相同的，采取随机抽取方式确定，其他投标无效。</w:t>
      </w:r>
    </w:p>
    <w:p>
      <w:pPr>
        <w:pStyle w:val="12"/>
        <w:spacing w:line="360" w:lineRule="auto"/>
        <w:ind w:firstLine="464" w:firstLineChars="200"/>
        <w:rPr>
          <w:rFonts w:hint="eastAsia" w:hAnsi="宋体"/>
          <w:color w:val="000000"/>
          <w:sz w:val="24"/>
        </w:rPr>
      </w:pPr>
      <w:r>
        <w:rPr>
          <w:rFonts w:hint="eastAsia" w:hAnsi="宋体"/>
          <w:color w:val="000000"/>
          <w:sz w:val="24"/>
        </w:rPr>
        <w:t>使用综合评分法的采购项目，提供相同品牌产品且通过资格审查、符合性审查的不同投标人参加同一合同项下投标的，按一家投标人计算，评审后得分最高的同品牌投标人获得中标人推荐资格；评审得分相同的，采取随机抽取方式确定一个投标人获得中标人推荐资格，其他同品牌投标人不作为中标候选人。</w:t>
      </w:r>
    </w:p>
    <w:p>
      <w:pPr>
        <w:pStyle w:val="16"/>
        <w:snapToGrid w:val="0"/>
        <w:spacing w:beforeLines="0" w:afterLines="0" w:line="360" w:lineRule="auto"/>
        <w:ind w:firstLine="464" w:firstLineChars="200"/>
        <w:rPr>
          <w:rFonts w:hAnsi="宋体"/>
          <w:color w:val="000000"/>
        </w:rPr>
      </w:pPr>
      <w:r>
        <w:rPr>
          <w:rFonts w:hint="eastAsia" w:hAnsi="宋体"/>
          <w:color w:val="000000"/>
          <w:spacing w:val="-4"/>
          <w:kern w:val="2"/>
          <w:szCs w:val="20"/>
        </w:rPr>
        <w:t>3.</w:t>
      </w:r>
      <w:r>
        <w:rPr>
          <w:rFonts w:hAnsi="宋体"/>
          <w:color w:val="000000"/>
          <w:spacing w:val="-4"/>
          <w:kern w:val="2"/>
          <w:szCs w:val="20"/>
        </w:rPr>
        <w:t>本项目评标办法是</w:t>
      </w:r>
      <w:r>
        <w:rPr>
          <w:rFonts w:hint="eastAsia" w:hAnsi="宋体"/>
          <w:color w:val="000000"/>
          <w:spacing w:val="-4"/>
          <w:kern w:val="2"/>
          <w:szCs w:val="20"/>
          <w:u w:val="single"/>
        </w:rPr>
        <w:t xml:space="preserve"> </w:t>
      </w:r>
      <w:r>
        <w:rPr>
          <w:rFonts w:hint="eastAsia" w:hAnsi="宋体"/>
          <w:b/>
          <w:color w:val="000000"/>
          <w:spacing w:val="-4"/>
          <w:kern w:val="2"/>
          <w:szCs w:val="20"/>
          <w:u w:val="single"/>
        </w:rPr>
        <w:t xml:space="preserve">综合评分法 </w:t>
      </w:r>
      <w:r>
        <w:rPr>
          <w:rFonts w:hAnsi="宋体"/>
          <w:color w:val="000000"/>
          <w:spacing w:val="-4"/>
          <w:kern w:val="2"/>
          <w:szCs w:val="20"/>
        </w:rPr>
        <w:t>，具体评标内容及评分标准等详见第</w:t>
      </w:r>
      <w:r>
        <w:rPr>
          <w:rFonts w:hint="eastAsia" w:hAnsi="宋体"/>
          <w:color w:val="000000"/>
        </w:rPr>
        <w:t>三</w:t>
      </w:r>
      <w:r>
        <w:rPr>
          <w:rFonts w:hAnsi="宋体"/>
          <w:color w:val="000000"/>
        </w:rPr>
        <w:t>章《评标办法》。</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六、定标</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（一）确定中标人</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采购人依法确定中标人后</w:t>
      </w:r>
      <w:r>
        <w:rPr>
          <w:rFonts w:hAnsi="宋体"/>
          <w:color w:val="000000"/>
          <w:spacing w:val="-4"/>
          <w:kern w:val="2"/>
          <w:szCs w:val="20"/>
        </w:rPr>
        <w:t>2个工作日内，采购代理机构以书面形式发出《中标通知书》</w:t>
      </w:r>
      <w:r>
        <w:rPr>
          <w:rFonts w:hint="eastAsia" w:hAnsi="宋体"/>
          <w:color w:val="000000"/>
          <w:spacing w:val="-4"/>
          <w:kern w:val="2"/>
          <w:szCs w:val="20"/>
        </w:rPr>
        <w:t>和《招标结果通知书》</w:t>
      </w:r>
      <w:r>
        <w:rPr>
          <w:rFonts w:hAnsi="宋体"/>
          <w:color w:val="000000"/>
          <w:spacing w:val="-4"/>
          <w:kern w:val="2"/>
          <w:szCs w:val="20"/>
        </w:rPr>
        <w:t>,并同时在相关网站上发布中标公告。</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七、合同授予</w:t>
      </w:r>
    </w:p>
    <w:p>
      <w:pPr>
        <w:snapToGrid w:val="0"/>
        <w:spacing w:line="360" w:lineRule="auto"/>
        <w:ind w:firstLine="472" w:firstLineChars="196"/>
        <w:jc w:val="left"/>
        <w:rPr>
          <w:rFonts w:ascii="宋体" w:hAnsi="宋体"/>
          <w:b/>
          <w:bCs/>
          <w:color w:val="000000"/>
          <w:sz w:val="24"/>
        </w:rPr>
      </w:pPr>
      <w:r>
        <w:rPr>
          <w:rFonts w:hint="eastAsia" w:ascii="宋体" w:hAnsi="宋体"/>
          <w:b/>
          <w:bCs/>
          <w:color w:val="000000"/>
          <w:sz w:val="24"/>
        </w:rPr>
        <w:t>（一）签订合同</w:t>
      </w:r>
    </w:p>
    <w:p>
      <w:pPr>
        <w:pStyle w:val="16"/>
        <w:snapToGrid w:val="0"/>
        <w:spacing w:beforeLines="0" w:afterLines="0" w:line="360" w:lineRule="auto"/>
        <w:ind w:firstLine="464" w:firstLineChars="200"/>
        <w:rPr>
          <w:rFonts w:hAnsi="宋体"/>
          <w:color w:val="000000"/>
          <w:spacing w:val="-4"/>
          <w:kern w:val="2"/>
          <w:szCs w:val="20"/>
        </w:rPr>
      </w:pPr>
      <w:r>
        <w:rPr>
          <w:rFonts w:hAnsi="宋体"/>
          <w:color w:val="000000"/>
          <w:spacing w:val="-4"/>
          <w:kern w:val="2"/>
          <w:szCs w:val="20"/>
        </w:rPr>
        <w:t>1</w:t>
      </w:r>
      <w:r>
        <w:rPr>
          <w:rFonts w:hint="eastAsia" w:hAnsi="宋体"/>
          <w:color w:val="000000"/>
          <w:spacing w:val="-4"/>
          <w:kern w:val="2"/>
          <w:szCs w:val="20"/>
        </w:rPr>
        <w:t>.采购人与</w:t>
      </w:r>
      <w:r>
        <w:rPr>
          <w:rFonts w:hAnsi="宋体"/>
          <w:color w:val="000000"/>
          <w:spacing w:val="-4"/>
          <w:kern w:val="2"/>
          <w:szCs w:val="20"/>
        </w:rPr>
        <w:t>中标人应</w:t>
      </w:r>
      <w:r>
        <w:rPr>
          <w:rFonts w:hint="eastAsia" w:hAnsi="宋体"/>
          <w:color w:val="000000"/>
          <w:spacing w:val="-4"/>
          <w:kern w:val="2"/>
          <w:szCs w:val="20"/>
        </w:rPr>
        <w:t>当在《</w:t>
      </w:r>
      <w:r>
        <w:rPr>
          <w:rFonts w:hAnsi="宋体"/>
          <w:color w:val="000000"/>
          <w:spacing w:val="-4"/>
          <w:kern w:val="2"/>
          <w:szCs w:val="20"/>
        </w:rPr>
        <w:t>中标通知书</w:t>
      </w:r>
      <w:r>
        <w:rPr>
          <w:rFonts w:hint="eastAsia" w:hAnsi="宋体"/>
          <w:color w:val="000000"/>
          <w:spacing w:val="-4"/>
          <w:kern w:val="2"/>
          <w:szCs w:val="20"/>
        </w:rPr>
        <w:t>》发出之日起30日内签订政府采购合同。</w:t>
      </w:r>
    </w:p>
    <w:p>
      <w:pPr>
        <w:pStyle w:val="16"/>
        <w:snapToGrid w:val="0"/>
        <w:spacing w:beforeLines="0" w:afterLines="0" w:line="360" w:lineRule="auto"/>
        <w:ind w:firstLine="464" w:firstLineChars="200"/>
        <w:rPr>
          <w:rFonts w:hAnsi="宋体"/>
          <w:color w:val="000000"/>
          <w:spacing w:val="-4"/>
          <w:kern w:val="2"/>
          <w:szCs w:val="20"/>
        </w:rPr>
      </w:pPr>
      <w:r>
        <w:rPr>
          <w:rFonts w:hAnsi="宋体"/>
          <w:color w:val="000000"/>
          <w:spacing w:val="-4"/>
          <w:kern w:val="2"/>
          <w:szCs w:val="20"/>
        </w:rPr>
        <w:t>2</w:t>
      </w:r>
      <w:r>
        <w:rPr>
          <w:rFonts w:hint="eastAsia" w:hAnsi="宋体"/>
          <w:color w:val="000000"/>
          <w:spacing w:val="-4"/>
          <w:kern w:val="2"/>
          <w:szCs w:val="20"/>
        </w:rPr>
        <w:t>.</w:t>
      </w:r>
      <w:r>
        <w:rPr>
          <w:rFonts w:hAnsi="宋体"/>
          <w:color w:val="000000"/>
          <w:spacing w:val="-4"/>
          <w:kern w:val="2"/>
          <w:szCs w:val="20"/>
        </w:rPr>
        <w:t>中标人拖延、拒签合同的,将被取消中标资格。</w:t>
      </w:r>
    </w:p>
    <w:p>
      <w:pPr>
        <w:snapToGrid w:val="0"/>
        <w:spacing w:line="360" w:lineRule="auto"/>
        <w:ind w:firstLine="472" w:firstLineChars="196"/>
        <w:jc w:val="left"/>
        <w:rPr>
          <w:rFonts w:ascii="宋体" w:hAnsi="宋体"/>
          <w:b/>
          <w:bCs/>
          <w:color w:val="000000"/>
          <w:sz w:val="24"/>
        </w:rPr>
      </w:pPr>
      <w:r>
        <w:rPr>
          <w:rFonts w:ascii="宋体" w:hAnsi="宋体"/>
          <w:b/>
          <w:bCs/>
          <w:color w:val="000000"/>
          <w:sz w:val="24"/>
        </w:rPr>
        <w:t>（二）履约保证金</w:t>
      </w:r>
    </w:p>
    <w:p>
      <w:pPr>
        <w:pStyle w:val="16"/>
        <w:snapToGrid w:val="0"/>
        <w:spacing w:beforeLines="0" w:afterLines="0" w:line="360" w:lineRule="auto"/>
        <w:ind w:firstLine="464" w:firstLineChars="200"/>
        <w:rPr>
          <w:rFonts w:hAnsi="宋体"/>
          <w:color w:val="000000"/>
          <w:spacing w:val="-4"/>
          <w:kern w:val="2"/>
          <w:szCs w:val="20"/>
        </w:rPr>
      </w:pPr>
      <w:r>
        <w:rPr>
          <w:rFonts w:hAnsi="宋体"/>
          <w:color w:val="000000"/>
          <w:spacing w:val="-4"/>
          <w:kern w:val="2"/>
          <w:szCs w:val="20"/>
        </w:rPr>
        <w:t>1</w:t>
      </w:r>
      <w:r>
        <w:rPr>
          <w:rFonts w:hint="eastAsia" w:hAnsi="宋体"/>
          <w:color w:val="000000"/>
          <w:spacing w:val="-4"/>
          <w:kern w:val="2"/>
          <w:szCs w:val="20"/>
        </w:rPr>
        <w:t>.</w:t>
      </w:r>
      <w:r>
        <w:rPr>
          <w:rFonts w:hAnsi="宋体"/>
          <w:color w:val="000000"/>
          <w:spacing w:val="-4"/>
          <w:kern w:val="2"/>
          <w:szCs w:val="20"/>
        </w:rPr>
        <w:t>中标人应按招标文件确定的履约保证金金额，向采购</w:t>
      </w:r>
      <w:r>
        <w:rPr>
          <w:rFonts w:hint="eastAsia" w:hAnsi="宋体"/>
          <w:color w:val="000000"/>
          <w:spacing w:val="-4"/>
          <w:kern w:val="2"/>
          <w:szCs w:val="20"/>
        </w:rPr>
        <w:t>人</w:t>
      </w:r>
      <w:r>
        <w:rPr>
          <w:rFonts w:hAnsi="宋体"/>
          <w:color w:val="000000"/>
          <w:spacing w:val="-4"/>
          <w:kern w:val="2"/>
          <w:szCs w:val="20"/>
        </w:rPr>
        <w:t>交纳履约保证金。</w:t>
      </w:r>
    </w:p>
    <w:p>
      <w:pPr>
        <w:pStyle w:val="16"/>
        <w:snapToGrid w:val="0"/>
        <w:spacing w:beforeLines="0" w:afterLines="0" w:line="360" w:lineRule="auto"/>
        <w:ind w:firstLine="464" w:firstLineChars="200"/>
        <w:rPr>
          <w:rFonts w:hAnsi="宋体"/>
          <w:color w:val="000000"/>
          <w:spacing w:val="-4"/>
          <w:kern w:val="2"/>
          <w:szCs w:val="20"/>
        </w:rPr>
      </w:pPr>
      <w:r>
        <w:rPr>
          <w:rFonts w:hAnsi="宋体"/>
          <w:color w:val="000000"/>
          <w:spacing w:val="-4"/>
          <w:kern w:val="2"/>
          <w:szCs w:val="20"/>
        </w:rPr>
        <w:t>2</w:t>
      </w:r>
      <w:r>
        <w:rPr>
          <w:rFonts w:hint="eastAsia" w:hAnsi="宋体"/>
          <w:color w:val="000000"/>
          <w:spacing w:val="-4"/>
          <w:kern w:val="2"/>
          <w:szCs w:val="20"/>
        </w:rPr>
        <w:t>.</w:t>
      </w:r>
      <w:r>
        <w:rPr>
          <w:rFonts w:hAnsi="宋体"/>
          <w:color w:val="000000"/>
          <w:spacing w:val="-4"/>
          <w:kern w:val="2"/>
          <w:szCs w:val="20"/>
        </w:rPr>
        <w:t>签订合同后，如中标人不按双方合同约定履约，则没收其全部履约保证金。</w:t>
      </w:r>
    </w:p>
    <w:p>
      <w:pPr>
        <w:snapToGrid w:val="0"/>
        <w:spacing w:line="360" w:lineRule="auto"/>
        <w:rPr>
          <w:rFonts w:hint="eastAsia" w:ascii="宋体" w:hAnsi="宋体"/>
          <w:color w:val="000000"/>
          <w:szCs w:val="21"/>
        </w:rPr>
      </w:pPr>
    </w:p>
    <w:p>
      <w:pPr>
        <w:pStyle w:val="16"/>
        <w:pageBreakBefore/>
        <w:snapToGrid w:val="0"/>
        <w:spacing w:beforeLines="0" w:afterLines="0" w:line="360" w:lineRule="auto"/>
        <w:ind w:firstLine="600" w:firstLineChars="200"/>
        <w:jc w:val="center"/>
        <w:outlineLvl w:val="0"/>
        <w:rPr>
          <w:rFonts w:hint="eastAsia" w:hAnsi="宋体"/>
          <w:color w:val="000000"/>
        </w:rPr>
      </w:pPr>
      <w:bookmarkStart w:id="42" w:name="_Toc44755896"/>
      <w:r>
        <w:rPr>
          <w:rFonts w:hint="eastAsia" w:hAnsi="宋体"/>
          <w:color w:val="000000"/>
          <w:sz w:val="30"/>
          <w:szCs w:val="30"/>
        </w:rPr>
        <w:t>第三章  评标办法</w:t>
      </w:r>
      <w:bookmarkEnd w:id="42"/>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为公正、公平、科学地选择中标人，根据《中华人民共和国政府采购法》等有关法律法规的规定，并结合本项目的实际，制定本办法。</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本办法适用于</w:t>
      </w:r>
      <w:r>
        <w:rPr>
          <w:rFonts w:hint="eastAsia" w:hAnsi="宋体"/>
          <w:color w:val="000000"/>
          <w:spacing w:val="-4"/>
          <w:kern w:val="2"/>
          <w:szCs w:val="20"/>
          <w:u w:val="single"/>
        </w:rPr>
        <w:t xml:space="preserve"> </w:t>
      </w:r>
      <w:r>
        <w:rPr>
          <w:rFonts w:hint="eastAsia" w:hAnsi="宋体"/>
          <w:b/>
          <w:color w:val="000000"/>
          <w:spacing w:val="-4"/>
          <w:kern w:val="2"/>
          <w:szCs w:val="20"/>
          <w:u w:val="single"/>
        </w:rPr>
        <w:t xml:space="preserve">指挥中心迁建项目 </w:t>
      </w:r>
      <w:r>
        <w:rPr>
          <w:rFonts w:hint="eastAsia" w:hAnsi="宋体"/>
          <w:color w:val="000000"/>
          <w:spacing w:val="-4"/>
          <w:kern w:val="2"/>
          <w:szCs w:val="20"/>
        </w:rPr>
        <w:t>的评标。</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一、总则</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本次评标采用综合评分法，总分为100分，其中价格分</w:t>
      </w:r>
      <w:r>
        <w:rPr>
          <w:rFonts w:hint="eastAsia" w:hAnsi="宋体"/>
          <w:b/>
          <w:color w:val="000000"/>
          <w:spacing w:val="-4"/>
          <w:kern w:val="2"/>
          <w:szCs w:val="20"/>
          <w:u w:val="single"/>
        </w:rPr>
        <w:t xml:space="preserve"> </w:t>
      </w:r>
      <w:r>
        <w:rPr>
          <w:rFonts w:hAnsi="宋体"/>
          <w:b/>
          <w:color w:val="000000"/>
          <w:spacing w:val="-4"/>
          <w:kern w:val="2"/>
          <w:szCs w:val="20"/>
          <w:u w:val="single"/>
        </w:rPr>
        <w:t>3</w:t>
      </w:r>
      <w:r>
        <w:rPr>
          <w:rFonts w:hint="eastAsia" w:hAnsi="宋体"/>
          <w:b/>
          <w:color w:val="000000"/>
          <w:spacing w:val="-4"/>
          <w:kern w:val="2"/>
          <w:szCs w:val="20"/>
          <w:u w:val="single"/>
        </w:rPr>
        <w:t xml:space="preserve">0 </w:t>
      </w:r>
      <w:r>
        <w:rPr>
          <w:rFonts w:hint="eastAsia" w:hAnsi="宋体"/>
          <w:color w:val="000000"/>
          <w:spacing w:val="-4"/>
          <w:kern w:val="2"/>
          <w:szCs w:val="20"/>
        </w:rPr>
        <w:t>分、资信及商务分</w:t>
      </w:r>
      <w:r>
        <w:rPr>
          <w:rFonts w:hint="eastAsia" w:hAnsi="宋体"/>
          <w:color w:val="000000"/>
          <w:spacing w:val="-4"/>
          <w:kern w:val="2"/>
          <w:szCs w:val="20"/>
          <w:u w:val="single"/>
        </w:rPr>
        <w:t xml:space="preserve"> </w:t>
      </w:r>
      <w:r>
        <w:rPr>
          <w:rFonts w:hAnsi="宋体"/>
          <w:b/>
          <w:color w:val="000000"/>
          <w:spacing w:val="-4"/>
          <w:kern w:val="2"/>
          <w:szCs w:val="20"/>
          <w:u w:val="single"/>
        </w:rPr>
        <w:t xml:space="preserve">12 </w:t>
      </w:r>
      <w:r>
        <w:rPr>
          <w:rFonts w:hint="eastAsia" w:hAnsi="宋体"/>
          <w:color w:val="000000"/>
          <w:spacing w:val="-4"/>
          <w:kern w:val="2"/>
          <w:szCs w:val="20"/>
        </w:rPr>
        <w:t>分、技术分</w:t>
      </w:r>
      <w:r>
        <w:rPr>
          <w:rFonts w:hint="eastAsia" w:hAnsi="宋体"/>
          <w:color w:val="000000"/>
          <w:spacing w:val="-4"/>
          <w:kern w:val="2"/>
          <w:szCs w:val="20"/>
          <w:u w:val="single"/>
        </w:rPr>
        <w:t xml:space="preserve"> </w:t>
      </w:r>
      <w:r>
        <w:rPr>
          <w:rFonts w:hAnsi="宋体"/>
          <w:b/>
          <w:color w:val="000000"/>
          <w:spacing w:val="-4"/>
          <w:kern w:val="2"/>
          <w:szCs w:val="20"/>
          <w:u w:val="single"/>
        </w:rPr>
        <w:t xml:space="preserve">58 </w:t>
      </w:r>
      <w:r>
        <w:rPr>
          <w:rFonts w:hint="eastAsia" w:hAnsi="宋体"/>
          <w:color w:val="000000"/>
          <w:spacing w:val="-4"/>
          <w:kern w:val="2"/>
          <w:szCs w:val="20"/>
        </w:rPr>
        <w:t>分三部分。合格投标人的评标得分为各项目汇总得分，中标候选资格按评标得分由高到低顺序排列，得分相同的，按投标报价由低到高顺序排列；得分且投标报价相同的，按技术得分由高到低顺序排列。评分过程中采用四舍五入法，并保留小数2位。除财政部门另有规定外，评标委员会推荐得分排列前</w:t>
      </w:r>
      <w:r>
        <w:rPr>
          <w:rFonts w:hint="eastAsia" w:hAnsi="宋体"/>
          <w:b/>
          <w:color w:val="000000"/>
          <w:spacing w:val="-4"/>
          <w:kern w:val="2"/>
          <w:szCs w:val="20"/>
          <w:u w:val="single"/>
        </w:rPr>
        <w:t xml:space="preserve"> </w:t>
      </w:r>
      <w:r>
        <w:rPr>
          <w:rFonts w:hAnsi="宋体"/>
          <w:b/>
          <w:color w:val="000000"/>
          <w:spacing w:val="-4"/>
          <w:kern w:val="2"/>
          <w:szCs w:val="20"/>
          <w:u w:val="single"/>
        </w:rPr>
        <w:t>2</w:t>
      </w:r>
      <w:r>
        <w:rPr>
          <w:rFonts w:hint="eastAsia" w:hAnsi="宋体"/>
          <w:b/>
          <w:color w:val="000000"/>
          <w:spacing w:val="-4"/>
          <w:kern w:val="2"/>
          <w:szCs w:val="20"/>
          <w:u w:val="single"/>
        </w:rPr>
        <w:t xml:space="preserve"> </w:t>
      </w:r>
      <w:r>
        <w:rPr>
          <w:rFonts w:hint="eastAsia" w:hAnsi="宋体"/>
          <w:color w:val="000000"/>
          <w:spacing w:val="-4"/>
          <w:kern w:val="2"/>
          <w:szCs w:val="20"/>
        </w:rPr>
        <w:t>名的投标人为中标候选人。</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技术、资信及商务分=评标委员会所有成员评分合计数/评标委员会组成人员数</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投标人评标综合得分=价格分+技术分+资信及商务分</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二、资格审查</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招标人或者招标代理机构对</w:t>
      </w:r>
      <w:r>
        <w:rPr>
          <w:rFonts w:hAnsi="宋体"/>
          <w:color w:val="000000"/>
          <w:spacing w:val="-4"/>
          <w:kern w:val="2"/>
          <w:szCs w:val="20"/>
        </w:rPr>
        <w:t>各</w:t>
      </w:r>
      <w:r>
        <w:rPr>
          <w:rFonts w:hint="eastAsia" w:hAnsi="宋体"/>
          <w:color w:val="000000"/>
          <w:spacing w:val="-4"/>
          <w:kern w:val="2"/>
          <w:szCs w:val="20"/>
        </w:rPr>
        <w:t>投标人的资格进行审查，投标人资格条件不符合招标文件要求的投标无效，不再进入符合性审查。</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三、符合性审查</w:t>
      </w:r>
    </w:p>
    <w:p>
      <w:pPr>
        <w:pStyle w:val="16"/>
        <w:snapToGrid w:val="0"/>
        <w:spacing w:beforeLines="0" w:afterLines="0" w:line="360" w:lineRule="auto"/>
        <w:ind w:firstLine="464" w:firstLineChars="200"/>
        <w:rPr>
          <w:rFonts w:hAnsi="宋体"/>
          <w:color w:val="000000"/>
          <w:spacing w:val="-4"/>
          <w:kern w:val="2"/>
          <w:szCs w:val="20"/>
        </w:rPr>
      </w:pPr>
      <w:r>
        <w:rPr>
          <w:rFonts w:hint="eastAsia" w:hAnsi="宋体"/>
          <w:color w:val="000000"/>
          <w:spacing w:val="-4"/>
          <w:kern w:val="2"/>
          <w:szCs w:val="20"/>
        </w:rPr>
        <w:t>评标委员会</w:t>
      </w:r>
      <w:r>
        <w:rPr>
          <w:rFonts w:hAnsi="宋体"/>
          <w:color w:val="000000"/>
          <w:spacing w:val="-4"/>
          <w:kern w:val="2"/>
          <w:szCs w:val="20"/>
        </w:rPr>
        <w:t>对</w:t>
      </w:r>
      <w:r>
        <w:rPr>
          <w:rFonts w:hint="eastAsia" w:hAnsi="宋体"/>
          <w:color w:val="000000"/>
          <w:spacing w:val="-4"/>
          <w:kern w:val="2"/>
          <w:szCs w:val="20"/>
        </w:rPr>
        <w:t>资格审查合格的</w:t>
      </w:r>
      <w:r>
        <w:rPr>
          <w:rFonts w:hAnsi="宋体"/>
          <w:color w:val="000000"/>
          <w:spacing w:val="-4"/>
          <w:kern w:val="2"/>
          <w:szCs w:val="20"/>
        </w:rPr>
        <w:t>投标文件进行</w:t>
      </w:r>
      <w:r>
        <w:rPr>
          <w:rFonts w:hint="eastAsia" w:hAnsi="宋体"/>
          <w:color w:val="000000"/>
          <w:spacing w:val="-4"/>
          <w:kern w:val="2"/>
          <w:szCs w:val="20"/>
        </w:rPr>
        <w:t>符合</w:t>
      </w:r>
      <w:r>
        <w:rPr>
          <w:rFonts w:hAnsi="宋体"/>
          <w:color w:val="000000"/>
          <w:spacing w:val="-4"/>
          <w:kern w:val="2"/>
          <w:szCs w:val="20"/>
        </w:rPr>
        <w:t>性审查，确定是否对招标文件</w:t>
      </w:r>
      <w:r>
        <w:rPr>
          <w:rFonts w:hint="eastAsia" w:hAnsi="宋体"/>
          <w:color w:val="000000"/>
          <w:spacing w:val="-4"/>
          <w:kern w:val="2"/>
          <w:szCs w:val="20"/>
        </w:rPr>
        <w:t>作出了实质性响应</w:t>
      </w:r>
      <w:r>
        <w:rPr>
          <w:rFonts w:hAnsi="宋体"/>
          <w:color w:val="000000"/>
          <w:spacing w:val="-4"/>
          <w:kern w:val="2"/>
          <w:szCs w:val="20"/>
        </w:rPr>
        <w:t>。</w:t>
      </w:r>
      <w:r>
        <w:rPr>
          <w:rFonts w:hint="eastAsia" w:hAnsi="宋体"/>
          <w:color w:val="000000"/>
          <w:spacing w:val="-4"/>
          <w:kern w:val="2"/>
          <w:szCs w:val="20"/>
        </w:rPr>
        <w:t>符合性审查不合格的投标无效，不再进行商务和技术评估、综合比较与评价。投标人不得通过修正或撤消不合要求的偏离或保留从而使其投标成为有效投标，但经评标委员会认定属于投标人疏忽、笔误所造成的差错，应当允许其在评标结束之前进行修改或者补正（可以是复印件、传真件等）。修改或者补正投标文件必须通过电子交易平台进行，并应在中标结果公告之前查核原件。限期内不补正或经补正后仍不符合招标文件要求的，应认定其投标无效。</w:t>
      </w:r>
    </w:p>
    <w:p>
      <w:pPr>
        <w:pStyle w:val="16"/>
        <w:snapToGrid w:val="0"/>
        <w:spacing w:beforeLines="0" w:afterLines="0" w:line="360" w:lineRule="auto"/>
        <w:ind w:firstLine="466" w:firstLineChars="200"/>
        <w:rPr>
          <w:rFonts w:hint="eastAsia" w:hAnsi="宋体"/>
          <w:b/>
          <w:color w:val="000000"/>
          <w:spacing w:val="-4"/>
          <w:kern w:val="2"/>
          <w:szCs w:val="20"/>
        </w:rPr>
      </w:pPr>
      <w:r>
        <w:rPr>
          <w:rFonts w:hAnsi="宋体"/>
          <w:b/>
          <w:color w:val="000000"/>
          <w:spacing w:val="-4"/>
          <w:kern w:val="2"/>
          <w:szCs w:val="20"/>
        </w:rPr>
        <w:t>1</w:t>
      </w:r>
      <w:r>
        <w:rPr>
          <w:rFonts w:hint="eastAsia" w:hAnsi="宋体"/>
          <w:b/>
          <w:color w:val="000000"/>
          <w:spacing w:val="-4"/>
          <w:kern w:val="2"/>
          <w:szCs w:val="20"/>
        </w:rPr>
        <w:t>.</w:t>
      </w:r>
      <w:r>
        <w:rPr>
          <w:rFonts w:hAnsi="宋体"/>
          <w:b/>
          <w:color w:val="000000"/>
          <w:spacing w:val="-4"/>
          <w:kern w:val="2"/>
          <w:szCs w:val="20"/>
        </w:rPr>
        <w:t>在商务</w:t>
      </w:r>
      <w:r>
        <w:rPr>
          <w:rFonts w:hint="eastAsia" w:hAnsi="宋体"/>
          <w:b/>
          <w:color w:val="000000"/>
          <w:spacing w:val="-4"/>
          <w:kern w:val="2"/>
          <w:szCs w:val="20"/>
        </w:rPr>
        <w:t>、技术</w:t>
      </w:r>
      <w:r>
        <w:rPr>
          <w:rFonts w:hAnsi="宋体"/>
          <w:b/>
          <w:color w:val="000000"/>
          <w:spacing w:val="-4"/>
          <w:kern w:val="2"/>
          <w:szCs w:val="20"/>
        </w:rPr>
        <w:t>评审时，如发现下列情形之一的，投标</w:t>
      </w:r>
      <w:r>
        <w:rPr>
          <w:rFonts w:hint="eastAsia" w:hAnsi="宋体"/>
          <w:b/>
          <w:color w:val="000000"/>
          <w:spacing w:val="-4"/>
          <w:kern w:val="2"/>
          <w:szCs w:val="20"/>
        </w:rPr>
        <w:t>文件</w:t>
      </w:r>
      <w:r>
        <w:rPr>
          <w:rFonts w:hAnsi="宋体"/>
          <w:b/>
          <w:color w:val="000000"/>
          <w:spacing w:val="-4"/>
          <w:kern w:val="2"/>
          <w:szCs w:val="20"/>
        </w:rPr>
        <w:t>将被视为无效：</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（1）单位负责人为同一人或者存在直接控股、管理关系的不同供应商，同时参加同一合同项下投标的。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（2）为项目提供整体设计、规范编制或者项目管理、监理、检测等服务的供应商，再参加本采购项目的其他采购活动的。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3）截至投标文件递交截止前1日历天17:00（北京时间），投标人被列入“信用中国”网(www.creditchina.gov.cn)和“中国政府采购网”（www.ccgp.gov.cn）失信被执行人、重大税收违法案件当事人名单、政府采购严重违法失信行为记录名单且尚处于禁止参加政府采购活动期内的。联合体成员存在上述不良信用记录的，视同联合体存在不良信用记录。</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（4）投标文件未按招标文件要求盖章的；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（5）未提供投标声明书或填写项目不齐全的；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（6）投标有效期不满足招标文件要求的；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（7）招标文件不接受联合体投标而采用联合体投标的；以联合体形式进行投标的，在投标文件中未提交联合体协议的；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（8）未提供或未如实提供投标货物的技术参数，或者投标文件标明的商务、技术响应与事实不符或虚假投标的；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（9）未响应招标文件标注“▲”的实质性要求的；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（10）允许偏离的技术、性能指标或者功能发生负偏离达10项（含）以上的；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（11）投标技术方案不明确，存在一个或一个以上备选（替代）投标方案的；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（12）投标文件含有采购人不能接受的附加条件的；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（13）不同投标人的投标文件由同一单位或者个人编制的；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（14）不同投标人委托同一单位或者个人办理投标事宜的；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（15） 不同投标人的投标文件载明的项目管理成员或者联系人员为同一人的；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（16）不同投标人的投标文件异常一致或者投标报价呈规律性差异的；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（17）不同投标人的投标文件相互混装的；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（18）法律、法规和招标文件规定的其他无效情形。</w:t>
      </w:r>
    </w:p>
    <w:p>
      <w:pPr>
        <w:pStyle w:val="16"/>
        <w:snapToGrid w:val="0"/>
        <w:spacing w:beforeLines="0" w:afterLines="0" w:line="360" w:lineRule="auto"/>
        <w:ind w:firstLine="466" w:firstLineChars="200"/>
        <w:rPr>
          <w:rFonts w:hAnsi="宋体"/>
          <w:b/>
          <w:color w:val="000000"/>
          <w:spacing w:val="-4"/>
          <w:kern w:val="2"/>
          <w:szCs w:val="20"/>
        </w:rPr>
      </w:pPr>
      <w:r>
        <w:rPr>
          <w:rFonts w:hint="eastAsia" w:hAnsi="宋体"/>
          <w:b/>
          <w:color w:val="000000"/>
          <w:spacing w:val="-4"/>
          <w:kern w:val="2"/>
          <w:szCs w:val="20"/>
        </w:rPr>
        <w:t>2.</w:t>
      </w:r>
      <w:r>
        <w:rPr>
          <w:rFonts w:hAnsi="宋体"/>
          <w:b/>
          <w:color w:val="000000"/>
          <w:spacing w:val="-4"/>
          <w:kern w:val="2"/>
          <w:szCs w:val="20"/>
        </w:rPr>
        <w:t>在报价评审时，如发现下列情形之一的，投标将被视为无效：</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（1）报价超过招标文件中规定的预算金额/最高限价的；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（2）投标报价具有选择性的；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（3）</w:t>
      </w:r>
      <w:r>
        <w:rPr>
          <w:rFonts w:hAnsi="宋体"/>
          <w:color w:val="000000"/>
          <w:spacing w:val="-4"/>
          <w:kern w:val="2"/>
          <w:szCs w:val="20"/>
        </w:rPr>
        <w:t>不接受</w:t>
      </w:r>
      <w:r>
        <w:rPr>
          <w:rFonts w:hint="eastAsia" w:hAnsi="宋体"/>
          <w:color w:val="000000"/>
          <w:spacing w:val="-4"/>
          <w:kern w:val="2"/>
          <w:szCs w:val="20"/>
        </w:rPr>
        <w:t>按招标文件规定的</w:t>
      </w:r>
      <w:r>
        <w:rPr>
          <w:rFonts w:hAnsi="宋体"/>
          <w:color w:val="000000"/>
          <w:spacing w:val="-4"/>
          <w:kern w:val="2"/>
          <w:szCs w:val="20"/>
        </w:rPr>
        <w:t>修正错误原则修正后的报价</w:t>
      </w:r>
      <w:r>
        <w:rPr>
          <w:rFonts w:hint="eastAsia" w:hAnsi="宋体"/>
          <w:color w:val="000000"/>
          <w:spacing w:val="-4"/>
          <w:kern w:val="2"/>
          <w:szCs w:val="20"/>
        </w:rPr>
        <w:t>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（4）报价明显低于其他通过符合性审查投标人的报价，且投标人不能证明其报价合理性，有可能影响产品质量或者不能诚信履约的；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（5）法律、法规和招标文件规定的其他无效情形。</w:t>
      </w:r>
    </w:p>
    <w:p>
      <w:pPr>
        <w:snapToGrid w:val="0"/>
        <w:spacing w:line="360" w:lineRule="auto"/>
        <w:ind w:firstLine="472" w:firstLineChars="196"/>
        <w:jc w:val="left"/>
        <w:rPr>
          <w:rFonts w:hint="eastAsia" w:ascii="宋体" w:hAnsi="宋体"/>
          <w:b/>
          <w:bCs/>
          <w:color w:val="000000"/>
          <w:sz w:val="24"/>
        </w:rPr>
      </w:pPr>
      <w:r>
        <w:rPr>
          <w:rFonts w:hint="eastAsia" w:ascii="宋体" w:hAnsi="宋体"/>
          <w:b/>
          <w:bCs/>
          <w:color w:val="000000"/>
          <w:sz w:val="24"/>
        </w:rPr>
        <w:t xml:space="preserve">四、评审内容及标准 </w:t>
      </w:r>
    </w:p>
    <w:p>
      <w:pPr>
        <w:pStyle w:val="16"/>
        <w:snapToGrid w:val="0"/>
        <w:spacing w:beforeLines="0" w:afterLines="0" w:line="360" w:lineRule="auto"/>
        <w:ind w:firstLine="466" w:firstLineChars="200"/>
        <w:rPr>
          <w:rFonts w:hint="eastAsia" w:hAnsi="宋体"/>
          <w:b/>
          <w:color w:val="000000"/>
          <w:spacing w:val="-4"/>
          <w:kern w:val="2"/>
          <w:szCs w:val="20"/>
        </w:rPr>
      </w:pPr>
      <w:r>
        <w:rPr>
          <w:rFonts w:hint="eastAsia" w:hAnsi="宋体"/>
          <w:b/>
          <w:color w:val="000000"/>
          <w:spacing w:val="-4"/>
          <w:kern w:val="2"/>
          <w:szCs w:val="20"/>
        </w:rPr>
        <w:t>（一）商务部分（12分）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7720"/>
        <w:gridCol w:w="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jc w:val="center"/>
        </w:trPr>
        <w:tc>
          <w:tcPr>
            <w:tcW w:w="1234" w:type="dxa"/>
            <w:noWrap w:val="0"/>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评审因素</w:t>
            </w:r>
          </w:p>
        </w:tc>
        <w:tc>
          <w:tcPr>
            <w:tcW w:w="7720" w:type="dxa"/>
            <w:noWrap w:val="0"/>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内容</w:t>
            </w:r>
          </w:p>
        </w:tc>
        <w:tc>
          <w:tcPr>
            <w:tcW w:w="681" w:type="dxa"/>
            <w:noWrap w:val="0"/>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88" w:hRule="atLeast"/>
          <w:jc w:val="center"/>
        </w:trPr>
        <w:tc>
          <w:tcPr>
            <w:tcW w:w="1234" w:type="dxa"/>
            <w:noWrap w:val="0"/>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综合实力</w:t>
            </w:r>
          </w:p>
        </w:tc>
        <w:tc>
          <w:tcPr>
            <w:tcW w:w="7720" w:type="dxa"/>
            <w:noWrap w:val="0"/>
            <w:vAlign w:val="center"/>
          </w:tcPr>
          <w:p>
            <w:pPr>
              <w:widowControl/>
              <w:jc w:val="left"/>
              <w:rPr>
                <w:rFonts w:ascii="宋体" w:hAnsi="宋体" w:eastAsia="宋体" w:cs="仿宋_GB2312"/>
                <w:color w:val="000000"/>
                <w:szCs w:val="21"/>
              </w:rPr>
            </w:pPr>
            <w:r>
              <w:rPr>
                <w:rFonts w:hint="eastAsia" w:ascii="宋体" w:hAnsi="宋体" w:eastAsia="宋体" w:cs="仿宋_GB2312"/>
                <w:color w:val="000000"/>
                <w:szCs w:val="21"/>
              </w:rPr>
              <w:t>具有ISO9001质量管理体系认证证书的得</w:t>
            </w:r>
            <w:r>
              <w:rPr>
                <w:rFonts w:ascii="宋体" w:hAnsi="宋体" w:eastAsia="宋体" w:cs="仿宋_GB2312"/>
                <w:color w:val="000000"/>
                <w:szCs w:val="21"/>
              </w:rPr>
              <w:t>1</w:t>
            </w:r>
            <w:r>
              <w:rPr>
                <w:rFonts w:hint="eastAsia" w:ascii="宋体" w:hAnsi="宋体" w:eastAsia="宋体" w:cs="仿宋_GB2312"/>
                <w:color w:val="000000"/>
                <w:szCs w:val="21"/>
              </w:rPr>
              <w:t>分；</w:t>
            </w:r>
          </w:p>
          <w:p>
            <w:pPr>
              <w:widowControl/>
              <w:jc w:val="left"/>
              <w:rPr>
                <w:rFonts w:hint="eastAsia" w:ascii="宋体" w:hAnsi="宋体" w:eastAsia="宋体" w:cs="仿宋_GB2312"/>
                <w:color w:val="000000"/>
                <w:szCs w:val="21"/>
              </w:rPr>
            </w:pPr>
            <w:r>
              <w:rPr>
                <w:rFonts w:hint="eastAsia" w:ascii="宋体" w:hAnsi="宋体" w:eastAsia="宋体" w:cs="仿宋_GB2312"/>
                <w:color w:val="000000"/>
                <w:szCs w:val="21"/>
              </w:rPr>
              <w:t>具有ISO14001环境管理体系认证证书的得</w:t>
            </w:r>
            <w:r>
              <w:rPr>
                <w:rFonts w:ascii="宋体" w:hAnsi="宋体" w:eastAsia="宋体" w:cs="仿宋_GB2312"/>
                <w:color w:val="000000"/>
                <w:szCs w:val="21"/>
              </w:rPr>
              <w:t>1</w:t>
            </w:r>
            <w:r>
              <w:rPr>
                <w:rFonts w:hint="eastAsia" w:ascii="宋体" w:hAnsi="宋体" w:eastAsia="宋体" w:cs="仿宋_GB2312"/>
                <w:color w:val="000000"/>
                <w:szCs w:val="21"/>
              </w:rPr>
              <w:t>分；</w:t>
            </w:r>
          </w:p>
          <w:p>
            <w:pPr>
              <w:widowControl/>
              <w:jc w:val="left"/>
              <w:rPr>
                <w:rFonts w:hint="eastAsia" w:ascii="宋体" w:hAnsi="宋体" w:eastAsia="宋体" w:cs="仿宋_GB2312"/>
                <w:color w:val="000000"/>
                <w:szCs w:val="21"/>
              </w:rPr>
            </w:pPr>
            <w:r>
              <w:rPr>
                <w:rFonts w:hint="eastAsia" w:ascii="宋体" w:hAnsi="宋体" w:eastAsia="宋体" w:cs="仿宋_GB2312"/>
                <w:color w:val="000000"/>
                <w:szCs w:val="21"/>
              </w:rPr>
              <w:t>具有ISO45001职业健康安全管理体系的得1分；</w:t>
            </w:r>
          </w:p>
          <w:p>
            <w:pPr>
              <w:widowControl/>
              <w:jc w:val="left"/>
              <w:rPr>
                <w:rFonts w:ascii="宋体" w:hAnsi="宋体" w:eastAsia="宋体" w:cs="仿宋_GB2312"/>
                <w:color w:val="000000"/>
                <w:szCs w:val="21"/>
              </w:rPr>
            </w:pPr>
            <w:r>
              <w:rPr>
                <w:rFonts w:hint="eastAsia" w:ascii="宋体" w:hAnsi="宋体" w:eastAsia="宋体" w:cs="仿宋_GB2312"/>
                <w:color w:val="000000"/>
                <w:szCs w:val="21"/>
              </w:rPr>
              <w:t>具有ISO27001信息安全管理体系认证证书的得</w:t>
            </w:r>
            <w:r>
              <w:rPr>
                <w:rFonts w:ascii="宋体" w:hAnsi="宋体" w:eastAsia="宋体" w:cs="仿宋_GB2312"/>
                <w:color w:val="000000"/>
                <w:szCs w:val="21"/>
              </w:rPr>
              <w:t>1</w:t>
            </w:r>
            <w:r>
              <w:rPr>
                <w:rFonts w:hint="eastAsia" w:ascii="宋体" w:hAnsi="宋体" w:eastAsia="宋体" w:cs="仿宋_GB2312"/>
                <w:color w:val="000000"/>
                <w:szCs w:val="21"/>
              </w:rPr>
              <w:t>分；</w:t>
            </w:r>
          </w:p>
          <w:p>
            <w:pPr>
              <w:widowControl/>
              <w:jc w:val="left"/>
              <w:rPr>
                <w:rFonts w:hint="eastAsia" w:ascii="宋体" w:hAnsi="宋体" w:eastAsia="宋体" w:cs="仿宋_GB2312"/>
                <w:color w:val="000000"/>
                <w:szCs w:val="21"/>
              </w:rPr>
            </w:pPr>
            <w:r>
              <w:rPr>
                <w:rFonts w:hint="eastAsia" w:ascii="宋体" w:hAnsi="宋体" w:eastAsia="宋体" w:cs="仿宋_GB2312"/>
                <w:color w:val="000000"/>
                <w:szCs w:val="21"/>
              </w:rPr>
              <w:t>具有电子与智能化工程专业承包资质二级的得1分；</w:t>
            </w:r>
          </w:p>
          <w:p>
            <w:pPr>
              <w:widowControl/>
              <w:jc w:val="left"/>
              <w:rPr>
                <w:rFonts w:hint="eastAsia" w:ascii="宋体" w:hAnsi="宋体" w:eastAsia="宋体" w:cs="宋体"/>
                <w:color w:val="000000"/>
                <w:szCs w:val="21"/>
              </w:rPr>
            </w:pPr>
            <w:r>
              <w:rPr>
                <w:rFonts w:hint="eastAsia" w:ascii="宋体" w:hAnsi="宋体" w:eastAsia="宋体" w:cs="宋体"/>
                <w:color w:val="000000"/>
                <w:szCs w:val="21"/>
              </w:rPr>
              <w:t>具有ITSS信息技术服务运行维护标准符合性证书成熟度等级三级及以上的得1分；</w:t>
            </w:r>
          </w:p>
          <w:p>
            <w:pPr>
              <w:widowControl/>
              <w:jc w:val="left"/>
              <w:rPr>
                <w:rFonts w:hint="eastAsia" w:ascii="宋体" w:hAnsi="宋体" w:eastAsia="宋体" w:cs="宋体"/>
                <w:color w:val="000000"/>
                <w:szCs w:val="21"/>
              </w:rPr>
            </w:pPr>
            <w:r>
              <w:rPr>
                <w:rFonts w:hint="eastAsia" w:ascii="宋体" w:hAnsi="宋体" w:eastAsia="宋体" w:cs="宋体"/>
                <w:color w:val="000000"/>
                <w:szCs w:val="21"/>
              </w:rPr>
              <w:t>取得涉密信息系统集成乙级及以上证书的得1分；</w:t>
            </w:r>
          </w:p>
          <w:p>
            <w:pPr>
              <w:widowControl/>
              <w:jc w:val="left"/>
              <w:rPr>
                <w:rFonts w:ascii="宋体" w:hAnsi="宋体" w:eastAsia="宋体" w:cs="仿宋_GB2312"/>
                <w:color w:val="000000"/>
                <w:szCs w:val="21"/>
              </w:rPr>
            </w:pPr>
            <w:r>
              <w:rPr>
                <w:rFonts w:hint="eastAsia" w:ascii="宋体" w:hAnsi="宋体" w:eastAsia="宋体" w:cs="宋体"/>
                <w:color w:val="000000"/>
                <w:szCs w:val="21"/>
              </w:rPr>
              <w:t>以上证书需提供证书复印件（原件备查）</w:t>
            </w:r>
          </w:p>
        </w:tc>
        <w:tc>
          <w:tcPr>
            <w:tcW w:w="681" w:type="dxa"/>
            <w:noWrap w:val="0"/>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jc w:val="center"/>
        </w:trPr>
        <w:tc>
          <w:tcPr>
            <w:tcW w:w="1234" w:type="dxa"/>
            <w:noWrap w:val="0"/>
            <w:vAlign w:val="center"/>
          </w:tcPr>
          <w:p>
            <w:pPr>
              <w:spacing w:line="320" w:lineRule="exact"/>
              <w:jc w:val="center"/>
              <w:rPr>
                <w:rFonts w:hint="eastAsia" w:ascii="宋体" w:hAnsi="宋体" w:eastAsia="等线" w:cs="仿宋_GB2312"/>
                <w:color w:val="000000"/>
                <w:szCs w:val="21"/>
              </w:rPr>
            </w:pPr>
            <w:r>
              <w:rPr>
                <w:rFonts w:hint="eastAsia" w:ascii="宋体" w:hAnsi="宋体" w:eastAsia="等线" w:cs="仿宋_GB2312"/>
                <w:color w:val="000000"/>
                <w:szCs w:val="21"/>
              </w:rPr>
              <w:t>本地化服务</w:t>
            </w:r>
          </w:p>
        </w:tc>
        <w:tc>
          <w:tcPr>
            <w:tcW w:w="7720" w:type="dxa"/>
            <w:noWrap w:val="0"/>
            <w:vAlign w:val="center"/>
          </w:tcPr>
          <w:p>
            <w:pPr>
              <w:spacing w:line="320" w:lineRule="exact"/>
              <w:rPr>
                <w:rFonts w:hint="eastAsia" w:ascii="宋体" w:hAnsi="宋体" w:eastAsia="宋体" w:cs="仿宋_GB2312"/>
                <w:color w:val="000000"/>
                <w:szCs w:val="21"/>
              </w:rPr>
            </w:pPr>
            <w:r>
              <w:rPr>
                <w:rFonts w:hint="eastAsia" w:ascii="宋体" w:hAnsi="宋体"/>
                <w:color w:val="000000"/>
              </w:rPr>
              <w:t>投标人注册地址、分公司或者办事处在杭州的得2分，浙江省内其他地区的得1分，须提供营业执照并加盖公章。</w:t>
            </w:r>
          </w:p>
        </w:tc>
        <w:tc>
          <w:tcPr>
            <w:tcW w:w="681" w:type="dxa"/>
            <w:noWrap w:val="0"/>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5" w:hRule="atLeast"/>
          <w:jc w:val="center"/>
        </w:trPr>
        <w:tc>
          <w:tcPr>
            <w:tcW w:w="1234"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业绩情况</w:t>
            </w:r>
          </w:p>
        </w:tc>
        <w:tc>
          <w:tcPr>
            <w:tcW w:w="772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近三年（201</w:t>
            </w:r>
            <w:r>
              <w:rPr>
                <w:rFonts w:ascii="宋体" w:hAnsi="宋体" w:eastAsia="宋体" w:cs="仿宋_GB2312"/>
                <w:color w:val="000000"/>
                <w:szCs w:val="21"/>
              </w:rPr>
              <w:t>8</w:t>
            </w:r>
            <w:r>
              <w:rPr>
                <w:rFonts w:hint="eastAsia" w:ascii="宋体" w:hAnsi="宋体" w:eastAsia="宋体" w:cs="仿宋_GB2312"/>
                <w:color w:val="000000"/>
                <w:szCs w:val="21"/>
              </w:rPr>
              <w:t>年1月1日以来，以合同签订日期为准），有类似项目建设业绩案例（需同时提供合同复印件、验收报告复印件，原件备查），每个得1分，最多得3分。</w:t>
            </w:r>
          </w:p>
        </w:tc>
        <w:tc>
          <w:tcPr>
            <w:tcW w:w="681"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0-3</w:t>
            </w:r>
          </w:p>
        </w:tc>
      </w:tr>
    </w:tbl>
    <w:p>
      <w:pPr>
        <w:pStyle w:val="16"/>
        <w:snapToGrid w:val="0"/>
        <w:spacing w:beforeLines="0" w:afterLines="0" w:line="360" w:lineRule="auto"/>
        <w:ind w:firstLine="466" w:firstLineChars="200"/>
        <w:rPr>
          <w:rFonts w:hAnsi="宋体"/>
          <w:b/>
          <w:color w:val="000000"/>
          <w:spacing w:val="-4"/>
          <w:kern w:val="2"/>
          <w:szCs w:val="20"/>
        </w:rPr>
      </w:pPr>
    </w:p>
    <w:p>
      <w:pPr>
        <w:pStyle w:val="16"/>
        <w:snapToGrid w:val="0"/>
        <w:spacing w:beforeLines="0" w:afterLines="0" w:line="360" w:lineRule="auto"/>
        <w:ind w:firstLine="466" w:firstLineChars="200"/>
        <w:rPr>
          <w:rFonts w:hint="eastAsia" w:hAnsi="宋体"/>
          <w:b/>
          <w:color w:val="000000"/>
          <w:spacing w:val="-4"/>
          <w:kern w:val="2"/>
          <w:szCs w:val="20"/>
        </w:rPr>
      </w:pPr>
      <w:r>
        <w:rPr>
          <w:rFonts w:hint="eastAsia" w:hAnsi="宋体"/>
          <w:b/>
          <w:color w:val="000000"/>
          <w:spacing w:val="-4"/>
          <w:kern w:val="2"/>
          <w:szCs w:val="20"/>
        </w:rPr>
        <w:t>（二）技术部分（</w:t>
      </w:r>
      <w:r>
        <w:rPr>
          <w:rFonts w:hAnsi="宋体"/>
          <w:b/>
          <w:color w:val="000000"/>
          <w:spacing w:val="-4"/>
          <w:kern w:val="2"/>
          <w:szCs w:val="20"/>
        </w:rPr>
        <w:t>5</w:t>
      </w:r>
      <w:r>
        <w:rPr>
          <w:rFonts w:hint="eastAsia" w:hAnsi="宋体"/>
          <w:b/>
          <w:color w:val="000000"/>
          <w:spacing w:val="-4"/>
          <w:kern w:val="2"/>
          <w:szCs w:val="20"/>
        </w:rPr>
        <w:t>8分）</w:t>
      </w:r>
    </w:p>
    <w:tbl>
      <w:tblPr>
        <w:tblStyle w:val="25"/>
        <w:tblW w:w="9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9"/>
        <w:gridCol w:w="1581"/>
        <w:gridCol w:w="6426"/>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64" w:hRule="atLeast"/>
          <w:jc w:val="center"/>
        </w:trPr>
        <w:tc>
          <w:tcPr>
            <w:tcW w:w="65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序号</w:t>
            </w:r>
          </w:p>
        </w:tc>
        <w:tc>
          <w:tcPr>
            <w:tcW w:w="1581"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评分项目</w:t>
            </w:r>
          </w:p>
        </w:tc>
        <w:tc>
          <w:tcPr>
            <w:tcW w:w="6426"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评分标准</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90" w:hRule="atLeast"/>
          <w:jc w:val="center"/>
        </w:trPr>
        <w:tc>
          <w:tcPr>
            <w:tcW w:w="659" w:type="dxa"/>
            <w:vMerge w:val="restart"/>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ascii="宋体" w:hAnsi="宋体" w:eastAsia="宋体" w:cs="仿宋_GB2312"/>
                <w:color w:val="000000"/>
                <w:szCs w:val="21"/>
              </w:rPr>
              <w:t>1</w:t>
            </w:r>
          </w:p>
        </w:tc>
        <w:tc>
          <w:tcPr>
            <w:tcW w:w="1581" w:type="dxa"/>
            <w:vMerge w:val="restart"/>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方案的科学性和完整性</w:t>
            </w: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（1）投标方案与需求的吻合程度，包括方案总体设计、建设方案和产品选型等，详细阐述系统体系架构的科学性、先进性、可靠性、成熟性、合理性和扩展性等方面。</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3</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826" w:hRule="atLeast"/>
          <w:jc w:val="center"/>
        </w:trPr>
        <w:tc>
          <w:tcPr>
            <w:tcW w:w="659"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（2）对大屏显示系统、音频系统、视频会议系统、无纸化办公系统、操作台等功能功能阐述，详细阐述指挥大厅大屏系统和会商区大屏联动方案。</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90" w:hRule="atLeast"/>
          <w:jc w:val="center"/>
        </w:trPr>
        <w:tc>
          <w:tcPr>
            <w:tcW w:w="65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ascii="宋体" w:hAnsi="宋体" w:eastAsia="宋体" w:cs="仿宋_GB2312"/>
                <w:color w:val="000000"/>
                <w:szCs w:val="21"/>
              </w:rPr>
              <w:t>2</w:t>
            </w:r>
          </w:p>
        </w:tc>
        <w:tc>
          <w:tcPr>
            <w:tcW w:w="1581"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产品性能及技术指标</w:t>
            </w: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根据所投产品和服务对招标技术参数的满足程度打分，最高19分。</w:t>
            </w:r>
          </w:p>
          <w:p>
            <w:pPr>
              <w:adjustRightInd w:val="0"/>
              <w:snapToGrid w:val="0"/>
              <w:rPr>
                <w:rFonts w:hint="eastAsia" w:ascii="宋体" w:hAnsi="宋体" w:eastAsia="宋体"/>
                <w:color w:val="000000"/>
              </w:rPr>
            </w:pPr>
            <w:r>
              <w:rPr>
                <w:rFonts w:hint="eastAsia" w:ascii="宋体" w:hAnsi="宋体"/>
                <w:color w:val="000000"/>
              </w:rPr>
              <w:t>采购需求中打</w:t>
            </w:r>
            <w:r>
              <w:rPr>
                <w:rFonts w:hint="eastAsia" w:ascii="宋体" w:hAnsi="宋体"/>
                <w:color w:val="000000"/>
                <w:lang w:val="zh-CN"/>
              </w:rPr>
              <w:t>▲</w:t>
            </w:r>
            <w:r>
              <w:rPr>
                <w:rFonts w:hint="eastAsia" w:ascii="宋体" w:hAnsi="宋体"/>
                <w:color w:val="000000"/>
              </w:rPr>
              <w:t>号的指标，有1项不满足作为无效标处理；</w:t>
            </w:r>
          </w:p>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招标文件中带★每负偏离一项扣2分,有</w:t>
            </w:r>
            <w:r>
              <w:rPr>
                <w:rFonts w:ascii="宋体" w:hAnsi="宋体" w:eastAsia="宋体" w:cs="仿宋_GB2312"/>
                <w:color w:val="000000"/>
                <w:szCs w:val="21"/>
              </w:rPr>
              <w:t>5</w:t>
            </w:r>
            <w:r>
              <w:rPr>
                <w:rFonts w:hint="eastAsia" w:ascii="宋体" w:hAnsi="宋体" w:eastAsia="宋体" w:cs="仿宋_GB2312"/>
                <w:color w:val="000000"/>
                <w:szCs w:val="21"/>
              </w:rPr>
              <w:t>项（含）以上本款负偏离的作为重大偏离处理；其他负偏离一项扣1分，扣完为止。</w:t>
            </w:r>
          </w:p>
          <w:p>
            <w:pPr>
              <w:spacing w:line="320" w:lineRule="exact"/>
              <w:jc w:val="left"/>
              <w:rPr>
                <w:rFonts w:ascii="宋体" w:hAnsi="宋体" w:eastAsia="宋体" w:cs="仿宋_GB2312"/>
                <w:color w:val="000000"/>
                <w:szCs w:val="21"/>
              </w:rPr>
            </w:pPr>
            <w:r>
              <w:rPr>
                <w:rFonts w:hint="eastAsia" w:ascii="宋体" w:hAnsi="宋体" w:eastAsia="宋体" w:cs="仿宋_GB2312"/>
                <w:color w:val="000000"/>
                <w:szCs w:val="21"/>
              </w:rPr>
              <w:t>（注：以上技术指标如出现偏离必须在《技术偏离表》中完整体现，如有虚假应标，将作无效标处理）</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ascii="宋体" w:hAnsi="宋体" w:eastAsia="宋体" w:cs="仿宋_GB2312"/>
                <w:color w:val="000000"/>
                <w:szCs w:val="21"/>
              </w:rPr>
              <w:t>0-</w:t>
            </w:r>
            <w:r>
              <w:rPr>
                <w:rFonts w:hint="eastAsia" w:ascii="宋体" w:hAnsi="宋体" w:eastAsia="宋体" w:cs="仿宋_GB2312"/>
                <w:color w:val="000000"/>
                <w:szCs w:val="21"/>
              </w:rPr>
              <w:t>19分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03" w:hRule="atLeast"/>
          <w:jc w:val="center"/>
        </w:trPr>
        <w:tc>
          <w:tcPr>
            <w:tcW w:w="659" w:type="dxa"/>
            <w:vMerge w:val="restart"/>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3</w:t>
            </w:r>
          </w:p>
        </w:tc>
        <w:tc>
          <w:tcPr>
            <w:tcW w:w="1581" w:type="dxa"/>
            <w:vMerge w:val="restart"/>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cs="仿宋"/>
                <w:color w:val="000000"/>
                <w:szCs w:val="21"/>
              </w:rPr>
              <w:t>完工保证措施及承诺</w:t>
            </w:r>
          </w:p>
        </w:tc>
        <w:tc>
          <w:tcPr>
            <w:tcW w:w="6426" w:type="dxa"/>
            <w:noWrap w:val="0"/>
            <w:tcMar>
              <w:top w:w="10" w:type="dxa"/>
              <w:left w:w="10" w:type="dxa"/>
              <w:right w:w="10" w:type="dxa"/>
            </w:tcMar>
            <w:vAlign w:val="center"/>
          </w:tcPr>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完善的进度管理措施的可行性、合理性</w:t>
            </w:r>
          </w:p>
        </w:tc>
        <w:tc>
          <w:tcPr>
            <w:tcW w:w="869" w:type="dxa"/>
            <w:noWrap w:val="0"/>
            <w:tcMar>
              <w:top w:w="10" w:type="dxa"/>
              <w:left w:w="10" w:type="dxa"/>
              <w:right w:w="10" w:type="dxa"/>
            </w:tcMar>
            <w:vAlign w:val="center"/>
          </w:tcPr>
          <w:p>
            <w:pPr>
              <w:spacing w:line="320" w:lineRule="exact"/>
              <w:jc w:val="center"/>
              <w:rPr>
                <w:rFonts w:ascii="宋体" w:hAnsi="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2</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30" w:hRule="atLeast"/>
          <w:jc w:val="center"/>
        </w:trPr>
        <w:tc>
          <w:tcPr>
            <w:tcW w:w="659" w:type="dxa"/>
            <w:vMerge w:val="continue"/>
            <w:noWrap w:val="0"/>
            <w:tcMar>
              <w:top w:w="10" w:type="dxa"/>
              <w:left w:w="10" w:type="dxa"/>
              <w:right w:w="10" w:type="dxa"/>
            </w:tcMar>
            <w:vAlign w:val="center"/>
          </w:tcPr>
          <w:p>
            <w:pPr>
              <w:spacing w:line="320" w:lineRule="exact"/>
              <w:jc w:val="center"/>
              <w:rPr>
                <w:rFonts w:hint="eastAsia" w:ascii="宋体" w:hAnsi="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hint="eastAsia" w:ascii="宋体" w:hAnsi="宋体" w:cs="仿宋"/>
                <w:color w:val="000000"/>
                <w:szCs w:val="21"/>
              </w:rPr>
            </w:pPr>
          </w:p>
        </w:tc>
        <w:tc>
          <w:tcPr>
            <w:tcW w:w="6426" w:type="dxa"/>
            <w:noWrap w:val="0"/>
            <w:tcMar>
              <w:top w:w="10" w:type="dxa"/>
              <w:left w:w="10" w:type="dxa"/>
              <w:right w:w="10" w:type="dxa"/>
            </w:tcMar>
            <w:vAlign w:val="center"/>
          </w:tcPr>
          <w:p>
            <w:pPr>
              <w:spacing w:line="320" w:lineRule="exact"/>
              <w:rPr>
                <w:rFonts w:hint="eastAsia" w:ascii="宋体" w:hAnsi="宋体" w:cs="仿宋_GB2312"/>
                <w:color w:val="000000"/>
                <w:szCs w:val="21"/>
              </w:rPr>
            </w:pPr>
            <w:r>
              <w:rPr>
                <w:rFonts w:hint="eastAsia" w:ascii="宋体" w:hAnsi="宋体" w:eastAsia="宋体" w:cs="仿宋_GB2312"/>
                <w:color w:val="000000"/>
                <w:szCs w:val="21"/>
              </w:rPr>
              <w:t>进度保证及承诺内容是否全面可行</w:t>
            </w:r>
          </w:p>
        </w:tc>
        <w:tc>
          <w:tcPr>
            <w:tcW w:w="869" w:type="dxa"/>
            <w:noWrap w:val="0"/>
            <w:tcMar>
              <w:top w:w="10" w:type="dxa"/>
              <w:left w:w="10" w:type="dxa"/>
              <w:right w:w="10" w:type="dxa"/>
            </w:tcMar>
            <w:vAlign w:val="center"/>
          </w:tcPr>
          <w:p>
            <w:pPr>
              <w:spacing w:line="320" w:lineRule="exact"/>
              <w:jc w:val="center"/>
              <w:rPr>
                <w:rFonts w:hint="eastAsia" w:ascii="宋体" w:hAnsi="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2</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94" w:hRule="atLeast"/>
          <w:jc w:val="center"/>
        </w:trPr>
        <w:tc>
          <w:tcPr>
            <w:tcW w:w="659" w:type="dxa"/>
            <w:vMerge w:val="continue"/>
            <w:noWrap w:val="0"/>
            <w:tcMar>
              <w:top w:w="10" w:type="dxa"/>
              <w:left w:w="10" w:type="dxa"/>
              <w:right w:w="10" w:type="dxa"/>
            </w:tcMar>
            <w:vAlign w:val="center"/>
          </w:tcPr>
          <w:p>
            <w:pPr>
              <w:spacing w:line="320" w:lineRule="exact"/>
              <w:jc w:val="center"/>
              <w:rPr>
                <w:rFonts w:hint="eastAsia" w:ascii="宋体" w:hAnsi="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hint="eastAsia" w:ascii="宋体" w:hAnsi="宋体" w:cs="仿宋"/>
                <w:color w:val="000000"/>
                <w:szCs w:val="21"/>
              </w:rPr>
            </w:pPr>
          </w:p>
        </w:tc>
        <w:tc>
          <w:tcPr>
            <w:tcW w:w="6426" w:type="dxa"/>
            <w:noWrap w:val="0"/>
            <w:tcMar>
              <w:top w:w="10" w:type="dxa"/>
              <w:left w:w="10" w:type="dxa"/>
              <w:right w:w="10" w:type="dxa"/>
            </w:tcMar>
            <w:vAlign w:val="center"/>
          </w:tcPr>
          <w:p>
            <w:pPr>
              <w:spacing w:line="320" w:lineRule="exact"/>
              <w:rPr>
                <w:rFonts w:hint="eastAsia" w:ascii="宋体" w:hAnsi="宋体" w:cs="仿宋_GB2312"/>
                <w:color w:val="000000"/>
                <w:szCs w:val="21"/>
              </w:rPr>
            </w:pPr>
            <w:r>
              <w:rPr>
                <w:rFonts w:hint="eastAsia" w:ascii="宋体" w:hAnsi="宋体" w:eastAsia="宋体" w:cs="仿宋_GB2312"/>
                <w:color w:val="000000"/>
                <w:szCs w:val="21"/>
              </w:rPr>
              <w:t>项目建设进度日历表是否合理可行</w:t>
            </w:r>
          </w:p>
        </w:tc>
        <w:tc>
          <w:tcPr>
            <w:tcW w:w="869" w:type="dxa"/>
            <w:noWrap w:val="0"/>
            <w:tcMar>
              <w:top w:w="10" w:type="dxa"/>
              <w:left w:w="10" w:type="dxa"/>
              <w:right w:w="10" w:type="dxa"/>
            </w:tcMar>
            <w:vAlign w:val="center"/>
          </w:tcPr>
          <w:p>
            <w:pPr>
              <w:spacing w:line="320" w:lineRule="exact"/>
              <w:jc w:val="center"/>
              <w:rPr>
                <w:rFonts w:hint="eastAsia" w:ascii="宋体" w:hAnsi="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2</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28" w:hRule="atLeast"/>
          <w:jc w:val="center"/>
        </w:trPr>
        <w:tc>
          <w:tcPr>
            <w:tcW w:w="65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4</w:t>
            </w:r>
          </w:p>
        </w:tc>
        <w:tc>
          <w:tcPr>
            <w:tcW w:w="1581"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服务团队</w:t>
            </w: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（1）项目负责人同时具有信息系统项目管理师及一级建造师（机电专业）的得1分；（提供有效的证书复印件）</w:t>
            </w:r>
          </w:p>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（2）项目负责人近三年（201</w:t>
            </w:r>
            <w:r>
              <w:rPr>
                <w:rFonts w:ascii="宋体" w:hAnsi="宋体" w:eastAsia="宋体" w:cs="仿宋_GB2312"/>
                <w:color w:val="000000"/>
                <w:szCs w:val="21"/>
              </w:rPr>
              <w:t>8</w:t>
            </w:r>
            <w:r>
              <w:rPr>
                <w:rFonts w:hint="eastAsia" w:ascii="宋体" w:hAnsi="宋体" w:eastAsia="宋体" w:cs="仿宋_GB2312"/>
                <w:color w:val="000000"/>
                <w:szCs w:val="21"/>
              </w:rPr>
              <w:t>年1月1日以来，以合同签订日期为准）以项目负责人身份完成过类似项目业绩的，每一个得1分，最高得2分；（需同时提供合同复印件、验收报告复印件，且上述证明材料中至少有一处能如实反映项目负责人的身份和姓名，否则不予认可，原件备查）</w:t>
            </w:r>
          </w:p>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（3）项目团队中有成员具有</w:t>
            </w:r>
            <w:r>
              <w:rPr>
                <w:rStyle w:val="38"/>
                <w:rFonts w:hint="eastAsia" w:hAnsi="宋体"/>
                <w:bCs/>
                <w:color w:val="000000"/>
                <w:szCs w:val="21"/>
              </w:rPr>
              <w:t>注册信息安全专业人员</w:t>
            </w:r>
            <w:r>
              <w:rPr>
                <w:rFonts w:hint="eastAsia" w:ascii="宋体" w:hAnsi="宋体" w:eastAsia="宋体" w:cs="仿宋_GB2312"/>
                <w:color w:val="000000"/>
                <w:szCs w:val="21"/>
              </w:rPr>
              <w:t>(CISP)证书的得1分，具有网络工程师（中级）或以上职称的得1分；（提供有效的证书复印件）</w:t>
            </w:r>
          </w:p>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注：上述所有持证人员须提供相关证书及社保证明，复印件并加盖公章，未提供上述资料的不得分。（团队人员社保证明以社保部门出具（盖章）的近</w:t>
            </w:r>
            <w:r>
              <w:rPr>
                <w:rFonts w:ascii="宋体" w:hAnsi="宋体" w:eastAsia="宋体" w:cs="仿宋_GB2312"/>
                <w:color w:val="000000"/>
                <w:szCs w:val="21"/>
              </w:rPr>
              <w:t>1</w:t>
            </w:r>
            <w:r>
              <w:rPr>
                <w:rFonts w:hint="eastAsia" w:ascii="宋体" w:hAnsi="宋体" w:eastAsia="宋体" w:cs="仿宋_GB2312"/>
                <w:color w:val="000000"/>
                <w:szCs w:val="21"/>
              </w:rPr>
              <w:t>年在投标单位的参保证明为准）；</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ascii="宋体" w:hAnsi="宋体" w:eastAsia="宋体" w:cs="仿宋_GB2312"/>
                <w:color w:val="000000"/>
                <w:szCs w:val="21"/>
              </w:rPr>
              <w:t>0-</w:t>
            </w:r>
            <w:r>
              <w:rPr>
                <w:rFonts w:hint="eastAsia" w:ascii="宋体" w:hAnsi="宋体" w:eastAsia="宋体" w:cs="仿宋_GB2312"/>
                <w:color w:val="00000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62" w:hRule="atLeast"/>
          <w:jc w:val="center"/>
        </w:trPr>
        <w:tc>
          <w:tcPr>
            <w:tcW w:w="65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5</w:t>
            </w:r>
          </w:p>
        </w:tc>
        <w:tc>
          <w:tcPr>
            <w:tcW w:w="1581"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 xml:space="preserve">组织实施 </w:t>
            </w:r>
            <w:r>
              <w:rPr>
                <w:rFonts w:ascii="宋体" w:hAnsi="宋体" w:eastAsia="宋体" w:cs="仿宋_GB2312"/>
                <w:color w:val="000000"/>
                <w:szCs w:val="21"/>
              </w:rPr>
              <w:t xml:space="preserve">  </w:t>
            </w: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详细说明总体供货部署、以及运输、供货措施和安装管理计划等</w:t>
            </w:r>
            <w:r>
              <w:rPr>
                <w:rFonts w:ascii="宋体" w:hAnsi="宋体" w:eastAsia="宋体" w:cs="仿宋_GB2312"/>
                <w:color w:val="000000"/>
                <w:szCs w:val="21"/>
              </w:rPr>
              <w:t xml:space="preserve"> </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12" w:hRule="atLeast"/>
          <w:jc w:val="center"/>
        </w:trPr>
        <w:tc>
          <w:tcPr>
            <w:tcW w:w="65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6</w:t>
            </w:r>
          </w:p>
        </w:tc>
        <w:tc>
          <w:tcPr>
            <w:tcW w:w="1581"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现场勘查</w:t>
            </w:r>
          </w:p>
        </w:tc>
        <w:tc>
          <w:tcPr>
            <w:tcW w:w="6426" w:type="dxa"/>
            <w:noWrap w:val="0"/>
            <w:tcMar>
              <w:top w:w="10" w:type="dxa"/>
              <w:left w:w="10" w:type="dxa"/>
              <w:right w:w="10" w:type="dxa"/>
            </w:tcMar>
            <w:vAlign w:val="center"/>
          </w:tcPr>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提供符合要求的“现场踏勘确认函”的得2分。</w:t>
            </w:r>
          </w:p>
        </w:tc>
        <w:tc>
          <w:tcPr>
            <w:tcW w:w="86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88" w:hRule="atLeast"/>
          <w:jc w:val="center"/>
        </w:trPr>
        <w:tc>
          <w:tcPr>
            <w:tcW w:w="659" w:type="dxa"/>
            <w:vMerge w:val="restart"/>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7</w:t>
            </w:r>
          </w:p>
        </w:tc>
        <w:tc>
          <w:tcPr>
            <w:tcW w:w="1581" w:type="dxa"/>
            <w:vMerge w:val="restart"/>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 xml:space="preserve">售后服务 </w:t>
            </w:r>
            <w:r>
              <w:rPr>
                <w:rFonts w:ascii="宋体" w:hAnsi="宋体" w:eastAsia="宋体" w:cs="仿宋_GB2312"/>
                <w:color w:val="000000"/>
                <w:szCs w:val="21"/>
              </w:rPr>
              <w:t xml:space="preserve">   </w:t>
            </w: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（1）提供的售后服务方案、服务承诺的可行性、完整性以及服务承诺落实的保障措施，质保期内外的后续技术支持和维护能力情况等。</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392" w:hRule="atLeast"/>
          <w:jc w:val="center"/>
        </w:trPr>
        <w:tc>
          <w:tcPr>
            <w:tcW w:w="659"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（2）投标人承诺中标后针对本项目质保期内在采购单位安排</w:t>
            </w:r>
            <w:r>
              <w:rPr>
                <w:rFonts w:ascii="宋体" w:hAnsi="宋体" w:eastAsia="宋体" w:cs="仿宋_GB2312"/>
                <w:color w:val="000000"/>
                <w:szCs w:val="21"/>
              </w:rPr>
              <w:t>1</w:t>
            </w:r>
            <w:r>
              <w:rPr>
                <w:rFonts w:hint="eastAsia" w:ascii="宋体" w:hAnsi="宋体" w:eastAsia="宋体" w:cs="仿宋_GB2312"/>
                <w:color w:val="000000"/>
                <w:szCs w:val="21"/>
              </w:rPr>
              <w:t>名7*24小时现场驻点技术服务人员，保证系统正常运行及日常维护的得</w:t>
            </w:r>
            <w:r>
              <w:rPr>
                <w:rFonts w:ascii="宋体" w:hAnsi="宋体" w:eastAsia="宋体" w:cs="仿宋_GB2312"/>
                <w:color w:val="000000"/>
                <w:szCs w:val="21"/>
              </w:rPr>
              <w:t>3</w:t>
            </w:r>
            <w:r>
              <w:rPr>
                <w:rFonts w:hint="eastAsia" w:ascii="宋体" w:hAnsi="宋体" w:eastAsia="宋体" w:cs="仿宋_GB2312"/>
                <w:color w:val="000000"/>
                <w:szCs w:val="21"/>
              </w:rPr>
              <w:t>分。</w:t>
            </w:r>
          </w:p>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注：需提供驻点服务人员本单位近</w:t>
            </w:r>
            <w:r>
              <w:rPr>
                <w:rFonts w:ascii="宋体" w:hAnsi="宋体" w:eastAsia="宋体" w:cs="仿宋_GB2312"/>
                <w:color w:val="000000"/>
                <w:szCs w:val="21"/>
              </w:rPr>
              <w:t>1</w:t>
            </w:r>
            <w:r>
              <w:rPr>
                <w:rFonts w:hint="eastAsia" w:ascii="宋体" w:hAnsi="宋体" w:eastAsia="宋体" w:cs="仿宋_GB2312"/>
                <w:color w:val="000000"/>
                <w:szCs w:val="21"/>
              </w:rPr>
              <w:t>年社保证明和身份证复印件。</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ascii="宋体" w:hAnsi="宋体" w:eastAsia="宋体" w:cs="仿宋_GB2312"/>
                <w:color w:val="000000"/>
                <w:szCs w:val="21"/>
              </w:rPr>
              <w:t>3</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273" w:hRule="atLeast"/>
          <w:jc w:val="center"/>
        </w:trPr>
        <w:tc>
          <w:tcPr>
            <w:tcW w:w="659" w:type="dxa"/>
            <w:vMerge w:val="continue"/>
            <w:noWrap w:val="0"/>
            <w:tcMar>
              <w:top w:w="10" w:type="dxa"/>
              <w:left w:w="10" w:type="dxa"/>
              <w:right w:w="10" w:type="dxa"/>
            </w:tcMar>
            <w:vAlign w:val="center"/>
          </w:tcPr>
          <w:p>
            <w:pPr>
              <w:spacing w:line="320" w:lineRule="exact"/>
              <w:jc w:val="center"/>
              <w:rPr>
                <w:rFonts w:ascii="宋体" w:hAnsi="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ascii="宋体" w:hAnsi="宋体" w:cs="仿宋_GB2312"/>
                <w:color w:val="000000"/>
                <w:szCs w:val="21"/>
              </w:rPr>
            </w:pPr>
          </w:p>
        </w:tc>
        <w:tc>
          <w:tcPr>
            <w:tcW w:w="6426" w:type="dxa"/>
            <w:noWrap w:val="0"/>
            <w:tcMar>
              <w:top w:w="10" w:type="dxa"/>
              <w:left w:w="10" w:type="dxa"/>
              <w:right w:w="10" w:type="dxa"/>
            </w:tcMar>
            <w:vAlign w:val="center"/>
          </w:tcPr>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（3）质保期：整体三年质保，质保期自项目竣工验收之日起计算。质保期内提供设备及配套软件的免费升级（招标需求内有特殊规定的以招标需求内要求为准）。质保承诺三年以上的，每超过一年加1分，最高</w:t>
            </w:r>
            <w:r>
              <w:rPr>
                <w:rFonts w:ascii="宋体" w:hAnsi="宋体" w:eastAsia="宋体" w:cs="仿宋_GB2312"/>
                <w:color w:val="000000"/>
                <w:szCs w:val="21"/>
              </w:rPr>
              <w:t>3</w:t>
            </w:r>
            <w:r>
              <w:rPr>
                <w:rFonts w:hint="eastAsia" w:ascii="宋体" w:hAnsi="宋体" w:eastAsia="宋体" w:cs="仿宋_GB2312"/>
                <w:color w:val="000000"/>
                <w:szCs w:val="21"/>
              </w:rPr>
              <w:t>分；</w:t>
            </w:r>
          </w:p>
        </w:tc>
        <w:tc>
          <w:tcPr>
            <w:tcW w:w="869" w:type="dxa"/>
            <w:noWrap w:val="0"/>
            <w:tcMar>
              <w:top w:w="10" w:type="dxa"/>
              <w:left w:w="10" w:type="dxa"/>
              <w:right w:w="10" w:type="dxa"/>
            </w:tcMar>
            <w:vAlign w:val="center"/>
          </w:tcPr>
          <w:p>
            <w:pPr>
              <w:spacing w:line="320" w:lineRule="exact"/>
              <w:jc w:val="center"/>
              <w:rPr>
                <w:rFonts w:ascii="宋体" w:hAnsi="宋体" w:cs="仿宋_GB2312"/>
                <w:color w:val="000000"/>
                <w:szCs w:val="21"/>
              </w:rPr>
            </w:pPr>
            <w:r>
              <w:rPr>
                <w:rFonts w:ascii="宋体" w:hAnsi="宋体" w:eastAsia="宋体" w:cs="仿宋_GB2312"/>
                <w:color w:val="000000"/>
                <w:szCs w:val="21"/>
              </w:rPr>
              <w:t>3</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24" w:hRule="atLeast"/>
          <w:jc w:val="center"/>
        </w:trPr>
        <w:tc>
          <w:tcPr>
            <w:tcW w:w="659"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1581" w:type="dxa"/>
            <w:vMerge w:val="continue"/>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p>
        </w:tc>
        <w:tc>
          <w:tcPr>
            <w:tcW w:w="6426" w:type="dxa"/>
            <w:noWrap w:val="0"/>
            <w:tcMar>
              <w:top w:w="10" w:type="dxa"/>
              <w:left w:w="10" w:type="dxa"/>
              <w:right w:w="10" w:type="dxa"/>
            </w:tcMar>
            <w:vAlign w:val="center"/>
          </w:tcPr>
          <w:p>
            <w:pPr>
              <w:spacing w:line="320" w:lineRule="exact"/>
              <w:rPr>
                <w:rFonts w:ascii="宋体" w:hAnsi="宋体" w:eastAsia="宋体" w:cs="仿宋_GB2312"/>
                <w:color w:val="000000"/>
                <w:szCs w:val="21"/>
              </w:rPr>
            </w:pPr>
            <w:r>
              <w:rPr>
                <w:rFonts w:hint="eastAsia" w:ascii="宋体" w:hAnsi="宋体" w:eastAsia="宋体" w:cs="仿宋_GB2312"/>
                <w:color w:val="000000"/>
                <w:szCs w:val="21"/>
              </w:rPr>
              <w:t>（</w:t>
            </w:r>
            <w:r>
              <w:rPr>
                <w:rFonts w:ascii="宋体" w:hAnsi="宋体" w:eastAsia="宋体" w:cs="仿宋_GB2312"/>
                <w:color w:val="000000"/>
                <w:szCs w:val="21"/>
              </w:rPr>
              <w:t>4</w:t>
            </w:r>
            <w:r>
              <w:rPr>
                <w:rFonts w:hint="eastAsia" w:ascii="宋体" w:hAnsi="宋体" w:eastAsia="宋体" w:cs="仿宋_GB2312"/>
                <w:color w:val="000000"/>
                <w:szCs w:val="21"/>
              </w:rPr>
              <w:t>）投标文件中明确提供备品、备件及耗材的品种、数量进行横向比较评分。</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3</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24" w:hRule="atLeast"/>
          <w:jc w:val="center"/>
        </w:trPr>
        <w:tc>
          <w:tcPr>
            <w:tcW w:w="659" w:type="dxa"/>
            <w:noWrap w:val="0"/>
            <w:tcMar>
              <w:top w:w="10" w:type="dxa"/>
              <w:left w:w="10" w:type="dxa"/>
              <w:right w:w="10" w:type="dxa"/>
            </w:tcMar>
            <w:vAlign w:val="center"/>
          </w:tcPr>
          <w:p>
            <w:pPr>
              <w:spacing w:line="320" w:lineRule="exact"/>
              <w:jc w:val="center"/>
              <w:rPr>
                <w:rFonts w:ascii="宋体" w:hAnsi="宋体" w:cs="仿宋_GB2312"/>
                <w:color w:val="000000"/>
                <w:szCs w:val="21"/>
              </w:rPr>
            </w:pPr>
            <w:r>
              <w:rPr>
                <w:rFonts w:ascii="宋体" w:hAnsi="宋体" w:cs="仿宋_GB2312"/>
                <w:color w:val="000000"/>
                <w:szCs w:val="21"/>
              </w:rPr>
              <w:t>8</w:t>
            </w:r>
          </w:p>
        </w:tc>
        <w:tc>
          <w:tcPr>
            <w:tcW w:w="1581" w:type="dxa"/>
            <w:noWrap w:val="0"/>
            <w:tcMar>
              <w:top w:w="10" w:type="dxa"/>
              <w:left w:w="10" w:type="dxa"/>
              <w:right w:w="10" w:type="dxa"/>
            </w:tcMar>
            <w:vAlign w:val="center"/>
          </w:tcPr>
          <w:p>
            <w:pPr>
              <w:spacing w:line="320" w:lineRule="exact"/>
              <w:jc w:val="center"/>
              <w:rPr>
                <w:rFonts w:ascii="宋体" w:hAnsi="宋体" w:cs="仿宋_GB2312"/>
                <w:color w:val="000000"/>
                <w:szCs w:val="21"/>
              </w:rPr>
            </w:pPr>
            <w:r>
              <w:rPr>
                <w:rFonts w:hint="eastAsia" w:ascii="宋体" w:hAnsi="宋体" w:eastAsia="宋体" w:cs="仿宋_GB2312"/>
                <w:color w:val="000000"/>
                <w:szCs w:val="21"/>
              </w:rPr>
              <w:t>培训</w:t>
            </w:r>
          </w:p>
        </w:tc>
        <w:tc>
          <w:tcPr>
            <w:tcW w:w="6426" w:type="dxa"/>
            <w:noWrap w:val="0"/>
            <w:tcMar>
              <w:top w:w="10" w:type="dxa"/>
              <w:left w:w="10" w:type="dxa"/>
              <w:right w:w="10" w:type="dxa"/>
            </w:tcMar>
            <w:vAlign w:val="center"/>
          </w:tcPr>
          <w:p>
            <w:pPr>
              <w:spacing w:line="320" w:lineRule="exact"/>
              <w:rPr>
                <w:rFonts w:hint="eastAsia" w:ascii="宋体" w:hAnsi="宋体" w:cs="仿宋_GB2312"/>
                <w:color w:val="000000"/>
                <w:szCs w:val="21"/>
              </w:rPr>
            </w:pPr>
            <w:r>
              <w:rPr>
                <w:rFonts w:hint="eastAsia" w:ascii="宋体" w:hAnsi="宋体" w:eastAsia="宋体" w:cs="仿宋_GB2312"/>
                <w:color w:val="000000"/>
                <w:szCs w:val="21"/>
              </w:rPr>
              <w:t>根据提供的培训方案、计划的可行性及合理性进行横向比较评分。</w:t>
            </w:r>
          </w:p>
        </w:tc>
        <w:tc>
          <w:tcPr>
            <w:tcW w:w="869" w:type="dxa"/>
            <w:noWrap w:val="0"/>
            <w:tcMar>
              <w:top w:w="10" w:type="dxa"/>
              <w:left w:w="10" w:type="dxa"/>
              <w:right w:w="10" w:type="dxa"/>
            </w:tcMar>
            <w:vAlign w:val="center"/>
          </w:tcPr>
          <w:p>
            <w:pPr>
              <w:spacing w:line="320" w:lineRule="exact"/>
              <w:jc w:val="center"/>
              <w:rPr>
                <w:rFonts w:hint="eastAsia" w:ascii="宋体" w:hAnsi="宋体" w:cs="仿宋_GB2312"/>
                <w:color w:val="000000"/>
                <w:szCs w:val="21"/>
              </w:rPr>
            </w:pPr>
            <w:r>
              <w:rPr>
                <w:rFonts w:hint="eastAsia" w:ascii="宋体" w:hAnsi="宋体" w:cs="仿宋_GB2312"/>
                <w:color w:val="000000"/>
                <w:szCs w:val="21"/>
              </w:rPr>
              <w:t>0-2</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88" w:hRule="atLeast"/>
          <w:jc w:val="center"/>
        </w:trPr>
        <w:tc>
          <w:tcPr>
            <w:tcW w:w="65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9</w:t>
            </w:r>
          </w:p>
        </w:tc>
        <w:tc>
          <w:tcPr>
            <w:tcW w:w="1581"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应急措施</w:t>
            </w:r>
          </w:p>
        </w:tc>
        <w:tc>
          <w:tcPr>
            <w:tcW w:w="6426" w:type="dxa"/>
            <w:noWrap w:val="0"/>
            <w:tcMar>
              <w:top w:w="10" w:type="dxa"/>
              <w:left w:w="10" w:type="dxa"/>
              <w:right w:w="10" w:type="dxa"/>
            </w:tcMar>
            <w:vAlign w:val="center"/>
          </w:tcPr>
          <w:p>
            <w:pPr>
              <w:spacing w:line="320" w:lineRule="exact"/>
              <w:rPr>
                <w:rFonts w:hint="eastAsia" w:ascii="宋体" w:hAnsi="宋体" w:eastAsia="宋体" w:cs="仿宋_GB2312"/>
                <w:color w:val="000000"/>
                <w:szCs w:val="21"/>
              </w:rPr>
            </w:pPr>
            <w:r>
              <w:rPr>
                <w:rFonts w:hint="eastAsia" w:ascii="宋体" w:hAnsi="宋体" w:eastAsia="宋体" w:cs="仿宋_GB2312"/>
                <w:color w:val="000000"/>
                <w:szCs w:val="21"/>
              </w:rPr>
              <w:t>投标文件中提供项目实施应急措施的科学性、可行性和完善程度进行横向比较评分。</w:t>
            </w:r>
          </w:p>
        </w:tc>
        <w:tc>
          <w:tcPr>
            <w:tcW w:w="86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3</w:t>
            </w:r>
            <w:r>
              <w:rPr>
                <w:rFonts w:hint="eastAsia" w:ascii="宋体" w:hAnsi="宋体" w:eastAsia="宋体" w:cs="仿宋_GB2312"/>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83" w:hRule="atLeast"/>
          <w:jc w:val="center"/>
        </w:trPr>
        <w:tc>
          <w:tcPr>
            <w:tcW w:w="659" w:type="dxa"/>
            <w:noWrap w:val="0"/>
            <w:tcMar>
              <w:top w:w="10" w:type="dxa"/>
              <w:left w:w="10" w:type="dxa"/>
              <w:right w:w="10" w:type="dxa"/>
            </w:tcMar>
            <w:vAlign w:val="center"/>
          </w:tcPr>
          <w:p>
            <w:pPr>
              <w:spacing w:line="320" w:lineRule="exact"/>
              <w:jc w:val="center"/>
              <w:rPr>
                <w:rFonts w:hint="eastAsia" w:ascii="宋体" w:hAnsi="宋体" w:eastAsia="宋体" w:cs="仿宋_GB2312"/>
                <w:color w:val="000000"/>
                <w:szCs w:val="21"/>
              </w:rPr>
            </w:pPr>
            <w:r>
              <w:rPr>
                <w:rFonts w:hint="eastAsia" w:ascii="宋体" w:hAnsi="宋体" w:eastAsia="宋体" w:cs="仿宋_GB2312"/>
                <w:color w:val="000000"/>
                <w:szCs w:val="21"/>
              </w:rPr>
              <w:t>10</w:t>
            </w:r>
          </w:p>
        </w:tc>
        <w:tc>
          <w:tcPr>
            <w:tcW w:w="1581"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标书质量</w:t>
            </w:r>
          </w:p>
        </w:tc>
        <w:tc>
          <w:tcPr>
            <w:tcW w:w="6426" w:type="dxa"/>
            <w:noWrap w:val="0"/>
            <w:tcMar>
              <w:top w:w="10" w:type="dxa"/>
              <w:left w:w="10" w:type="dxa"/>
              <w:right w:w="10" w:type="dxa"/>
            </w:tcMar>
            <w:vAlign w:val="center"/>
          </w:tcPr>
          <w:p>
            <w:pPr>
              <w:spacing w:line="320" w:lineRule="exact"/>
              <w:rPr>
                <w:rFonts w:hint="eastAsia" w:ascii="宋体" w:hAnsi="宋体" w:eastAsia="宋体" w:cs="仿宋_GB2312"/>
                <w:color w:val="000000"/>
                <w:szCs w:val="21"/>
              </w:rPr>
            </w:pPr>
            <w:r>
              <w:rPr>
                <w:rFonts w:ascii="宋体" w:hAnsi="宋体" w:eastAsia="宋体" w:cs="仿宋_GB2312"/>
                <w:color w:val="000000"/>
                <w:szCs w:val="21"/>
              </w:rPr>
              <w:t>投标文件与采购文件的评分标准一一对应</w:t>
            </w:r>
            <w:r>
              <w:rPr>
                <w:rFonts w:hint="eastAsia" w:ascii="宋体" w:hAnsi="宋体" w:eastAsia="宋体" w:cs="仿宋_GB2312"/>
                <w:color w:val="000000"/>
                <w:szCs w:val="21"/>
              </w:rPr>
              <w:t>，</w:t>
            </w:r>
            <w:r>
              <w:rPr>
                <w:rFonts w:ascii="宋体" w:hAnsi="宋体" w:eastAsia="宋体" w:cs="仿宋_GB2312"/>
                <w:color w:val="000000"/>
                <w:szCs w:val="21"/>
              </w:rPr>
              <w:t>关联定位需明晰</w:t>
            </w:r>
            <w:r>
              <w:rPr>
                <w:rFonts w:hint="eastAsia" w:ascii="宋体" w:hAnsi="宋体" w:eastAsia="宋体" w:cs="仿宋_GB2312"/>
                <w:color w:val="000000"/>
                <w:szCs w:val="21"/>
              </w:rPr>
              <w:t>、</w:t>
            </w:r>
            <w:r>
              <w:rPr>
                <w:rFonts w:ascii="宋体" w:hAnsi="宋体" w:eastAsia="宋体" w:cs="仿宋_GB2312"/>
                <w:color w:val="000000"/>
                <w:szCs w:val="21"/>
              </w:rPr>
              <w:t>准确</w:t>
            </w:r>
            <w:r>
              <w:rPr>
                <w:rFonts w:hint="eastAsia" w:ascii="宋体" w:hAnsi="宋体" w:eastAsia="宋体" w:cs="仿宋_GB2312"/>
                <w:color w:val="000000"/>
                <w:szCs w:val="21"/>
              </w:rPr>
              <w:t>等方面综合评定。</w:t>
            </w:r>
          </w:p>
        </w:tc>
        <w:tc>
          <w:tcPr>
            <w:tcW w:w="869" w:type="dxa"/>
            <w:noWrap w:val="0"/>
            <w:tcMar>
              <w:top w:w="10" w:type="dxa"/>
              <w:left w:w="10" w:type="dxa"/>
              <w:right w:w="10" w:type="dxa"/>
            </w:tcMar>
            <w:vAlign w:val="center"/>
          </w:tcPr>
          <w:p>
            <w:pPr>
              <w:spacing w:line="320" w:lineRule="exact"/>
              <w:jc w:val="center"/>
              <w:rPr>
                <w:rFonts w:ascii="宋体" w:hAnsi="宋体" w:eastAsia="宋体" w:cs="仿宋_GB2312"/>
                <w:color w:val="000000"/>
                <w:szCs w:val="21"/>
              </w:rPr>
            </w:pPr>
            <w:r>
              <w:rPr>
                <w:rFonts w:hint="eastAsia" w:ascii="宋体" w:hAnsi="宋体" w:eastAsia="宋体" w:cs="仿宋_GB2312"/>
                <w:color w:val="000000"/>
                <w:szCs w:val="21"/>
              </w:rPr>
              <w:t>0-</w:t>
            </w:r>
            <w:r>
              <w:rPr>
                <w:rFonts w:ascii="宋体" w:hAnsi="宋体" w:eastAsia="宋体" w:cs="仿宋_GB2312"/>
                <w:color w:val="000000"/>
                <w:szCs w:val="21"/>
              </w:rPr>
              <w:t>2</w:t>
            </w:r>
            <w:r>
              <w:rPr>
                <w:rFonts w:hint="eastAsia" w:ascii="宋体" w:hAnsi="宋体" w:eastAsia="宋体" w:cs="仿宋_GB2312"/>
                <w:color w:val="000000"/>
                <w:szCs w:val="21"/>
              </w:rPr>
              <w:t>分</w:t>
            </w:r>
          </w:p>
        </w:tc>
      </w:tr>
    </w:tbl>
    <w:p>
      <w:pPr>
        <w:pStyle w:val="12"/>
        <w:spacing w:before="120" w:beforeLines="50" w:after="120" w:afterLines="50" w:line="360" w:lineRule="auto"/>
        <w:ind w:firstLine="466" w:firstLineChars="200"/>
        <w:rPr>
          <w:rFonts w:hAnsi="宋体"/>
          <w:b/>
          <w:color w:val="000000"/>
          <w:sz w:val="24"/>
        </w:rPr>
      </w:pPr>
    </w:p>
    <w:p>
      <w:pPr>
        <w:pStyle w:val="12"/>
        <w:spacing w:before="120" w:beforeLines="50" w:after="120" w:afterLines="50" w:line="360" w:lineRule="auto"/>
        <w:ind w:firstLine="466" w:firstLineChars="200"/>
        <w:rPr>
          <w:rFonts w:hAnsi="宋体"/>
          <w:b/>
          <w:bCs/>
          <w:color w:val="000000"/>
          <w:sz w:val="24"/>
        </w:rPr>
      </w:pPr>
      <w:r>
        <w:rPr>
          <w:rFonts w:hAnsi="宋体"/>
          <w:b/>
          <w:color w:val="000000"/>
          <w:sz w:val="24"/>
        </w:rPr>
        <w:t>（</w:t>
      </w:r>
      <w:r>
        <w:rPr>
          <w:rFonts w:hint="eastAsia" w:hAnsi="宋体"/>
          <w:b/>
          <w:color w:val="000000"/>
          <w:sz w:val="24"/>
        </w:rPr>
        <w:t>二</w:t>
      </w:r>
      <w:r>
        <w:rPr>
          <w:rFonts w:hAnsi="宋体"/>
          <w:b/>
          <w:color w:val="000000"/>
          <w:sz w:val="24"/>
        </w:rPr>
        <w:t>）</w:t>
      </w:r>
      <w:r>
        <w:rPr>
          <w:rFonts w:hAnsi="宋体"/>
          <w:b/>
          <w:bCs/>
          <w:color w:val="000000"/>
          <w:sz w:val="24"/>
        </w:rPr>
        <w:t>价格</w:t>
      </w:r>
      <w:r>
        <w:rPr>
          <w:rFonts w:hint="eastAsia" w:hAnsi="宋体"/>
          <w:b/>
          <w:bCs/>
          <w:color w:val="000000"/>
          <w:sz w:val="24"/>
        </w:rPr>
        <w:t>部分</w:t>
      </w:r>
      <w:r>
        <w:rPr>
          <w:rFonts w:hAnsi="宋体"/>
          <w:b/>
          <w:bCs/>
          <w:color w:val="000000"/>
          <w:sz w:val="24"/>
        </w:rPr>
        <w:t>（</w:t>
      </w:r>
      <w:r>
        <w:rPr>
          <w:rFonts w:hAnsi="宋体"/>
          <w:b/>
          <w:bCs/>
          <w:color w:val="000000"/>
          <w:sz w:val="24"/>
          <w:u w:val="single"/>
        </w:rPr>
        <w:t>30</w:t>
      </w:r>
      <w:r>
        <w:rPr>
          <w:rFonts w:hAnsi="宋体"/>
          <w:b/>
          <w:bCs/>
          <w:color w:val="000000"/>
          <w:sz w:val="24"/>
        </w:rPr>
        <w:t>分）</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价格分采用低价优先法计算，即满足招标文件要求且投标价格最低的投标报价为评标基准价，其价格分为满分。其他投标人的价格分按照下列公式计算：</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价格分=（评标基准价/投标报价）×</w:t>
      </w:r>
      <w:r>
        <w:rPr>
          <w:rFonts w:hAnsi="宋体"/>
          <w:color w:val="000000"/>
          <w:spacing w:val="-4"/>
          <w:kern w:val="2"/>
          <w:szCs w:val="20"/>
        </w:rPr>
        <w:t>30</w:t>
      </w:r>
      <w:r>
        <w:rPr>
          <w:rFonts w:hint="eastAsia" w:hAnsi="宋体"/>
          <w:color w:val="000000"/>
          <w:spacing w:val="-4"/>
          <w:kern w:val="2"/>
          <w:szCs w:val="20"/>
        </w:rPr>
        <w:t>%×100</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注：“</w:t>
      </w:r>
      <w:r>
        <w:rPr>
          <w:rFonts w:hAnsi="宋体"/>
          <w:color w:val="000000"/>
          <w:spacing w:val="-4"/>
          <w:kern w:val="2"/>
          <w:szCs w:val="20"/>
        </w:rPr>
        <w:t>促进中小企业发展</w:t>
      </w:r>
      <w:r>
        <w:rPr>
          <w:rFonts w:hint="eastAsia" w:hAnsi="宋体"/>
          <w:color w:val="000000"/>
          <w:spacing w:val="-4"/>
          <w:kern w:val="2"/>
          <w:szCs w:val="20"/>
        </w:rPr>
        <w:t>”可按以下内容编写：</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根据</w:t>
      </w:r>
      <w:r>
        <w:rPr>
          <w:rFonts w:hAnsi="宋体"/>
          <w:color w:val="000000"/>
          <w:spacing w:val="-4"/>
          <w:kern w:val="2"/>
          <w:szCs w:val="20"/>
        </w:rPr>
        <w:t>《政府采购促进中小企业发展暂行办法》</w:t>
      </w:r>
      <w:r>
        <w:rPr>
          <w:rFonts w:hint="eastAsia" w:hAnsi="宋体"/>
          <w:color w:val="000000"/>
          <w:spacing w:val="-4"/>
          <w:kern w:val="2"/>
          <w:szCs w:val="20"/>
        </w:rPr>
        <w:t>（</w:t>
      </w:r>
      <w:r>
        <w:rPr>
          <w:rFonts w:hAnsi="宋体"/>
          <w:color w:val="000000"/>
          <w:spacing w:val="-4"/>
          <w:kern w:val="2"/>
          <w:szCs w:val="20"/>
        </w:rPr>
        <w:t>财库[2011]181号</w:t>
      </w:r>
      <w:r>
        <w:rPr>
          <w:rFonts w:hint="eastAsia" w:hAnsi="宋体"/>
          <w:color w:val="000000"/>
          <w:spacing w:val="-4"/>
          <w:kern w:val="2"/>
          <w:szCs w:val="20"/>
        </w:rPr>
        <w:t>），对</w:t>
      </w:r>
      <w:r>
        <w:rPr>
          <w:rFonts w:hint="eastAsia" w:hAnsi="宋体"/>
          <w:color w:val="000000"/>
          <w:spacing w:val="-4"/>
          <w:kern w:val="2"/>
          <w:szCs w:val="20"/>
          <w:u w:val="single"/>
        </w:rPr>
        <w:t xml:space="preserve"> </w:t>
      </w:r>
      <w:r>
        <w:rPr>
          <w:rFonts w:hint="eastAsia" w:hAnsi="宋体"/>
          <w:b/>
          <w:i/>
          <w:color w:val="000000"/>
          <w:spacing w:val="-4"/>
          <w:kern w:val="2"/>
          <w:szCs w:val="20"/>
          <w:u w:val="single"/>
        </w:rPr>
        <w:t>小型或微型</w:t>
      </w:r>
      <w:r>
        <w:rPr>
          <w:rFonts w:hint="eastAsia" w:hAnsi="宋体"/>
          <w:color w:val="000000"/>
          <w:spacing w:val="-4"/>
          <w:kern w:val="2"/>
          <w:szCs w:val="20"/>
        </w:rPr>
        <w:t>企业参加投标且投标货物为小型或微型企业生产/提供的，价格给予</w:t>
      </w:r>
      <w:r>
        <w:rPr>
          <w:rFonts w:hint="eastAsia" w:hAnsi="宋体"/>
          <w:b/>
          <w:color w:val="000000"/>
          <w:spacing w:val="-4"/>
          <w:kern w:val="2"/>
          <w:szCs w:val="20"/>
          <w:u w:val="single"/>
        </w:rPr>
        <w:t>（6）</w:t>
      </w:r>
      <w:r>
        <w:rPr>
          <w:rFonts w:hint="eastAsia" w:hAnsi="宋体"/>
          <w:color w:val="000000"/>
          <w:spacing w:val="-4"/>
          <w:kern w:val="2"/>
          <w:szCs w:val="20"/>
        </w:rPr>
        <w:t>%的</w:t>
      </w:r>
      <w:r>
        <w:rPr>
          <w:rFonts w:hAnsi="宋体"/>
          <w:color w:val="000000"/>
          <w:spacing w:val="-4"/>
          <w:kern w:val="2"/>
          <w:szCs w:val="20"/>
        </w:rPr>
        <w:t>扣除，用扣除后的价格参与</w:t>
      </w:r>
      <w:r>
        <w:rPr>
          <w:rFonts w:hint="eastAsia" w:hAnsi="宋体"/>
          <w:color w:val="000000"/>
          <w:spacing w:val="-4"/>
          <w:kern w:val="2"/>
          <w:szCs w:val="20"/>
        </w:rPr>
        <w:t>价格</w:t>
      </w:r>
      <w:r>
        <w:rPr>
          <w:rFonts w:hAnsi="宋体"/>
          <w:color w:val="000000"/>
          <w:spacing w:val="-4"/>
          <w:kern w:val="2"/>
          <w:szCs w:val="20"/>
        </w:rPr>
        <w:t>评</w:t>
      </w:r>
      <w:r>
        <w:rPr>
          <w:rFonts w:hint="eastAsia" w:hAnsi="宋体"/>
          <w:color w:val="000000"/>
          <w:spacing w:val="-4"/>
          <w:kern w:val="2"/>
          <w:szCs w:val="20"/>
        </w:rPr>
        <w:t>分。</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小型、微型企业以联合体参加投标的，联合体协议中约定，</w:t>
      </w:r>
      <w:r>
        <w:rPr>
          <w:rFonts w:hint="eastAsia" w:hAnsi="宋体"/>
          <w:color w:val="000000"/>
          <w:spacing w:val="-4"/>
          <w:kern w:val="2"/>
          <w:szCs w:val="20"/>
          <w:u w:val="single"/>
        </w:rPr>
        <w:t xml:space="preserve"> </w:t>
      </w:r>
      <w:r>
        <w:rPr>
          <w:rFonts w:hint="eastAsia" w:hAnsi="宋体"/>
          <w:b/>
          <w:i/>
          <w:color w:val="000000"/>
          <w:spacing w:val="-4"/>
          <w:kern w:val="2"/>
          <w:szCs w:val="20"/>
          <w:u w:val="single"/>
        </w:rPr>
        <w:t xml:space="preserve">小型、微型企业 </w:t>
      </w:r>
      <w:r>
        <w:rPr>
          <w:rFonts w:hint="eastAsia" w:hAnsi="宋体"/>
          <w:color w:val="000000"/>
          <w:spacing w:val="-4"/>
          <w:kern w:val="2"/>
          <w:szCs w:val="20"/>
        </w:rPr>
        <w:t>产品的协议合同金额占到联合体协议合同总金额30%以上的，投标报价给予</w:t>
      </w:r>
      <w:r>
        <w:rPr>
          <w:rFonts w:hint="eastAsia" w:hAnsi="宋体"/>
          <w:b/>
          <w:color w:val="000000"/>
          <w:spacing w:val="-4"/>
          <w:kern w:val="2"/>
          <w:szCs w:val="20"/>
          <w:u w:val="single"/>
        </w:rPr>
        <w:t>（2）%</w:t>
      </w:r>
      <w:r>
        <w:rPr>
          <w:rFonts w:hint="eastAsia" w:hAnsi="宋体"/>
          <w:color w:val="000000"/>
          <w:spacing w:val="-4"/>
          <w:kern w:val="2"/>
          <w:szCs w:val="20"/>
        </w:rPr>
        <w:t>的扣除，并用扣除后的价格计算价格评分。组成联合体的大中型企业和其他自然人、法人或者其他组织，与小型、微型企业之间不得存在投资关系，否则不予价格扣除。</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投标文件中提供的《中小企业声明函》是评标委员会的评标依据。</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残疾人福利性单位视同小微企业，其产品参加本项目投标的，享受小微企业同等的价格扣除。</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残疾人福利性单位应当同时满足以下条件：</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① 安置的残疾人占本单位在职职工人数的比例不低于25%（含25%），并且安置的残疾人人数不少于10人（含10人）；</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② 依法与安置的每位残疾人签订了一年以上（含一年）的劳动合同或服务协议；</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③ 为安置的每位残疾人按月足额缴纳了基本养老保险、基本医疗保险、失业保险、工伤保险和生育保险等社会保险费；</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④ 通过银行等金融机构向安置的每位残疾人，按月支付了不低于单位所在区县适用的经省级人民政府批准的月最低工资标准的工资；</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⑤ 提供本单位制造的货物、承担的工程或者服务（以下简称产品），或者提供其他残疾人福利性单位制造的货物（不包括使用非残疾人福利性单位注册商标的货物）。</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提供《残疾人福利性单位</w:t>
      </w:r>
      <w:r>
        <w:rPr>
          <w:rFonts w:hAnsi="宋体"/>
          <w:color w:val="000000"/>
          <w:spacing w:val="-4"/>
          <w:kern w:val="2"/>
          <w:szCs w:val="20"/>
        </w:rPr>
        <w:t>声明函</w:t>
      </w:r>
      <w:r>
        <w:rPr>
          <w:rFonts w:hint="eastAsia" w:hAnsi="宋体"/>
          <w:color w:val="000000"/>
          <w:spacing w:val="-4"/>
          <w:kern w:val="2"/>
          <w:szCs w:val="20"/>
        </w:rPr>
        <w:t>》的投标人被认定为残疾人福利性单位。</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监狱企业视同小微企业，其产品参加本项目投标的，享受小微企业同等的价格扣除。</w:t>
      </w:r>
    </w:p>
    <w:p>
      <w:pPr>
        <w:pStyle w:val="16"/>
        <w:snapToGrid w:val="0"/>
        <w:spacing w:beforeLines="0" w:afterLines="0" w:line="360" w:lineRule="auto"/>
        <w:ind w:firstLine="464" w:firstLineChars="200"/>
        <w:rPr>
          <w:rFonts w:hint="eastAsia" w:hAnsi="宋体"/>
          <w:color w:val="000000"/>
          <w:spacing w:val="-4"/>
          <w:kern w:val="2"/>
          <w:szCs w:val="20"/>
        </w:rPr>
      </w:pPr>
      <w:r>
        <w:rPr>
          <w:rFonts w:hint="eastAsia" w:hAnsi="宋体"/>
          <w:color w:val="000000"/>
          <w:spacing w:val="-4"/>
          <w:kern w:val="2"/>
          <w:szCs w:val="20"/>
        </w:rPr>
        <w:t>提供以下证明材料的投标人被认定为监狱企业：</w:t>
      </w:r>
    </w:p>
    <w:p>
      <w:pPr>
        <w:pStyle w:val="16"/>
        <w:snapToGrid w:val="0"/>
        <w:spacing w:beforeLines="0" w:afterLines="0" w:line="360" w:lineRule="auto"/>
        <w:ind w:firstLine="464" w:firstLineChars="200"/>
        <w:rPr>
          <w:rFonts w:hAnsi="宋体"/>
          <w:color w:val="000000"/>
          <w:spacing w:val="-4"/>
          <w:kern w:val="2"/>
          <w:szCs w:val="20"/>
        </w:rPr>
      </w:pPr>
      <w:r>
        <w:rPr>
          <w:rFonts w:hint="eastAsia" w:hAnsi="宋体"/>
          <w:color w:val="000000"/>
          <w:spacing w:val="-4"/>
          <w:kern w:val="2"/>
          <w:szCs w:val="20"/>
        </w:rPr>
        <w:t>省级以上监狱管理局、戒毒管理局（含新疆生产建设兵团）出具的属于监狱企业的证明文件。</w:t>
      </w:r>
    </w:p>
    <w:p>
      <w:pPr>
        <w:pStyle w:val="16"/>
        <w:pageBreakBefore/>
        <w:snapToGrid w:val="0"/>
        <w:spacing w:beforeLines="0" w:afterLines="0" w:line="360" w:lineRule="auto"/>
        <w:rPr>
          <w:rFonts w:hint="eastAsia" w:hAnsi="宋体"/>
          <w:color w:val="000000"/>
        </w:rPr>
      </w:pPr>
    </w:p>
    <w:p>
      <w:pPr>
        <w:snapToGrid w:val="0"/>
        <w:spacing w:line="360" w:lineRule="auto"/>
        <w:ind w:left="238"/>
        <w:jc w:val="center"/>
        <w:outlineLvl w:val="0"/>
        <w:rPr>
          <w:rFonts w:hint="eastAsia" w:ascii="宋体" w:hAnsi="宋体"/>
          <w:color w:val="000000"/>
          <w:sz w:val="30"/>
          <w:szCs w:val="30"/>
        </w:rPr>
      </w:pPr>
      <w:bookmarkStart w:id="43" w:name="_Toc44755897"/>
      <w:r>
        <w:rPr>
          <w:rFonts w:hint="eastAsia" w:ascii="宋体" w:hAnsi="宋体"/>
          <w:color w:val="000000"/>
          <w:sz w:val="30"/>
          <w:szCs w:val="30"/>
        </w:rPr>
        <w:t xml:space="preserve">第四章  </w:t>
      </w:r>
      <w:r>
        <w:rPr>
          <w:rFonts w:hint="eastAsia" w:ascii="宋体" w:hAnsi="宋体"/>
          <w:b/>
          <w:color w:val="000000"/>
          <w:sz w:val="30"/>
        </w:rPr>
        <w:t>招标内容及需求</w:t>
      </w:r>
      <w:bookmarkEnd w:id="43"/>
    </w:p>
    <w:p>
      <w:pPr>
        <w:spacing w:line="440" w:lineRule="exact"/>
        <w:ind w:firstLine="482"/>
        <w:rPr>
          <w:rFonts w:ascii="宋体" w:hAnsi="宋体" w:cs="仿宋_GB2312"/>
          <w:color w:val="000000"/>
          <w:szCs w:val="21"/>
        </w:rPr>
      </w:pPr>
      <w:bookmarkStart w:id="44" w:name="_Toc14959"/>
      <w:r>
        <w:rPr>
          <w:rFonts w:hint="eastAsia" w:ascii="宋体" w:hAnsi="宋体" w:cs="仿宋_GB2312"/>
          <w:color w:val="000000"/>
          <w:szCs w:val="21"/>
        </w:rPr>
        <w:t>一、项目说明</w:t>
      </w:r>
      <w:bookmarkEnd w:id="44"/>
    </w:p>
    <w:p>
      <w:pPr>
        <w:spacing w:line="440" w:lineRule="exact"/>
        <w:ind w:firstLine="482"/>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本项目所采购货物的生产、安装、维修、检验、验收等按照以下原则执行：有国家标准的执行国家标准；无国家标准的执行行业标准；无行业标准的执行地方标准；无地方标准的执行企业标准，且按最新的标准及规范执行。生产制造所需要的所有主材和辅助材料的质量、安全均应符合国家规定。</w:t>
      </w:r>
    </w:p>
    <w:p>
      <w:pPr>
        <w:spacing w:line="440" w:lineRule="exact"/>
        <w:ind w:firstLine="482"/>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、本项目所采购的产品本体、零部件、配件产品质量应符合中华人民共和国及产品品牌所在国的有关质量标准，上述标准如有不一致，执行两者中更严格的标准。</w:t>
      </w:r>
    </w:p>
    <w:p>
      <w:pPr>
        <w:spacing w:line="440" w:lineRule="exact"/>
        <w:ind w:firstLine="482"/>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、本项目所采购的货物及安装、维修、检验、验收应当符合本采购文件规定的规格、要求和数量（包括附件、图纸等）等要求。</w:t>
      </w:r>
    </w:p>
    <w:p>
      <w:pPr>
        <w:spacing w:line="440" w:lineRule="exact"/>
        <w:ind w:firstLine="482"/>
        <w:rPr>
          <w:rFonts w:ascii="宋体" w:hAnsi="宋体" w:cs="仿宋_GB2312"/>
          <w:color w:val="000000"/>
          <w:szCs w:val="21"/>
        </w:rPr>
      </w:pPr>
      <w:bookmarkStart w:id="45" w:name="_Toc426996351"/>
      <w:bookmarkStart w:id="46" w:name="_Toc335039017"/>
      <w:r>
        <w:rPr>
          <w:rFonts w:hint="eastAsia" w:ascii="宋体" w:hAnsi="宋体" w:cs="仿宋_GB2312"/>
          <w:color w:val="000000"/>
          <w:szCs w:val="21"/>
        </w:rPr>
        <w:t>二、基本要求</w:t>
      </w:r>
      <w:bookmarkEnd w:id="45"/>
      <w:bookmarkEnd w:id="46"/>
    </w:p>
    <w:p>
      <w:pPr>
        <w:spacing w:line="440" w:lineRule="exact"/>
        <w:ind w:firstLine="482"/>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投标人应保证提供的产品为合法企业生产的合法产品，投标人须提供符合中华人民共和国有关法律、法规、规章、文件、标准、规范规定并经规范生产的产品，并保证其使用的安全性与可靠性以及保证货物是全新、未使用过的合格产品，且完全符合采购文件规定的质量、规格和性能要求。投标人提供的产品如按国家规定应通过有关部门鉴定（批准）的产品，应保证已按国家规定通过了鉴定（批准）。实行产品许可证制度的产品须获得国家许可。实行强制性认证的产品须通过国家认可认证。货物制造完毕经出厂检验合格后方能发货，并提供货物合格证书。</w:t>
      </w:r>
    </w:p>
    <w:p>
      <w:pPr>
        <w:spacing w:line="440" w:lineRule="exact"/>
        <w:ind w:firstLine="482"/>
        <w:rPr>
          <w:rFonts w:ascii="宋体" w:hAnsi="宋体" w:cs="仿宋_GB2312"/>
          <w:color w:val="000000"/>
          <w:szCs w:val="21"/>
        </w:rPr>
      </w:pPr>
      <w:r>
        <w:rPr>
          <w:rFonts w:hint="eastAsia" w:ascii="宋体" w:hAnsi="宋体" w:cs="仿宋_GB2312"/>
          <w:color w:val="000000"/>
          <w:szCs w:val="21"/>
        </w:rPr>
        <w:t>投标人应在响应文件中对产品的技术指标进行明确说明。否则，评审小组可以对其做出不利的评判。</w:t>
      </w:r>
    </w:p>
    <w:p>
      <w:pPr>
        <w:spacing w:line="440" w:lineRule="exact"/>
        <w:ind w:firstLine="482"/>
        <w:rPr>
          <w:rFonts w:ascii="宋体" w:hAnsi="宋体" w:cs="仿宋_GB2312"/>
          <w:color w:val="000000"/>
          <w:szCs w:val="21"/>
        </w:rPr>
      </w:pPr>
      <w:r>
        <w:rPr>
          <w:rFonts w:hint="eastAsia" w:ascii="宋体" w:hAnsi="宋体" w:cs="仿宋_GB2312"/>
          <w:color w:val="000000"/>
          <w:szCs w:val="21"/>
        </w:rPr>
        <w:t>如本采购文件有要求的，投标人应当按照采购文件的要求在响应文件中明确产品具体配置说明、技术指标，并提供技术支持资料。技术支持资料包括权威机构出具的认证证书或国家认定的第三方检测机构出具的检测报告或响应产品制造商公开发布的印刷资料，若权威机构出具的认证证书或第三方检测机构出具的检测报告与响应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pPr>
        <w:spacing w:line="440" w:lineRule="exact"/>
        <w:ind w:firstLine="482"/>
        <w:rPr>
          <w:rFonts w:ascii="宋体" w:hAnsi="宋体" w:cs="仿宋_GB2312"/>
          <w:color w:val="000000"/>
          <w:szCs w:val="21"/>
        </w:rPr>
      </w:pPr>
      <w:r>
        <w:rPr>
          <w:rFonts w:hint="eastAsia" w:ascii="宋体" w:hAnsi="宋体" w:cs="仿宋_GB2312"/>
          <w:color w:val="000000"/>
          <w:szCs w:val="21"/>
        </w:rPr>
        <w:t>投标人须对所投产品、方案、技术、服务等拥有合法的占有、使用、收益、处分的权利，并对涉及项目的所有内容可能侵权行为的指控负全责，保证不伤害采购人的利益。在法律范围内，如果出现文字、图片、商标和技术等侵权行为而造成的纠纷和产生的一切费用，采购人概不负责，由此给采购人造成损失的，投标人应承担相应后果，并负责赔偿。中标人为执行本项目合同而提供的技术资料等归采购人所有。中标人应确保采购人在使用产品时免受第三方提出的侵犯其专利权、商标权或工业设计权等起诉</w:t>
      </w:r>
    </w:p>
    <w:p>
      <w:pPr>
        <w:spacing w:line="440" w:lineRule="exact"/>
        <w:ind w:firstLine="482"/>
        <w:rPr>
          <w:rFonts w:ascii="宋体" w:hAnsi="宋体" w:cs="仿宋_GB2312"/>
          <w:color w:val="000000"/>
          <w:szCs w:val="21"/>
        </w:rPr>
      </w:pPr>
      <w:r>
        <w:rPr>
          <w:rFonts w:hint="eastAsia" w:ascii="宋体" w:hAnsi="宋体" w:cs="仿宋_GB2312"/>
          <w:color w:val="000000"/>
          <w:szCs w:val="21"/>
        </w:rPr>
        <w:t>2、如响应文件未按照本采购文件要求提供技术支持资料或响应文件中明确的技术指标与技术支持资料不一致，评审小组可对其做出不利的评判。</w:t>
      </w:r>
    </w:p>
    <w:p>
      <w:pPr>
        <w:spacing w:line="440" w:lineRule="exact"/>
        <w:ind w:firstLine="482"/>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中标人须对成交产品使用的安全性、有效性及可靠性承担全部责任，须保证合同验收阶段的性能检验报告与响应文件明确的技术指标一致。采购人对中标人所供货物有权在合同验收阶段指定国家认定的第三方检测机构进行检测，相关货物运输、检测等全部费用应包含在投标人报价中，由中标人支付。</w:t>
      </w:r>
    </w:p>
    <w:p>
      <w:pPr>
        <w:spacing w:line="440" w:lineRule="exact"/>
        <w:ind w:firstLine="482"/>
        <w:rPr>
          <w:rFonts w:ascii="宋体" w:hAnsi="宋体" w:cs="仿宋_GB2312"/>
          <w:color w:val="000000"/>
          <w:szCs w:val="21"/>
        </w:rPr>
      </w:pPr>
      <w:r>
        <w:rPr>
          <w:rFonts w:ascii="宋体" w:hAnsi="宋体" w:cs="仿宋_GB2312"/>
          <w:color w:val="000000"/>
          <w:szCs w:val="21"/>
        </w:rPr>
        <w:t>4</w:t>
      </w:r>
      <w:r>
        <w:rPr>
          <w:rFonts w:hint="eastAsia" w:ascii="宋体" w:hAnsi="宋体" w:cs="仿宋_GB2312"/>
          <w:color w:val="000000"/>
          <w:szCs w:val="21"/>
        </w:rPr>
        <w:t>、投标人的响应产品技术指标应具备相当于或高于采购文件中规定的要求，并能提供更好的性能，具有更高的可靠性、安全性、耐用性。投标人提供的产品应在采购人所处的条件下能正常工作，采购人所处的条件投标人可以通过现场踏勘进行了解，如响应产品对环境有特别要求，投标人须在响应文件中进行明确，为适应产品安装运行所要具备的环境条件营造费用由投标人承担。中标人应保证所提供的货物经正确安装、正常运转和保养后，在其使用寿命期内应具有满意的性能。在货物质量保证期内成交方应对由于设计、工艺或者材料的缺陷而发生的任何不足或者故障负责，并承担赔偿责任。</w:t>
      </w:r>
    </w:p>
    <w:p>
      <w:pPr>
        <w:spacing w:line="440" w:lineRule="exact"/>
        <w:ind w:firstLine="482"/>
        <w:rPr>
          <w:rFonts w:ascii="宋体" w:hAnsi="宋体" w:cs="仿宋_GB2312"/>
          <w:color w:val="000000"/>
          <w:szCs w:val="21"/>
        </w:rPr>
      </w:pPr>
      <w:r>
        <w:rPr>
          <w:rFonts w:ascii="宋体" w:hAnsi="宋体" w:cs="仿宋_GB2312"/>
          <w:color w:val="000000"/>
          <w:szCs w:val="21"/>
        </w:rPr>
        <w:t>5</w:t>
      </w:r>
      <w:r>
        <w:rPr>
          <w:rFonts w:hint="eastAsia" w:ascii="宋体" w:hAnsi="宋体" w:cs="仿宋_GB2312"/>
          <w:color w:val="000000"/>
          <w:szCs w:val="21"/>
        </w:rPr>
        <w:t>、产品本体</w:t>
      </w:r>
    </w:p>
    <w:p>
      <w:pPr>
        <w:spacing w:line="440" w:lineRule="exact"/>
        <w:ind w:firstLine="482"/>
        <w:rPr>
          <w:rFonts w:ascii="宋体" w:hAnsi="宋体" w:cs="仿宋_GB2312"/>
          <w:color w:val="000000"/>
          <w:szCs w:val="21"/>
        </w:rPr>
      </w:pPr>
      <w:r>
        <w:rPr>
          <w:rFonts w:hint="eastAsia" w:ascii="宋体" w:hAnsi="宋体" w:cs="仿宋_GB2312"/>
          <w:color w:val="000000"/>
          <w:szCs w:val="21"/>
        </w:rPr>
        <w:t>产品本体是指产品在工作条件和环境条件具备的前提下正常运行就能达到响应文件承诺的技术指标及性能，不需要另外配置其他物品。</w:t>
      </w:r>
    </w:p>
    <w:p>
      <w:pPr>
        <w:spacing w:line="440" w:lineRule="exact"/>
        <w:ind w:firstLine="482"/>
        <w:rPr>
          <w:rFonts w:ascii="宋体" w:hAnsi="宋体" w:cs="仿宋_GB2312"/>
          <w:color w:val="000000"/>
          <w:szCs w:val="21"/>
        </w:rPr>
      </w:pPr>
      <w:r>
        <w:rPr>
          <w:rFonts w:ascii="宋体" w:hAnsi="宋体" w:cs="仿宋_GB2312"/>
          <w:color w:val="000000"/>
          <w:szCs w:val="21"/>
        </w:rPr>
        <w:t>6</w:t>
      </w:r>
      <w:r>
        <w:rPr>
          <w:rFonts w:hint="eastAsia" w:ascii="宋体" w:hAnsi="宋体" w:cs="仿宋_GB2312"/>
          <w:color w:val="000000"/>
          <w:szCs w:val="21"/>
        </w:rPr>
        <w:t>、随产品本体配送的备品备件、易损件、零配件、专用工具</w:t>
      </w:r>
    </w:p>
    <w:p>
      <w:pPr>
        <w:spacing w:line="440" w:lineRule="exact"/>
        <w:ind w:firstLine="482"/>
        <w:rPr>
          <w:rFonts w:ascii="宋体" w:hAnsi="宋体" w:cs="仿宋_GB2312"/>
          <w:color w:val="000000"/>
          <w:szCs w:val="21"/>
        </w:rPr>
      </w:pPr>
      <w:r>
        <w:rPr>
          <w:rFonts w:hint="eastAsia" w:ascii="宋体" w:hAnsi="宋体" w:cs="仿宋_GB2312"/>
          <w:color w:val="000000"/>
          <w:szCs w:val="21"/>
        </w:rPr>
        <w:t>随产品本体配送的备品备件、易损件、零配件、专用工具是指与产品本体相关的辅助性物品，是为方便采购人使用而提供的、不会影响产品本身正常运行。</w:t>
      </w:r>
    </w:p>
    <w:p>
      <w:pPr>
        <w:spacing w:line="440" w:lineRule="exact"/>
        <w:ind w:firstLine="482"/>
        <w:rPr>
          <w:rFonts w:ascii="宋体" w:hAnsi="宋体" w:cs="仿宋_GB2312"/>
          <w:color w:val="000000"/>
          <w:szCs w:val="21"/>
        </w:rPr>
      </w:pPr>
      <w:r>
        <w:rPr>
          <w:rFonts w:hint="eastAsia" w:ascii="宋体" w:hAnsi="宋体" w:cs="仿宋_GB2312"/>
          <w:color w:val="000000"/>
          <w:szCs w:val="21"/>
        </w:rPr>
        <w:t>包括采购人要求随产品本体配送或产品自身随产品本体配送的物品，投标人应在响应文件中列出各种随产品本体配送的备品备件、易损件、零配件、专用工具的规格、用途、数量、单价和总价，所需费用应包括在响应报价之内。</w:t>
      </w:r>
      <w:bookmarkStart w:id="47" w:name="c__506404130_"/>
    </w:p>
    <w:bookmarkEnd w:id="47"/>
    <w:p>
      <w:pPr>
        <w:spacing w:line="440" w:lineRule="exact"/>
        <w:ind w:firstLine="482"/>
        <w:rPr>
          <w:rFonts w:ascii="宋体" w:hAnsi="宋体" w:cs="仿宋_GB2312"/>
          <w:color w:val="000000"/>
          <w:szCs w:val="21"/>
        </w:rPr>
      </w:pPr>
      <w:r>
        <w:rPr>
          <w:rFonts w:hint="eastAsia" w:ascii="宋体" w:hAnsi="宋体" w:cs="仿宋_GB2312"/>
          <w:color w:val="000000"/>
          <w:szCs w:val="21"/>
        </w:rPr>
        <w:t>三、采购产品技术规格、要求和数量（包括附件、图纸等）</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60"/>
        <w:gridCol w:w="5750"/>
        <w:gridCol w:w="709"/>
        <w:gridCol w:w="764"/>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02" w:hRule="exact"/>
          <w:jc w:val="center"/>
        </w:trPr>
        <w:tc>
          <w:tcPr>
            <w:tcW w:w="709" w:type="dxa"/>
            <w:noWrap w:val="0"/>
            <w:vAlign w:val="center"/>
          </w:tcPr>
          <w:p>
            <w:pPr>
              <w:spacing w:line="300" w:lineRule="exact"/>
              <w:jc w:val="center"/>
              <w:rPr>
                <w:rFonts w:ascii="宋体" w:hAnsi="宋体" w:eastAsia="宋体" w:cs="仿宋_GB2312"/>
                <w:color w:val="000000"/>
                <w:szCs w:val="21"/>
              </w:rPr>
            </w:pPr>
            <w:bookmarkStart w:id="48" w:name="_Toc426996353"/>
            <w:bookmarkStart w:id="49" w:name="_Toc328992073"/>
            <w:bookmarkStart w:id="50" w:name="_Toc335039019"/>
            <w:bookmarkStart w:id="51" w:name="_Toc329113954"/>
            <w:r>
              <w:rPr>
                <w:rFonts w:hint="eastAsia" w:ascii="宋体" w:hAnsi="宋体" w:eastAsia="宋体" w:cs="仿宋_GB2312"/>
                <w:color w:val="000000"/>
                <w:szCs w:val="21"/>
              </w:rPr>
              <w:t>序号</w:t>
            </w:r>
          </w:p>
        </w:tc>
        <w:tc>
          <w:tcPr>
            <w:tcW w:w="1160"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货物名称</w:t>
            </w:r>
          </w:p>
        </w:tc>
        <w:tc>
          <w:tcPr>
            <w:tcW w:w="5750"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技术、规格、性能、功能、质量、要求</w:t>
            </w:r>
          </w:p>
        </w:tc>
        <w:tc>
          <w:tcPr>
            <w:tcW w:w="709"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预计</w:t>
            </w:r>
          </w:p>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数量</w:t>
            </w:r>
          </w:p>
        </w:tc>
        <w:tc>
          <w:tcPr>
            <w:tcW w:w="764"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单位</w:t>
            </w:r>
          </w:p>
        </w:tc>
        <w:tc>
          <w:tcPr>
            <w:tcW w:w="769"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06" w:hRule="atLeast"/>
          <w:jc w:val="center"/>
        </w:trPr>
        <w:tc>
          <w:tcPr>
            <w:tcW w:w="709" w:type="dxa"/>
            <w:noWrap w:val="0"/>
            <w:vAlign w:val="center"/>
          </w:tcPr>
          <w:p>
            <w:pPr>
              <w:spacing w:line="300" w:lineRule="exact"/>
              <w:jc w:val="center"/>
              <w:rPr>
                <w:rFonts w:ascii="宋体" w:hAnsi="宋体" w:cs="宋体"/>
                <w:color w:val="000000"/>
                <w:szCs w:val="21"/>
                <w:lang w:bidi="ar"/>
              </w:rPr>
            </w:pPr>
            <w:r>
              <w:rPr>
                <w:rFonts w:hint="eastAsia" w:ascii="宋体" w:hAnsi="宋体" w:cs="宋体"/>
                <w:color w:val="000000"/>
                <w:szCs w:val="21"/>
                <w:lang w:bidi="ar"/>
              </w:rPr>
              <w:t>1</w:t>
            </w:r>
          </w:p>
        </w:tc>
        <w:tc>
          <w:tcPr>
            <w:tcW w:w="1160" w:type="dxa"/>
            <w:noWrap w:val="0"/>
            <w:vAlign w:val="center"/>
          </w:tcPr>
          <w:p>
            <w:pPr>
              <w:spacing w:line="300" w:lineRule="exact"/>
              <w:jc w:val="center"/>
              <w:rPr>
                <w:rFonts w:ascii="宋体" w:hAnsi="宋体" w:cs="宋体"/>
                <w:color w:val="000000"/>
                <w:szCs w:val="21"/>
                <w:lang w:bidi="ar"/>
              </w:rPr>
            </w:pPr>
            <w:r>
              <w:rPr>
                <w:rFonts w:hint="eastAsia" w:ascii="宋体" w:hAnsi="宋体" w:cs="宋体"/>
                <w:color w:val="000000"/>
                <w:szCs w:val="21"/>
                <w:lang w:bidi="ar"/>
              </w:rPr>
              <w:t>指挥中心迁建项目</w:t>
            </w:r>
          </w:p>
        </w:tc>
        <w:tc>
          <w:tcPr>
            <w:tcW w:w="5750" w:type="dxa"/>
            <w:noWrap w:val="0"/>
            <w:vAlign w:val="center"/>
          </w:tcPr>
          <w:p>
            <w:pPr>
              <w:spacing w:line="300" w:lineRule="exact"/>
              <w:jc w:val="center"/>
              <w:rPr>
                <w:rFonts w:ascii="宋体" w:hAnsi="宋体" w:cs="宋体"/>
                <w:color w:val="000000"/>
                <w:szCs w:val="21"/>
                <w:lang w:bidi="ar"/>
              </w:rPr>
            </w:pPr>
            <w:r>
              <w:rPr>
                <w:rFonts w:hint="eastAsia" w:ascii="宋体" w:hAnsi="宋体" w:cs="宋体"/>
                <w:color w:val="000000"/>
                <w:szCs w:val="21"/>
                <w:lang w:bidi="ar"/>
              </w:rPr>
              <w:t>包括但不限于指挥中心大屏显示系统，音控系统，会商决策去信息系统、视频会议系统、无纸化信息发布系统、环境监测系统、配套机房、综合布线系统、原指挥中心机房设备搬迁调试等</w:t>
            </w:r>
          </w:p>
        </w:tc>
        <w:tc>
          <w:tcPr>
            <w:tcW w:w="709" w:type="dxa"/>
            <w:noWrap w:val="0"/>
            <w:vAlign w:val="center"/>
          </w:tcPr>
          <w:p>
            <w:pPr>
              <w:spacing w:line="300" w:lineRule="exact"/>
              <w:jc w:val="center"/>
              <w:rPr>
                <w:rFonts w:ascii="宋体" w:hAnsi="宋体" w:cs="宋体"/>
                <w:color w:val="000000"/>
                <w:szCs w:val="21"/>
                <w:lang w:bidi="ar"/>
              </w:rPr>
            </w:pPr>
            <w:r>
              <w:rPr>
                <w:rFonts w:hint="eastAsia" w:ascii="宋体" w:hAnsi="宋体" w:cs="宋体"/>
                <w:color w:val="000000"/>
                <w:szCs w:val="21"/>
                <w:lang w:bidi="ar"/>
              </w:rPr>
              <w:t>1</w:t>
            </w:r>
          </w:p>
        </w:tc>
        <w:tc>
          <w:tcPr>
            <w:tcW w:w="764" w:type="dxa"/>
            <w:noWrap w:val="0"/>
            <w:vAlign w:val="center"/>
          </w:tcPr>
          <w:p>
            <w:pPr>
              <w:spacing w:line="300" w:lineRule="exact"/>
              <w:jc w:val="center"/>
              <w:rPr>
                <w:rFonts w:ascii="宋体" w:hAnsi="宋体" w:cs="宋体"/>
                <w:color w:val="000000"/>
                <w:szCs w:val="21"/>
                <w:lang w:bidi="ar"/>
              </w:rPr>
            </w:pPr>
            <w:r>
              <w:rPr>
                <w:rFonts w:hint="eastAsia" w:ascii="宋体" w:hAnsi="宋体" w:cs="宋体"/>
                <w:color w:val="000000"/>
                <w:szCs w:val="21"/>
                <w:lang w:bidi="ar"/>
              </w:rPr>
              <w:t>批</w:t>
            </w:r>
          </w:p>
        </w:tc>
        <w:tc>
          <w:tcPr>
            <w:tcW w:w="769" w:type="dxa"/>
            <w:noWrap w:val="0"/>
            <w:vAlign w:val="center"/>
          </w:tcPr>
          <w:p>
            <w:pPr>
              <w:spacing w:line="300" w:lineRule="exact"/>
              <w:jc w:val="center"/>
              <w:rPr>
                <w:rFonts w:ascii="宋体" w:hAnsi="宋体" w:cs="宋体"/>
                <w:color w:val="000000"/>
                <w:szCs w:val="21"/>
                <w:lang w:bidi="ar"/>
              </w:rPr>
            </w:pPr>
          </w:p>
        </w:tc>
      </w:tr>
    </w:tbl>
    <w:p>
      <w:pPr>
        <w:spacing w:line="400" w:lineRule="exact"/>
        <w:ind w:firstLine="480"/>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采购文件中所涉及的产品品牌或型号均为建议性要求或为档次选择要求或为代替部分技术指标描述，投标人可以选择其他品牌型号的产品参加响应但响应产品须具有相当于或优于采购文件要求的指标、性能、档次。因此除采购文件明确的参考品牌外，欢迎其他能满足本项目技术需求且性能与所明确品牌相当的产品参加，但应充分说明原因及提供技术指标，并提供相应有效的证明材料以及与推荐品牌同档次的有效证明材料，否则采购人或评审小组将不予认可。</w:t>
      </w:r>
      <w:r>
        <w:rPr>
          <w:rFonts w:hint="eastAsia" w:ascii="宋体" w:hAnsi="宋体" w:cs="仿宋_GB2312"/>
          <w:color w:val="000000"/>
          <w:szCs w:val="21"/>
        </w:rPr>
        <w:br w:type="textWrapping"/>
      </w:r>
      <w:r>
        <w:rPr>
          <w:rFonts w:hint="eastAsia" w:ascii="宋体" w:hAnsi="宋体" w:cs="仿宋_GB2312"/>
          <w:color w:val="000000"/>
          <w:szCs w:val="21"/>
        </w:rPr>
        <w:t xml:space="preserve">    </w:t>
      </w:r>
      <w:r>
        <w:rPr>
          <w:rFonts w:ascii="宋体" w:hAnsi="宋体" w:cs="仿宋_GB2312"/>
          <w:color w:val="000000"/>
          <w:szCs w:val="21"/>
        </w:rPr>
        <w:t>2</w:t>
      </w:r>
      <w:r>
        <w:rPr>
          <w:rFonts w:hint="eastAsia" w:ascii="宋体" w:hAnsi="宋体" w:cs="仿宋_GB2312"/>
          <w:color w:val="000000"/>
          <w:szCs w:val="21"/>
        </w:rPr>
        <w:t>、当采购需求描述与采购清单不一致时，以采购清单为准。</w:t>
      </w:r>
      <w:r>
        <w:rPr>
          <w:rFonts w:hint="eastAsia" w:ascii="宋体" w:hAnsi="宋体" w:cs="仿宋_GB2312"/>
          <w:color w:val="000000"/>
          <w:szCs w:val="21"/>
        </w:rPr>
        <w:br w:type="textWrapping"/>
      </w:r>
      <w:r>
        <w:rPr>
          <w:rFonts w:hint="eastAsia" w:ascii="宋体" w:hAnsi="宋体" w:cs="仿宋_GB2312"/>
          <w:color w:val="000000"/>
          <w:szCs w:val="21"/>
        </w:rPr>
        <w:t xml:space="preserve">    3、投标人需要深刻了解项目，充分考虑。如果采购文件中遗漏了必须具备的材料、设备、配件或服务，请投标人在响应前指出，并提出解决方案供采购人参考。中标人有义务保证系统的完整性，如项目实施过程中因缺少材料、设备、配件或服务导致系统无法正常运行的，中标人须确保所有材料、设备、配件和服务一律免费提供。</w:t>
      </w:r>
    </w:p>
    <w:p>
      <w:pPr>
        <w:spacing w:line="400" w:lineRule="exact"/>
        <w:ind w:firstLine="480"/>
        <w:rPr>
          <w:rFonts w:ascii="宋体" w:hAnsi="宋体" w:cs="仿宋_GB2312"/>
          <w:color w:val="000000"/>
          <w:szCs w:val="21"/>
        </w:rPr>
      </w:pPr>
      <w:r>
        <w:rPr>
          <w:rFonts w:ascii="宋体" w:hAnsi="宋体" w:cs="仿宋_GB2312"/>
          <w:color w:val="000000"/>
          <w:szCs w:val="21"/>
        </w:rPr>
        <w:t>4</w:t>
      </w:r>
      <w:r>
        <w:rPr>
          <w:rFonts w:hint="eastAsia" w:ascii="宋体" w:hAnsi="宋体" w:cs="仿宋_GB2312"/>
          <w:color w:val="000000"/>
          <w:szCs w:val="21"/>
        </w:rPr>
        <w:t>、响应报价：本项目采用全包方式。本项目报价必须包括货物及与之配套的设计、制造、采购、正版软件、检验、包装、运输、安装、调试、保险、组织验收费（含第三方检测费用和送检运输费用）、维护保修费、采购代理费、利润、税金、技术服务、质保期服务等提供所有规定产品及完成服务工作所产生的全部费用以及政策性文件规定、采购文件规定和合同包含的全部风险、责任以及质保期内的各项应有费用的全部价款，除此之外，采购人不再向中标人支付其他任何费用。采购人有权以实际采购数量按照该货物的成交单价进行结算。</w:t>
      </w:r>
    </w:p>
    <w:p>
      <w:pPr>
        <w:spacing w:line="400" w:lineRule="exact"/>
        <w:ind w:firstLine="480"/>
        <w:rPr>
          <w:rFonts w:ascii="宋体" w:hAnsi="宋体" w:cs="仿宋_GB2312"/>
          <w:color w:val="000000"/>
          <w:szCs w:val="21"/>
        </w:rPr>
      </w:pPr>
      <w:r>
        <w:rPr>
          <w:rFonts w:ascii="宋体" w:hAnsi="宋体" w:cs="仿宋_GB2312"/>
          <w:color w:val="000000"/>
          <w:szCs w:val="21"/>
        </w:rPr>
        <w:t>5</w:t>
      </w:r>
      <w:r>
        <w:rPr>
          <w:rFonts w:hint="eastAsia" w:ascii="宋体" w:hAnsi="宋体" w:cs="仿宋_GB2312"/>
          <w:color w:val="000000"/>
          <w:szCs w:val="21"/>
        </w:rPr>
        <w:t>、若出现采购文件功能描述与采购清单特征描述不符，以清单的项目特征描述为准，确定响应报价的综合单价。</w:t>
      </w:r>
    </w:p>
    <w:p>
      <w:pPr>
        <w:spacing w:line="400" w:lineRule="exact"/>
        <w:ind w:firstLine="480"/>
        <w:rPr>
          <w:rFonts w:ascii="宋体" w:hAnsi="宋体" w:cs="仿宋_GB2312"/>
          <w:color w:val="000000"/>
          <w:szCs w:val="21"/>
        </w:rPr>
      </w:pPr>
      <w:r>
        <w:rPr>
          <w:rFonts w:hint="eastAsia" w:ascii="宋体" w:hAnsi="宋体" w:cs="仿宋_GB2312"/>
          <w:color w:val="000000"/>
          <w:szCs w:val="21"/>
        </w:rPr>
        <w:t>四、采购范围</w:t>
      </w:r>
    </w:p>
    <w:p>
      <w:pPr>
        <w:spacing w:line="400" w:lineRule="exact"/>
        <w:ind w:firstLine="480"/>
        <w:rPr>
          <w:rFonts w:ascii="宋体" w:hAnsi="宋体" w:cs="仿宋_GB2312"/>
          <w:color w:val="000000"/>
          <w:szCs w:val="21"/>
        </w:rPr>
      </w:pPr>
      <w:r>
        <w:rPr>
          <w:rFonts w:hint="eastAsia" w:ascii="宋体" w:hAnsi="宋体" w:cs="仿宋_GB2312"/>
          <w:color w:val="000000"/>
          <w:szCs w:val="21"/>
        </w:rPr>
        <w:t>中标人须按国家有关标准及规范完成采购文件规定的以下所有工作内容：</w:t>
      </w:r>
    </w:p>
    <w:p>
      <w:pPr>
        <w:spacing w:line="400" w:lineRule="exact"/>
        <w:ind w:firstLine="480"/>
        <w:rPr>
          <w:rFonts w:ascii="宋体" w:hAnsi="宋体" w:cs="仿宋_GB2312"/>
          <w:color w:val="000000"/>
          <w:szCs w:val="21"/>
        </w:rPr>
      </w:pPr>
      <w:r>
        <w:rPr>
          <w:rFonts w:hint="eastAsia" w:ascii="宋体" w:hAnsi="宋体" w:cs="仿宋_GB2312"/>
          <w:color w:val="000000"/>
          <w:szCs w:val="21"/>
        </w:rPr>
        <w:t>(1)完成所有产品供货、安装、调试、验收。</w:t>
      </w:r>
    </w:p>
    <w:p>
      <w:pPr>
        <w:spacing w:line="400" w:lineRule="exact"/>
        <w:ind w:firstLine="480"/>
        <w:rPr>
          <w:rFonts w:ascii="宋体" w:hAnsi="宋体" w:cs="仿宋_GB2312"/>
          <w:color w:val="000000"/>
          <w:szCs w:val="21"/>
        </w:rPr>
      </w:pPr>
      <w:r>
        <w:rPr>
          <w:rFonts w:hint="eastAsia" w:ascii="宋体" w:hAnsi="宋体" w:cs="仿宋_GB2312"/>
          <w:color w:val="000000"/>
          <w:szCs w:val="21"/>
        </w:rPr>
        <w:t>(2)履行所有规定服务。</w:t>
      </w:r>
    </w:p>
    <w:p>
      <w:pPr>
        <w:spacing w:line="400" w:lineRule="exact"/>
        <w:ind w:firstLine="480"/>
        <w:rPr>
          <w:rFonts w:ascii="宋体" w:hAnsi="宋体" w:cs="仿宋_GB2312"/>
          <w:color w:val="000000"/>
          <w:szCs w:val="21"/>
        </w:rPr>
      </w:pPr>
      <w:r>
        <w:rPr>
          <w:rFonts w:hint="eastAsia" w:ascii="宋体" w:hAnsi="宋体" w:cs="仿宋_GB2312"/>
          <w:color w:val="000000"/>
          <w:szCs w:val="21"/>
        </w:rPr>
        <w:t>(3)产品及服务须达到采购文件规定的质量标准及使用要求。</w:t>
      </w:r>
    </w:p>
    <w:p>
      <w:pPr>
        <w:spacing w:line="400" w:lineRule="exact"/>
        <w:ind w:firstLine="480"/>
        <w:rPr>
          <w:rFonts w:hint="eastAsia" w:ascii="宋体" w:hAnsi="宋体" w:cs="仿宋_GB2312"/>
          <w:color w:val="000000"/>
          <w:szCs w:val="21"/>
        </w:rPr>
      </w:pPr>
      <w:r>
        <w:rPr>
          <w:rFonts w:hint="eastAsia" w:ascii="宋体" w:hAnsi="宋体" w:cs="仿宋_GB2312"/>
          <w:color w:val="000000"/>
          <w:szCs w:val="21"/>
        </w:rPr>
        <w:t>(</w:t>
      </w:r>
      <w:r>
        <w:rPr>
          <w:rFonts w:ascii="宋体" w:hAnsi="宋体" w:cs="仿宋_GB2312"/>
          <w:color w:val="000000"/>
          <w:szCs w:val="21"/>
        </w:rPr>
        <w:t>4</w:t>
      </w:r>
      <w:r>
        <w:rPr>
          <w:rFonts w:hint="eastAsia" w:ascii="宋体" w:hAnsi="宋体" w:cs="仿宋_GB2312"/>
          <w:color w:val="000000"/>
          <w:szCs w:val="21"/>
        </w:rPr>
        <w:t>)质保期内的所有服务。</w:t>
      </w:r>
    </w:p>
    <w:p>
      <w:pPr>
        <w:spacing w:line="400" w:lineRule="exact"/>
        <w:ind w:firstLine="480"/>
        <w:rPr>
          <w:rFonts w:ascii="宋体" w:hAnsi="宋体" w:cs="仿宋_GB2312"/>
          <w:color w:val="000000"/>
          <w:szCs w:val="21"/>
        </w:rPr>
      </w:pPr>
      <w:r>
        <w:rPr>
          <w:rFonts w:hint="eastAsia" w:ascii="宋体" w:hAnsi="宋体" w:cs="仿宋_GB2312"/>
          <w:color w:val="000000"/>
          <w:szCs w:val="21"/>
        </w:rPr>
        <w:t>五、货物的包装、发运及运输</w:t>
      </w:r>
    </w:p>
    <w:p>
      <w:pPr>
        <w:spacing w:line="400" w:lineRule="exact"/>
        <w:ind w:firstLine="480"/>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、中标人应在发运前对货物进行满足运输距离、运输路径限高、防潮、防震、防锈和防破损装卸等要求的包装，以保证货物安全运达采购人指定地点。货物包装按照国标、部标以及有关标准执行。</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、用户手册、随配附件以及清单应按采购人要求提供，可附于货物内一并提供。</w:t>
      </w:r>
    </w:p>
    <w:p>
      <w:pPr>
        <w:spacing w:line="400" w:lineRule="exact"/>
        <w:ind w:firstLine="480"/>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、中标人在货物发运手续办理完毕后24小时内或货到采购人48小时前通知采购人，以准备接货。货物送达采购人指定地点时，中标人应立即通知采购人货物已到达指定地点。</w:t>
      </w:r>
    </w:p>
    <w:p>
      <w:pPr>
        <w:spacing w:line="400" w:lineRule="exact"/>
        <w:ind w:firstLine="480"/>
        <w:rPr>
          <w:rFonts w:ascii="宋体" w:hAnsi="宋体" w:cs="仿宋_GB2312"/>
          <w:color w:val="000000"/>
          <w:szCs w:val="21"/>
        </w:rPr>
      </w:pPr>
      <w:r>
        <w:rPr>
          <w:rFonts w:ascii="宋体" w:hAnsi="宋体" w:cs="仿宋_GB2312"/>
          <w:color w:val="000000"/>
          <w:szCs w:val="21"/>
        </w:rPr>
        <w:t>4</w:t>
      </w:r>
      <w:r>
        <w:rPr>
          <w:rFonts w:hint="eastAsia" w:ascii="宋体" w:hAnsi="宋体" w:cs="仿宋_GB2312"/>
          <w:color w:val="000000"/>
          <w:szCs w:val="21"/>
        </w:rPr>
        <w:t>、货物在交付采购人前发生的风险均由中标人负责。</w:t>
      </w:r>
    </w:p>
    <w:p>
      <w:pPr>
        <w:spacing w:line="400" w:lineRule="exact"/>
        <w:ind w:firstLine="480"/>
        <w:rPr>
          <w:rFonts w:ascii="宋体" w:hAnsi="宋体" w:cs="仿宋_GB2312"/>
          <w:color w:val="000000"/>
          <w:szCs w:val="21"/>
        </w:rPr>
      </w:pPr>
      <w:r>
        <w:rPr>
          <w:rFonts w:hint="eastAsia" w:ascii="宋体" w:hAnsi="宋体" w:cs="仿宋_GB2312"/>
          <w:color w:val="000000"/>
          <w:szCs w:val="21"/>
        </w:rPr>
        <w:t>5、货物在规定的交付期限内由中标人送达采购人指定的地点并通过验收后视为交付。</w:t>
      </w:r>
    </w:p>
    <w:p>
      <w:pPr>
        <w:spacing w:line="400" w:lineRule="exact"/>
        <w:ind w:firstLine="480"/>
        <w:rPr>
          <w:rFonts w:ascii="宋体" w:hAnsi="宋体" w:cs="仿宋_GB2312"/>
          <w:color w:val="000000"/>
          <w:szCs w:val="21"/>
        </w:rPr>
      </w:pPr>
      <w:r>
        <w:rPr>
          <w:rFonts w:hint="eastAsia" w:ascii="宋体" w:hAnsi="宋体" w:cs="仿宋_GB2312"/>
          <w:color w:val="000000"/>
          <w:szCs w:val="21"/>
        </w:rPr>
        <w:t>六、售后服务要求（包括服务标准、期限、效率等）</w:t>
      </w:r>
    </w:p>
    <w:bookmarkEnd w:id="48"/>
    <w:bookmarkEnd w:id="49"/>
    <w:bookmarkEnd w:id="50"/>
    <w:bookmarkEnd w:id="51"/>
    <w:p>
      <w:pPr>
        <w:spacing w:line="400" w:lineRule="exact"/>
        <w:ind w:firstLine="480"/>
        <w:rPr>
          <w:rFonts w:ascii="宋体" w:hAnsi="宋体" w:cs="仿宋_GB2312"/>
          <w:color w:val="000000"/>
          <w:szCs w:val="21"/>
        </w:rPr>
      </w:pPr>
      <w:bookmarkStart w:id="52" w:name="_Toc426996356"/>
      <w:r>
        <w:rPr>
          <w:rFonts w:ascii="宋体" w:hAnsi="宋体" w:cs="仿宋_GB2312"/>
          <w:color w:val="000000"/>
          <w:szCs w:val="21"/>
        </w:rPr>
        <w:t>1</w:t>
      </w:r>
      <w:r>
        <w:rPr>
          <w:rFonts w:hint="eastAsia" w:ascii="宋体" w:hAnsi="宋体" w:cs="仿宋_GB2312"/>
          <w:color w:val="000000"/>
          <w:szCs w:val="21"/>
        </w:rPr>
        <w:t>、中标人应按采购文件规定的货物性能、技术要求、质量标准向采购人提供未经使用的全新产品。中标人应提供及时周到的售后服务，保证按采购人要求及时上门回访、检修。</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、中标人提供的货物在质保期内因货物本身的质量问题发生故障，中标人应负责免费更换。对达不到技术要求者，根据实际情况，经双方协商，可按以下办法处理：</w:t>
      </w:r>
    </w:p>
    <w:p>
      <w:pPr>
        <w:spacing w:line="400" w:lineRule="exact"/>
        <w:ind w:firstLine="480"/>
        <w:rPr>
          <w:rFonts w:ascii="宋体" w:hAnsi="宋体" w:cs="仿宋_GB2312"/>
          <w:color w:val="000000"/>
          <w:szCs w:val="21"/>
        </w:rPr>
      </w:pPr>
      <w:r>
        <w:rPr>
          <w:rFonts w:hint="eastAsia" w:ascii="宋体" w:hAnsi="宋体" w:cs="仿宋_GB2312"/>
          <w:color w:val="000000"/>
          <w:szCs w:val="21"/>
        </w:rPr>
        <w:t>⑴更换：由中标人承担所发生的全部费用。</w:t>
      </w:r>
    </w:p>
    <w:p>
      <w:pPr>
        <w:spacing w:line="400" w:lineRule="exact"/>
        <w:ind w:firstLine="480"/>
        <w:rPr>
          <w:rFonts w:ascii="宋体" w:hAnsi="宋体" w:cs="仿宋_GB2312"/>
          <w:color w:val="000000"/>
          <w:szCs w:val="21"/>
        </w:rPr>
      </w:pPr>
      <w:r>
        <w:rPr>
          <w:rFonts w:hint="eastAsia" w:ascii="宋体" w:hAnsi="宋体" w:cs="仿宋_GB2312"/>
          <w:color w:val="000000"/>
          <w:szCs w:val="21"/>
        </w:rPr>
        <w:t>⑵贬值处理：由采购人和中标人双方合议定价。</w:t>
      </w:r>
    </w:p>
    <w:p>
      <w:pPr>
        <w:spacing w:line="400" w:lineRule="exact"/>
        <w:ind w:firstLine="480"/>
        <w:rPr>
          <w:rFonts w:ascii="宋体" w:hAnsi="宋体" w:cs="仿宋_GB2312"/>
          <w:color w:val="000000"/>
          <w:szCs w:val="21"/>
        </w:rPr>
      </w:pPr>
      <w:r>
        <w:rPr>
          <w:rFonts w:hint="eastAsia" w:ascii="宋体" w:hAnsi="宋体" w:cs="仿宋_GB2312"/>
          <w:color w:val="000000"/>
          <w:szCs w:val="21"/>
        </w:rPr>
        <w:t>⑶退货处理：中标人应退还采购人支付的合同款，同时应承担该货物的直接费用（运输、保险、检验、货款利息及银行手续费等）。</w:t>
      </w:r>
    </w:p>
    <w:p>
      <w:pPr>
        <w:spacing w:line="400" w:lineRule="exact"/>
        <w:ind w:firstLine="480"/>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、如在使用过程中发生质量问题，中标人在接采购人通知后</w:t>
      </w:r>
      <w:r>
        <w:rPr>
          <w:rFonts w:hint="eastAsia" w:ascii="宋体" w:hAnsi="宋体" w:cs="仿宋_GB2312"/>
          <w:color w:val="000000"/>
          <w:szCs w:val="21"/>
          <w:u w:val="single"/>
        </w:rPr>
        <w:t xml:space="preserve"> 2</w:t>
      </w:r>
      <w:r>
        <w:rPr>
          <w:rFonts w:ascii="宋体" w:hAnsi="宋体" w:cs="仿宋_GB2312"/>
          <w:color w:val="000000"/>
          <w:szCs w:val="21"/>
          <w:u w:val="single"/>
        </w:rPr>
        <w:t xml:space="preserve"> </w:t>
      </w:r>
      <w:r>
        <w:rPr>
          <w:rFonts w:hint="eastAsia" w:ascii="宋体" w:hAnsi="宋体" w:cs="仿宋_GB2312"/>
          <w:color w:val="000000"/>
          <w:szCs w:val="21"/>
        </w:rPr>
        <w:t>小时内到达现场，</w:t>
      </w:r>
      <w:r>
        <w:rPr>
          <w:rFonts w:hint="eastAsia" w:ascii="宋体" w:hAnsi="宋体" w:cs="仿宋_GB2312"/>
          <w:color w:val="000000"/>
          <w:szCs w:val="21"/>
          <w:u w:val="single"/>
        </w:rPr>
        <w:t xml:space="preserve"> 4</w:t>
      </w:r>
      <w:r>
        <w:rPr>
          <w:rFonts w:ascii="宋体" w:hAnsi="宋体" w:cs="仿宋_GB2312"/>
          <w:color w:val="000000"/>
          <w:szCs w:val="21"/>
          <w:u w:val="single"/>
        </w:rPr>
        <w:t xml:space="preserve"> </w:t>
      </w:r>
      <w:r>
        <w:rPr>
          <w:rFonts w:hint="eastAsia" w:ascii="宋体" w:hAnsi="宋体" w:cs="仿宋_GB2312"/>
          <w:color w:val="000000"/>
          <w:szCs w:val="21"/>
        </w:rPr>
        <w:t>小时内维修完毕，不能在规定时间内修好的要免费提供与原货物相同或不低于原货物档次的备品（机）备件。出现故障后，中标人如未按上述要求进行响应，采购人可以采取必要的补救措施，由此产生的风险和费用将由中标人承担。</w:t>
      </w:r>
    </w:p>
    <w:p>
      <w:pPr>
        <w:spacing w:line="400" w:lineRule="exact"/>
        <w:ind w:firstLine="480"/>
        <w:rPr>
          <w:rFonts w:ascii="宋体" w:hAnsi="宋体" w:cs="仿宋_GB2312"/>
          <w:color w:val="000000"/>
          <w:szCs w:val="21"/>
        </w:rPr>
      </w:pPr>
      <w:r>
        <w:rPr>
          <w:rFonts w:hint="eastAsia" w:ascii="宋体" w:hAnsi="宋体" w:cs="仿宋_GB2312"/>
          <w:color w:val="000000"/>
          <w:szCs w:val="21"/>
        </w:rPr>
        <w:t>七、交付时间、地点</w:t>
      </w:r>
    </w:p>
    <w:p>
      <w:pPr>
        <w:spacing w:line="400" w:lineRule="exact"/>
        <w:ind w:firstLine="480"/>
        <w:rPr>
          <w:rFonts w:ascii="宋体" w:hAnsi="宋体" w:cs="仿宋_GB2312"/>
          <w:color w:val="000000"/>
          <w:szCs w:val="21"/>
        </w:rPr>
      </w:pPr>
      <w:r>
        <w:rPr>
          <w:rFonts w:hint="eastAsia" w:ascii="宋体" w:hAnsi="宋体" w:cs="仿宋_GB2312"/>
          <w:color w:val="000000"/>
          <w:szCs w:val="21"/>
        </w:rPr>
        <w:t>中标人须在2</w:t>
      </w:r>
      <w:r>
        <w:rPr>
          <w:rFonts w:ascii="宋体" w:hAnsi="宋体" w:cs="仿宋_GB2312"/>
          <w:color w:val="000000"/>
          <w:szCs w:val="21"/>
        </w:rPr>
        <w:t>021</w:t>
      </w:r>
      <w:r>
        <w:rPr>
          <w:rFonts w:hint="eastAsia" w:ascii="宋体" w:hAnsi="宋体" w:cs="仿宋_GB2312"/>
          <w:color w:val="000000"/>
          <w:szCs w:val="21"/>
        </w:rPr>
        <w:t>年6月25日之前完成供货、安装、调试并完成初步验收。</w:t>
      </w:r>
    </w:p>
    <w:p>
      <w:pPr>
        <w:spacing w:line="400" w:lineRule="exact"/>
        <w:ind w:firstLine="480"/>
        <w:rPr>
          <w:rFonts w:ascii="宋体" w:hAnsi="宋体" w:cs="仿宋_GB2312"/>
          <w:color w:val="000000"/>
          <w:szCs w:val="21"/>
        </w:rPr>
      </w:pPr>
      <w:r>
        <w:rPr>
          <w:rFonts w:hint="eastAsia" w:ascii="宋体" w:hAnsi="宋体" w:cs="仿宋_GB2312"/>
          <w:color w:val="000000"/>
          <w:szCs w:val="21"/>
        </w:rPr>
        <w:t>供货地点由采购人在合同中指定。</w:t>
      </w:r>
    </w:p>
    <w:bookmarkEnd w:id="52"/>
    <w:p>
      <w:pPr>
        <w:spacing w:line="400" w:lineRule="exact"/>
        <w:ind w:firstLine="480"/>
        <w:rPr>
          <w:rFonts w:ascii="宋体" w:hAnsi="宋体" w:cs="仿宋_GB2312"/>
          <w:color w:val="000000"/>
          <w:szCs w:val="21"/>
        </w:rPr>
      </w:pPr>
      <w:r>
        <w:rPr>
          <w:rFonts w:hint="eastAsia" w:ascii="宋体" w:hAnsi="宋体" w:cs="仿宋_GB2312"/>
          <w:color w:val="000000"/>
          <w:szCs w:val="21"/>
        </w:rPr>
        <w:t>八、付款方式</w:t>
      </w:r>
    </w:p>
    <w:p>
      <w:pPr>
        <w:spacing w:line="400" w:lineRule="exact"/>
        <w:ind w:firstLine="480"/>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、付款方式：项目初验合格后支付200万元；终验合格后，结合财政资金下达情况，根据项目审计结算金额，支付剩余项目款项。</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、当采购数量与实际使用数量不一致时，成交方应根据实际使用量供货，最终结算金额按实际使用量乘以成交单价进行计算。</w:t>
      </w:r>
    </w:p>
    <w:p>
      <w:pPr>
        <w:spacing w:line="400" w:lineRule="exact"/>
        <w:ind w:firstLine="480"/>
        <w:rPr>
          <w:rFonts w:ascii="宋体" w:hAnsi="宋体" w:cs="仿宋_GB2312"/>
          <w:color w:val="000000"/>
          <w:szCs w:val="21"/>
        </w:rPr>
      </w:pPr>
      <w:r>
        <w:rPr>
          <w:rFonts w:hint="eastAsia" w:ascii="宋体" w:hAnsi="宋体" w:cs="仿宋_GB2312"/>
          <w:color w:val="000000"/>
          <w:szCs w:val="21"/>
        </w:rPr>
        <w:t>九、验收</w:t>
      </w:r>
    </w:p>
    <w:p>
      <w:pPr>
        <w:spacing w:line="400" w:lineRule="exact"/>
        <w:ind w:firstLine="480"/>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货物运抵现场后，采购人将对货物数量、质量、规格等进行检验，采购人认为必要时有权指定国家认定的第三方检测机构进行检测，相关运输、检测等所有费用应包含在投标人报价中，由中标人支付。如发现货物与采购文件、响应文件、合同不符，采购人有权根据检验结果要求中标人立即更换或者提出索赔要求。</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、货物在采购人交付前发生任何毁损、灭失及其他风险的，责任均由中标人自行负责。</w:t>
      </w:r>
    </w:p>
    <w:p>
      <w:pPr>
        <w:spacing w:line="400" w:lineRule="exact"/>
        <w:ind w:firstLine="480"/>
        <w:rPr>
          <w:rFonts w:ascii="宋体" w:hAnsi="宋体" w:cs="仿宋_GB2312"/>
          <w:color w:val="000000"/>
          <w:szCs w:val="21"/>
        </w:rPr>
      </w:pPr>
      <w:r>
        <w:rPr>
          <w:rFonts w:hint="eastAsia" w:ascii="宋体" w:hAnsi="宋体" w:cs="仿宋_GB2312"/>
          <w:color w:val="000000"/>
          <w:szCs w:val="21"/>
        </w:rPr>
        <w:t>十、质量保证期</w:t>
      </w:r>
    </w:p>
    <w:p>
      <w:pPr>
        <w:spacing w:line="400" w:lineRule="exact"/>
        <w:ind w:firstLine="480"/>
        <w:rPr>
          <w:rFonts w:ascii="宋体" w:hAnsi="宋体" w:cs="仿宋_GB2312"/>
          <w:color w:val="000000"/>
          <w:szCs w:val="21"/>
        </w:rPr>
      </w:pPr>
      <w:r>
        <w:rPr>
          <w:rFonts w:hint="eastAsia" w:hAnsi="宋体"/>
          <w:color w:val="000000"/>
          <w:spacing w:val="-4"/>
          <w:szCs w:val="21"/>
        </w:rPr>
        <w:t>▲</w:t>
      </w:r>
      <w:r>
        <w:rPr>
          <w:rFonts w:ascii="宋体" w:hAnsi="宋体" w:cs="仿宋_GB2312"/>
          <w:color w:val="000000"/>
          <w:szCs w:val="21"/>
        </w:rPr>
        <w:t>1</w:t>
      </w:r>
      <w:r>
        <w:rPr>
          <w:rFonts w:hint="eastAsia" w:ascii="宋体" w:hAnsi="宋体" w:cs="仿宋_GB2312"/>
          <w:color w:val="000000"/>
          <w:szCs w:val="21"/>
        </w:rPr>
        <w:t>、质保期（即免费保修期）：自验收合格之日起不少于</w:t>
      </w:r>
      <w:r>
        <w:rPr>
          <w:rFonts w:hint="eastAsia" w:ascii="宋体" w:hAnsi="宋体" w:cs="仿宋_GB2312"/>
          <w:color w:val="000000"/>
          <w:szCs w:val="21"/>
          <w:u w:val="single"/>
        </w:rPr>
        <w:t xml:space="preserve"> 3年 </w:t>
      </w:r>
      <w:r>
        <w:rPr>
          <w:rFonts w:hint="eastAsia" w:ascii="宋体" w:hAnsi="宋体" w:cs="仿宋_GB2312"/>
          <w:color w:val="000000"/>
          <w:szCs w:val="21"/>
        </w:rPr>
        <w:t>，国家主管部门或者行业标准对货物本身有更高要求的，从其规定并在合同中约定，投标人响应时亦可提出更长的质保期。</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质量保证期内，如果证实货物是有缺陷的，包括潜在的缺陷或者使用不符合要求的材料等，中标人应立即免费维修或者更换有缺陷的货物或者部件，保证达到合同规定的技术以及性能要求，质保服务所需费用应包含在产品报价中，采购人不需另行支付费用。如果中标人在收到通知后</w:t>
      </w:r>
      <w:r>
        <w:rPr>
          <w:rFonts w:hint="eastAsia" w:ascii="宋体" w:hAnsi="宋体" w:cs="仿宋_GB2312"/>
          <w:color w:val="000000"/>
          <w:szCs w:val="21"/>
          <w:u w:val="single"/>
        </w:rPr>
        <w:t xml:space="preserve"> 15 </w:t>
      </w:r>
      <w:r>
        <w:rPr>
          <w:rFonts w:hint="eastAsia" w:ascii="宋体" w:hAnsi="宋体" w:cs="仿宋_GB2312"/>
          <w:color w:val="000000"/>
          <w:szCs w:val="21"/>
        </w:rPr>
        <w:t>日内没有弥补缺陷，采购人可自行采取必要的补救措施，但风险和费用由中标人承担，采购人同时保留通过法律途径进行索赔的权利。</w:t>
      </w:r>
    </w:p>
    <w:p>
      <w:pPr>
        <w:spacing w:line="400" w:lineRule="exact"/>
        <w:ind w:firstLine="480"/>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、在质保期内，中标人应对货物出现的质量及安全问题负责处理解决并承担一切费用。因人为因素出现的故障不在免费保修范围内。超过保修期的机器设备，终生维修，维修时只收部件成本费。</w:t>
      </w:r>
    </w:p>
    <w:p>
      <w:pPr>
        <w:spacing w:line="400" w:lineRule="exact"/>
        <w:ind w:firstLine="480"/>
        <w:rPr>
          <w:rFonts w:ascii="宋体" w:hAnsi="宋体" w:cs="仿宋_GB2312"/>
          <w:color w:val="000000"/>
          <w:szCs w:val="21"/>
        </w:rPr>
      </w:pPr>
      <w:r>
        <w:rPr>
          <w:rFonts w:hint="eastAsia" w:ascii="宋体" w:hAnsi="宋体" w:cs="仿宋_GB2312"/>
          <w:color w:val="000000"/>
          <w:szCs w:val="21"/>
        </w:rPr>
        <w:t>十一、项目主要建设内容</w:t>
      </w:r>
    </w:p>
    <w:p>
      <w:pPr>
        <w:spacing w:line="400" w:lineRule="exact"/>
        <w:ind w:firstLine="480"/>
        <w:rPr>
          <w:rFonts w:ascii="宋体" w:hAnsi="宋体" w:cs="仿宋_GB2312"/>
          <w:color w:val="000000"/>
          <w:szCs w:val="21"/>
        </w:rPr>
      </w:pPr>
      <w:r>
        <w:rPr>
          <w:rFonts w:hint="eastAsia" w:ascii="宋体" w:hAnsi="宋体" w:cs="仿宋_GB2312"/>
          <w:color w:val="000000"/>
          <w:szCs w:val="21"/>
        </w:rPr>
        <w:t>本项目将原有监狱指挥中心迁建至浙江省第四监狱行政附属楼。建设一个以指挥作战为核心的融合指挥信息系统和技术保障系统的新指挥中心，以适应当下的监狱指挥中心日益突出的指挥调度和应急处突的协调和指挥功能。建设内容包括大屏显示系统、音控多媒体系统、无纸化办公系统、视频会议系统、配套机房以及动环辅助系统、配套工程几大子项。</w:t>
      </w:r>
    </w:p>
    <w:p>
      <w:pPr>
        <w:spacing w:line="400" w:lineRule="exact"/>
        <w:ind w:firstLine="480"/>
        <w:rPr>
          <w:rFonts w:ascii="宋体" w:hAnsi="宋体" w:cs="仿宋_GB2312"/>
          <w:color w:val="000000"/>
          <w:szCs w:val="21"/>
        </w:rPr>
      </w:pPr>
      <w:r>
        <w:rPr>
          <w:rFonts w:hint="eastAsia" w:ascii="宋体" w:hAnsi="宋体" w:cs="仿宋_GB2312"/>
          <w:color w:val="000000"/>
          <w:szCs w:val="21"/>
        </w:rPr>
        <w:t>十二、项目建设目标</w:t>
      </w:r>
    </w:p>
    <w:p>
      <w:pPr>
        <w:spacing w:line="400" w:lineRule="exact"/>
        <w:ind w:firstLine="480"/>
        <w:rPr>
          <w:rFonts w:ascii="宋体" w:hAnsi="宋体" w:cs="仿宋_GB2312"/>
          <w:color w:val="000000"/>
          <w:szCs w:val="21"/>
        </w:rPr>
      </w:pPr>
      <w:r>
        <w:rPr>
          <w:rFonts w:hint="eastAsia" w:ascii="宋体" w:hAnsi="宋体" w:cs="仿宋_GB2312"/>
          <w:color w:val="000000"/>
          <w:szCs w:val="21"/>
        </w:rPr>
        <w:t>建成后的新指挥中心将有效整合浙江省第四监狱信息化建设成果，构建以应急指挥调度、安防联动信息集成、综合监管数据汇聚、应急响应迅速、为领导提供应急指挥决策的一个软硬件平台。并科学构建一个能统一管理所有分监区并与司法部、省司法厅、省监狱管理局指挥中心实现上行下达功能的综合系统。</w:t>
      </w:r>
    </w:p>
    <w:p>
      <w:pPr>
        <w:spacing w:line="400" w:lineRule="exact"/>
        <w:ind w:firstLine="480"/>
        <w:rPr>
          <w:rFonts w:ascii="宋体" w:hAnsi="宋体" w:cs="仿宋_GB2312"/>
          <w:color w:val="000000"/>
          <w:szCs w:val="21"/>
        </w:rPr>
      </w:pPr>
      <w:r>
        <w:rPr>
          <w:rFonts w:hint="eastAsia" w:ascii="宋体" w:hAnsi="宋体" w:cs="仿宋_GB2312"/>
          <w:color w:val="000000"/>
          <w:szCs w:val="21"/>
        </w:rPr>
        <w:t>同时，能保证监狱基础网络设施满足网络安全、主机安全、应用安全、数据安全四个方面的基本技术要求。使得监狱政务子网、安防子网系统的等级保护建设方案最终既可以满足等级保护的要求，又能全方面为监狱提供立体、纵深的安全保障防御体系，保证监狱信息系统整体的安全保护能力。</w:t>
      </w:r>
    </w:p>
    <w:p>
      <w:pPr>
        <w:spacing w:line="400" w:lineRule="exact"/>
        <w:ind w:firstLine="480"/>
        <w:rPr>
          <w:rFonts w:ascii="宋体" w:hAnsi="宋体" w:cs="仿宋_GB2312"/>
          <w:color w:val="000000"/>
          <w:szCs w:val="21"/>
        </w:rPr>
      </w:pPr>
      <w:r>
        <w:rPr>
          <w:rFonts w:hint="eastAsia" w:ascii="宋体" w:hAnsi="宋体" w:cs="仿宋_GB2312"/>
          <w:color w:val="000000"/>
          <w:szCs w:val="21"/>
        </w:rPr>
        <w:t>十三、建设内容和目标</w:t>
      </w:r>
    </w:p>
    <w:p>
      <w:pPr>
        <w:spacing w:line="400" w:lineRule="exact"/>
        <w:ind w:firstLine="480"/>
        <w:rPr>
          <w:rFonts w:ascii="宋体" w:hAnsi="宋体" w:cs="仿宋_GB2312"/>
          <w:color w:val="000000"/>
          <w:szCs w:val="21"/>
        </w:rPr>
      </w:pPr>
      <w:r>
        <w:rPr>
          <w:rFonts w:ascii="宋体" w:hAnsi="宋体" w:cs="仿宋_GB2312"/>
          <w:color w:val="000000"/>
          <w:szCs w:val="21"/>
        </w:rPr>
        <w:t>1</w:t>
      </w:r>
      <w:r>
        <w:rPr>
          <w:rFonts w:hint="eastAsia" w:ascii="宋体" w:hAnsi="宋体" w:cs="仿宋_GB2312"/>
          <w:color w:val="000000"/>
          <w:szCs w:val="21"/>
        </w:rPr>
        <w:t>、详细建设内容和建设范围</w:t>
      </w:r>
    </w:p>
    <w:p>
      <w:pPr>
        <w:spacing w:line="400" w:lineRule="exact"/>
        <w:ind w:firstLine="480"/>
        <w:rPr>
          <w:rFonts w:ascii="宋体" w:hAnsi="宋体" w:cs="仿宋_GB2312"/>
          <w:color w:val="000000"/>
          <w:szCs w:val="21"/>
        </w:rPr>
      </w:pPr>
      <w:r>
        <w:rPr>
          <w:rFonts w:hint="eastAsia" w:ascii="宋体" w:hAnsi="宋体" w:cs="仿宋_GB2312"/>
          <w:color w:val="000000"/>
          <w:szCs w:val="21"/>
        </w:rPr>
        <w:t>浙江省第四监狱指挥中心迁建工程的主要是为了满足监狱信息化日益发展的需要。根据《监狱安全防范信息系统建设规范》(DB33T 2115-2018)中关于指挥中心建设的相关规定，建设内容如下。</w:t>
      </w:r>
    </w:p>
    <w:p>
      <w:pPr>
        <w:spacing w:line="400" w:lineRule="exact"/>
        <w:ind w:firstLine="480"/>
        <w:rPr>
          <w:rFonts w:ascii="宋体" w:hAnsi="宋体" w:cs="仿宋_GB2312"/>
          <w:color w:val="000000"/>
          <w:szCs w:val="21"/>
        </w:rPr>
      </w:pPr>
      <w:r>
        <w:rPr>
          <w:rFonts w:hint="eastAsia" w:ascii="宋体" w:hAnsi="宋体" w:cs="仿宋_GB2312"/>
          <w:color w:val="000000"/>
          <w:szCs w:val="21"/>
        </w:rPr>
        <w:t>指挥中心大屏系统设计</w:t>
      </w:r>
    </w:p>
    <w:p>
      <w:pPr>
        <w:spacing w:line="400" w:lineRule="exact"/>
        <w:ind w:firstLine="480"/>
        <w:rPr>
          <w:rFonts w:ascii="宋体" w:hAnsi="宋体" w:cs="仿宋_GB2312"/>
          <w:color w:val="000000"/>
          <w:szCs w:val="21"/>
        </w:rPr>
      </w:pPr>
      <w:r>
        <w:rPr>
          <w:rFonts w:hint="eastAsia" w:ascii="宋体" w:hAnsi="宋体" w:cs="仿宋_GB2312"/>
          <w:color w:val="000000"/>
          <w:szCs w:val="21"/>
        </w:rPr>
        <w:t>指挥中心音控系统</w:t>
      </w:r>
      <w:bookmarkStart w:id="53" w:name="_Toc467483403"/>
      <w:bookmarkStart w:id="54" w:name="_Toc197159860"/>
    </w:p>
    <w:p>
      <w:pPr>
        <w:spacing w:line="400" w:lineRule="exact"/>
        <w:ind w:firstLine="480"/>
        <w:rPr>
          <w:rFonts w:ascii="宋体" w:hAnsi="宋体" w:cs="仿宋_GB2312"/>
          <w:color w:val="000000"/>
          <w:szCs w:val="21"/>
        </w:rPr>
      </w:pPr>
      <w:r>
        <w:rPr>
          <w:rFonts w:hint="eastAsia" w:ascii="宋体" w:hAnsi="宋体" w:cs="仿宋_GB2312"/>
          <w:color w:val="000000"/>
          <w:szCs w:val="21"/>
        </w:rPr>
        <w:t>会商决策区信息系统</w:t>
      </w:r>
    </w:p>
    <w:p>
      <w:pPr>
        <w:spacing w:line="400" w:lineRule="exact"/>
        <w:ind w:firstLine="480"/>
        <w:rPr>
          <w:rFonts w:ascii="宋体" w:hAnsi="宋体" w:cs="仿宋_GB2312"/>
          <w:color w:val="000000"/>
          <w:szCs w:val="21"/>
        </w:rPr>
      </w:pPr>
      <w:r>
        <w:rPr>
          <w:rFonts w:hint="eastAsia" w:ascii="宋体" w:hAnsi="宋体" w:cs="仿宋_GB2312"/>
          <w:color w:val="000000"/>
          <w:szCs w:val="21"/>
        </w:rPr>
        <w:t>会商区无纸化办公系统</w:t>
      </w:r>
    </w:p>
    <w:p>
      <w:pPr>
        <w:spacing w:line="400" w:lineRule="exact"/>
        <w:ind w:firstLine="480"/>
        <w:rPr>
          <w:rFonts w:ascii="宋体" w:hAnsi="宋体" w:cs="仿宋_GB2312"/>
          <w:color w:val="000000"/>
          <w:szCs w:val="21"/>
        </w:rPr>
      </w:pPr>
      <w:r>
        <w:rPr>
          <w:rFonts w:hint="eastAsia" w:ascii="宋体" w:hAnsi="宋体" w:cs="仿宋_GB2312"/>
          <w:color w:val="000000"/>
          <w:szCs w:val="21"/>
        </w:rPr>
        <w:t>配套机房工程</w:t>
      </w:r>
    </w:p>
    <w:p>
      <w:pPr>
        <w:spacing w:line="400" w:lineRule="exact"/>
        <w:ind w:firstLine="480"/>
        <w:rPr>
          <w:rFonts w:ascii="宋体" w:hAnsi="宋体" w:cs="仿宋_GB2312"/>
          <w:color w:val="000000"/>
          <w:szCs w:val="21"/>
        </w:rPr>
      </w:pPr>
      <w:r>
        <w:rPr>
          <w:rFonts w:hint="eastAsia" w:ascii="宋体" w:hAnsi="宋体" w:cs="仿宋_GB2312"/>
          <w:color w:val="000000"/>
          <w:szCs w:val="21"/>
        </w:rPr>
        <w:t>综合布线工程</w:t>
      </w:r>
    </w:p>
    <w:p>
      <w:pPr>
        <w:spacing w:line="400" w:lineRule="exact"/>
        <w:ind w:firstLine="480"/>
        <w:rPr>
          <w:rFonts w:ascii="宋体" w:hAnsi="宋体" w:cs="仿宋_GB2312"/>
          <w:color w:val="000000"/>
          <w:szCs w:val="21"/>
        </w:rPr>
      </w:pPr>
      <w:r>
        <w:rPr>
          <w:rFonts w:hint="eastAsia" w:ascii="宋体" w:hAnsi="宋体" w:cs="仿宋_GB2312"/>
          <w:color w:val="000000"/>
          <w:szCs w:val="21"/>
        </w:rPr>
        <w:t>视频会议系统</w:t>
      </w:r>
    </w:p>
    <w:bookmarkEnd w:id="53"/>
    <w:bookmarkEnd w:id="54"/>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、项目建设目标</w:t>
      </w:r>
    </w:p>
    <w:p>
      <w:pPr>
        <w:spacing w:line="400" w:lineRule="exact"/>
        <w:ind w:firstLine="480"/>
        <w:rPr>
          <w:rFonts w:ascii="宋体" w:hAnsi="宋体" w:cs="仿宋_GB2312"/>
          <w:color w:val="000000"/>
          <w:szCs w:val="21"/>
        </w:rPr>
      </w:pPr>
      <w:r>
        <w:rPr>
          <w:rFonts w:hint="eastAsia" w:ascii="宋体" w:hAnsi="宋体" w:cs="仿宋_GB2312"/>
          <w:color w:val="000000"/>
          <w:szCs w:val="21"/>
        </w:rPr>
        <w:t>2.1 业务目标</w:t>
      </w:r>
    </w:p>
    <w:p>
      <w:pPr>
        <w:spacing w:line="400" w:lineRule="exact"/>
        <w:ind w:firstLine="480"/>
        <w:rPr>
          <w:rFonts w:ascii="宋体" w:hAnsi="宋体" w:cs="仿宋_GB2312"/>
          <w:color w:val="000000"/>
          <w:szCs w:val="21"/>
        </w:rPr>
      </w:pPr>
      <w:r>
        <w:rPr>
          <w:rFonts w:hint="eastAsia" w:ascii="宋体" w:hAnsi="宋体" w:cs="仿宋_GB2312"/>
          <w:color w:val="000000"/>
          <w:szCs w:val="21"/>
        </w:rPr>
        <w:t>通过建设指挥中心大屏显示系统，音控系统，会商决策去信息系统、视频会议系统、无纸化信息发布系统、环境监测系统、配套机房、综合布线系统、原指挥中心机房设备搬迁调试等子项，打造符合智慧监狱，指挥作战实战体系的功能要求。</w:t>
      </w:r>
    </w:p>
    <w:p>
      <w:pPr>
        <w:spacing w:line="400" w:lineRule="exact"/>
        <w:ind w:firstLine="480"/>
        <w:rPr>
          <w:rFonts w:ascii="宋体" w:hAnsi="宋体" w:cs="仿宋_GB2312"/>
          <w:color w:val="000000"/>
          <w:szCs w:val="21"/>
        </w:rPr>
      </w:pPr>
      <w:r>
        <w:rPr>
          <w:rFonts w:hint="eastAsia" w:ascii="宋体" w:hAnsi="宋体" w:cs="仿宋_GB2312"/>
          <w:color w:val="000000"/>
          <w:szCs w:val="21"/>
        </w:rPr>
        <w:t>2.2 技术目标</w:t>
      </w:r>
    </w:p>
    <w:p>
      <w:pPr>
        <w:spacing w:line="400" w:lineRule="exact"/>
        <w:ind w:firstLine="480"/>
        <w:rPr>
          <w:rFonts w:ascii="宋体" w:hAnsi="宋体" w:cs="仿宋_GB2312"/>
          <w:color w:val="000000"/>
          <w:szCs w:val="21"/>
        </w:rPr>
      </w:pPr>
      <w:r>
        <w:rPr>
          <w:rFonts w:hint="eastAsia" w:ascii="宋体" w:hAnsi="宋体" w:cs="仿宋_GB2312"/>
          <w:color w:val="000000"/>
          <w:szCs w:val="21"/>
        </w:rPr>
        <w:t>浙江省第四监狱指挥中心迁建建设以信息化系统为基础、以计算机网络系统为载体、多媒体会商系统为媒介，数据机房工程为保障，并通过对区域的整体布局设计，结合区域功能特点，采用集成化的思想，从统筹、指挥、管理的角度出发，根据指挥决策者的实际需要，整合行业的重点数据信息，快速、精准地在指挥中心大屏幕等位置上调用、显示，真正实现辅助决策、业务智能。</w:t>
      </w:r>
    </w:p>
    <w:p>
      <w:pPr>
        <w:spacing w:line="400" w:lineRule="exact"/>
        <w:ind w:firstLine="480"/>
        <w:rPr>
          <w:rFonts w:ascii="宋体" w:hAnsi="宋体" w:cs="仿宋_GB2312"/>
          <w:color w:val="000000"/>
          <w:szCs w:val="21"/>
        </w:rPr>
      </w:pPr>
      <w:r>
        <w:rPr>
          <w:rFonts w:hint="eastAsia" w:ascii="宋体" w:hAnsi="宋体" w:cs="仿宋_GB2312"/>
          <w:color w:val="000000"/>
          <w:szCs w:val="21"/>
        </w:rPr>
        <w:t>通过应用最新的数字显示技术、数字会议技术、中央控制技术、计算机通信技术、存储和网络技术、电源保障技术等新型技术设备和系统理念，有效提升浙江省第四监狱指挥中心的整体作战能力和服务水平，同时能改善**管理人员的工作环境和提升狱务管理人员的业务技能，为创建示范监狱提供可靠技术保障。</w:t>
      </w:r>
    </w:p>
    <w:p>
      <w:pPr>
        <w:spacing w:line="400" w:lineRule="exact"/>
        <w:ind w:firstLine="480"/>
        <w:rPr>
          <w:rFonts w:ascii="宋体" w:hAnsi="宋体" w:cs="仿宋_GB2312"/>
          <w:color w:val="000000"/>
          <w:szCs w:val="21"/>
        </w:rPr>
      </w:pPr>
      <w:r>
        <w:rPr>
          <w:rFonts w:hint="eastAsia" w:ascii="宋体" w:hAnsi="宋体" w:cs="仿宋_GB2312"/>
          <w:color w:val="000000"/>
          <w:szCs w:val="21"/>
        </w:rPr>
        <w:t>十四、系统框架</w:t>
      </w:r>
    </w:p>
    <w:p>
      <w:pPr>
        <w:spacing w:line="400" w:lineRule="exact"/>
        <w:ind w:firstLine="480"/>
        <w:rPr>
          <w:rFonts w:ascii="宋体" w:hAnsi="宋体" w:cs="仿宋_GB2312"/>
          <w:color w:val="000000"/>
          <w:szCs w:val="21"/>
        </w:rPr>
      </w:pPr>
      <w:bookmarkStart w:id="55" w:name="_Toc7559"/>
      <w:bookmarkStart w:id="56" w:name="_Toc31683"/>
      <w:bookmarkStart w:id="57" w:name="_Toc7319"/>
      <w:bookmarkStart w:id="58" w:name="_Toc28680"/>
      <w:bookmarkStart w:id="59" w:name="_Toc9154"/>
      <w:r>
        <w:rPr>
          <w:rFonts w:ascii="宋体" w:hAnsi="宋体" w:cs="仿宋_GB2312"/>
          <w:color w:val="000000"/>
          <w:szCs w:val="21"/>
        </w:rPr>
        <w:t>1</w:t>
      </w:r>
      <w:r>
        <w:rPr>
          <w:rFonts w:hint="eastAsia" w:ascii="宋体" w:hAnsi="宋体" w:cs="仿宋_GB2312"/>
          <w:color w:val="000000"/>
          <w:szCs w:val="21"/>
        </w:rPr>
        <w:t>、总体思路</w:t>
      </w:r>
      <w:bookmarkEnd w:id="55"/>
      <w:bookmarkEnd w:id="56"/>
      <w:bookmarkEnd w:id="57"/>
      <w:bookmarkEnd w:id="58"/>
      <w:bookmarkEnd w:id="59"/>
    </w:p>
    <w:p>
      <w:pPr>
        <w:spacing w:line="400" w:lineRule="exact"/>
        <w:ind w:firstLine="480"/>
        <w:rPr>
          <w:rFonts w:ascii="宋体" w:hAnsi="宋体" w:cs="仿宋_GB2312"/>
          <w:color w:val="000000"/>
          <w:szCs w:val="21"/>
        </w:rPr>
      </w:pPr>
      <w:r>
        <w:rPr>
          <w:rFonts w:hint="eastAsia" w:ascii="宋体" w:hAnsi="宋体" w:cs="仿宋_GB2312"/>
          <w:color w:val="000000"/>
          <w:szCs w:val="21"/>
        </w:rPr>
        <w:t>本项目设计的原则是：选用成熟、可靠、实用、先进的系统产品和应用技术，力求保证系统先进、实用、开放、安全、可靠、易维护，满足长期投资保护，实现系统的各项功能，为监狱指挥作战提供现代化的通信、服务手段。</w:t>
      </w:r>
    </w:p>
    <w:p>
      <w:pPr>
        <w:spacing w:line="400" w:lineRule="exact"/>
        <w:ind w:firstLine="480"/>
        <w:rPr>
          <w:rFonts w:ascii="宋体" w:hAnsi="宋体" w:cs="仿宋_GB2312"/>
          <w:color w:val="000000"/>
          <w:szCs w:val="21"/>
        </w:rPr>
      </w:pPr>
      <w:r>
        <w:rPr>
          <w:rFonts w:ascii="宋体" w:hAnsi="宋体" w:cs="仿宋_GB2312"/>
          <w:color w:val="000000"/>
          <w:szCs w:val="21"/>
        </w:rPr>
        <w:t>2</w:t>
      </w:r>
      <w:r>
        <w:rPr>
          <w:rFonts w:hint="eastAsia" w:ascii="宋体" w:hAnsi="宋体" w:cs="仿宋_GB2312"/>
          <w:color w:val="000000"/>
          <w:szCs w:val="21"/>
        </w:rPr>
        <w:t>、依据规范</w:t>
      </w:r>
    </w:p>
    <w:p>
      <w:pPr>
        <w:spacing w:line="400" w:lineRule="exact"/>
        <w:ind w:firstLine="480"/>
        <w:rPr>
          <w:rFonts w:ascii="宋体" w:hAnsi="宋体" w:cs="仿宋_GB2312"/>
          <w:color w:val="000000"/>
          <w:szCs w:val="21"/>
        </w:rPr>
      </w:pPr>
      <w:r>
        <w:rPr>
          <w:rFonts w:hint="eastAsia" w:ascii="宋体" w:hAnsi="宋体" w:cs="仿宋_GB2312"/>
          <w:color w:val="000000"/>
          <w:szCs w:val="21"/>
        </w:rPr>
        <w:t>《安全防范工程技术规范》 （GB 50348-2004）</w:t>
      </w:r>
    </w:p>
    <w:p>
      <w:pPr>
        <w:spacing w:line="400" w:lineRule="exact"/>
        <w:ind w:firstLine="480"/>
        <w:rPr>
          <w:rFonts w:ascii="宋体" w:hAnsi="宋体" w:cs="仿宋_GB2312"/>
          <w:color w:val="000000"/>
          <w:szCs w:val="21"/>
        </w:rPr>
      </w:pPr>
      <w:r>
        <w:rPr>
          <w:rFonts w:hint="eastAsia" w:ascii="宋体" w:hAnsi="宋体" w:cs="仿宋_GB2312"/>
          <w:color w:val="000000"/>
          <w:szCs w:val="21"/>
        </w:rPr>
        <w:t>《安全防范工程程序与要求》 （GA/T75-94）</w:t>
      </w:r>
    </w:p>
    <w:p>
      <w:pPr>
        <w:spacing w:line="400" w:lineRule="exact"/>
        <w:ind w:firstLine="480"/>
        <w:rPr>
          <w:rFonts w:ascii="宋体" w:hAnsi="宋体" w:cs="仿宋_GB2312"/>
          <w:color w:val="000000"/>
          <w:szCs w:val="21"/>
        </w:rPr>
      </w:pPr>
      <w:r>
        <w:rPr>
          <w:rFonts w:hint="eastAsia" w:ascii="宋体" w:hAnsi="宋体" w:cs="仿宋_GB2312"/>
          <w:color w:val="000000"/>
          <w:szCs w:val="21"/>
        </w:rPr>
        <w:t>《音频、视频及类似电子设备安全要求》 （GB8898-2001）《信息技术设备的安全》 （GB4943-2001）</w:t>
      </w:r>
    </w:p>
    <w:p>
      <w:pPr>
        <w:spacing w:line="400" w:lineRule="exact"/>
        <w:ind w:firstLine="480"/>
        <w:rPr>
          <w:rFonts w:ascii="宋体" w:hAnsi="宋体" w:cs="仿宋_GB2312"/>
          <w:color w:val="000000"/>
          <w:szCs w:val="21"/>
        </w:rPr>
      </w:pPr>
      <w:r>
        <w:rPr>
          <w:rFonts w:hint="eastAsia" w:ascii="宋体" w:hAnsi="宋体" w:cs="仿宋_GB2312"/>
          <w:color w:val="000000"/>
          <w:szCs w:val="21"/>
        </w:rPr>
        <w:t>《全国司法行政系统网络平台技术规范》SF01001-2016</w:t>
      </w:r>
    </w:p>
    <w:p>
      <w:pPr>
        <w:spacing w:line="400" w:lineRule="exact"/>
        <w:ind w:firstLine="480"/>
        <w:rPr>
          <w:rFonts w:ascii="宋体" w:hAnsi="宋体" w:cs="仿宋_GB2312"/>
          <w:color w:val="000000"/>
          <w:szCs w:val="21"/>
        </w:rPr>
      </w:pPr>
      <w:r>
        <w:rPr>
          <w:rFonts w:hint="eastAsia" w:ascii="宋体" w:hAnsi="宋体" w:cs="仿宋_GB2312"/>
          <w:color w:val="000000"/>
          <w:szCs w:val="21"/>
        </w:rPr>
        <w:t>《监狱网络信息系统建设规范》DB33/T 2116-2018</w:t>
      </w:r>
    </w:p>
    <w:p>
      <w:pPr>
        <w:spacing w:line="400" w:lineRule="exact"/>
        <w:ind w:firstLine="480"/>
        <w:rPr>
          <w:rFonts w:ascii="宋体" w:hAnsi="宋体" w:cs="仿宋_GB2312"/>
          <w:color w:val="000000"/>
          <w:szCs w:val="21"/>
        </w:rPr>
      </w:pPr>
      <w:r>
        <w:rPr>
          <w:rFonts w:hint="eastAsia" w:ascii="宋体" w:hAnsi="宋体" w:cs="仿宋_GB2312"/>
          <w:color w:val="000000"/>
          <w:szCs w:val="21"/>
        </w:rPr>
        <w:t>《监狱安全防范信息系统建设规范》DB33/T 2115-2018《监狱网络信息系统建设规范》(DB33/T 2016—2018 )</w:t>
      </w:r>
    </w:p>
    <w:p>
      <w:pPr>
        <w:spacing w:line="400" w:lineRule="exact"/>
        <w:ind w:firstLine="480"/>
        <w:rPr>
          <w:rFonts w:ascii="宋体" w:hAnsi="宋体" w:cs="仿宋_GB2312"/>
          <w:color w:val="000000"/>
          <w:szCs w:val="21"/>
        </w:rPr>
      </w:pPr>
      <w:r>
        <w:rPr>
          <w:rFonts w:ascii="宋体" w:hAnsi="宋体" w:cs="仿宋_GB2312"/>
          <w:color w:val="000000"/>
          <w:szCs w:val="21"/>
        </w:rPr>
        <w:t>3</w:t>
      </w:r>
      <w:r>
        <w:rPr>
          <w:rFonts w:hint="eastAsia" w:ascii="宋体" w:hAnsi="宋体" w:cs="仿宋_GB2312"/>
          <w:color w:val="000000"/>
          <w:szCs w:val="21"/>
        </w:rPr>
        <w:t>、设计架构</w:t>
      </w:r>
    </w:p>
    <w:p>
      <w:pPr>
        <w:spacing w:line="400" w:lineRule="exact"/>
        <w:ind w:firstLine="480"/>
        <w:rPr>
          <w:rFonts w:ascii="宋体" w:hAnsi="宋体" w:cs="仿宋_GB2312"/>
          <w:color w:val="000000"/>
          <w:szCs w:val="21"/>
        </w:rPr>
      </w:pPr>
      <w:r>
        <w:rPr>
          <w:rFonts w:hint="eastAsia" w:ascii="宋体" w:hAnsi="宋体" w:cs="仿宋_GB2312"/>
          <w:color w:val="000000"/>
          <w:szCs w:val="21"/>
        </w:rPr>
        <w:t>浙江省第四监指挥中心迁建项目方案严格依照《监狱网络信息系统建设规范》(DB33/T 2016—2018 )规范制定而成，从区域划分、功能模块设置，都安照符合监狱实际指挥作战的需求而打造的指挥实战体系而建设。</w:t>
      </w:r>
    </w:p>
    <w:p>
      <w:pPr>
        <w:pStyle w:val="54"/>
        <w:rPr>
          <w:color w:val="000000"/>
        </w:rPr>
      </w:pPr>
      <w:r>
        <w:rPr>
          <w:color w:val="000000"/>
          <w:lang/>
        </w:rPr>
        <mc:AlternateContent>
          <mc:Choice Requires="wps">
            <w:drawing>
              <wp:anchor distT="0" distB="0" distL="114300" distR="114300" simplePos="0" relativeHeight="251667456" behindDoc="0" locked="0" layoutInCell="1" allowOverlap="1">
                <wp:simplePos x="0" y="0"/>
                <wp:positionH relativeFrom="column">
                  <wp:posOffset>-377825</wp:posOffset>
                </wp:positionH>
                <wp:positionV relativeFrom="paragraph">
                  <wp:posOffset>6416040</wp:posOffset>
                </wp:positionV>
                <wp:extent cx="1072515" cy="452755"/>
                <wp:effectExtent l="6350" t="369570" r="559435" b="15875"/>
                <wp:wrapNone/>
                <wp:docPr id="7" name="对话气泡: 矩形 11"/>
                <wp:cNvGraphicFramePr/>
                <a:graphic xmlns:a="http://schemas.openxmlformats.org/drawingml/2006/main">
                  <a:graphicData uri="http://schemas.microsoft.com/office/word/2010/wordprocessingShape">
                    <wps:wsp>
                      <wps:cNvSpPr/>
                      <wps:spPr>
                        <a:xfrm>
                          <a:off x="0" y="0"/>
                          <a:ext cx="1072515" cy="452755"/>
                        </a:xfrm>
                        <a:prstGeom prst="wedgeRectCallout">
                          <a:avLst>
                            <a:gd name="adj1" fmla="val 93042"/>
                            <a:gd name="adj2" fmla="val -126296"/>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指挥中心机房</w:t>
                            </w:r>
                          </w:p>
                        </w:txbxContent>
                      </wps:txbx>
                      <wps:bodyPr wrap="square" anchor="ctr" anchorCtr="0" upright="1"/>
                    </wps:wsp>
                  </a:graphicData>
                </a:graphic>
              </wp:anchor>
            </w:drawing>
          </mc:Choice>
          <mc:Fallback>
            <w:pict>
              <v:shape id="对话气泡: 矩形 11" o:spid="_x0000_s1026" o:spt="61" type="#_x0000_t61" style="position:absolute;left:0pt;margin-left:-29.75pt;margin-top:505.2pt;height:35.65pt;width:84.45pt;z-index:251667456;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vJ3BwMAAN0FAAAOAAAAZHJzL2Uyb0RvYy54bWysVM1uEzEQviPxDpbv7WY32SaNuqmihCCk ilYNqGfH680a/LPYTjbhObgiBDdOReLEgcdp4TEYe7dpCpwQe/DOeMbjb+Ybz8npRgq0ZsZyrTIc H3YwYorqnKtlhl++mB0MMLKOqJwIrViGt8zi09HjRyd1NWSJLrXImUEQRNlhXWW4dK4aRpGlJZPE HuqKKTAW2kjiQDXLKDekhuhSREmncxTV2uSV0ZRZC7vTxohHIX5RMOrOi8Iyh0SGAZsLqwnrwq/R 6IQMl4ZUJactDPIPKCThCi7dhZoSR9DK8D9CSU6Ntrpwh1TLSBcFpyzkANnEnd+ymZekYiEXKI6t dmWy/y8sfb6+MIjnwF2MkSISOLq5/vbz+v3tl3e3Xz8O0Y8Pn2++f0JghlrVlR3CkXl1YVrNgugT 3xRG+j+khDahvttdfdnGIQqbcS8dpMcpRhRsvTTpp6kPGt2frox1T5mWyAsZrlm+ZJdA4oQIoVcu lJisz6wLtc5bwCR/BeALKYC6NRFoEB9176jd80n2fQ7i5Cjpd9v725iA5A6Bv8BqwfMZFyIoWzsR BkF8wMVVrmuMBLEONjM8C18b7MExoVANmSf9DrQfJdDihSAORFlB0a1aYkTEEt4OdSak9+C0NcvF 7tYn0/60G2gAnA/cPOgpsWWDLpg8FjKU3MHzElxmeNDxXwtRKG9l4YG01YTyMjMv8xotxMpcEkCX duAQRjn3XHQHsVcasAIjo90Vd2XoUc+0D+hx7OAuBKGvG8ZEVZIGW28PROsdGmB3e9D2gEW+5Zom 85LbLDahXXs+E7+z0PkWWhjghK6zFZ1xgHEG1FwQAx0BoGFAuXNYCqGBDN1KGJXavP3bvveHNwZW jGoYDkDUmxUxDBh/puD1Hce9HoR1Qeml/QQUs29Z7FvUSk40dA30KKALovd34k4sjJZXMMfG/lYw EUXh7qYlWmXimqEFk5Cy8Ti4wQSpiDtT84r64J4Apccrpwvu/LO6r06rwAwJ5W3nnR9S+3rwup/K o18AAAD//wMAUEsDBBQABgAIAAAAIQDrjoK14gAAAA4BAAAPAAAAZHJzL2Rvd25yZXYueG1sTI/B TsMwEETvSPyDtUjcWjttgRLiVKgSQhUcoOXCzY23SYS9jmynCXw9zglus5qn2ZliM1rDzuhD60hC NhfAkCqnW6olfByeZmtgISrSyjhCCd8YYFNeXhQq126gdzzvY81SCIVcSWhi7HLOQ9WgVWHuOqTk nZy3KqbT11x7NaRwa/hCiFtuVUvpQ6M63DZYfe17K2G1RfP883p66ZeHMbzt8MYPnzspr6/Gxwdg Ecf4B8NUP1WHMnU6up50YEbCLFuIZWKTIzKxAjYx4j6J4yTW2R3wsuD/Z5S/AAAA//8DAFBLAQIt ABQABgAIAAAAIQC2gziS/gAAAOEBAAATAAAAAAAAAAAAAAAAAAAAAABbQ29udGVudF9UeXBlc10u eG1sUEsBAi0AFAAGAAgAAAAhADj9If/WAAAAlAEAAAsAAAAAAAAAAAAAAAAALwEAAF9yZWxzLy5y ZWxzUEsBAi0AFAAGAAgAAAAhANcm8ncHAwAA3QUAAA4AAAAAAAAAAAAAAAAALgIAAGRycy9lMm9E b2MueG1sUEsBAi0AFAAGAAgAAAAhAOuOgrXiAAAADgEAAA8AAAAAAAAAAAAAAAAAYQUAAGRycy9k b3ducmV2LnhtbFBLBQYAAAAABAAEAPMAAABwBgAAAAA= " adj="30897,-16480">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指挥中心机房</w:t>
                      </w:r>
                    </w:p>
                  </w:txbxContent>
                </v:textbox>
              </v:shape>
            </w:pict>
          </mc:Fallback>
        </mc:AlternateContent>
      </w:r>
      <w:r>
        <w:rPr>
          <w:color w:val="000000"/>
          <w:lang/>
        </w:rPr>
        <mc:AlternateContent>
          <mc:Choice Requires="wps">
            <w:drawing>
              <wp:anchor distT="0" distB="0" distL="114300" distR="114300" simplePos="0" relativeHeight="251668480" behindDoc="0" locked="0" layoutInCell="1" allowOverlap="1">
                <wp:simplePos x="0" y="0"/>
                <wp:positionH relativeFrom="column">
                  <wp:posOffset>-377825</wp:posOffset>
                </wp:positionH>
                <wp:positionV relativeFrom="paragraph">
                  <wp:posOffset>5213985</wp:posOffset>
                </wp:positionV>
                <wp:extent cx="1072515" cy="452755"/>
                <wp:effectExtent l="6350" t="369570" r="559435" b="15875"/>
                <wp:wrapNone/>
                <wp:docPr id="9" name="对话气泡: 矩形 12"/>
                <wp:cNvGraphicFramePr/>
                <a:graphic xmlns:a="http://schemas.openxmlformats.org/drawingml/2006/main">
                  <a:graphicData uri="http://schemas.microsoft.com/office/word/2010/wordprocessingShape">
                    <wps:wsp>
                      <wps:cNvSpPr/>
                      <wps:spPr>
                        <a:xfrm>
                          <a:off x="0" y="0"/>
                          <a:ext cx="1072515" cy="452755"/>
                        </a:xfrm>
                        <a:prstGeom prst="wedgeRectCallout">
                          <a:avLst>
                            <a:gd name="adj1" fmla="val 93042"/>
                            <a:gd name="adj2" fmla="val -126296"/>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音控室</w:t>
                            </w:r>
                          </w:p>
                        </w:txbxContent>
                      </wps:txbx>
                      <wps:bodyPr wrap="square" anchor="ctr" anchorCtr="0" upright="1"/>
                    </wps:wsp>
                  </a:graphicData>
                </a:graphic>
              </wp:anchor>
            </w:drawing>
          </mc:Choice>
          <mc:Fallback>
            <w:pict>
              <v:shape id="对话气泡: 矩形 12" o:spid="_x0000_s1026" o:spt="61" type="#_x0000_t61" style="position:absolute;left:0pt;margin-left:-29.75pt;margin-top:410.55pt;height:35.65pt;width:84.45pt;z-index:251668480;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5Zv6BAMAAN0FAAAOAAAAZHJzL2Uyb0RvYy54bWysVM1uEzEQviPxDpbv7WaTbJNGTaooIQip olUD6tnxerMG/2E72ZTn4IoQ3DgViRMHHqeFx2Ds3SYpcELswevxjGe+mW88J6cbKdCaWce1GuL0 sIURU1TnXC2H+OWL2UEfI+eJyonQig3xNXP4dPT40UllBqytSy1yZhE4UW5QmSEuvTeDJHG0ZJK4 Q22YAmWhrSQeRLtMcksq8C5F0m61jpJK29xYTZlzcDqtlXgU/RcFo/68KBzzSAwxYPNxtXFdhDUZ nZDB0hJTctrAIP+AQhKuIOjW1ZR4glaW/+FKcmq104U/pFomuig4ZTEHyCZt/ZbNvCSGxVygOM5s y+T+n1v6fH1hEc+BuzZGikjg6Pbm28+b93df3t19/ThAPz58vv3+CYEaalUZN4Arc3NhG8nBNiS+ KawMf0gJbWJ9r7f1ZRuPKBym3ayfHWcYUdB1s3Yvy4LTZHfbWOefMi1R2AxxxfIluwQSJ0QIvfKx xGR95nysdd4AJvmrFKNCCqBuTQTqp0ede2r3bCDBnc1B2j5q9zpN/MYnILlHEAI4LXg+40JE4dpN hEXgH3BxlesKI0Gch8MhnsWvcfbgmlCoCsXttaD9KIEWLwTxsJUGiu7UEiMilvB2qLcxvQe3nV0u tlGfTHvTTvq3IAH0lLiyRhc9BDMykNzD8xJcDnG/Fb7mtlBBy+IDaaoJ5WV2XuYVWoiVvSSALmvB JYxyHrjo9NMg1GAFRlb7K+7L2KOB6eAw4NjCXQhCX9eMCVOSGlt3D0RjHRtgGz1Ke8CS0HJ1k4Wd 3yw2sV0jc+FkofNraGGAE7vOGTrjAOMMqLkgFjoCQMOA8uewFEIDGbrZYVRq+/Zv58Ee3hhoMapg OABRb1bEMmD8mYLXd5x2u+DWR6Gb9dog2H3NYl+jVnKioWugRwFd3AZ7L+63hdXyCubYOEQFFVEU Ytct0QgTXw8tmISUjcfRDCaIIf5MzQ0NzgMBSo9XXhfch2e1q04jwAyJ5W3mXRhS+3K02k3l0S8A AAD//wMAUEsDBBQABgAIAAAAIQDAqPwA4gAAAAwBAAAPAAAAZHJzL2Rvd25yZXYueG1sTI/BTsMw DIbvSLxDZCRuW9KuoK1rOqFJCE1wgI0Lt6zx2mqJUzXpWnh6shMcbX/6/f3FZrKGXbD3rSMJyVwA Q6qcbqmW8Hl4ni2B+aBIK+MIJXyjh015e1OoXLuRPvCyDzWLIeRzJaEJocs591WDVvm565Di7eR6 q0Ic+5rrXo0x3BqeCvHIrWopfmhUh9sGq/N+sBKyLZqXn7fT67A4TP59hw/9+LWT8v5ueloDCziF Pxiu+lEdyuh0dANpz4yEWZKKRWQlLNMkAXZFxCoDdoybVZoBLwv+v0T5CwAA//8DAFBLAQItABQA BgAIAAAAIQC2gziS/gAAAOEBAAATAAAAAAAAAAAAAAAAAAAAAABbQ29udGVudF9UeXBlc10ueG1s UEsBAi0AFAAGAAgAAAAhADj9If/WAAAAlAEAAAsAAAAAAAAAAAAAAAAALwEAAF9yZWxzLy5yZWxz UEsBAi0AFAAGAAgAAAAhALDlm/oEAwAA3QUAAA4AAAAAAAAAAAAAAAAALgIAAGRycy9lMm9Eb2Mu eG1sUEsBAi0AFAAGAAgAAAAhAMCo/ADiAAAADAEAAA8AAAAAAAAAAAAAAAAAXgUAAGRycy9kb3du cmV2LnhtbFBLBQYAAAAABAAEAPMAAABtBgAAAAA= " adj="30897,-16480">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音控室</w:t>
                      </w:r>
                    </w:p>
                  </w:txbxContent>
                </v:textbox>
              </v:shape>
            </w:pict>
          </mc:Fallback>
        </mc:AlternateContent>
      </w:r>
      <w:r>
        <w:rPr>
          <w:color w:val="000000"/>
          <w:lang/>
        </w:rPr>
        <mc:AlternateContent>
          <mc:Choice Requires="wps">
            <w:drawing>
              <wp:anchor distT="0" distB="0" distL="114300" distR="114300" simplePos="0" relativeHeight="251671552" behindDoc="0" locked="0" layoutInCell="1" allowOverlap="1">
                <wp:simplePos x="0" y="0"/>
                <wp:positionH relativeFrom="column">
                  <wp:posOffset>-410845</wp:posOffset>
                </wp:positionH>
                <wp:positionV relativeFrom="paragraph">
                  <wp:posOffset>2321560</wp:posOffset>
                </wp:positionV>
                <wp:extent cx="1148080" cy="452755"/>
                <wp:effectExtent l="6350" t="6350" r="1626870" b="17145"/>
                <wp:wrapNone/>
                <wp:docPr id="12" name="对话气泡: 矩形 16"/>
                <wp:cNvGraphicFramePr/>
                <a:graphic xmlns:a="http://schemas.openxmlformats.org/drawingml/2006/main">
                  <a:graphicData uri="http://schemas.microsoft.com/office/word/2010/wordprocessingShape">
                    <wps:wsp>
                      <wps:cNvSpPr/>
                      <wps:spPr>
                        <a:xfrm>
                          <a:off x="0" y="0"/>
                          <a:ext cx="1148080" cy="452755"/>
                        </a:xfrm>
                        <a:prstGeom prst="wedgeRectCallout">
                          <a:avLst>
                            <a:gd name="adj1" fmla="val 182801"/>
                            <a:gd name="adj2" fmla="val 5259"/>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领导决策岗位</w:t>
                            </w:r>
                          </w:p>
                        </w:txbxContent>
                      </wps:txbx>
                      <wps:bodyPr wrap="square" anchor="ctr" anchorCtr="0" upright="1"/>
                    </wps:wsp>
                  </a:graphicData>
                </a:graphic>
              </wp:anchor>
            </w:drawing>
          </mc:Choice>
          <mc:Fallback>
            <w:pict>
              <v:shape id="对话气泡: 矩形 16" o:spid="_x0000_s1026" o:spt="61" type="#_x0000_t61" style="position:absolute;left:0pt;margin-left:-32.35pt;margin-top:182.8pt;height:35.65pt;width:90.4pt;z-index:251671552;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raoy/wIAANQFAAAOAAAAZHJzL2Uyb0RvYy54bWysVM1uEzEQviPxDpbvdLNptk2jbqooIQip olUD6tnxerMG/2E72YTn4IoQ3DgViRMHHqeFx2Ds3aYp9ITYg9fjGX/zzY/n+GQtBVox67hWOU73 OhgxRXXB1SLHr15On/Qxcp6oggitWI43zOGT4eNHx7UZsK6utCiYRQCi3KA2Oa68N4MkcbRikrg9 bZgCZamtJB5Eu0gKS2pAlyLpdjoHSa1tYaymzDk4nTRKPIz4ZcmoPytLxzwSOQZuPq42rvOwJsNj MlhYYipOWxrkH1hIwhU43UJNiCdoaflfUJJTq50u/R7VMtFlySmLMUA0aeePaGYVMSzGAslxZpsm 9/9g6YvVuUW8gNodYKSIhBpdX33/dfXh5uv7m2+fBujnxy/XPz4jUEOuauMGcGVmzm0rOdiGwNel leEPIaF1zO9mm1+29ojCYdrL+tlRhhEFXS/rHmZZAE3ubhvr/DOmJQqbHNesWLALKOKYCKGXPqaY rE6dj7kuWsKkeJ1iVEoBpVsRgdIMwCNfKMiOUXfXKOvuH7XeW0Tgces/wDsteDHlQkRh48bCIkAH VlwVusZIEOfhMMfT+LVg964JhWqIu3vYgeajBBq8FMTDVhpIuVMLjIhYwMuh3sbg7t12djHfen06 OZzspw85CaQnxFUNu4gQzMhAcg+PS3CZ434nfO1toYKWxefR5hKSy+ysKmo0F0t7QYBd1oFLGBU8 VGK/nwahISswstpfcl/FDg11DoCBx5buXBD6pqmXMBVpuPV2SLTWsfxb71HaIZaEhmtaLOz8er5u +26uiw10LvCIzeYMnXLwfwo1OScWGgHYwlzyZ7CUQkMVdLvDqNL23UPnwR6eFmgxqmEmQIXeLoll UOrnCh7dUdrrAayPQi877IJgdzXzXY1ayrGGdoHWBHZxG+y9uN2WVstLGF+j4BVURFHw3fRCK4x9 M6tgAFI2GkUzGByG+FM1MzSAh8wrPVp6XXIfXlNIVJOdVoDREfPajrkwm3blaHU3jIe/AQAA//8D AFBLAwQUAAYACAAAACEAwtXl0eAAAAAMAQAADwAAAGRycy9kb3ducmV2LnhtbEyPy07DMBBF90j8 gzVI7FonBCxI41RVJTYgkPpg78bTJKo9jmw3Tf8edwW7Gc3RnXOr5WQNG9GH3pGEfJ4BQ2qc7qmV sN+9z16BhahIK+MIJVwxwLK+v6tUqd2FNjhuY8tSCIVSSehiHErOQ9OhVWHuBqR0OzpvVUyrb7n2 6pLCreFPWSa4VT2lD50acN1hc9qerQS/63HarL9WV/Mx7vH705w4/5Hy8WFaLYBFnOIfDDf9pA51 cjq4M+nAjIRZnhcisRIK8ZKGG5KLHNhBwnMh3oDXFf9fov4FAAD//wMAUEsBAi0AFAAGAAgAAAAh ALaDOJL+AAAA4QEAABMAAAAAAAAAAAAAAAAAAAAAAFtDb250ZW50X1R5cGVzXS54bWxQSwECLQAU AAYACAAAACEAOP0h/9YAAACUAQAACwAAAAAAAAAAAAAAAAAvAQAAX3JlbHMvLnJlbHNQSwECLQAU AAYACAAAACEACa2qMv8CAADUBQAADgAAAAAAAAAAAAAAAAAuAgAAZHJzL2Uyb0RvYy54bWxQSwEC LQAUAAYACAAAACEAwtXl0eAAAAAMAQAADwAAAAAAAAAAAAAAAABZBQAAZHJzL2Rvd25yZXYueG1s UEsFBgAAAAAEAAQA8wAAAGYGAAAAAA== " adj="50285,11936">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领导决策岗位</w:t>
                      </w:r>
                    </w:p>
                  </w:txbxContent>
                </v:textbox>
              </v:shape>
            </w:pict>
          </mc:Fallback>
        </mc:AlternateContent>
      </w:r>
      <w:r>
        <w:rPr>
          <w:color w:val="000000"/>
          <w:lang/>
        </w:rPr>
        <mc:AlternateContent>
          <mc:Choice Requires="wps">
            <w:drawing>
              <wp:anchor distT="0" distB="0" distL="114300" distR="114300" simplePos="0" relativeHeight="251670528" behindDoc="0" locked="0" layoutInCell="1" allowOverlap="1">
                <wp:simplePos x="0" y="0"/>
                <wp:positionH relativeFrom="column">
                  <wp:posOffset>-438150</wp:posOffset>
                </wp:positionH>
                <wp:positionV relativeFrom="paragraph">
                  <wp:posOffset>3204845</wp:posOffset>
                </wp:positionV>
                <wp:extent cx="1143000" cy="452755"/>
                <wp:effectExtent l="6350" t="6350" r="1631950" b="17145"/>
                <wp:wrapNone/>
                <wp:docPr id="11" name="对话气泡: 矩形 15"/>
                <wp:cNvGraphicFramePr/>
                <a:graphic xmlns:a="http://schemas.openxmlformats.org/drawingml/2006/main">
                  <a:graphicData uri="http://schemas.microsoft.com/office/word/2010/wordprocessingShape">
                    <wps:wsp>
                      <wps:cNvSpPr/>
                      <wps:spPr>
                        <a:xfrm>
                          <a:off x="0" y="0"/>
                          <a:ext cx="1143000" cy="452755"/>
                        </a:xfrm>
                        <a:prstGeom prst="wedgeRectCallout">
                          <a:avLst>
                            <a:gd name="adj1" fmla="val 183389"/>
                            <a:gd name="adj2" fmla="val 5259"/>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指挥岗位</w:t>
                            </w:r>
                          </w:p>
                        </w:txbxContent>
                      </wps:txbx>
                      <wps:bodyPr wrap="square" anchor="ctr" anchorCtr="0" upright="1"/>
                    </wps:wsp>
                  </a:graphicData>
                </a:graphic>
              </wp:anchor>
            </w:drawing>
          </mc:Choice>
          <mc:Fallback>
            <w:pict>
              <v:shape id="对话气泡: 矩形 15" o:spid="_x0000_s1026" o:spt="61" type="#_x0000_t61" style="position:absolute;left:0pt;margin-left:-34.5pt;margin-top:252.35pt;height:35.65pt;width:90pt;z-index:251670528;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XPMJ/wIAANsFAAAOAAAAZHJzL2Uyb0RvYy54bWysVM1uEzEQviPxDpbvdJM0adOoSVUlFCFV tGpAPTteb9bgtRfbySY8B1eE4MapSJw48DgtPAafvds0hZ4QOWxmPONvvvnxHB6tCkWWwjpp9JC2 d1qUCM1NKvV8SF+9PHnSp8R5plOmjBZDuhaOHo0ePzqsyoHomNyoVFgCEO0GVTmkufflIEkcz0XB 3I4phYYxM7ZgHqqdJ6llFdALlXRarb2kMjYtreHCOZxOaiMdRfwsE9yfZZkTnqghBTcfvzZ+Z+Gb jA7ZYG5ZmUve0GD/wKJgUiPoBmrCPCMLK/+CKiS3xpnM73BTJCbLJBcxB2TTbv2RzTRnpYi5oDiu 3JTJ/T9Y/mJ5bolM0bseJZoV6NH11fdfVx9uvr6/+fZpQH5+/HL94zOBGbWqSjfAlWl5bhvNQQyJ rzJbhH+kRFaxvutNfcXKE47DdrfX7x0gDoet2+vs9yJocne7tM4/E6YgQRjSSqRzcYEmjplSZuFj idny1PlY67QhzNLXbUqyQqF1S6bAFeB7TW+3nDrbTr3O7kFwQfQGEdJt/ADvjJLpiVQqKms3VpYA HaykTk1FiWLO43BIT+KvAbt3TWlSIe/OfgvDxxkGPFPMQyxKlNzpOSVMzfFyuLcxuXu3nZ3PNlGf TvYnu+2HggTSE+byml1EqHMvpMfjUrIY0n4r/JrbSoeURHweTS1RXGGneVqRmVrYCwZ2vRYuUZLK 0IndfjsoNVlFiTX+Uvo8TmjocwAMPDZ0Z4rxN3W/VJmzmlt3i0TjHRuwiR61LWJJGLh6xILkV7NV Pawhk3AyM+kaAww6ceZcyU8kaJyiNefMYh5AGuvJn+GTKYNmmEaiJDf23UPnwR8vDFZKKqwGNOrt glmBjj/XeHsH7W4XsD4q3d5+B4rdtsy2LXpRjA2mBhMKdlEM/l7dipk1xSW22HGIChPTHLHrkWiU sa9XFvYgF8fH0Q37o2T+VE9LHsBDA7Q5XniTSR/G+q46jYINEsvbbLuworb16HW3k0e/AQAA//8D AFBLAwQUAAYACAAAACEACLmK5N8AAAAMAQAADwAAAGRycy9kb3ducmV2LnhtbEyPS2vDMBCE74X+ B7GF3hJJpU2CazmEQC8tDeTRu2JtbRM9jKQ4zr/v5pTedneG2W/K5egsGzCmLngFciqAoa+D6Xyj 4LD/mCyApay90TZ4VHDFBMvq8aHUhQkXv8VhlxtGIT4VWkGbc19wnuoWnU7T0KMn7TdEpzOtseEm 6guFO8tfhJhxpztPH1rd47rF+rQ7OwVx3+G4XX+vrvZzOODmy544/1Hq+WlcvQPLOOa7GW74hA4V MR3D2ZvErIKJlIs5eRW8iVcabhYpqd6RLvOZAF6V/H+J6g8AAP//AwBQSwECLQAUAAYACAAAACEA toM4kv4AAADhAQAAEwAAAAAAAAAAAAAAAAAAAAAAW0NvbnRlbnRfVHlwZXNdLnhtbFBLAQItABQA BgAIAAAAIQA4/SH/1gAAAJQBAAALAAAAAAAAAAAAAAAAAC8BAABfcmVscy8ucmVsc1BLAQItABQA BgAIAAAAIQAaXPMJ/wIAANsFAAAOAAAAAAAAAAAAAAAAAC4CAABkcnMvZTJvRG9jLnhtbFBLAQIt ABQABgAIAAAAIQAIuYrk3wAAAAwBAAAPAAAAAAAAAAAAAAAAAFkFAABkcnMvZG93bnJldi54bWxQ SwUGAAAAAAQABADzAAAAZQYAAAAA " adj="50412,11936">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指挥岗位</w:t>
                      </w:r>
                    </w:p>
                  </w:txbxContent>
                </v:textbox>
              </v:shape>
            </w:pict>
          </mc:Fallback>
        </mc:AlternateContent>
      </w:r>
      <w:r>
        <w:rPr>
          <w:color w:val="000000"/>
          <w:lang/>
        </w:rPr>
        <mc:AlternateContent>
          <mc:Choice Requires="wps">
            <w:drawing>
              <wp:anchor distT="0" distB="0" distL="114300" distR="114300" simplePos="0" relativeHeight="251669504" behindDoc="0" locked="0" layoutInCell="1" allowOverlap="1">
                <wp:simplePos x="0" y="0"/>
                <wp:positionH relativeFrom="column">
                  <wp:posOffset>-377825</wp:posOffset>
                </wp:positionH>
                <wp:positionV relativeFrom="paragraph">
                  <wp:posOffset>4172585</wp:posOffset>
                </wp:positionV>
                <wp:extent cx="1104265" cy="452755"/>
                <wp:effectExtent l="6350" t="6350" r="1594485" b="17145"/>
                <wp:wrapNone/>
                <wp:docPr id="10" name="对话气泡: 矩形 13"/>
                <wp:cNvGraphicFramePr/>
                <a:graphic xmlns:a="http://schemas.openxmlformats.org/drawingml/2006/main">
                  <a:graphicData uri="http://schemas.microsoft.com/office/word/2010/wordprocessingShape">
                    <wps:wsp>
                      <wps:cNvSpPr/>
                      <wps:spPr>
                        <a:xfrm>
                          <a:off x="0" y="0"/>
                          <a:ext cx="1104265" cy="452755"/>
                        </a:xfrm>
                        <a:prstGeom prst="wedgeRectCallout">
                          <a:avLst>
                            <a:gd name="adj1" fmla="val 186171"/>
                            <a:gd name="adj2" fmla="val -27699"/>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工作岗位</w:t>
                            </w:r>
                          </w:p>
                        </w:txbxContent>
                      </wps:txbx>
                      <wps:bodyPr wrap="square" anchor="ctr" anchorCtr="0" upright="1"/>
                    </wps:wsp>
                  </a:graphicData>
                </a:graphic>
              </wp:anchor>
            </w:drawing>
          </mc:Choice>
          <mc:Fallback>
            <w:pict>
              <v:shape id="对话气泡: 矩形 13" o:spid="_x0000_s1026" o:spt="61" type="#_x0000_t61" style="position:absolute;left:0pt;margin-left:-29.75pt;margin-top:328.55pt;height:35.65pt;width:86.95pt;z-index:251669504;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ssQBAMAAN0FAAAOAAAAZHJzL2Uyb0RvYy54bWysVM1uEzEQviPxDpbv7f4k26RRkypKCEKq aNWAena83qzBP4vtZBOegytCcONUJE4ceJwWHoOxd5umwAmxB6/HM/7mmx/PyelGCrRmxnKthjg5 jDFiiuqcq+UQv3wxO+hjZB1RORFasSHeMotPR48fndTVgKW61CJnBgGIsoO6GuLSuWoQRZaWTBJ7 qCumQFloI4kD0Syj3JAa0KWI0jg+impt8spoyqyF02mjxKOAXxSMuvOisMwhMcTAzYXVhHXh12h0 QgZLQ6qS05YG+QcWknAFTndQU+IIWhn+B5Tk1GirC3dItYx0UXDKQgwQTRL/Fs28JBULsUBybLVL k/1/sPT5+sIgnkPtOhgpIqFGN9fffl6/v/3y7vbrxwH68eHzzfdPCNSQq7qyA7gyry5MK1nY+sA3 hZH+DyGhTcjvdpdftnGIwmHSzfrZcYYRBV03S3tZ5kGj+9uVse4p0xL5zRDXLF+ySyjihAihVy6k mKzPrAu5zlvCJH+VYFRIAaVbE4GSrBMf9dva7hml+0YHae+oc9z6bzGByR0D78BqwfMZFyIIWzsR BgE+8OIq1zVGglgHh0M8C18L9uCaUKiGyNNeDO1HCbR4IYiDrawg6VYtMSJiCW+HOhPCe3DbmuVi 5/XJtDftJH9z4klPiS0bdgGhiV5yB89LcDnE/dh/7W2hfEgsPJA2m5BeZuZlXqOFWJlLAuyyGC5h lHNfi04/8UJDVmBktLvirgw96ivtAT2PHd2FIPR1UzFRlaTh1t0j0VqHBth5D9Iesci3XNNkfuc2 i01o19RH4k8WOt9CCwOd0HW2ojMONM6gNBfEQEcAaRhQ7hyWQmgohm53GJXavP3bubeHNwZajGoY DlCoNytiGFT8mYLXd5x0uwDrgtDNeikIZl+z2NeolZxo6BroUWAXtt7eibttYbS8gjk29l5BRRQF 301LtMLENUMLJiFl43EwgwlSEXem5hX14L4ASo9XThfc+Wd1n51WgBkS0tvOOz+k9uVgdT+VR78A AAD//wMAUEsDBBQABgAIAAAAIQAKsfMB4gAAAAwBAAAPAAAAZHJzL2Rvd25yZXYueG1sTI/LTsMw EEX3SPyDNUjsWsclfRAyqRAChNRVCyzYufGQhMZ2ZDuP/j3uCpaje3TvmXw76ZYN5HxjDYKYJ8DI lFY1pkL4eH+ZbYD5II2SrTWEcCYP2+L6KpeZsqPZ03AIFYslxmcSoQ6hyzj3ZU1a+rntyMTs2zot QzxdxZWTYyzXLV8kyYpr2Zi4UMuOnmoqT4deI3wqvnt9/uqHNBnPe+1+1Gl4u0e8vZkeH4AFmsIf DBf9qA5FdDra3ijPWoSZEMu7yCKslmsB7IKINAV2RFgvNinwIuf/nyh+AQAA//8DAFBLAQItABQA BgAIAAAAIQC2gziS/gAAAOEBAAATAAAAAAAAAAAAAAAAAAAAAABbQ29udGVudF9UeXBlc10ueG1s UEsBAi0AFAAGAAgAAAAhADj9If/WAAAAlAEAAAsAAAAAAAAAAAAAAAAALwEAAF9yZWxzLy5yZWxz UEsBAi0AFAAGAAgAAAAhAJUeyxAEAwAA3QUAAA4AAAAAAAAAAAAAAAAALgIAAGRycy9lMm9Eb2Mu eG1sUEsBAi0AFAAGAAgAAAAhAAqx8wHiAAAADAEAAA8AAAAAAAAAAAAAAAAAXgUAAGRycy9kb3du cmV2LnhtbFBLBQYAAAAABAAEAPMAAABtBgAAAAA= " adj="51013,4817">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4"/>
                          <w:szCs w:val="28"/>
                        </w:rPr>
                      </w:pPr>
                      <w:r>
                        <w:rPr>
                          <w:rFonts w:hint="eastAsia" w:ascii="黑体" w:hAnsi="黑体" w:eastAsia="黑体"/>
                          <w:color w:val="FF0000"/>
                          <w:sz w:val="24"/>
                          <w:szCs w:val="28"/>
                        </w:rPr>
                        <w:t>工作岗位</w:t>
                      </w:r>
                    </w:p>
                  </w:txbxContent>
                </v:textbox>
              </v:shape>
            </w:pict>
          </mc:Fallback>
        </mc:AlternateContent>
      </w:r>
      <w:r>
        <w:rPr>
          <w:color w:val="000000"/>
          <w:lang/>
        </w:rPr>
        <mc:AlternateContent>
          <mc:Choice Requires="wps">
            <w:drawing>
              <wp:anchor distT="0" distB="0" distL="114300" distR="114300" simplePos="0" relativeHeight="251666432" behindDoc="0" locked="0" layoutInCell="1" allowOverlap="1">
                <wp:simplePos x="0" y="0"/>
                <wp:positionH relativeFrom="page">
                  <wp:posOffset>6159500</wp:posOffset>
                </wp:positionH>
                <wp:positionV relativeFrom="paragraph">
                  <wp:posOffset>6137275</wp:posOffset>
                </wp:positionV>
                <wp:extent cx="1122045" cy="535940"/>
                <wp:effectExtent l="860425" t="173990" r="55880" b="13970"/>
                <wp:wrapNone/>
                <wp:docPr id="2" name="对话气泡: 矩形 10"/>
                <wp:cNvGraphicFramePr/>
                <a:graphic xmlns:a="http://schemas.openxmlformats.org/drawingml/2006/main">
                  <a:graphicData uri="http://schemas.microsoft.com/office/word/2010/wordprocessingShape">
                    <wps:wsp>
                      <wps:cNvSpPr/>
                      <wps:spPr>
                        <a:xfrm>
                          <a:off x="0" y="0"/>
                          <a:ext cx="1122045" cy="535940"/>
                        </a:xfrm>
                        <a:prstGeom prst="wedgeRectCallout">
                          <a:avLst>
                            <a:gd name="adj1" fmla="val -122384"/>
                            <a:gd name="adj2" fmla="val -78671"/>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20"/>
                              <w:spacing w:before="156" w:after="156"/>
                              <w:rPr>
                                <w:rFonts w:ascii="黑体" w:hAnsi="黑体" w:eastAsia="黑体"/>
                                <w:color w:val="FF0000"/>
                                <w:sz w:val="21"/>
                                <w:szCs w:val="21"/>
                              </w:rPr>
                            </w:pPr>
                            <w:r>
                              <w:rPr>
                                <w:rFonts w:ascii="黑体" w:hAnsi="黑体" w:eastAsia="黑体"/>
                                <w:color w:val="FF0000"/>
                                <w:sz w:val="21"/>
                                <w:szCs w:val="21"/>
                              </w:rPr>
                              <w:t>36</w:t>
                            </w:r>
                            <w:r>
                              <w:rPr>
                                <w:rFonts w:hint="eastAsia" w:ascii="黑体" w:hAnsi="黑体" w:eastAsia="黑体"/>
                                <w:color w:val="FF0000"/>
                                <w:sz w:val="21"/>
                                <w:szCs w:val="21"/>
                              </w:rPr>
                              <w:t>块55寸拼接屏两边双色LED</w:t>
                            </w:r>
                          </w:p>
                        </w:txbxContent>
                      </wps:txbx>
                      <wps:bodyPr wrap="square" anchor="ctr" anchorCtr="0" upright="1"/>
                    </wps:wsp>
                  </a:graphicData>
                </a:graphic>
              </wp:anchor>
            </w:drawing>
          </mc:Choice>
          <mc:Fallback>
            <w:pict>
              <v:shape id="对话气泡: 矩形 10" o:spid="_x0000_s1026" o:spt="61" type="#_x0000_t61" style="position:absolute;left:0pt;margin-left:485pt;margin-top:483.25pt;height:42.2pt;width:88.35pt;mso-position-horizontal-relative:page;z-index:251666432;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LLkdEQMAAOoFAAAOAAAAZHJzL2Uyb0RvYy54bWysVMFuEzEQvSPxD5bv7WaTbDeJuqmihCCk ilYNqGfH680avLaxnWzKd3BFCG6cisSJA5/Twmcw9m7TFDgh9uCdscczb+aN5/hkWwm0YcZyJTMc H3YwYpKqnMtVhl++mB8MMLKOyJwIJVmGr5jFJ+PHj45rPWJdVSqRM4PAibSjWme4dE6PosjSklXE HirNJBwWylTEgWpWUW5IDd4rEXU7naOoVibXRlFmLezOmkM8Dv6LglF3VhSWOSQyDNhcWE1Yl36N xsdktDJEl5y2MMg/oKgIlxB052pGHEFrw/9wVXFqlFWFO6SqilRRcMpCDpBN3Pktm0VJNAu5QHGs 3pXJ/j+39Pnm3CCeA3dQHkkq4Ojm+tvP6/e3X97dfv04Qj8+fL75/gnBMdSq1nYEVxb63LSaBdEn vi1M5f+QEtpmOBmm/aO4i9FVhtNB0hnESVNrtnWIgkHcTwbJMMGIeos06fWCQXTvSRvrnjJVIS9k uGb5il0AoVMihFq7UG6yObUu1D1vwZP8VYxRUQmgcUMEOoi7cdoftkTvWQG2PaujYTrseiMA0DoF 6Q6Cj2CV4PmcCxGUKzsVBkEAAMZlrmqMBLEONjM8D1/r7ME1IVENqXfTDhSbEuj3QhAHYqWBAStX GBGxgodEnQn5PbhtzWq5i/pkls568d+CeNAzYssGXfDQZF9xB29N8CrDg47/2ttC+pRYeC1tOaG+ zCzKvEZLsTYXBNABhx51zj0ZvUHslQaswMgod8ldGRrWPyvv0OPYwV0KQl83lAldkgZbfw9Eax0I 2EUP2h6wyPdf03FectvlNvRuaB2/s1T5FfQzwAlP3Go65wDjFKg5JwZaAkDDtHJnsBRCARmqlTAq lXn7t31vDw8OTjGqYVIAUW/WxDBg/JmEpziM+31w64LST9IuKGb/ZLl/ItfVVEHXQJMCuiB6eyfu xMKo6hKG2sRHhSMiKcRuWqJVpq6ZYDAWKZtMghmME03cqVxo6p17AqSarJ0quPNtfV+dVoGBEsrb Dj8/sfb1YHU/ose/AAAA//8DAFBLAwQUAAYACAAAACEArCXlaOAAAAAJAQAADwAAAGRycy9kb3du cmV2LnhtbEyPwU7DMBBE70j8g7VIXCrqEESbhjgVQgKJQ4VIufTmxkscEa9T223D37Oc4LajGc2+ qdaTG8QJQ+w9KbidZyCQWm966hR8bJ9vChAxaTJ68IQKvjHCur68qHRp/Jne8dSkTnAJxVIrsCmN pZSxteh0nPsRib1PH5xOLEMnTdBnLneDzLNsIZ3uiT9YPeKTxfarOToFm8O0wYN7m4WXXZztGhu2 xetSqeur6fEBRMIp/YXhF5/RoWamvT+SiWJQwEOSgtXdYgmC7Txf8bHnXHZfFCDrSv5fUP8AAAD/ /wMAUEsBAi0AFAAGAAgAAAAhALaDOJL+AAAA4QEAABMAAAAAAAAAAAAAAAAAAAAAAFtDb250ZW50 X1R5cGVzXS54bWxQSwECLQAUAAYACAAAACEAOP0h/9YAAACUAQAACwAAAAAAAAAAAAAAAAAvAQAA X3JlbHMvLnJlbHNQSwECLQAUAAYACAAAACEAVCy5HREDAADqBQAADgAAAAAAAAAAAAAAAAAuAgAA ZHJzL2Uyb0RvYy54bWxQSwECLQAUAAYACAAAACEArCXlaOAAAAAJAQAADwAAAAAAAAAAAAAAAABr BQAAZHJzL2Rvd25yZXYueG1sUEsFBgAAAAAEAAQA8wAAAHgGAAAAAA== " adj="-15635,-6193">
                <v:fill on="t" focussize="0,0"/>
                <v:stroke weight="1pt" color="#ED7D31" joinstyle="miter"/>
                <v:imagedata o:title=""/>
                <o:lock v:ext="edit" aspectratio="f"/>
                <v:shadow on="t" obscured="f" color="#000000" opacity="26214f" offset="3pt,0pt" origin="-32768f,0f" matrix="65536f,0f,0f,65536f"/>
                <v:textbox>
                  <w:txbxContent>
                    <w:p>
                      <w:pPr>
                        <w:pStyle w:val="20"/>
                        <w:spacing w:before="156" w:after="156"/>
                        <w:rPr>
                          <w:rFonts w:ascii="黑体" w:hAnsi="黑体" w:eastAsia="黑体"/>
                          <w:color w:val="FF0000"/>
                          <w:sz w:val="21"/>
                          <w:szCs w:val="21"/>
                        </w:rPr>
                      </w:pPr>
                      <w:r>
                        <w:rPr>
                          <w:rFonts w:ascii="黑体" w:hAnsi="黑体" w:eastAsia="黑体"/>
                          <w:color w:val="FF0000"/>
                          <w:sz w:val="21"/>
                          <w:szCs w:val="21"/>
                        </w:rPr>
                        <w:t>36</w:t>
                      </w:r>
                      <w:r>
                        <w:rPr>
                          <w:rFonts w:hint="eastAsia" w:ascii="黑体" w:hAnsi="黑体" w:eastAsia="黑体"/>
                          <w:color w:val="FF0000"/>
                          <w:sz w:val="21"/>
                          <w:szCs w:val="21"/>
                        </w:rPr>
                        <w:t>块55寸拼接屏两边双色LED</w:t>
                      </w:r>
                    </w:p>
                  </w:txbxContent>
                </v:textbox>
              </v:shape>
            </w:pict>
          </mc:Fallback>
        </mc:AlternateContent>
      </w:r>
      <w:r>
        <w:rPr>
          <w:color w:val="000000"/>
          <w:lang/>
        </w:rPr>
        <mc:AlternateContent>
          <mc:Choice Requires="wps">
            <w:drawing>
              <wp:anchor distT="0" distB="0" distL="114300" distR="114300" simplePos="0" relativeHeight="251663360" behindDoc="0" locked="0" layoutInCell="1" allowOverlap="1">
                <wp:simplePos x="0" y="0"/>
                <wp:positionH relativeFrom="column">
                  <wp:posOffset>-252730</wp:posOffset>
                </wp:positionH>
                <wp:positionV relativeFrom="paragraph">
                  <wp:posOffset>783590</wp:posOffset>
                </wp:positionV>
                <wp:extent cx="1458595" cy="452755"/>
                <wp:effectExtent l="6350" t="6350" r="649605" b="17145"/>
                <wp:wrapNone/>
                <wp:docPr id="1" name="对话气泡: 矩形 7"/>
                <wp:cNvGraphicFramePr/>
                <a:graphic xmlns:a="http://schemas.openxmlformats.org/drawingml/2006/main">
                  <a:graphicData uri="http://schemas.microsoft.com/office/word/2010/wordprocessingShape">
                    <wps:wsp>
                      <wps:cNvSpPr/>
                      <wps:spPr>
                        <a:xfrm>
                          <a:off x="0" y="0"/>
                          <a:ext cx="1458595" cy="452755"/>
                        </a:xfrm>
                        <a:prstGeom prst="wedgeRectCallout">
                          <a:avLst>
                            <a:gd name="adj1" fmla="val 87398"/>
                            <a:gd name="adj2" fmla="val -2454"/>
                          </a:avLst>
                        </a:prstGeom>
                        <a:solidFill>
                          <a:srgbClr val="FFFFFF"/>
                        </a:solidFill>
                        <a:ln w="12700" cap="flat" cmpd="sng">
                          <a:solidFill>
                            <a:srgbClr val="ED7D31"/>
                          </a:solidFill>
                          <a:prstDash val="solid"/>
                          <a:miter/>
                          <a:headEnd type="none" w="med" len="med"/>
                          <a:tailEnd type="none" w="med" len="med"/>
                        </a:ln>
                        <a:effectLst>
                          <a:outerShdw dist="38100" algn="l" rotWithShape="0">
                            <a:srgbClr val="000000">
                              <a:alpha val="39999"/>
                            </a:srgbClr>
                          </a:outerShdw>
                        </a:effectLst>
                      </wps:spPr>
                      <wps:txbx>
                        <w:txbxContent>
                          <w:p>
                            <w:pPr>
                              <w:pStyle w:val="54"/>
                              <w:jc w:val="both"/>
                              <w:rPr>
                                <w:rFonts w:ascii="黑体" w:hAnsi="黑体" w:eastAsia="黑体"/>
                                <w:color w:val="FF0000"/>
                                <w:sz w:val="24"/>
                                <w:szCs w:val="28"/>
                              </w:rPr>
                            </w:pPr>
                            <w:r>
                              <w:rPr>
                                <w:rFonts w:ascii="黑体" w:hAnsi="黑体" w:eastAsia="黑体"/>
                                <w:color w:val="FF0000"/>
                                <w:sz w:val="24"/>
                                <w:szCs w:val="28"/>
                              </w:rPr>
                              <w:t>9</w:t>
                            </w:r>
                            <w:r>
                              <w:rPr>
                                <w:rFonts w:hint="eastAsia" w:ascii="黑体" w:hAnsi="黑体" w:eastAsia="黑体"/>
                                <w:color w:val="FF0000"/>
                                <w:sz w:val="24"/>
                                <w:szCs w:val="28"/>
                              </w:rPr>
                              <w:t>块</w:t>
                            </w:r>
                            <w:r>
                              <w:rPr>
                                <w:rFonts w:ascii="黑体" w:hAnsi="黑体" w:eastAsia="黑体"/>
                                <w:color w:val="FF0000"/>
                                <w:sz w:val="24"/>
                                <w:szCs w:val="28"/>
                              </w:rPr>
                              <w:t>55</w:t>
                            </w:r>
                            <w:r>
                              <w:rPr>
                                <w:rFonts w:hint="eastAsia" w:ascii="黑体" w:hAnsi="黑体" w:eastAsia="黑体"/>
                                <w:color w:val="FF0000"/>
                                <w:sz w:val="24"/>
                                <w:szCs w:val="28"/>
                              </w:rPr>
                              <w:t>寸拼接屏</w:t>
                            </w:r>
                          </w:p>
                        </w:txbxContent>
                      </wps:txbx>
                      <wps:bodyPr wrap="square" anchor="ctr" anchorCtr="0" upright="1"/>
                    </wps:wsp>
                  </a:graphicData>
                </a:graphic>
              </wp:anchor>
            </w:drawing>
          </mc:Choice>
          <mc:Fallback>
            <w:pict>
              <v:shape id="对话气泡: 矩形 7" o:spid="_x0000_s1026" o:spt="61" type="#_x0000_t61" style="position:absolute;left:0pt;margin-left:-19.9pt;margin-top:61.7pt;height:35.65pt;width:114.85pt;z-index:251663360;v-text-anchor:middle;mso-width-relative:page;mso-height-relative:page;" fillcolor="#FFFFFF" filled="t" stroked="t" insetpen="f"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azwcAwMAANkFAAAOAAAAZHJzL2Uyb0RvYy54bWysVM1uEzEQviPxDpbvdLPbbPOjbqooIQip olUD6tnxerMG/yy2k014Dq4IwY1TkThx4HFaeAzG3m2aQk+IHDYznvE33/x4jk82UqA1M5ZrleH4 oIMRU1TnXC0z/Orl7EkfI+uIyonQimV4yyw+GT1+dFxXQ5boUoucGQQgyg7rKsOlc9UwiiwtmST2 QFdMgbHQRhIHqllGuSE1oEsRJZ3OUVRrk1dGU2YtnE4bIx4F/KJg1J0VhWUOiQwDNxe+JnwX/huN jslwaUhVctrSIP/AQhKuIOgOakocQSvD/4KSnBptdeEOqJaRLgpOWcgBsok7f2QzL0nFQi5QHFvt ymT/Hyx9sT43iOcZ7mGkiIQWXV99/3X14ebr+5tvn4bo58cv1z8+o56vVF3ZIVyYV+em1SyIPu1N YaT/h4TQJlR3u6su2zhE4TDupv10kGJEwdZNk16aetDo7nZlrHvGtEReyHDN8iW7gBZOiBB65UKB yfrUulDpvOVL8tcxRoUU0Lg1ESiOk0EvQEM79pySfaekPwjNh+gtIki38T281YLnMy5EULZ2IgwC dGDFVa5rjASxDg4zPAu/NpV714RCNeSd9DowepTAeBeCOBBlBQW3aokREUt4N9SZkNy929YsF7uo T6e96WH8UBBPekps2bALCN6NDCV38LQElxnud/yvvS2Ut7LwONpaQnGZmZd5jRZiZS4IsEs7cAmj nPtOHPZjrzRkBUZGu0vuyjCfvs8e0PPY0V0IQt80/RJVSRpu3T0SrXdo/y560PaIRX7gmhHzktss NmFUj3wm/mSh8y2ML9AJM2crOuNA4xRac04MzAOQhuXkzuBTCA3N0K2EUanNu4fOvT+8L7BiVMNi gEa9XRHDoOPPFby8QdztAqwLSjftJaCYfcti36JWcqJhamBCgV0Qvb8Tt2JhtLyEHTb2UcFEFIXY zUi0ysQ1Cwu2IGXjcXCD7VERd6rmFfXgvgFKj1dOF9z5R3VXnVaB/RHK2+46v6D29eB1t5FHvwEA AP//AwBQSwMEFAAGAAgAAAAhAFuRnqDgAAAACwEAAA8AAABkcnMvZG93bnJldi54bWxMj8FOwzAQ RO9I/IO1SNxaO1SUJMSpChJCgkNL4QPc2MSBeJ3Grhv+nu0JbrOap9mZajW5niUzhs6jhGwugBls vO6wlfDx/jTLgYWoUKveo5HwYwKs6suLSpXan/DNpF1sGYVgKJUEG+NQch4aa5wKcz8YJO/Tj05F OseW61GdKNz1/EaIJXeqQ/pg1WAerWm+d0cnYbN52ObpNq6DPRzE3cvX4jWlZymvr6b1PbBopvgH w7k+VYeaOu39EXVgvYRZkS8JJSMrSJyJRZYB25MoRAG8rvj/DfUvAAAA//8DAFBLAQItABQABgAI AAAAIQC2gziS/gAAAOEBAAATAAAAAAAAAAAAAAAAAAAAAABbQ29udGVudF9UeXBlc10ueG1sUEsB Ai0AFAAGAAgAAAAhADj9If/WAAAAlAEAAAsAAAAAAAAAAAAAAAAALwEAAF9yZWxzLy5yZWxzUEsB Ai0AFAAGAAgAAAAhAB1rPBwDAwAA2QUAAA4AAAAAAAAAAAAAAAAALgIAAGRycy9lMm9Eb2MueG1s UEsBAi0AFAAGAAgAAAAhAFuRnqDgAAAACwEAAA8AAAAAAAAAAAAAAAAAXQUAAGRycy9kb3ducmV2 LnhtbFBLBQYAAAAABAAEAPMAAABqBgAAAAA= " adj="29678,10270">
                <v:fill on="t" focussize="0,0"/>
                <v:stroke weight="1pt" color="#ED7D31" joinstyle="miter"/>
                <v:imagedata o:title=""/>
                <o:lock v:ext="edit" aspectratio="f"/>
                <v:shadow on="t" obscured="f" color="#000000" opacity="26214f" offset="3pt,0pt" origin="-32768f,0f" matrix="65536f,0f,0f,65536f"/>
                <v:textbox>
                  <w:txbxContent>
                    <w:p>
                      <w:pPr>
                        <w:pStyle w:val="54"/>
                        <w:jc w:val="both"/>
                        <w:rPr>
                          <w:rFonts w:ascii="黑体" w:hAnsi="黑体" w:eastAsia="黑体"/>
                          <w:color w:val="FF0000"/>
                          <w:sz w:val="24"/>
                          <w:szCs w:val="28"/>
                        </w:rPr>
                      </w:pPr>
                      <w:r>
                        <w:rPr>
                          <w:rFonts w:ascii="黑体" w:hAnsi="黑体" w:eastAsia="黑体"/>
                          <w:color w:val="FF0000"/>
                          <w:sz w:val="24"/>
                          <w:szCs w:val="28"/>
                        </w:rPr>
                        <w:t>9</w:t>
                      </w:r>
                      <w:r>
                        <w:rPr>
                          <w:rFonts w:hint="eastAsia" w:ascii="黑体" w:hAnsi="黑体" w:eastAsia="黑体"/>
                          <w:color w:val="FF0000"/>
                          <w:sz w:val="24"/>
                          <w:szCs w:val="28"/>
                        </w:rPr>
                        <w:t>块</w:t>
                      </w:r>
                      <w:r>
                        <w:rPr>
                          <w:rFonts w:ascii="黑体" w:hAnsi="黑体" w:eastAsia="黑体"/>
                          <w:color w:val="FF0000"/>
                          <w:sz w:val="24"/>
                          <w:szCs w:val="28"/>
                        </w:rPr>
                        <w:t>55</w:t>
                      </w:r>
                      <w:r>
                        <w:rPr>
                          <w:rFonts w:hint="eastAsia" w:ascii="黑体" w:hAnsi="黑体" w:eastAsia="黑体"/>
                          <w:color w:val="FF0000"/>
                          <w:sz w:val="24"/>
                          <w:szCs w:val="28"/>
                        </w:rPr>
                        <w:t>寸拼接屏</w:t>
                      </w:r>
                    </w:p>
                  </w:txbxContent>
                </v:textbox>
              </v:shape>
            </w:pict>
          </mc:Fallback>
        </mc:AlternateContent>
      </w:r>
      <w:r>
        <w:rPr>
          <w:color w:val="000000"/>
          <w:lang/>
        </w:rPr>
        <mc:AlternateContent>
          <mc:Choice Requires="wps">
            <w:drawing>
              <wp:anchor distT="0" distB="0" distL="114300" distR="114300" simplePos="0" relativeHeight="251665408" behindDoc="0" locked="0" layoutInCell="1" allowOverlap="1">
                <wp:simplePos x="0" y="0"/>
                <wp:positionH relativeFrom="column">
                  <wp:posOffset>2150745</wp:posOffset>
                </wp:positionH>
                <wp:positionV relativeFrom="paragraph">
                  <wp:posOffset>1236345</wp:posOffset>
                </wp:positionV>
                <wp:extent cx="1977390" cy="488950"/>
                <wp:effectExtent l="0" t="0" r="0" b="0"/>
                <wp:wrapNone/>
                <wp:docPr id="8" name="文本框 13"/>
                <wp:cNvGraphicFramePr/>
                <a:graphic xmlns:a="http://schemas.openxmlformats.org/drawingml/2006/main">
                  <a:graphicData uri="http://schemas.microsoft.com/office/word/2010/wordprocessingShape">
                    <wps:wsp>
                      <wps:cNvSpPr txBox="1"/>
                      <wps:spPr>
                        <a:xfrm>
                          <a:off x="0" y="0"/>
                          <a:ext cx="1977656" cy="489098"/>
                        </a:xfrm>
                        <a:prstGeom prst="rect">
                          <a:avLst/>
                        </a:prstGeom>
                        <a:noFill/>
                        <a:ln>
                          <a:noFill/>
                        </a:ln>
                        <a:effectLst/>
                      </wps:spPr>
                      <wps:txbx>
                        <w:txbxContent>
                          <w:p>
                            <w:pPr>
                              <w:pStyle w:val="54"/>
                              <w:rPr>
                                <w:rFonts w:ascii="黑体" w:hAnsi="黑体" w:eastAsia="黑体"/>
                                <w:color w:val="FF0000"/>
                                <w:sz w:val="32"/>
                                <w:szCs w:val="36"/>
                              </w:rPr>
                            </w:pPr>
                            <w:r>
                              <w:rPr>
                                <w:rFonts w:hint="eastAsia" w:ascii="黑体" w:hAnsi="黑体" w:eastAsia="黑体"/>
                                <w:color w:val="FF0000"/>
                                <w:sz w:val="32"/>
                                <w:szCs w:val="36"/>
                              </w:rPr>
                              <w:t>决策会商区</w:t>
                            </w:r>
                          </w:p>
                          <w:p>
                            <w:pPr>
                              <w:spacing w:before="156" w:after="156"/>
                              <w:rPr>
                                <w:rFonts w:ascii="等线" w:hAnsi="等线" w:eastAsia="等线"/>
                                <w:b/>
                                <w:bCs/>
                                <w:color w:val="FF0000"/>
                                <w:kern w:val="24"/>
                                <w:sz w:val="40"/>
                                <w:szCs w:val="40"/>
                              </w:rPr>
                            </w:pPr>
                          </w:p>
                        </w:txbxContent>
                      </wps:txbx>
                      <wps:bodyPr wrap="square" rtlCol="0">
                        <a:noAutofit/>
                      </wps:bodyPr>
                    </wps:wsp>
                  </a:graphicData>
                </a:graphic>
              </wp:anchor>
            </w:drawing>
          </mc:Choice>
          <mc:Fallback>
            <w:pict>
              <v:shape id="文本框 13" o:spid="_x0000_s1026" o:spt="202" type="#_x0000_t202" style="position:absolute;left:0pt;margin-left:169.35pt;margin-top:97.35pt;height:38.5pt;width:155.7pt;z-index:251665408;mso-width-relative:page;mso-height-relative:page;" filled="f" stroked="f" coordsize="21600,21600" o:gfxdata="UEsDBAoAAAAAAIdO4kAAAAAAAAAAAAAAAAAEAAAAZHJzL1BLAwQUAAAACACHTuJAg0i3d9gAAAAL AQAADwAAAGRycy9kb3ducmV2LnhtbE2PTU/DMAyG70j7D5GRuLGk++pWmu4wxBXENpC4ZY3XVjRO 1WRr+feYE7vZeh+9fpxvR9eKK/ah8aQhmSoQSKW3DVUajoeXxzWIEA1Z03pCDT8YYFtM7nKTWT/Q O173sRJcQiEzGuoYu0zKUNboTJj6Domzs++dibz2lbS9GbjctXKm1Eo60xBfqE2HuxrL7/3Fafh4 PX99LtRb9eyW3eBHJcltpNYP94l6AhFxjP8w/OmzOhTsdPIXskG0GubzdcooB5sFD0yslioBcdIw S5MUZJHL2x+KX1BLAwQUAAAACACHTuJAwwlp68cBAACEAwAADgAAAGRycy9lMm9Eb2MueG1srVNN ctMwFN4z0ztotCd2CqSJJ06HkikbBphpOYAiS7FmJD0hKbFzAbgBKzbsOVfO0SfZTWm76YKNrPf3 6X3fe15e9kaTvfBBga3pdFJSIiyHRtltTb/dXr+eUxIisw3TYEVNDyLQy9XZq2XnKnEOLehGeIIg NlSdq2kbo6uKIvBWGBYm4ITFoARvWETTb4vGsw7RjS7Oy3JWdOAb54GLENC7HoJ0RPQvAQQpFRdr 4DsjbBxQvdAsIqXQKhfoKncrpeDxi5RBRKJrikxjPvERvG/SWayWrNp65lrFxxbYS1p4wskwZfHR E9SaRUZ2Xj2DMop7CCDjhIMpBiJZEWQxLZ9oc9MyJzIXlDq4k+jh/8Hyz/uvnqimpjh2ywwO/Pjr 5/H33+OfH2T6JunTuVBh2o3DxNhfQY9bc+8P6Ey0e+lN+iIhgnFU93BSV/SR8FS0uLiYvZtRwjH2 dr4oF/MEUzxUOx/iRwGGpEtNPU4vi8r2n0IcUu9T0mMWrpXWeYLaPnIg5uAReQXG6kRkaDjdYr/p R3YbaA5IrsM1qGn4vmNeUOKj/gB5awbo97sIUuU2UvlQg+0nA4eTiYyLlKb/r52zHn6e1R1QSwME CgAAAAAAh07iQAAAAAAAAAAAAAAAAAYAAABfcmVscy9QSwMEFAAAAAgAh07iQIoUZjzRAAAAlAEA AAsAAABfcmVscy8ucmVsc6WQwWrDMAyG74O9g9F9cZrDGKNOL6PQa+kewNiKYxpbRjLZ+vbzDoNl 9LajfqHvE//+8JkWtSJLpGxg1/WgMDvyMQcD75fj0wsoqTZ7u1BGAzcUOIyPD/szLra2I5ljEdUo WQzMtZZXrcXNmKx0VDC3zUScbG0jB12su9qAeuj7Z82/GTBumOrkDfDJD6Aut9LMf9gpOiahqXaO kqZpiu4eVQe2ZY7uyDbhG7lGsxywGvAsGgdqWdd+BH1fv/un3tNHPuO61X6HjOuPV2+6HL8AUEsD BBQAAAAIAIdO4kB+5uUg9wAAAOEBAAATAAAAW0NvbnRlbnRfVHlwZXNdLnhtbJWRQU7DMBBF90jc wfIWJU67QAgl6YK0S0CoHGBkTxKLZGx5TGhvj5O2G0SRWNoz/78nu9wcxkFMGNg6quQqL6RA0s5Y 6ir5vt9lD1JwBDIwOMJKHpHlpr69KfdHjyxSmriSfYz+USnWPY7AufNIadK6MEJMx9ApD/oDOlTr orhX2lFEilmcO2RdNtjC5xDF9pCuTyYBB5bi6bQ4syoJ3g9WQ0ymaiLzg5KdCXlKLjvcW893SUOq Xwnz5DrgnHtJTxOsQfEKIT7DmDSUCayM+6KAU/53yWw5cuba1mrMm8BNir3hdLG61o5r1zj93/Lt krp0q+WD6m9QSwECFAAUAAAACACHTuJAfublIPcAAADhAQAAEwAAAAAAAAABACAAAAA4BAAAW0Nv bnRlbnRfVHlwZXNdLnhtbFBLAQIUAAoAAAAAAIdO4kAAAAAAAAAAAAAAAAAGAAAAAAAAAAAAEAAA ABoDAABfcmVscy9QSwECFAAUAAAACACHTuJAihRmPNEAAACUAQAACwAAAAAAAAABACAAAAA+AwAA X3JlbHMvLnJlbHNQSwECFAAKAAAAAACHTuJAAAAAAAAAAAAAAAAABAAAAAAAAAAAABAAAAAAAAAA ZHJzL1BLAQIUABQAAAAIAIdO4kCDSLd32AAAAAsBAAAPAAAAAAAAAAEAIAAAACIAAABkcnMvZG93 bnJldi54bWxQSwECFAAUAAAACACHTuJAwwlp68cBAACEAwAADgAAAAAAAAABACAAAAAnAQAAZHJz L2Uyb0RvYy54bWxQSwUGAAAAAAYABgBZAQAAYAUAAAAA ">
                <v:fill on="f" focussize="0,0"/>
                <v:stroke on="f"/>
                <v:imagedata o:title=""/>
                <o:lock v:ext="edit" aspectratio="f"/>
                <v:textbox>
                  <w:txbxContent>
                    <w:p>
                      <w:pPr>
                        <w:pStyle w:val="54"/>
                        <w:rPr>
                          <w:rFonts w:ascii="黑体" w:hAnsi="黑体" w:eastAsia="黑体"/>
                          <w:color w:val="FF0000"/>
                          <w:sz w:val="32"/>
                          <w:szCs w:val="36"/>
                        </w:rPr>
                      </w:pPr>
                      <w:r>
                        <w:rPr>
                          <w:rFonts w:hint="eastAsia" w:ascii="黑体" w:hAnsi="黑体" w:eastAsia="黑体"/>
                          <w:color w:val="FF0000"/>
                          <w:sz w:val="32"/>
                          <w:szCs w:val="36"/>
                        </w:rPr>
                        <w:t>决策会商区</w:t>
                      </w:r>
                    </w:p>
                    <w:p>
                      <w:pPr>
                        <w:spacing w:before="156" w:after="156"/>
                        <w:rPr>
                          <w:rFonts w:ascii="等线" w:hAnsi="等线" w:eastAsia="等线"/>
                          <w:b/>
                          <w:bCs/>
                          <w:color w:val="FF0000"/>
                          <w:kern w:val="24"/>
                          <w:sz w:val="40"/>
                          <w:szCs w:val="40"/>
                        </w:rPr>
                      </w:pPr>
                    </w:p>
                  </w:txbxContent>
                </v:textbox>
              </v:shape>
            </w:pict>
          </mc:Fallback>
        </mc:AlternateContent>
      </w:r>
      <w:r>
        <w:rPr>
          <w:color w:val="000000"/>
          <w:lang/>
        </w:rPr>
        <mc:AlternateContent>
          <mc:Choice Requires="wps">
            <w:drawing>
              <wp:anchor distT="0" distB="0" distL="114300" distR="114300" simplePos="0" relativeHeight="251664384" behindDoc="0" locked="0" layoutInCell="1" allowOverlap="1">
                <wp:simplePos x="0" y="0"/>
                <wp:positionH relativeFrom="column">
                  <wp:posOffset>2292350</wp:posOffset>
                </wp:positionH>
                <wp:positionV relativeFrom="paragraph">
                  <wp:posOffset>2700655</wp:posOffset>
                </wp:positionV>
                <wp:extent cx="1781175" cy="633730"/>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1781175" cy="400110"/>
                        </a:xfrm>
                        <a:prstGeom prst="rect">
                          <a:avLst/>
                        </a:prstGeom>
                        <a:noFill/>
                        <a:ln>
                          <a:noFill/>
                        </a:ln>
                        <a:effectLst/>
                      </wps:spPr>
                      <wps:txbx>
                        <w:txbxContent>
                          <w:p>
                            <w:pPr>
                              <w:spacing w:before="156" w:after="156"/>
                              <w:rPr>
                                <w:rFonts w:ascii="等线" w:hAnsi="等线" w:eastAsia="等线"/>
                                <w:b/>
                                <w:bCs/>
                                <w:color w:val="FF0000"/>
                                <w:kern w:val="24"/>
                                <w:sz w:val="40"/>
                                <w:szCs w:val="40"/>
                              </w:rPr>
                            </w:pPr>
                            <w:r>
                              <w:rPr>
                                <w:rFonts w:hint="eastAsia" w:ascii="等线" w:hAnsi="等线" w:eastAsia="等线"/>
                                <w:b/>
                                <w:bCs/>
                                <w:color w:val="FF0000"/>
                                <w:kern w:val="24"/>
                                <w:sz w:val="40"/>
                                <w:szCs w:val="40"/>
                              </w:rPr>
                              <w:t>指挥中心区域</w:t>
                            </w:r>
                          </w:p>
                        </w:txbxContent>
                      </wps:txbx>
                      <wps:bodyPr wrap="square" rtlCol="0">
                        <a:spAutoFit/>
                      </wps:bodyPr>
                    </wps:wsp>
                  </a:graphicData>
                </a:graphic>
              </wp:anchor>
            </w:drawing>
          </mc:Choice>
          <mc:Fallback>
            <w:pict>
              <v:shape id="文本框 13" o:spid="_x0000_s1026" o:spt="202" type="#_x0000_t202" style="position:absolute;left:0pt;margin-left:180.5pt;margin-top:212.65pt;height:49.9pt;width:140.25pt;z-index:251664384;mso-width-relative:page;mso-height-relative:page;" filled="f" stroked="f" coordsize="21600,21600" o:gfxdata="UEsDBAoAAAAAAIdO4kAAAAAAAAAAAAAAAAAEAAAAZHJzL1BLAwQUAAAACACHTuJAdeUSrdkAAAAL AQAADwAAAGRycy9kb3ducmV2LnhtbE2PzU7DMBCE70i8g7WVuFHbaROhEKdC/EgcuNCGuxsvcdR4 HcVuk7495gTH0Yxmvql2ixvYBafQe1Ig1wIYUutNT52C5vB2/wAsRE1GD55QwRUD7Orbm0qXxs/0 iZd97FgqoVBqBTbGseQ8tBadDms/IiXv209OxySnjptJz6ncDTwTouBO95QWrB7x2WJ72p+dghjN k7w2ry68fy0fL7MVba4bpe5WUjwCi7jEvzD84id0qBPT0Z/JBDYo2BQyfYkKtlm+AZYSxVbmwI4K 8iyXwOuK//9Q/wBQSwMEFAAAAAgAh07iQLRWlZDIAQAAhQMAAA4AAABkcnMvZTJvRG9jLnhtbK1T zW7UMBC+I/EOlu9sklJoFW22AlblggCp8ABeZ7Kx5D883k32BeANOHHhznPtczB20i1tLz1wcez5 +Wa+bybLq9FotoeAytmGV4uSM7DStcpuG/71y/WLS84wCtsK7Sw0/ADIr1bPny0HX8OZ651uITAC sVgPvuF9jL4uCpQ9GIEL58GSs3PBiEjPsC3aIAZCN7o4K8vXxeBC64OTgEjW9eTkM2J4CqDrOiVh 7eTOgI0TagAtIlHCXnnkq9xt14GMn7oOITLdcGIa80lF6L5JZ7FainobhO+VnFsQT2nhAScjlKWi J6i1iILtgnoEZZQMDl0XF9KZYiKSFSEWVflAm5teeMhcSGr0J9Hx/8HKj/vPgamWNuGcMysMTfz4 88fx15/j7++sepkEGjzWFHfjKTKOb91Iwbd2JGPiPXbBpC8xYuQneQ8neWGMTKaki8uqunjFmSTf eVlWVda/uMv2AeN7cIalS8MDjS+rKvYfMFInFHobkopZd620ziPU9p6BAicL5B2YsxORqeF0i+Nm nNltXHsgcgPtQcPx204E4CxE/c7ltUnQ6N/sItXLbaT0KYd6Sg+aTu5u3qQ0/n/fOeru71n9BVBL AwQKAAAAAACHTuJAAAAAAAAAAAAAAAAABgAAAF9yZWxzL1BLAwQUAAAACACHTuJAihRmPNEAAACU AQAACwAAAF9yZWxzLy5yZWxzpZDBasMwDIbvg72D0X1xmsMYo04vo9Br6R7A2IpjGltGMtn69vMO g2X0tqN+oe8T//7wmRa1IkukbGDX9aAwO/IxBwPvl+PTCyipNnu7UEYDNxQ4jI8P+zMutrYjmWMR 1ShZDMy1lletxc2YrHRUMLfNRJxsbSMHXay72oB66Ptnzb8ZMG6Y6uQN8MkPoC630sx/2Ck6JqGp do6SpmmK7h5VB7Zlju7INuEbuUazHLAa8CwaB2pZ134EfV+/+6fe00c+47rVfoeM649Xb7ocvwBQ SwMEFAAAAAgAh07iQH7m5SD3AAAA4QEAABMAAABbQ29udGVudF9UeXBlc10ueG1slZFBTsMwEEX3 SNzB8hYlTrtACCXpgrRLQKgcYGRPEotkbHlMaG+Pk7YbRJFY2jP/vye73BzGQUwY2Dqq5CovpEDS zljqKvm+32UPUnAEMjA4wkoekeWmvr0p90ePLFKauJJ9jP5RKdY9jsC580hp0rowQkzH0CkP+gM6 VOuiuFfaUUSKWZw7ZF022MLnEMX2kK5PJgEHluLptDizKgneD1ZDTKZqIvODkp0JeUouO9xbz3dJ Q6pfCfPkOuCce0lPE6xB8QohPsOYNJQJrIz7ooBT/nfJbDly5trWasybwE2KveF0sbrWjmvXOP3f 8u2SunSr5YPqb1BLAQIUABQAAAAIAIdO4kB+5uUg9wAAAOEBAAATAAAAAAAAAAEAIAAAADoEAABb Q29udGVudF9UeXBlc10ueG1sUEsBAhQACgAAAAAAh07iQAAAAAAAAAAAAAAAAAYAAAAAAAAAAAAQ AAAAHAMAAF9yZWxzL1BLAQIUABQAAAAIAIdO4kCKFGY80QAAAJQBAAALAAAAAAAAAAEAIAAAAEAD AABfcmVscy8ucmVsc1BLAQIUAAoAAAAAAIdO4kAAAAAAAAAAAAAAAAAEAAAAAAAAAAAAEAAAAAAA AABkcnMvUEsBAhQAFAAAAAgAh07iQHXlEq3ZAAAACwEAAA8AAAAAAAAAAQAgAAAAIgAAAGRycy9k b3ducmV2LnhtbFBLAQIUABQAAAAIAIdO4kC0VpWQyAEAAIUDAAAOAAAAAAAAAAEAIAAAACgBAABk cnMvZTJvRG9jLnhtbFBLBQYAAAAABgAGAFkBAABiBQAAAAA= ">
                <v:fill on="f" focussize="0,0"/>
                <v:stroke on="f"/>
                <v:imagedata o:title=""/>
                <o:lock v:ext="edit" aspectratio="f"/>
                <v:textbox style="mso-fit-shape-to-text:t;">
                  <w:txbxContent>
                    <w:p>
                      <w:pPr>
                        <w:spacing w:before="156" w:after="156"/>
                        <w:rPr>
                          <w:rFonts w:ascii="等线" w:hAnsi="等线" w:eastAsia="等线"/>
                          <w:b/>
                          <w:bCs/>
                          <w:color w:val="FF0000"/>
                          <w:kern w:val="24"/>
                          <w:sz w:val="40"/>
                          <w:szCs w:val="40"/>
                        </w:rPr>
                      </w:pPr>
                      <w:r>
                        <w:rPr>
                          <w:rFonts w:hint="eastAsia" w:ascii="等线" w:hAnsi="等线" w:eastAsia="等线"/>
                          <w:b/>
                          <w:bCs/>
                          <w:color w:val="FF0000"/>
                          <w:kern w:val="24"/>
                          <w:sz w:val="40"/>
                          <w:szCs w:val="40"/>
                        </w:rPr>
                        <w:t>指挥中心区域</w:t>
                      </w:r>
                    </w:p>
                  </w:txbxContent>
                </v:textbox>
              </v:shape>
            </w:pict>
          </mc:Fallback>
        </mc:AlternateContent>
      </w:r>
      <w:r>
        <w:rPr>
          <w:color w:val="000000"/>
          <w:lang/>
        </w:rPr>
        <mc:AlternateContent>
          <mc:Choice Requires="wps">
            <w:drawing>
              <wp:anchor distT="0" distB="0" distL="114300" distR="114300" simplePos="0" relativeHeight="251662336" behindDoc="0" locked="0" layoutInCell="1" allowOverlap="1">
                <wp:simplePos x="0" y="0"/>
                <wp:positionH relativeFrom="column">
                  <wp:posOffset>850265</wp:posOffset>
                </wp:positionH>
                <wp:positionV relativeFrom="paragraph">
                  <wp:posOffset>5334635</wp:posOffset>
                </wp:positionV>
                <wp:extent cx="773430" cy="2156460"/>
                <wp:effectExtent l="6350" t="6350" r="20320" b="8890"/>
                <wp:wrapNone/>
                <wp:docPr id="6" name="矩形 6"/>
                <wp:cNvGraphicFramePr/>
                <a:graphic xmlns:a="http://schemas.openxmlformats.org/drawingml/2006/main">
                  <a:graphicData uri="http://schemas.microsoft.com/office/word/2010/wordprocessingShape">
                    <wps:wsp>
                      <wps:cNvSpPr/>
                      <wps:spPr>
                        <a:xfrm>
                          <a:off x="0" y="0"/>
                          <a:ext cx="773143" cy="2156604"/>
                        </a:xfrm>
                        <a:prstGeom prst="rect">
                          <a:avLst/>
                        </a:prstGeom>
                        <a:solidFill>
                          <a:srgbClr val="5B9BD5">
                            <a:alpha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95pt;margin-top:420.05pt;height:169.8pt;width:60.9pt;z-index:251662336;v-text-anchor:middle;mso-width-relative:page;mso-height-relative:page;" fillcolor="#5B9BD5" filled="t" stroked="t" coordsize="21600,21600" o:gfxdata="UEsDBAoAAAAAAIdO4kAAAAAAAAAAAAAAAAAEAAAAZHJzL1BLAwQUAAAACACHTuJAccQLU9sAAAAM AQAADwAAAGRycy9kb3ducmV2LnhtbE2Py07DMBBF90j8gzVIbFBrpw/yIE4lkFqxK7RIbN14SAJ+ RLHbhn49wwqWV/fozplyNVrDTjiEzjsJyVQAQ1d73blGwtt+PcmAhaicVsY7lPCNAVbV9VWpCu3P 7hVPu9gwGnGhUBLaGPuC81C3aFWY+h4ddR9+sCpSHBquB3WmcWv4TIh7blXn6EKrenxqsf7aHa2E u8XL9v0zi6N4Vpd1+mg2eX3ZSHl7k4gHYBHH+AfDrz6pQ0VOB390OjBDeT7PCZWQLUQCjIjZcpkC O1CVpHkKvCr5/yeqH1BLAwQUAAAACACHTuJAsSRa44sCAABEBQAADgAAAGRycy9lMm9Eb2MueG1s rVRLbhsxDN0X6B0E7ZuxHX8SI+PAiZGiQNAESIuuaY3GI0C/UrLH6WUKdNdD9DhFr1FKM/l3kUW9 GJMi9Sg+fk5O90azncSgnC358GDAmbTCVcpuSv7508W7I85CBFuBdlaW/FYGfrp4++ak9XM5co3T lURGIDbMW1/yJkY/L4ogGmkgHDgvLRlrhwYiqbgpKoSW0I0uRoPBtGgdVh6dkCHQ6aoz8h4RXwPo 6loJuXJia6SNHSpKDZFSCo3ygS/ya+tainhV10FGpktOmcb8pSAkr9O3WJzAfIPgGyX6J8BrnvAs JwPKUtB7qBVEYFtUL6CMEuiCq+OBcKboEsmMUBbDwTNubhrwMudCVAd/T3r4f7Di4+4amapKPuXM gqGC//n+8/evH2yauGl9mJPLjb/GXgskpkT3NZr0Tymwfebz9p5PuY9M0OFsdjgcH3ImyDQaTqbT wTiBFg+3PYb4XjrDklBypHplGmF3GWLneueSggWnVXWhtM4KbtbnGtkOqLaTs+Oz1aS7q30D3el4 QL8+ZOjcc/gnONqylgZhNCNXJoBauqZWItF4oiXYDWegNzQrImIO8OR2D/viFaGBSvanr3lFSnMF oemu5BDp4TA3KtK8aWVKfpSA7vLRNlll7vGerFStrj5JWrvqlmqLrmv64MWFoiCXEOI1IHU5pUt7 IF7Rp9aOOHC9xFnj8Nu/zpM/NR9ZOWtpaoifr1tAyZn+YKktj4fjcRqzrIwnsxEp+NiyfmyxW3Pu qHhD2jheZDH5R30n1ujMF1oXyxSVTGAFxe4q0SvnsZtmWjhCLpfZjUbLQ7y0N14k8MSTdcttdLXK TfXADnVDUmi4cl/0iyBN72M9ez0sv8VfUEsDBAoAAAAAAIdO4kAAAAAAAAAAAAAAAAAGAAAAX3Jl bHMvUEsDBBQAAAAIAIdO4kCKFGY80QAAAJQBAAALAAAAX3JlbHMvLnJlbHOlkMFqwzAMhu+DvYPR fXGawxijTi+j0GvpHsDYimMaW0Yy2fr28w6DZfS2o36h7xP//vCZFrUiS6RsYNf1oDA78jEHA++X 49MLKKk2e7tQRgM3FDiMjw/7My62tiOZYxHVKFkMzLWWV63FzZisdFQwt81EnGxtIwddrLvagHro +2fNvxkwbpjq5A3wyQ+gLrfSzH/YKTomoal2jpKmaYruHlUHtmWO7sg24Ru5RrMcsBrwLBoHalnX fgR9X7/7p97TRz7jutV+h4zrj1dvuhy/AFBLAwQUAAAACACHTuJAfublIPcAAADhAQAAEwAAAFtD b250ZW50X1R5cGVzXS54bWyVkUFOwzAQRfdI3MHyFiVOu0AIJemCtEtAqBxgZE8Si2RseUxob4+T thtEkVjaM/+/J7vcHMZBTBjYOqrkKi+kQNLOWOoq+b7fZQ9ScAQyMDjCSh6R5aa+vSn3R48sUpq4 kn2M/lEp1j2OwLnzSGnSujBCTMfQKQ/6AzpU66K4V9pRRIpZnDtkXTbYwucQxfaQrk8mAQeW4um0 OLMqCd4PVkNMpmoi84OSnQl5Si473FvPd0lDql8J8+Q64Jx7SU8TrEHxCiE+w5g0lAmsjPuigFP+ d8lsOXLm2tZqzJvATYq94XSxutaOa9c4/d/y7ZK6dKvlg+pvUEsBAhQAFAAAAAgAh07iQH7m5SD3 AAAA4QEAABMAAAAAAAAAAQAgAAAA/wQAAFtDb250ZW50X1R5cGVzXS54bWxQSwECFAAKAAAAAACH TuJAAAAAAAAAAAAAAAAABgAAAAAAAAAAABAAAADhAwAAX3JlbHMvUEsBAhQAFAAAAAgAh07iQIoU ZjzRAAAAlAEAAAsAAAAAAAAAAQAgAAAABQQAAF9yZWxzLy5yZWxzUEsBAhQACgAAAAAAh07iQAAA AAAAAAAAAAAAAAQAAAAAAAAAAAAQAAAAAAAAAGRycy9QSwECFAAUAAAACACHTuJAccQLU9sAAAAM AQAADwAAAAAAAAABACAAAAAiAAAAZHJzL2Rvd25yZXYueG1sUEsBAhQAFAAAAAgAh07iQLEkWuOL AgAARAUAAA4AAAAAAAAAAQAgAAAAKgEAAGRycy9lMm9Eb2MueG1sUEsFBgAAAAAGAAYAWQEAACcG AAAAAA== ">
                <v:fill on="t" opacity="26214f" focussize="0,0"/>
                <v:stroke weight="1pt" color="#41719C" miterlimit="8" joinstyle="miter"/>
                <v:imagedata o:title=""/>
                <o:lock v:ext="edit" aspectratio="f"/>
              </v:rect>
            </w:pict>
          </mc:Fallback>
        </mc:AlternateContent>
      </w:r>
      <w:r>
        <w:rPr>
          <w:color w:val="000000"/>
          <w:lang/>
        </w:rPr>
        <mc:AlternateContent>
          <mc:Choice Requires="wps">
            <w:drawing>
              <wp:anchor distT="0" distB="0" distL="114300" distR="114300" simplePos="0" relativeHeight="251661312" behindDoc="0" locked="0" layoutInCell="1" allowOverlap="1">
                <wp:simplePos x="0" y="0"/>
                <wp:positionH relativeFrom="column">
                  <wp:posOffset>867410</wp:posOffset>
                </wp:positionH>
                <wp:positionV relativeFrom="paragraph">
                  <wp:posOffset>4540885</wp:posOffset>
                </wp:positionV>
                <wp:extent cx="764540" cy="776605"/>
                <wp:effectExtent l="6350" t="6350" r="10160" b="17145"/>
                <wp:wrapNone/>
                <wp:docPr id="5" name="矩形 5"/>
                <wp:cNvGraphicFramePr/>
                <a:graphic xmlns:a="http://schemas.openxmlformats.org/drawingml/2006/main">
                  <a:graphicData uri="http://schemas.microsoft.com/office/word/2010/wordprocessingShape">
                    <wps:wsp>
                      <wps:cNvSpPr/>
                      <wps:spPr>
                        <a:xfrm>
                          <a:off x="0" y="0"/>
                          <a:ext cx="764516" cy="776377"/>
                        </a:xfrm>
                        <a:prstGeom prst="rect">
                          <a:avLst/>
                        </a:prstGeom>
                        <a:solidFill>
                          <a:srgbClr val="5B9BD5">
                            <a:alpha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3pt;margin-top:357.55pt;height:61.15pt;width:60.2pt;z-index:251661312;v-text-anchor:middle;mso-width-relative:page;mso-height-relative:page;" fillcolor="#5B9BD5" filled="t" stroked="t" coordsize="21600,21600" o:gfxdata="UEsDBAoAAAAAAIdO4kAAAAAAAAAAAAAAAAAEAAAAZHJzL1BLAwQUAAAACACHTuJAh0mrDNsAAAAL AQAADwAAAGRycy9kb3ducmV2LnhtbE2Py07DMBBF90j8gzVIbFBrp48khDiVQGrFrtAisZ3GJgn4 EcVuG/r1DCtYXs3RnXPL1WgNO+khdN5JSKYCmHa1V51rJLzt15McWIjoFBrvtIRvHWBVXV+VWCh/ dq/6tIsNoxIXCpTQxtgXnIe61RbD1Pfa0e3DDxYjxaHhasAzlVvDZ0Kk3GLn6EOLvX5qdf21O1oJ d4uX7ftnHkfxjJd19mg29/VlI+XtTSIegEU9xj8YfvVJHSpyOvijU4EZyvM0JVRCliwTYETMlhmt O0jI59kCeFXy/xuqH1BLAwQUAAAACACHTuJAnIZc7YwCAABDBQAADgAAAGRycy9lMm9Eb2MueG1s rVTNbhMxEL4j8Q6W73STkGTbqJsqbVSEVNFKBXGeeO2sJf9hO9mUl0Hi1ofgcRCvwdi7TdOWQw/k sJnxjL/xfPNzerbTimy5D9Kaig6PBpRww2wtzbqiXz5fvjumJEQwNShreEXveKBn87dvTls34yPb WFVzTxDEhFnrKtrE6GZFEVjDNYQj67hBo7BeQ0TVr4vaQ4voWhWjwWBatNbXzlvGQ8DTZWekPaJ/ DaAVQjK+tGyjuYkdqucKIqYUGukCnefXCsFZvBYi8EhURTHTmL8YBOVV+hbzU5itPbhGsv4J8Jon PMtJgzQYdA+1hAhk4+ULKC2Zt8GKeMSsLrpEMiOYxXDwjJvbBhzPuSDVwe1JD/8Pln3a3ngi64pO KDGgseB/ftz//vWTTBI3rQszdLl1N77XAoop0Z3wOv1jCmSX+bzb88l3kTA8LKfjyXBKCUNTWU7f l2XCLB4vOx/iB241SUJFPZYrswjbqxA71weXFCtYJetLqVRW/Hp1oTzZApZ2cn5yvpx0d5VroDsd D/DXhwydew7/BEcZ0uIcjEp0JQywowV2EoraISvBrCkBtcZRYdHnAE9u97AvXhEaqHl/+ppXpDSX EJruSg6RHg4zLSOOm5K6oscJ6CEfZZKV5xbvyUrF6sqTpJWt77C03nY9Hxy7lBjkCkK8AY9Njuni GojX+BHKIge2lyhprP/+r/Pkj72HVkpaHBrk59sGPKdEfTTYlSfD8ThNWVbGk3KEij+0rA4tZqMv LBZviAvHsSwm/6geROGt/orbYpGiogkMw9hdJXrlInbDjPuG8cUiu+FkOYhX5taxBJ54MnaxiVbI 3FSP7GA3JAVnK/dFvwfS8B7q2etx983/AlBLAwQKAAAAAACHTuJAAAAAAAAAAAAAAAAABgAAAF9y ZWxzL1BLAwQUAAAACACHTuJAihRmPNEAAACUAQAACwAAAF9yZWxzLy5yZWxzpZDBasMwDIbvg72D 0X1xmsMYo04vo9Br6R7A2IpjGltGMtn69vMOg2X0tqN+oe8T//7wmRa1IkukbGDX9aAwO/IxBwPv l+PTCyipNnu7UEYDNxQ4jI8P+zMutrYjmWMR1ShZDMy1lletxc2YrHRUMLfNRJxsbSMHXay72oB6 6Ptnzb8ZMG6Y6uQN8MkPoC630sx/2Ck6JqGpdo6SpmmK7h5VB7Zlju7INuEbuUazHLAa8CwaB2pZ 134EfV+/+6fe00c+47rVfoeM649Xb7ocvwBQSwMEFAAAAAgAh07iQH7m5SD3AAAA4QEAABMAAABb Q29udGVudF9UeXBlc10ueG1slZFBTsMwEEX3SNzB8hYlTrtACCXpgrRLQKgcYGRPEotkbHlMaG+P k7YbRJFY2jP/vye73BzGQUwY2Dqq5CovpEDSzljqKvm+32UPUnAEMjA4wkoekeWmvr0p90ePLFKa uJJ9jP5RKdY9jsC580hp0rowQkzH0CkP+gM6VOuiuFfaUUSKWZw7ZF022MLnEMX2kK5PJgEHluLp tDizKgneD1ZDTKZqIvODkp0JeUouO9xbz3dJQ6pfCfPkOuCce0lPE6xB8QohPsOYNJQJrIz7ooBT /nfJbDly5trWasybwE2KveF0sbrWjmvXOP3f8u2SunSr5YPqb1BLAQIUABQAAAAIAIdO4kB+5uUg 9wAAAOEBAAATAAAAAAAAAAEAIAAAAAAFAABbQ29udGVudF9UeXBlc10ueG1sUEsBAhQACgAAAAAA h07iQAAAAAAAAAAAAAAAAAYAAAAAAAAAAAAQAAAA4gMAAF9yZWxzL1BLAQIUABQAAAAIAIdO4kCK FGY80QAAAJQBAAALAAAAAAAAAAEAIAAAAAYEAABfcmVscy8ucmVsc1BLAQIUAAoAAAAAAIdO4kAA AAAAAAAAAAAAAAAEAAAAAAAAAAAAEAAAAAAAAABkcnMvUEsBAhQAFAAAAAgAh07iQIdJqwzbAAAA CwEAAA8AAAAAAAAAAQAgAAAAIgAAAGRycy9kb3ducmV2LnhtbFBLAQIUABQAAAAIAIdO4kCchlzt jAIAAEMFAAAOAAAAAAAAAAEAIAAAACoBAABkcnMvZTJvRG9jLnhtbFBLBQYAAAAABgAGAFkBAAAo BgAAAAA= ">
                <v:fill on="t" opacity="26214f" focussize="0,0"/>
                <v:stroke weight="1pt" color="#41719C" miterlimit="8" joinstyle="miter"/>
                <v:imagedata o:title=""/>
                <o:lock v:ext="edit" aspectratio="f"/>
              </v:rect>
            </w:pict>
          </mc:Fallback>
        </mc:AlternateContent>
      </w:r>
      <w:r>
        <w:rPr>
          <w:color w:val="000000"/>
          <w:lang/>
        </w:rPr>
        <mc:AlternateContent>
          <mc:Choice Requires="wps">
            <w:drawing>
              <wp:anchor distT="0" distB="0" distL="114300" distR="114300" simplePos="0" relativeHeight="251660288" behindDoc="0" locked="0" layoutInCell="1" allowOverlap="1">
                <wp:simplePos x="0" y="0"/>
                <wp:positionH relativeFrom="column">
                  <wp:posOffset>1630045</wp:posOffset>
                </wp:positionH>
                <wp:positionV relativeFrom="paragraph">
                  <wp:posOffset>1739900</wp:posOffset>
                </wp:positionV>
                <wp:extent cx="3101340" cy="4272280"/>
                <wp:effectExtent l="48895" t="6350" r="50165" b="102870"/>
                <wp:wrapNone/>
                <wp:docPr id="4" name="矩形 4"/>
                <wp:cNvGraphicFramePr/>
                <a:graphic xmlns:a="http://schemas.openxmlformats.org/drawingml/2006/main">
                  <a:graphicData uri="http://schemas.microsoft.com/office/word/2010/wordprocessingShape">
                    <wps:wsp>
                      <wps:cNvSpPr/>
                      <wps:spPr>
                        <a:xfrm>
                          <a:off x="0" y="0"/>
                          <a:ext cx="3101645" cy="4272076"/>
                        </a:xfrm>
                        <a:prstGeom prst="rect">
                          <a:avLst/>
                        </a:prstGeom>
                        <a:solidFill>
                          <a:srgbClr val="A5A5A5">
                            <a:alpha val="40000"/>
                          </a:srgbClr>
                        </a:solidFill>
                        <a:ln w="12700" cap="flat" cmpd="sng" algn="ctr">
                          <a:solidFill>
                            <a:srgbClr val="5B9BD5">
                              <a:shade val="50000"/>
                            </a:srgbClr>
                          </a:solidFill>
                          <a:prstDash val="solid"/>
                          <a:miter lim="800000"/>
                        </a:ln>
                        <a:effectLst>
                          <a:outerShdw blurRad="50800" dist="50800" dir="5400000" algn="ctr" rotWithShape="0">
                            <a:srgbClr val="FFC000"/>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35pt;margin-top:137pt;height:336.4pt;width:244.2pt;z-index:251660288;v-text-anchor:middle;mso-width-relative:page;mso-height-relative:page;" fillcolor="#A5A5A5" filled="t" stroked="t" coordsize="21600,21600" o:gfxdata="UEsDBAoAAAAAAIdO4kAAAAAAAAAAAAAAAAAEAAAAZHJzL1BLAwQUAAAACACHTuJAI3jUbdoAAAAL AQAADwAAAGRycy9kb3ducmV2LnhtbE2PwU7DMAyG70i8Q2Qkbizt1LWjNN0BCRAIaazsAbLGNBWN UzVZN3h6zAlutvzp9/dXm7MbxIxT6D0pSBcJCKTWm546Bfv3h5s1iBA1GT14QgVfGGBTX15UujT+ RDucm9gJDqFQagU2xrGUMrQWnQ4LPyLx7cNPTkdep06aSZ843A1ymSS5dLon/mD1iPcW28/m6BS8 PH43we6tlebN7LbP6fz0mm6Vur5KkzsQEc/xD4ZffVaHmp0O/kgmiEHBcpUXjPJQZFyKiSJbpSAO Cm6zfA2yruT/DvUPUEsDBBQAAAAIAIdO4kCVEpPKywIAAM0FAAAOAAAAZHJzL2Uyb0RvYy54bWyt VM1u2zAMvg/YOwi6r3Yypz9BnSJLkGFAsRbLhp4ZWY4F6G+SEqd7mQG77SH2OMNeY5TsJmm7Qw9r AYcUqY/kJ5KXVzslyZY7L4wu6eAkp4RrZiqh1yX98nnx5pwSH0BXII3mJb3nnl5NXr+6bO2YD01j ZMUdQRDtx60taROCHWeZZw1X4E+M5RqNtXEKAqpunVUOWkRXMhvm+WnWGldZZxj3Hk/nnZH2iO4l gKauBeNzwzaK69ChOi4hYEm+EdbTScq2rjkLN3XteSCypFhpSF8MgvIqfrPJJYzXDmwjWJ8CvCSF JzUpEBqD7qHmEIBsnHgGpQRzxps6nDCjsq6QxAhWMcifcLNswPJUC1Lt7Z50//9g2cftrSOiKmlB iQaFD/7n+8/fv36QInLTWj9Gl6W9db3mUYyF7mqn4i+WQHaJz/s9n3wXCMPDt4N8cFqMKGFoK4Zn w/zsNKJmh+vW+fCeG0WiUFKHD5Z4hO21D53rg0uM5o0U1UJImRS3Xs2kI1vAx52O4n93V9oGutMi x78+pO/cU/hHOFKTFidheIauhAH2dI29hKKyyIvXa0pArnFYWHApwKPbPWwXb/Tu4t28y8I3UPH+ 9CVZxDLn4JvuSgoRE4exEgEHTgpV0vMI9FCP1NHKU5MjWVExG3RdNlVLVnLjPgGmP8rxEiWViPTu FZyAUeIGTYfaiDPhToQm9V18zWcsLxazQwL7aInSo0Sy2DZdo0RpZap7bDIET33iLVsILPYafLgF h+OGSeBCCjf4qaXBtzC9RElj3Ld/nUd/nAK0UtLi+OI7fd2A45TIDxrn42JQFAgbklKMsPUocceW 1bFFb9TMYBMNcPVZlsToH+SDWDuj7nBvTWNUNIFmGLvriF6ZhW6t4OZjfDpNbjjjFsK1XloWwSOd 2kw3wdQiNfeBHaQwKjjlicx+I8U1cqwnr8MWnvwFUEsDBAoAAAAAAIdO4kAAAAAAAAAAAAAAAAAG AAAAX3JlbHMvUEsDBBQAAAAIAIdO4kCKFGY80QAAAJQBAAALAAAAX3JlbHMvLnJlbHOlkMFqwzAM hu+DvYPRfXGawxijTi+j0GvpHsDYimMaW0Yy2fr28w6DZfS2o36h7xP//vCZFrUiS6RsYNf1oDA7 8jEHA++X49MLKKk2e7tQRgM3FDiMjw/7My62tiOZYxHVKFkMzLWWV63FzZisdFQwt81EnGxtIwdd rLvagHro+2fNvxkwbpjq5A3wyQ+gLrfSzH/YKTomoal2jpKmaYruHlUHtmWO7sg24Ru5RrMcsBrw LBoHalnXfgR9X7/7p97TRz7jutV+h4zrj1dvuhy/AFBLAwQUAAAACACHTuJAfublIPcAAADhAQAA EwAAAFtDb250ZW50X1R5cGVzXS54bWyVkUFOwzAQRfdI3MHyFiVOu0AIJemCtEtAqBxgZE8Si2Rs eUxob4+TthtEkVjaM/+/J7vcHMZBTBjYOqrkKi+kQNLOWOoq+b7fZQ9ScAQyMDjCSh6R5aa+vSn3 R48sUpq4kn2M/lEp1j2OwLnzSGnSujBCTMfQKQ/6AzpU66K4V9pRRIpZnDtkXTbYwucQxfaQrk8m AQeW4um0OLMqCd4PVkNMpmoi84OSnQl5Si473FvPd0lDql8J8+Q64Jx7SU8TrEHxCiE+w5g0lAms jPuigFP+d8lsOXLm2tZqzJvATYq94XSxutaOa9c4/d/y7ZK6dKvlg+pvUEsBAhQAFAAAAAgAh07i QH7m5SD3AAAA4QEAABMAAAAAAAAAAQAgAAAAPgUAAFtDb250ZW50X1R5cGVzXS54bWxQSwECFAAK AAAAAACHTuJAAAAAAAAAAAAAAAAABgAAAAAAAAAAABAAAAAgBAAAX3JlbHMvUEsBAhQAFAAAAAgA h07iQIoUZjzRAAAAlAEAAAsAAAAAAAAAAQAgAAAARAQAAF9yZWxzLy5yZWxzUEsBAhQACgAAAAAA h07iQAAAAAAAAAAAAAAAAAQAAAAAAAAAAAAQAAAAAAAAAGRycy9QSwECFAAUAAAACACHTuJAI3jU bdoAAAALAQAADwAAAAAAAAABACAAAAAiAAAAZHJzL2Rvd25yZXYueG1sUEsBAhQAFAAAAAgAh07i QJUSk8rLAgAAzQUAAA4AAAAAAAAAAQAgAAAAKQEAAGRycy9lMm9Eb2MueG1sUEsFBgAAAAAGAAYA WQEAAGYGAAAAAA== ">
                <v:fill on="t" opacity="26214f" focussize="0,0"/>
                <v:stroke weight="1pt" color="#41719C" miterlimit="8" joinstyle="miter"/>
                <v:imagedata o:title=""/>
                <o:lock v:ext="edit" aspectratio="f"/>
                <v:shadow on="t" obscured="f" color="#FFC000" opacity="65536f" offset="0pt,4pt" offset2="0pt,0pt" origin="0f,0f" matrix="65536f,0f,0f,65536f,0,0"/>
              </v:rect>
            </w:pict>
          </mc:Fallback>
        </mc:AlternateContent>
      </w:r>
      <w:r>
        <w:rPr>
          <w:color w:val="000000"/>
          <w:lang/>
        </w:rPr>
        <mc:AlternateContent>
          <mc:Choice Requires="wps">
            <w:drawing>
              <wp:anchor distT="0" distB="0" distL="114300" distR="114300" simplePos="0" relativeHeight="251659264" behindDoc="0" locked="0" layoutInCell="1" allowOverlap="1">
                <wp:simplePos x="0" y="0"/>
                <wp:positionH relativeFrom="column">
                  <wp:posOffset>1623695</wp:posOffset>
                </wp:positionH>
                <wp:positionV relativeFrom="paragraph">
                  <wp:posOffset>231140</wp:posOffset>
                </wp:positionV>
                <wp:extent cx="3095625" cy="1495425"/>
                <wp:effectExtent l="48260" t="29210" r="56515" b="75565"/>
                <wp:wrapNone/>
                <wp:docPr id="3" name="矩形 3"/>
                <wp:cNvGraphicFramePr/>
                <a:graphic xmlns:a="http://schemas.openxmlformats.org/drawingml/2006/main">
                  <a:graphicData uri="http://schemas.microsoft.com/office/word/2010/wordprocessingShape">
                    <wps:wsp>
                      <wps:cNvSpPr/>
                      <wps:spPr>
                        <a:xfrm>
                          <a:off x="0" y="0"/>
                          <a:ext cx="3095625" cy="1495425"/>
                        </a:xfrm>
                        <a:prstGeom prst="rect">
                          <a:avLst/>
                        </a:prstGeom>
                        <a:solidFill>
                          <a:srgbClr val="ED7D31">
                            <a:alpha val="40000"/>
                          </a:srgbClr>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85pt;margin-top:18.2pt;height:117.75pt;width:243.75pt;z-index:251659264;v-text-anchor:middle;mso-width-relative:page;mso-height-relative:page;" fillcolor="#ED7D31" filled="t" stroked="f" coordsize="21600,21600" o:gfxdata="UEsDBAoAAAAAAIdO4kAAAAAAAAAAAAAAAAAEAAAAZHJzL1BLAwQUAAAACACHTuJAzgqxTNwAAAAK AQAADwAAAGRycy9kb3ducmV2LnhtbE2Py07DMBBF90j8gzVI7KiT9OES4lQFKSwQC0grxNJNhjhK PA6x0xa+HrOC5ege3Xsm25xNz444utaShHgWAUOqbN1SI2G/K27WwJxXVKveEkr4Qgeb/PIiU2lt T/SKx9I3LJSQS5UE7f2Qcu4qjUa5mR2QQvZhR6N8OMeG16M6hXLT8ySKVtyolsKCVgM+aKy6cjIS zLYQT9P3y3shnt8ey/vPbr/VnZTXV3F0B8zj2f/B8Ksf1CEPTgc7Ue1YLyFZLkVAJcxXC2ABEIt5 AuwQEhHfAs8z/v+F/AdQSwMEFAAAAAgAh07iQGpy4XyaAgAASQUAAA4AAABkcnMvZTJvRG9jLnht bK1UzW4TMRC+I/EOlu90d5NsS6JuUNRQhFTRioB6drzerCWvbcZONuVlkLjxEDwO4jUY29smtBx6 IAdn/vabmW/GPn+z7xTZCXDS6IoWJzklQnNTS72p6OdPl69eU+I80zVTRouK3glH38xfvjjv7UyM TGtULYAgiHaz3la09d7OsszxVnTMnRgrNDobAx3zqMImq4H1iN6pbJTnp1lvoLZguHAOrcvkpAMi PAfQNI3kYmn4thPaJ1QQinlsybXSOjqP1TaN4P66aZzwRFUUO/XxxCQor8OZzc/ZbAPMtpIPJbDn lPCop45JjUkfoJbMM7IF+QSqkxyMM40/4abLUiOREeyiyB9xs2qZFbEXpNrZB9Ld/4PlH3Y3QGRd 0TElmnU48N/ffvz6+Z2MAze9dTMMWdkbGDSHYmh030AX/rEFso983j3wKfaecDSO82l5Oiop4egr JtNyggriZIfPLTj/TpiOBKGigAOLPLLdlfMp9D4kZHNGyfpSKhUV2KwvFJAdw+G+XZ4tx0X6VtmW Jeskx9+Q0qXwmP4vHKUDmjYBN6VMFhH3B+uIfW69gFVb92SttvCRIWPlWVHiHtUyVF5M86TgcpUx LbqY2uAd4x4oAeNvpW/jSANRTxoIlWKtwc4ODZyOgzFVddyAuS8ntnNUaRZGloYUpLWp73DAmD3O yFl+KZHpK+b8DQNcdawSHwN/jUejTF9RM0iUtAa+/sse4nED0UtJj1enou7LloGgRL3XuJvTYjJB WB+VSXk2QgWOPetjj952FwYHWOCzY3kUQ7xX92IDprvFN2MRsqKLaY65B1qTcuHTlcZXh4vFIobh /bLMX+mV5QE8jXix9aaRcbEO7CCFQcEbFskcXoNwhY/1GHV4Aed/AFBLAwQKAAAAAACHTuJAAAAA AAAAAAAAAAAABgAAAF9yZWxzL1BLAwQUAAAACACHTuJAihRmPNEAAACUAQAACwAAAF9yZWxzLy5y ZWxzpZDBasMwDIbvg72D0X1xmsMYo04vo9Br6R7A2IpjGltGMtn69vMOg2X0tqN+oe8T//7wmRa1 IkukbGDX9aAwO/IxBwPvl+PTCyipNnu7UEYDNxQ4jI8P+zMutrYjmWMR1ShZDMy1lletxc2YrHRU MLfNRJxsbSMHXay72oB66Ptnzb8ZMG6Y6uQN8MkPoC630sx/2Ck6JqGpdo6SpmmK7h5VB7Zlju7I NuEbuUazHLAa8CwaB2pZ134EfV+/+6fe00c+47rVfoeM649Xb7ocvwBQSwMEFAAAAAgAh07iQH7m 5SD3AAAA4QEAABMAAABbQ29udGVudF9UeXBlc10ueG1slZFBTsMwEEX3SNzB8hYlTrtACCXpgrRL QKgcYGRPEotkbHlMaG+Pk7YbRJFY2jP/vye73BzGQUwY2Dqq5CovpEDSzljqKvm+32UPUnAEMjA4 wkoekeWmvr0p90ePLFKauJJ9jP5RKdY9jsC580hp0rowQkzH0CkP+gM6VOuiuFfaUUSKWZw7ZF02 2MLnEMX2kK5PJgEHluLptDizKgneD1ZDTKZqIvODkp0JeUouO9xbz3dJQ6pfCfPkOuCce0lPE6xB 8QohPsOYNJQJrIz7ooBT/nfJbDly5trWasybwE2KveF0sbrWjmvXOP3f8u2SunSr5YPqb1BLAQIU ABQAAAAIAIdO4kB+5uUg9wAAAOEBAAATAAAAAAAAAAEAIAAAAA8FAABbQ29udGVudF9UeXBlc10u eG1sUEsBAhQACgAAAAAAh07iQAAAAAAAAAAAAAAAAAYAAAAAAAAAAAAQAAAA8QMAAF9yZWxzL1BL AQIUABQAAAAIAIdO4kCKFGY80QAAAJQBAAALAAAAAAAAAAEAIAAAABUEAABfcmVscy8ucmVsc1BL AQIUAAoAAAAAAIdO4kAAAAAAAAAAAAAAAAAEAAAAAAAAAAAAEAAAAAAAAABkcnMvUEsBAhQAFAAA AAgAh07iQM4KsUzcAAAACgEAAA8AAAAAAAAAAQAgAAAAIgAAAGRycy9kb3ducmV2LnhtbFBLAQIU ABQAAAAIAIdO4kBqcuF8mgIAAEkFAAAOAAAAAAAAAAEAIAAAACsBAABkcnMvZTJvRG9jLnhtbFBL BQYAAAAABgAGAFkBAAA3BgAAAAA= ">
                <v:fill on="t" opacity="26214f" focussize="0,0"/>
                <v:stroke on="f"/>
                <v:imagedata o:title=""/>
                <o:lock v:ext="edit" aspectratio="f"/>
                <v:shadow on="t" obscured="f" color="#000000" opacity="41287f" offset="0pt,1.5pt" offset2="0pt,0pt" origin="0f,0f" matrix="65536f,0f,0f,65536f,0,0"/>
              </v:rect>
            </w:pict>
          </mc:Fallback>
        </mc:AlternateContent>
      </w:r>
      <w:r>
        <w:rPr>
          <w:color w:val="000000"/>
          <w:lang/>
        </w:rPr>
        <w:drawing>
          <wp:inline distT="0" distB="0" distL="114300" distR="114300">
            <wp:extent cx="4138295" cy="7660005"/>
            <wp:effectExtent l="0" t="0" r="14605" b="1714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rcRect l="14236" r="13774"/>
                    <a:stretch>
                      <a:fillRect/>
                    </a:stretch>
                  </pic:blipFill>
                  <pic:spPr>
                    <a:xfrm>
                      <a:off x="0" y="0"/>
                      <a:ext cx="4138295" cy="7660005"/>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bookmarkStart w:id="60" w:name="_Toc29512"/>
      <w:bookmarkStart w:id="61" w:name="_Toc30005"/>
      <w:r>
        <w:rPr>
          <w:rFonts w:hint="eastAsia" w:ascii="宋体" w:hAnsi="宋体" w:cs="仿宋_GB2312"/>
          <w:color w:val="000000"/>
          <w:szCs w:val="21"/>
        </w:rPr>
        <w:t>3.1指挥中心显示系统</w:t>
      </w:r>
      <w:bookmarkEnd w:id="60"/>
      <w:bookmarkEnd w:id="61"/>
    </w:p>
    <w:p>
      <w:pPr>
        <w:spacing w:line="400" w:lineRule="exact"/>
        <w:ind w:firstLine="480"/>
        <w:rPr>
          <w:rFonts w:ascii="宋体" w:hAnsi="宋体" w:cs="仿宋_GB2312"/>
          <w:color w:val="000000"/>
          <w:szCs w:val="21"/>
        </w:rPr>
      </w:pPr>
      <w:bookmarkStart w:id="62" w:name="_Toc32461"/>
      <w:bookmarkStart w:id="63" w:name="_Toc27931"/>
      <w:r>
        <w:rPr>
          <w:rFonts w:hint="eastAsia" w:ascii="宋体" w:hAnsi="宋体" w:cs="仿宋_GB2312"/>
          <w:color w:val="000000"/>
          <w:szCs w:val="21"/>
        </w:rPr>
        <w:t>3.1.1系统架构简介</w:t>
      </w:r>
      <w:bookmarkEnd w:id="62"/>
      <w:bookmarkEnd w:id="63"/>
    </w:p>
    <w:p>
      <w:pPr>
        <w:spacing w:line="400" w:lineRule="exact"/>
        <w:ind w:firstLine="480"/>
        <w:rPr>
          <w:rFonts w:ascii="宋体" w:hAnsi="宋体" w:cs="仿宋_GB2312"/>
          <w:color w:val="000000"/>
          <w:szCs w:val="21"/>
        </w:rPr>
      </w:pPr>
      <w:r>
        <w:rPr>
          <w:rFonts w:hint="eastAsia" w:ascii="宋体" w:hAnsi="宋体" w:cs="仿宋_GB2312"/>
          <w:color w:val="000000"/>
          <w:szCs w:val="21"/>
        </w:rPr>
        <w:t>根据项目的具体需求，以丰富的大屏项目实施经验和先进的技术理念为基础，为客户量身打造整套LCD屏系统解决方案。如图所示，本项目整套系统主要由三部分组成，分为LCD显示系统、图像处理系统及管理控制系统。除了这些主要部分，根据项目具体实施情况，系统还应包括前端系统、音响系统等。</w:t>
      </w:r>
    </w:p>
    <w:p>
      <w:pPr>
        <w:pStyle w:val="54"/>
        <w:rPr>
          <w:color w:val="000000"/>
        </w:rPr>
      </w:pPr>
      <w:r>
        <w:rPr>
          <w:color w:val="000000"/>
          <w:lang/>
        </w:rPr>
        <w:drawing>
          <wp:inline distT="0" distB="0" distL="114300" distR="114300">
            <wp:extent cx="5275580" cy="3809365"/>
            <wp:effectExtent l="0" t="0" r="1270" b="635"/>
            <wp:docPr id="1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9"/>
                    <pic:cNvPicPr>
                      <a:picLocks noChangeAspect="1"/>
                    </pic:cNvPicPr>
                  </pic:nvPicPr>
                  <pic:blipFill>
                    <a:blip r:embed="rId15"/>
                    <a:stretch>
                      <a:fillRect/>
                    </a:stretch>
                  </pic:blipFill>
                  <pic:spPr>
                    <a:xfrm>
                      <a:off x="0" y="0"/>
                      <a:ext cx="5275580" cy="3809365"/>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r>
        <w:rPr>
          <w:rFonts w:hint="eastAsia" w:ascii="宋体" w:hAnsi="宋体" w:cs="仿宋_GB2312"/>
          <w:color w:val="000000"/>
          <w:szCs w:val="21"/>
        </w:rPr>
        <w:t>L</w:t>
      </w:r>
      <w:r>
        <w:rPr>
          <w:rFonts w:ascii="宋体" w:hAnsi="宋体" w:cs="仿宋_GB2312"/>
          <w:color w:val="000000"/>
          <w:szCs w:val="21"/>
        </w:rPr>
        <w:t>CD</w:t>
      </w:r>
      <w:r>
        <w:rPr>
          <w:rFonts w:hint="eastAsia" w:ascii="宋体" w:hAnsi="宋体" w:cs="仿宋_GB2312"/>
          <w:color w:val="000000"/>
          <w:szCs w:val="21"/>
        </w:rPr>
        <w:t>显示</w:t>
      </w:r>
      <w:r>
        <w:rPr>
          <w:rFonts w:ascii="宋体" w:hAnsi="宋体" w:cs="仿宋_GB2312"/>
          <w:color w:val="000000"/>
          <w:szCs w:val="21"/>
        </w:rPr>
        <w:t>系统</w:t>
      </w:r>
      <w:r>
        <w:rPr>
          <w:rFonts w:hint="eastAsia" w:ascii="宋体" w:hAnsi="宋体" w:cs="仿宋_GB2312"/>
          <w:color w:val="000000"/>
          <w:szCs w:val="21"/>
        </w:rPr>
        <w:t>：大屏显示系统支持</w:t>
      </w:r>
      <w:r>
        <w:rPr>
          <w:rFonts w:ascii="宋体" w:hAnsi="宋体" w:cs="仿宋_GB2312"/>
          <w:color w:val="000000"/>
          <w:szCs w:val="21"/>
        </w:rPr>
        <w:t>CVBS信号，VGA信号，DVI信号，HDMI信号等多种信号的接入显示，通过控制软件对已选择需要上墙显示的信号进行显示</w:t>
      </w:r>
      <w:r>
        <w:rPr>
          <w:rFonts w:hint="eastAsia" w:ascii="宋体" w:hAnsi="宋体" w:cs="仿宋_GB2312"/>
          <w:color w:val="000000"/>
          <w:szCs w:val="21"/>
        </w:rPr>
        <w:t>。</w:t>
      </w:r>
    </w:p>
    <w:p>
      <w:pPr>
        <w:spacing w:line="400" w:lineRule="exact"/>
        <w:ind w:firstLine="480"/>
        <w:rPr>
          <w:rFonts w:ascii="宋体" w:hAnsi="宋体" w:cs="仿宋_GB2312"/>
          <w:color w:val="000000"/>
          <w:szCs w:val="21"/>
        </w:rPr>
      </w:pPr>
      <w:r>
        <w:rPr>
          <w:rFonts w:hint="eastAsia" w:ascii="宋体" w:hAnsi="宋体" w:cs="仿宋_GB2312"/>
          <w:color w:val="000000"/>
          <w:szCs w:val="21"/>
        </w:rPr>
        <w:t>图像处理</w:t>
      </w:r>
      <w:r>
        <w:rPr>
          <w:rFonts w:ascii="宋体" w:hAnsi="宋体" w:cs="仿宋_GB2312"/>
          <w:color w:val="000000"/>
          <w:szCs w:val="21"/>
        </w:rPr>
        <w:t>系统</w:t>
      </w:r>
      <w:r>
        <w:rPr>
          <w:rFonts w:hint="eastAsia" w:ascii="宋体" w:hAnsi="宋体" w:cs="仿宋_GB2312"/>
          <w:color w:val="000000"/>
          <w:szCs w:val="21"/>
        </w:rPr>
        <w:t>：视频</w:t>
      </w:r>
      <w:r>
        <w:rPr>
          <w:rFonts w:ascii="宋体" w:hAnsi="宋体" w:cs="仿宋_GB2312"/>
          <w:color w:val="000000"/>
          <w:szCs w:val="21"/>
        </w:rPr>
        <w:t>综合平台可实现信号的全屏显示，任意分割，开窗漫游，图像叠加，任意组合显示，图像拉伸缩放等一系列功能。</w:t>
      </w:r>
    </w:p>
    <w:p>
      <w:pPr>
        <w:spacing w:line="400" w:lineRule="exact"/>
        <w:ind w:firstLine="480"/>
        <w:rPr>
          <w:rFonts w:ascii="宋体" w:hAnsi="宋体" w:cs="仿宋_GB2312"/>
          <w:color w:val="000000"/>
          <w:szCs w:val="21"/>
        </w:rPr>
      </w:pPr>
      <w:r>
        <w:rPr>
          <w:rFonts w:hint="eastAsia" w:ascii="宋体" w:hAnsi="宋体" w:cs="仿宋_GB2312"/>
          <w:color w:val="000000"/>
          <w:szCs w:val="21"/>
        </w:rPr>
        <w:t>管理控制系统：前端摄像机信号接入之后通过光纤，网络等手段实现远距离传输。通过在控制主机上安装拼接控制软件，可实现对整个大屏显示系统的控制与操作，可实现上墙显示信号的选择与控制。</w:t>
      </w:r>
    </w:p>
    <w:p>
      <w:pPr>
        <w:spacing w:line="400" w:lineRule="exact"/>
        <w:ind w:firstLine="480"/>
        <w:rPr>
          <w:rFonts w:ascii="宋体" w:hAnsi="宋体" w:cs="仿宋_GB2312"/>
          <w:color w:val="000000"/>
          <w:szCs w:val="21"/>
        </w:rPr>
      </w:pPr>
      <w:bookmarkStart w:id="64" w:name="_Toc43734010"/>
      <w:bookmarkStart w:id="65" w:name="_Toc523413443"/>
      <w:bookmarkStart w:id="66" w:name="_Toc20355"/>
      <w:bookmarkStart w:id="67" w:name="_Toc15480"/>
      <w:r>
        <w:rPr>
          <w:rFonts w:hint="eastAsia" w:ascii="宋体" w:hAnsi="宋体" w:cs="仿宋_GB2312"/>
          <w:color w:val="000000"/>
          <w:szCs w:val="21"/>
        </w:rPr>
        <w:t>3.1.2 LCD大屏拼接系统</w:t>
      </w:r>
      <w:bookmarkEnd w:id="64"/>
      <w:bookmarkEnd w:id="65"/>
      <w:r>
        <w:rPr>
          <w:rFonts w:hint="eastAsia" w:ascii="宋体" w:hAnsi="宋体" w:cs="仿宋_GB2312"/>
          <w:color w:val="000000"/>
          <w:szCs w:val="21"/>
        </w:rPr>
        <w:t>设计</w:t>
      </w:r>
      <w:bookmarkEnd w:id="66"/>
      <w:bookmarkEnd w:id="67"/>
    </w:p>
    <w:p>
      <w:pPr>
        <w:spacing w:line="400" w:lineRule="exact"/>
        <w:ind w:firstLine="480"/>
        <w:rPr>
          <w:rFonts w:ascii="宋体" w:hAnsi="宋体" w:cs="仿宋_GB2312"/>
          <w:color w:val="000000"/>
          <w:szCs w:val="21"/>
        </w:rPr>
      </w:pPr>
      <w:r>
        <w:rPr>
          <w:rFonts w:hint="eastAsia" w:ascii="宋体" w:hAnsi="宋体" w:cs="仿宋_GB2312"/>
          <w:color w:val="000000"/>
          <w:szCs w:val="21"/>
        </w:rPr>
        <w:t>现代化的指挥中心应以指挥技术和信息技术为主导，充分利用电子监控、网络、通讯等先进技术，构建以传输网络为纽带，音视频等多媒体数据信息为主体，实现资料信息集散共享、人机交互辅助决策、信息数据实时监控、视讯会议会商等功能。指挥中心大屏显示海量数据、视频监控、视频会商、决策平台等信息，帮助决策者对信息的有效筛选洞察，辅助决策者执行决策。</w:t>
      </w:r>
    </w:p>
    <w:p>
      <w:pPr>
        <w:spacing w:line="400" w:lineRule="exact"/>
        <w:ind w:firstLine="480"/>
        <w:rPr>
          <w:rFonts w:ascii="宋体" w:hAnsi="宋体" w:cs="仿宋_GB2312"/>
          <w:color w:val="000000"/>
          <w:szCs w:val="21"/>
        </w:rPr>
      </w:pPr>
      <w:r>
        <w:rPr>
          <w:rFonts w:hint="eastAsia" w:ascii="宋体" w:hAnsi="宋体" w:cs="仿宋_GB2312"/>
          <w:color w:val="000000"/>
          <w:szCs w:val="21"/>
        </w:rPr>
        <w:t>协同调用现场重点监控对象的信息、数据、图像等资料，显示设定范围内的位置和联系信息，连接各业务部门，实现指挥中心、指挥室、决策室等科室协同显示，帮助决策者召集各部门，科学调配资源，对突发事件做出快速的反应。</w:t>
      </w:r>
    </w:p>
    <w:p>
      <w:pPr>
        <w:spacing w:line="400" w:lineRule="exact"/>
        <w:ind w:firstLine="480"/>
        <w:rPr>
          <w:rFonts w:ascii="宋体" w:hAnsi="宋体" w:cs="仿宋_GB2312"/>
          <w:color w:val="000000"/>
          <w:szCs w:val="21"/>
        </w:rPr>
      </w:pPr>
      <w:r>
        <w:rPr>
          <w:rFonts w:hint="eastAsia" w:ascii="宋体" w:hAnsi="宋体" w:cs="仿宋_GB2312"/>
          <w:color w:val="000000"/>
          <w:szCs w:val="21"/>
        </w:rPr>
        <w:t>LCD大屏拼接系统拼缝小，分辨率高，7*24小时工作，适合指挥中心日常办公、应急决策、业务展示等工作，显著提升指挥中心工作质量与效率。</w:t>
      </w:r>
    </w:p>
    <w:p>
      <w:pPr>
        <w:pStyle w:val="54"/>
        <w:rPr>
          <w:color w:val="000000"/>
        </w:rPr>
      </w:pPr>
      <w:r>
        <w:rPr>
          <w:color w:val="000000"/>
          <w:lang/>
        </w:rPr>
        <w:drawing>
          <wp:inline distT="0" distB="0" distL="114300" distR="114300">
            <wp:extent cx="5273040" cy="2849880"/>
            <wp:effectExtent l="0" t="0" r="3810" b="7620"/>
            <wp:docPr id="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8"/>
                    <pic:cNvPicPr>
                      <a:picLocks noChangeAspect="1"/>
                    </pic:cNvPicPr>
                  </pic:nvPicPr>
                  <pic:blipFill>
                    <a:blip r:embed="rId16"/>
                    <a:stretch>
                      <a:fillRect/>
                    </a:stretch>
                  </pic:blipFill>
                  <pic:spPr>
                    <a:xfrm>
                      <a:off x="0" y="0"/>
                      <a:ext cx="5273040" cy="2849880"/>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r>
        <w:rPr>
          <w:rFonts w:hint="eastAsia" w:ascii="宋体" w:hAnsi="宋体" w:cs="仿宋_GB2312"/>
          <w:color w:val="000000"/>
          <w:szCs w:val="21"/>
        </w:rPr>
        <w:t>建设内容：</w:t>
      </w:r>
    </w:p>
    <w:p>
      <w:pPr>
        <w:spacing w:line="400" w:lineRule="exact"/>
        <w:ind w:firstLine="480"/>
        <w:rPr>
          <w:rFonts w:ascii="宋体" w:hAnsi="宋体" w:cs="仿宋_GB2312"/>
          <w:color w:val="000000"/>
          <w:szCs w:val="21"/>
        </w:rPr>
      </w:pPr>
      <w:r>
        <w:rPr>
          <w:rFonts w:hint="eastAsia" w:ascii="宋体" w:hAnsi="宋体" w:cs="仿宋_GB2312"/>
          <w:color w:val="000000"/>
          <w:szCs w:val="21"/>
        </w:rPr>
        <w:t>指挥中心大厅液晶大屏幕拼接显示墙由一套</w:t>
      </w:r>
      <w:r>
        <w:rPr>
          <w:rFonts w:ascii="宋体" w:hAnsi="宋体" w:cs="仿宋_GB2312"/>
          <w:color w:val="000000"/>
          <w:szCs w:val="21"/>
        </w:rPr>
        <w:t>4</w:t>
      </w:r>
      <w:r>
        <w:rPr>
          <w:rFonts w:hint="eastAsia" w:ascii="宋体" w:hAnsi="宋体" w:cs="仿宋_GB2312"/>
          <w:color w:val="000000"/>
          <w:szCs w:val="21"/>
        </w:rPr>
        <w:t>（行)×</w:t>
      </w:r>
      <w:r>
        <w:rPr>
          <w:rFonts w:ascii="宋体" w:hAnsi="宋体" w:cs="仿宋_GB2312"/>
          <w:color w:val="000000"/>
          <w:szCs w:val="21"/>
        </w:rPr>
        <w:t>9</w:t>
      </w:r>
      <w:r>
        <w:rPr>
          <w:rFonts w:hint="eastAsia" w:ascii="宋体" w:hAnsi="宋体" w:cs="仿宋_GB2312"/>
          <w:color w:val="000000"/>
          <w:szCs w:val="21"/>
        </w:rPr>
        <w:t>(列）55″超窄边液晶显示屏加两侧室内双色LED组成。</w:t>
      </w:r>
    </w:p>
    <w:p>
      <w:pPr>
        <w:spacing w:line="400" w:lineRule="exact"/>
        <w:ind w:firstLine="480"/>
        <w:rPr>
          <w:rFonts w:ascii="宋体" w:hAnsi="宋体" w:cs="仿宋_GB2312"/>
          <w:color w:val="000000"/>
          <w:szCs w:val="21"/>
        </w:rPr>
      </w:pPr>
      <w:r>
        <w:rPr>
          <w:rFonts w:hint="eastAsia" w:ascii="宋体" w:hAnsi="宋体" w:cs="仿宋_GB2312"/>
          <w:color w:val="000000"/>
          <w:szCs w:val="21"/>
        </w:rPr>
        <w:t>会商决策区液晶大屏幕拼接显示墙由一套</w:t>
      </w:r>
      <w:r>
        <w:rPr>
          <w:rFonts w:ascii="宋体" w:hAnsi="宋体" w:cs="仿宋_GB2312"/>
          <w:color w:val="000000"/>
          <w:szCs w:val="21"/>
        </w:rPr>
        <w:t>3</w:t>
      </w:r>
      <w:r>
        <w:rPr>
          <w:rFonts w:hint="eastAsia" w:ascii="宋体" w:hAnsi="宋体" w:cs="仿宋_GB2312"/>
          <w:color w:val="000000"/>
          <w:szCs w:val="21"/>
        </w:rPr>
        <w:t>（行)×</w:t>
      </w:r>
      <w:r>
        <w:rPr>
          <w:rFonts w:ascii="宋体" w:hAnsi="宋体" w:cs="仿宋_GB2312"/>
          <w:color w:val="000000"/>
          <w:szCs w:val="21"/>
        </w:rPr>
        <w:t>3</w:t>
      </w:r>
      <w:r>
        <w:rPr>
          <w:rFonts w:hint="eastAsia" w:ascii="宋体" w:hAnsi="宋体" w:cs="仿宋_GB2312"/>
          <w:color w:val="000000"/>
          <w:szCs w:val="21"/>
        </w:rPr>
        <w:t>(列）55″超窄边液晶显示屏组成。</w:t>
      </w:r>
    </w:p>
    <w:p>
      <w:pPr>
        <w:spacing w:line="400" w:lineRule="exact"/>
        <w:ind w:firstLine="480"/>
        <w:rPr>
          <w:rFonts w:ascii="宋体" w:hAnsi="宋体" w:cs="仿宋_GB2312"/>
          <w:color w:val="000000"/>
          <w:szCs w:val="21"/>
        </w:rPr>
      </w:pPr>
      <w:r>
        <w:rPr>
          <w:rFonts w:hint="eastAsia" w:ascii="宋体" w:hAnsi="宋体" w:cs="仿宋_GB2312"/>
          <w:color w:val="000000"/>
          <w:szCs w:val="21"/>
        </w:rPr>
        <w:t>视频综合平台</w:t>
      </w:r>
    </w:p>
    <w:p>
      <w:pPr>
        <w:spacing w:line="400" w:lineRule="exact"/>
        <w:ind w:firstLine="480"/>
        <w:rPr>
          <w:rFonts w:ascii="宋体" w:hAnsi="宋体" w:cs="仿宋_GB2312"/>
          <w:color w:val="000000"/>
          <w:szCs w:val="21"/>
        </w:rPr>
      </w:pPr>
      <w:r>
        <w:rPr>
          <w:rFonts w:hint="eastAsia" w:ascii="宋体" w:hAnsi="宋体" w:cs="仿宋_GB2312"/>
          <w:color w:val="000000"/>
          <w:szCs w:val="21"/>
        </w:rPr>
        <w:t>视频综合平台支持多屏幕信号拼接，漫游，叠加控制设备。</w:t>
      </w:r>
    </w:p>
    <w:p>
      <w:pPr>
        <w:spacing w:line="400" w:lineRule="exact"/>
        <w:ind w:firstLine="480"/>
        <w:rPr>
          <w:rFonts w:ascii="宋体" w:hAnsi="宋体" w:cs="仿宋_GB2312"/>
          <w:color w:val="000000"/>
          <w:szCs w:val="21"/>
        </w:rPr>
      </w:pPr>
      <w:r>
        <w:rPr>
          <w:rFonts w:hint="eastAsia" w:ascii="宋体" w:hAnsi="宋体" w:cs="仿宋_GB2312"/>
          <w:color w:val="000000"/>
          <w:szCs w:val="21"/>
        </w:rPr>
        <w:t>本次设计指挥中心大厅1台，8路H</w:t>
      </w:r>
      <w:r>
        <w:rPr>
          <w:rFonts w:ascii="宋体" w:hAnsi="宋体" w:cs="仿宋_GB2312"/>
          <w:color w:val="000000"/>
          <w:szCs w:val="21"/>
        </w:rPr>
        <w:t>DMI</w:t>
      </w:r>
      <w:r>
        <w:rPr>
          <w:rFonts w:hint="eastAsia" w:ascii="宋体" w:hAnsi="宋体" w:cs="仿宋_GB2312"/>
          <w:color w:val="000000"/>
          <w:szCs w:val="21"/>
        </w:rPr>
        <w:t>高清输出解码板5块满足3</w:t>
      </w:r>
      <w:r>
        <w:rPr>
          <w:rFonts w:ascii="宋体" w:hAnsi="宋体" w:cs="仿宋_GB2312"/>
          <w:color w:val="000000"/>
          <w:szCs w:val="21"/>
        </w:rPr>
        <w:t>6</w:t>
      </w:r>
      <w:r>
        <w:rPr>
          <w:rFonts w:hint="eastAsia" w:ascii="宋体" w:hAnsi="宋体" w:cs="仿宋_GB2312"/>
          <w:color w:val="000000"/>
          <w:szCs w:val="21"/>
        </w:rPr>
        <w:t>块大屏的输出；8路H</w:t>
      </w:r>
      <w:r>
        <w:rPr>
          <w:rFonts w:ascii="宋体" w:hAnsi="宋体" w:cs="仿宋_GB2312"/>
          <w:color w:val="000000"/>
          <w:szCs w:val="21"/>
        </w:rPr>
        <w:t>DMI</w:t>
      </w:r>
      <w:r>
        <w:rPr>
          <w:rFonts w:hint="eastAsia" w:ascii="宋体" w:hAnsi="宋体" w:cs="仿宋_GB2312"/>
          <w:color w:val="000000"/>
          <w:szCs w:val="21"/>
        </w:rPr>
        <w:t>输入编码板3块，用于前端操作区电脑、视频会议、摄像机等信号源的编码输入。</w:t>
      </w:r>
    </w:p>
    <w:p>
      <w:pPr>
        <w:spacing w:line="400" w:lineRule="exact"/>
        <w:ind w:firstLine="480"/>
        <w:rPr>
          <w:rFonts w:ascii="宋体" w:hAnsi="宋体" w:cs="仿宋_GB2312"/>
          <w:color w:val="000000"/>
          <w:szCs w:val="21"/>
        </w:rPr>
      </w:pPr>
      <w:r>
        <w:rPr>
          <w:rFonts w:hint="eastAsia" w:ascii="宋体" w:hAnsi="宋体" w:cs="仿宋_GB2312"/>
          <w:color w:val="000000"/>
          <w:szCs w:val="21"/>
        </w:rPr>
        <w:t>会商决策区采用视频综合平台一体机，配置4路HDMI输入+4路DVI输入（支持转VGA或HDMI）+12路HDMI输出+单主控板+单电源。</w:t>
      </w:r>
    </w:p>
    <w:p>
      <w:pPr>
        <w:spacing w:line="400" w:lineRule="exact"/>
        <w:ind w:firstLine="480"/>
        <w:rPr>
          <w:rFonts w:ascii="宋体" w:hAnsi="宋体" w:cs="仿宋_GB2312"/>
          <w:color w:val="000000"/>
          <w:szCs w:val="21"/>
        </w:rPr>
      </w:pPr>
      <w:r>
        <w:rPr>
          <w:rFonts w:hint="eastAsia" w:ascii="宋体" w:hAnsi="宋体" w:cs="仿宋_GB2312"/>
          <w:color w:val="000000"/>
          <w:szCs w:val="21"/>
        </w:rPr>
        <w:t>传输线缆</w:t>
      </w:r>
    </w:p>
    <w:p>
      <w:pPr>
        <w:spacing w:line="400" w:lineRule="exact"/>
        <w:ind w:firstLine="480"/>
        <w:rPr>
          <w:rFonts w:ascii="宋体" w:hAnsi="宋体" w:cs="仿宋_GB2312"/>
          <w:color w:val="000000"/>
          <w:szCs w:val="21"/>
        </w:rPr>
      </w:pPr>
      <w:r>
        <w:rPr>
          <w:rFonts w:hint="eastAsia" w:ascii="宋体" w:hAnsi="宋体" w:cs="仿宋_GB2312"/>
          <w:color w:val="000000"/>
          <w:szCs w:val="21"/>
        </w:rPr>
        <w:t>将信号源传输到LCD电视墙上面显示。</w:t>
      </w:r>
    </w:p>
    <w:p>
      <w:pPr>
        <w:spacing w:line="400" w:lineRule="exact"/>
        <w:ind w:firstLine="480"/>
        <w:rPr>
          <w:rFonts w:ascii="宋体" w:hAnsi="宋体" w:cs="仿宋_GB2312"/>
          <w:color w:val="000000"/>
          <w:szCs w:val="21"/>
        </w:rPr>
      </w:pPr>
      <w:r>
        <w:rPr>
          <w:rFonts w:hint="eastAsia" w:ascii="宋体" w:hAnsi="宋体" w:cs="仿宋_GB2312"/>
          <w:color w:val="000000"/>
          <w:szCs w:val="21"/>
        </w:rPr>
        <w:t>超高分显示系统应用</w:t>
      </w:r>
    </w:p>
    <w:p>
      <w:pPr>
        <w:spacing w:line="400" w:lineRule="exact"/>
        <w:ind w:firstLine="480"/>
        <w:rPr>
          <w:rFonts w:ascii="宋体" w:hAnsi="宋体" w:cs="仿宋_GB2312"/>
          <w:color w:val="000000"/>
          <w:szCs w:val="21"/>
        </w:rPr>
      </w:pPr>
      <w:r>
        <w:rPr>
          <w:rFonts w:hint="eastAsia" w:ascii="宋体" w:hAnsi="宋体" w:cs="仿宋_GB2312"/>
          <w:color w:val="000000"/>
          <w:szCs w:val="21"/>
        </w:rPr>
        <w:t>超高分显示系统可以有效解决显示与实战应用方面的问题，系统通过多种类型的数据接口，从海量数据中抽取出各种各样的资源数据，依据指挥中心的应用逻辑，梳理出与各种警用资源数据相对应的使用逻辑关系，利用地理运算、数据分析、数据抽取等数据加工技术和数据渲染技术进行大数据可视化处理，依托超高分可视化服务器，实现数据与大屏幕融合，呈现出智能指挥调度的过程，结合了PGIS系统、业务应用、视频监控的超高分辨率大屏系统，可以实现按需设置、一键调用、快速辅助决策、视频指挥调度等可视化指挥调度功能。</w:t>
      </w:r>
    </w:p>
    <w:p>
      <w:pPr>
        <w:spacing w:line="400" w:lineRule="exact"/>
        <w:ind w:firstLine="480"/>
        <w:rPr>
          <w:rFonts w:ascii="宋体" w:hAnsi="宋体" w:cs="仿宋_GB2312"/>
          <w:color w:val="000000"/>
          <w:szCs w:val="21"/>
        </w:rPr>
      </w:pPr>
      <w:r>
        <w:rPr>
          <w:rFonts w:hint="eastAsia" w:ascii="宋体" w:hAnsi="宋体" w:cs="仿宋_GB2312"/>
          <w:color w:val="000000"/>
          <w:szCs w:val="21"/>
        </w:rPr>
        <w:t>扩展性应用</w:t>
      </w:r>
    </w:p>
    <w:p>
      <w:pPr>
        <w:spacing w:line="400" w:lineRule="exact"/>
        <w:ind w:firstLine="480"/>
        <w:rPr>
          <w:rFonts w:ascii="宋体" w:hAnsi="宋体" w:cs="仿宋_GB2312"/>
          <w:color w:val="000000"/>
          <w:szCs w:val="21"/>
        </w:rPr>
      </w:pPr>
      <w:r>
        <w:rPr>
          <w:rFonts w:hint="eastAsia" w:ascii="宋体" w:hAnsi="宋体" w:cs="仿宋_GB2312"/>
          <w:color w:val="000000"/>
          <w:szCs w:val="21"/>
        </w:rPr>
        <w:t>指挥中心与会商区视频综合平台可通过功能模块进行扩展，支持多台视频综合平台进行级联扩展，扩展模式可采用IP网络扩展方式。将两台视频综合平台进行连接，分布式拼控功能，方便的实现大规模电视墙拼接显示，传输非压缩视频数据，保证了视频低延时和高质量。</w:t>
      </w:r>
    </w:p>
    <w:p>
      <w:pPr>
        <w:spacing w:line="400" w:lineRule="exact"/>
        <w:ind w:firstLine="480"/>
        <w:rPr>
          <w:rFonts w:ascii="宋体" w:hAnsi="宋体" w:cs="仿宋_GB2312"/>
          <w:color w:val="000000"/>
          <w:szCs w:val="21"/>
        </w:rPr>
      </w:pPr>
      <w:bookmarkStart w:id="68" w:name="_Toc10154"/>
      <w:bookmarkStart w:id="69" w:name="_Toc21117"/>
      <w:r>
        <w:rPr>
          <w:rFonts w:hint="eastAsia" w:ascii="宋体" w:hAnsi="宋体" w:cs="仿宋_GB2312"/>
          <w:color w:val="000000"/>
          <w:szCs w:val="21"/>
        </w:rPr>
        <w:t>3.1.3 模块化支架设计</w:t>
      </w:r>
      <w:bookmarkEnd w:id="68"/>
      <w:bookmarkEnd w:id="69"/>
    </w:p>
    <w:p>
      <w:pPr>
        <w:spacing w:line="400" w:lineRule="exact"/>
        <w:ind w:firstLine="480"/>
        <w:rPr>
          <w:rFonts w:ascii="宋体" w:hAnsi="宋体" w:cs="仿宋_GB2312"/>
          <w:color w:val="000000"/>
          <w:szCs w:val="21"/>
        </w:rPr>
      </w:pPr>
      <w:r>
        <w:rPr>
          <w:rFonts w:hint="eastAsia" w:ascii="宋体" w:hAnsi="宋体" w:cs="仿宋_GB2312"/>
          <w:color w:val="000000"/>
          <w:szCs w:val="21"/>
        </w:rPr>
        <w:t>1)</w:t>
      </w:r>
      <w:r>
        <w:rPr>
          <w:rFonts w:hint="eastAsia" w:ascii="宋体" w:hAnsi="宋体" w:cs="仿宋_GB2312"/>
          <w:color w:val="000000"/>
          <w:szCs w:val="21"/>
        </w:rPr>
        <w:tab/>
      </w:r>
      <w:r>
        <w:rPr>
          <w:rFonts w:hint="eastAsia" w:ascii="宋体" w:hAnsi="宋体" w:cs="仿宋_GB2312"/>
          <w:color w:val="000000"/>
          <w:szCs w:val="21"/>
        </w:rPr>
        <w:t>模块化支架介绍</w:t>
      </w:r>
    </w:p>
    <w:p>
      <w:pPr>
        <w:spacing w:line="400" w:lineRule="exact"/>
        <w:ind w:firstLine="480"/>
        <w:rPr>
          <w:rFonts w:ascii="宋体" w:hAnsi="宋体" w:cs="仿宋_GB2312"/>
          <w:color w:val="000000"/>
          <w:szCs w:val="21"/>
        </w:rPr>
      </w:pPr>
      <w:r>
        <w:rPr>
          <w:rFonts w:hint="eastAsia" w:ascii="宋体" w:hAnsi="宋体" w:cs="仿宋_GB2312"/>
          <w:color w:val="000000"/>
          <w:szCs w:val="21"/>
        </w:rPr>
        <w:t>模块化支架由框架和底座（包含斜撑板）构成，在确定好屏幕数量后搭配相应数量的框架，每列搭配一个底座。支架到现场后由专业安装团队组合成型，安装快速、方便，适合大部分屏幕建设场景。</w:t>
      </w:r>
    </w:p>
    <w:p>
      <w:pPr>
        <w:spacing w:line="400" w:lineRule="exact"/>
        <w:ind w:firstLine="480"/>
        <w:rPr>
          <w:rFonts w:ascii="宋体" w:hAnsi="宋体" w:cs="仿宋_GB2312"/>
          <w:color w:val="000000"/>
          <w:szCs w:val="21"/>
        </w:rPr>
      </w:pPr>
      <w:r>
        <w:rPr>
          <w:rFonts w:hint="eastAsia" w:ascii="宋体" w:hAnsi="宋体" w:cs="仿宋_GB2312"/>
          <w:color w:val="000000"/>
          <w:szCs w:val="21"/>
        </w:rPr>
        <w:t>模块化支架框架部分厚度330mm，底座（包含斜撑板）厚度500mm，支架离墙面预留400mm以上的人员维护通道。</w:t>
      </w:r>
    </w:p>
    <w:p>
      <w:pPr>
        <w:spacing w:line="400" w:lineRule="exact"/>
        <w:ind w:firstLine="480"/>
        <w:rPr>
          <w:rFonts w:ascii="宋体" w:hAnsi="宋体" w:cs="仿宋_GB2312"/>
          <w:color w:val="000000"/>
          <w:szCs w:val="21"/>
        </w:rPr>
      </w:pPr>
      <w:r>
        <w:rPr>
          <w:rFonts w:hint="eastAsia" w:ascii="宋体" w:hAnsi="宋体" w:cs="仿宋_GB2312"/>
          <w:color w:val="000000"/>
          <w:szCs w:val="21"/>
        </w:rPr>
        <w:t>模块化支架底座配备地脚螺钉，对屏幕整体支架高度进行微调，补偿环境地面局部不平整，以保证屏幕水平度。</w:t>
      </w:r>
    </w:p>
    <w:p>
      <w:pPr>
        <w:pStyle w:val="54"/>
        <w:rPr>
          <w:color w:val="000000"/>
        </w:rPr>
      </w:pPr>
      <w:r>
        <w:rPr>
          <w:color w:val="000000"/>
          <w:lang/>
        </w:rPr>
        <w:drawing>
          <wp:inline distT="0" distB="0" distL="114300" distR="114300">
            <wp:extent cx="5278120" cy="2922905"/>
            <wp:effectExtent l="0" t="0" r="17780" b="10795"/>
            <wp:docPr id="1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7"/>
                    <pic:cNvPicPr>
                      <a:picLocks noChangeAspect="1"/>
                    </pic:cNvPicPr>
                  </pic:nvPicPr>
                  <pic:blipFill>
                    <a:blip r:embed="rId17"/>
                    <a:stretch>
                      <a:fillRect/>
                    </a:stretch>
                  </pic:blipFill>
                  <pic:spPr>
                    <a:xfrm>
                      <a:off x="0" y="0"/>
                      <a:ext cx="5278120" cy="2922905"/>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r>
        <w:rPr>
          <w:rFonts w:hint="eastAsia" w:ascii="宋体" w:hAnsi="宋体" w:cs="仿宋_GB2312"/>
          <w:color w:val="000000"/>
          <w:szCs w:val="21"/>
        </w:rPr>
        <w:t>2)</w:t>
      </w:r>
      <w:r>
        <w:rPr>
          <w:rFonts w:hint="eastAsia" w:ascii="宋体" w:hAnsi="宋体" w:cs="仿宋_GB2312"/>
          <w:color w:val="000000"/>
          <w:szCs w:val="21"/>
        </w:rPr>
        <w:tab/>
      </w:r>
      <w:r>
        <w:rPr>
          <w:rFonts w:hint="eastAsia" w:ascii="宋体" w:hAnsi="宋体" w:cs="仿宋_GB2312"/>
          <w:color w:val="000000"/>
          <w:szCs w:val="21"/>
        </w:rPr>
        <w:t>支架优势</w:t>
      </w:r>
    </w:p>
    <w:p>
      <w:pPr>
        <w:spacing w:line="400" w:lineRule="exact"/>
        <w:ind w:firstLine="480"/>
        <w:rPr>
          <w:rFonts w:ascii="宋体" w:hAnsi="宋体" w:cs="仿宋_GB2312"/>
          <w:color w:val="000000"/>
          <w:szCs w:val="21"/>
        </w:rPr>
      </w:pPr>
      <w:r>
        <w:rPr>
          <w:rFonts w:hint="eastAsia" w:ascii="宋体" w:hAnsi="宋体" w:cs="仿宋_GB2312"/>
          <w:color w:val="000000"/>
          <w:szCs w:val="21"/>
        </w:rPr>
        <w:t>支架由模块搭配拼接而成，安装简易以及后期扩容方便</w:t>
      </w:r>
    </w:p>
    <w:p>
      <w:pPr>
        <w:spacing w:line="400" w:lineRule="exact"/>
        <w:ind w:firstLine="480"/>
        <w:rPr>
          <w:rFonts w:hint="eastAsia" w:ascii="宋体" w:hAnsi="宋体" w:cs="仿宋_GB2312"/>
          <w:color w:val="000000"/>
          <w:szCs w:val="21"/>
        </w:rPr>
      </w:pPr>
      <w:r>
        <w:rPr>
          <w:rFonts w:hint="eastAsia" w:ascii="宋体" w:hAnsi="宋体" w:cs="仿宋_GB2312"/>
          <w:color w:val="000000"/>
          <w:szCs w:val="21"/>
        </w:rPr>
        <w:t>底座有斜撑板，增加了承重面积，稳定性强</w:t>
      </w:r>
    </w:p>
    <w:p>
      <w:pPr>
        <w:spacing w:line="400" w:lineRule="exact"/>
        <w:ind w:firstLine="480"/>
        <w:rPr>
          <w:rFonts w:ascii="宋体" w:hAnsi="宋体" w:cs="仿宋_GB2312"/>
          <w:color w:val="000000"/>
          <w:szCs w:val="21"/>
        </w:rPr>
      </w:pPr>
      <w:bookmarkStart w:id="70" w:name="_Toc15725"/>
      <w:bookmarkStart w:id="71" w:name="_Toc7911"/>
      <w:r>
        <w:rPr>
          <w:rFonts w:hint="eastAsia" w:ascii="宋体" w:hAnsi="宋体" w:cs="仿宋_GB2312"/>
          <w:color w:val="000000"/>
          <w:szCs w:val="21"/>
        </w:rPr>
        <w:t>3.1.4 系统功能</w:t>
      </w:r>
      <w:bookmarkEnd w:id="70"/>
      <w:bookmarkEnd w:id="71"/>
    </w:p>
    <w:p>
      <w:pPr>
        <w:spacing w:line="400" w:lineRule="exact"/>
        <w:ind w:firstLine="480"/>
        <w:rPr>
          <w:rFonts w:ascii="宋体" w:hAnsi="宋体" w:cs="仿宋_GB2312"/>
          <w:color w:val="000000"/>
          <w:szCs w:val="21"/>
        </w:rPr>
      </w:pPr>
      <w:r>
        <w:rPr>
          <w:rFonts w:hint="eastAsia" w:ascii="宋体" w:hAnsi="宋体" w:cs="仿宋_GB2312"/>
          <w:color w:val="000000"/>
          <w:szCs w:val="21"/>
        </w:rPr>
        <w:t>整个大屏显示系统以频综合平台作为拼接控制单元，视频综合平台支持多种视频输入、输出业务板，同时提供高速网络接口，接入本地局域网，可以接入前端网络摄像机的网络视频数据、模拟视频信号、其他业务系统计算机显示信号或网络远程桌面，通过视频综合平台内部拼接控制功能，利用视频综合平台强大的数据处理能力，实现图像的拼接和漫游操作。视频综合平台提供DVI、HDMI等多种高清数字输出接口，连接LCD大屏幕显示系统，实现多种视频信号的高清输出显示。</w:t>
      </w:r>
    </w:p>
    <w:p>
      <w:pPr>
        <w:spacing w:line="400" w:lineRule="exact"/>
        <w:ind w:firstLine="480"/>
        <w:rPr>
          <w:rFonts w:ascii="宋体" w:hAnsi="宋体" w:cs="仿宋_GB2312"/>
          <w:color w:val="000000"/>
          <w:szCs w:val="21"/>
        </w:rPr>
      </w:pPr>
      <w:r>
        <w:rPr>
          <w:rFonts w:hint="eastAsia" w:ascii="宋体" w:hAnsi="宋体" w:cs="仿宋_GB2312"/>
          <w:color w:val="000000"/>
          <w:szCs w:val="21"/>
        </w:rPr>
        <w:t>视频综合平台参考ATCA(AdvancedTelecommunicationsComputingArchitecture高级电信计算架构)标准设计，支持模拟及数字视频输入、模拟及数字矩阵切换、视频图像拼控管理、高清数字视频输出等功能，是一款集图像处理、网络功能、日志管理、用户和权限管理、设备维护于一体的电信级视频综合处理交换平台。</w:t>
      </w:r>
    </w:p>
    <w:p>
      <w:pPr>
        <w:spacing w:line="400" w:lineRule="exact"/>
        <w:ind w:firstLine="480"/>
        <w:rPr>
          <w:rFonts w:ascii="宋体" w:hAnsi="宋体" w:cs="仿宋_GB2312"/>
          <w:color w:val="000000"/>
          <w:szCs w:val="21"/>
        </w:rPr>
      </w:pPr>
      <w:r>
        <w:rPr>
          <w:rFonts w:hint="eastAsia" w:ascii="宋体" w:hAnsi="宋体" w:cs="仿宋_GB2312"/>
          <w:color w:val="000000"/>
          <w:szCs w:val="21"/>
        </w:rPr>
        <w:t>视频综合平台拼控可实现如下功能：</w:t>
      </w:r>
    </w:p>
    <w:p>
      <w:pPr>
        <w:spacing w:line="400" w:lineRule="exact"/>
        <w:ind w:firstLine="480"/>
        <w:rPr>
          <w:rFonts w:ascii="宋体" w:hAnsi="宋体" w:cs="仿宋_GB2312"/>
          <w:color w:val="000000"/>
          <w:szCs w:val="21"/>
        </w:rPr>
      </w:pPr>
      <w:r>
        <w:rPr>
          <w:rFonts w:hint="eastAsia" w:ascii="宋体" w:hAnsi="宋体" w:cs="仿宋_GB2312"/>
          <w:color w:val="000000"/>
          <w:szCs w:val="21"/>
        </w:rPr>
        <w:t>1)</w:t>
      </w:r>
      <w:r>
        <w:rPr>
          <w:rFonts w:hint="eastAsia" w:ascii="宋体" w:hAnsi="宋体" w:cs="仿宋_GB2312"/>
          <w:color w:val="000000"/>
          <w:szCs w:val="21"/>
        </w:rPr>
        <w:tab/>
      </w:r>
      <w:r>
        <w:rPr>
          <w:rFonts w:hint="eastAsia" w:ascii="宋体" w:hAnsi="宋体" w:cs="仿宋_GB2312"/>
          <w:color w:val="000000"/>
          <w:szCs w:val="21"/>
        </w:rPr>
        <w:t>单屏显示：组合大屏的每个单元单独显示一路视频画面，每个单元的视频信号可以任意切换</w:t>
      </w:r>
    </w:p>
    <w:p>
      <w:pPr>
        <w:spacing w:line="400" w:lineRule="exact"/>
        <w:ind w:firstLine="480"/>
        <w:rPr>
          <w:rFonts w:ascii="宋体" w:hAnsi="宋体" w:cs="仿宋_GB2312"/>
          <w:color w:val="000000"/>
          <w:szCs w:val="21"/>
        </w:rPr>
      </w:pPr>
      <w:r>
        <w:rPr>
          <w:rFonts w:hint="eastAsia" w:ascii="宋体" w:hAnsi="宋体" w:cs="仿宋_GB2312"/>
          <w:color w:val="000000"/>
          <w:szCs w:val="21"/>
        </w:rPr>
        <w:t xml:space="preserve"> </w:t>
      </w:r>
      <w:r>
        <w:rPr>
          <w:rFonts w:ascii="宋体" w:hAnsi="宋体" w:cs="仿宋_GB2312"/>
          <w:color w:val="000000"/>
          <w:szCs w:val="21"/>
        </w:rPr>
        <w:t>整屏显示</w:t>
      </w:r>
      <w:r>
        <w:rPr>
          <w:rFonts w:hint="eastAsia" w:ascii="宋体" w:hAnsi="宋体" w:cs="仿宋_GB2312"/>
          <w:color w:val="000000"/>
          <w:szCs w:val="21"/>
        </w:rPr>
        <w:t>：整个大屏显示一路完整的视频图像，显示的图像可以是复合视频（PAL或NTSC）、VGA、S-Video、Ypbpr/YCbCr、DVI。</w:t>
      </w:r>
    </w:p>
    <w:p>
      <w:pPr>
        <w:pStyle w:val="54"/>
        <w:rPr>
          <w:color w:val="000000"/>
        </w:rPr>
      </w:pPr>
      <w:r>
        <w:rPr>
          <w:color w:val="000000"/>
          <w:lang/>
        </w:rPr>
        <w:drawing>
          <wp:inline distT="0" distB="0" distL="114300" distR="114300">
            <wp:extent cx="5276850" cy="2983865"/>
            <wp:effectExtent l="0" t="0" r="0" b="6985"/>
            <wp:docPr id="18" name="图片 66" descr="C:\Users\yanchuhan\Desktop\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descr="C:\Users\yanchuhan\Desktop\未标题-1.jpg"/>
                    <pic:cNvPicPr>
                      <a:picLocks noChangeAspect="1"/>
                    </pic:cNvPicPr>
                  </pic:nvPicPr>
                  <pic:blipFill>
                    <a:blip r:embed="rId18"/>
                    <a:stretch>
                      <a:fillRect/>
                    </a:stretch>
                  </pic:blipFill>
                  <pic:spPr>
                    <a:xfrm>
                      <a:off x="0" y="0"/>
                      <a:ext cx="5276850" cy="2983865"/>
                    </a:xfrm>
                    <a:prstGeom prst="rect">
                      <a:avLst/>
                    </a:prstGeom>
                    <a:noFill/>
                    <a:ln>
                      <a:noFill/>
                    </a:ln>
                  </pic:spPr>
                </pic:pic>
              </a:graphicData>
            </a:graphic>
          </wp:inline>
        </w:drawing>
      </w:r>
    </w:p>
    <w:p>
      <w:pPr>
        <w:pStyle w:val="54"/>
        <w:rPr>
          <w:color w:val="000000"/>
        </w:rPr>
      </w:pPr>
    </w:p>
    <w:p>
      <w:pPr>
        <w:pStyle w:val="54"/>
        <w:rPr>
          <w:color w:val="000000"/>
        </w:rPr>
      </w:pPr>
    </w:p>
    <w:p>
      <w:pPr>
        <w:pStyle w:val="54"/>
        <w:rPr>
          <w:color w:val="000000"/>
        </w:rPr>
      </w:pPr>
    </w:p>
    <w:p>
      <w:pPr>
        <w:pStyle w:val="54"/>
        <w:rPr>
          <w:rFonts w:hint="eastAsia"/>
          <w:color w:val="000000"/>
        </w:rPr>
      </w:pPr>
    </w:p>
    <w:p>
      <w:pPr>
        <w:spacing w:line="400" w:lineRule="exact"/>
        <w:ind w:firstLine="480"/>
        <w:rPr>
          <w:rFonts w:ascii="宋体" w:hAnsi="宋体" w:cs="仿宋_GB2312"/>
          <w:color w:val="000000"/>
          <w:szCs w:val="21"/>
        </w:rPr>
      </w:pPr>
      <w:r>
        <w:rPr>
          <w:rFonts w:hint="eastAsia" w:ascii="宋体" w:hAnsi="宋体" w:cs="仿宋_GB2312"/>
          <w:color w:val="000000"/>
          <w:szCs w:val="21"/>
        </w:rPr>
        <w:t>单屏</w:t>
      </w:r>
      <w:r>
        <w:rPr>
          <w:rFonts w:ascii="宋体" w:hAnsi="宋体" w:cs="仿宋_GB2312"/>
          <w:color w:val="000000"/>
          <w:szCs w:val="21"/>
        </w:rPr>
        <w:t>任意分割显示</w:t>
      </w:r>
      <w:r>
        <w:rPr>
          <w:rFonts w:hint="eastAsia" w:ascii="宋体" w:hAnsi="宋体" w:cs="仿宋_GB2312"/>
          <w:color w:val="000000"/>
          <w:szCs w:val="21"/>
        </w:rPr>
        <w:t>：以一个屏为单元可任意1、4、9、16路画面分割显示。</w:t>
      </w:r>
    </w:p>
    <w:p>
      <w:pPr>
        <w:pStyle w:val="54"/>
        <w:rPr>
          <w:color w:val="000000"/>
        </w:rPr>
      </w:pPr>
      <w:r>
        <w:rPr>
          <w:color w:val="000000"/>
          <w:lang/>
        </w:rPr>
        <w:drawing>
          <wp:inline distT="0" distB="0" distL="114300" distR="114300">
            <wp:extent cx="5276850" cy="3693795"/>
            <wp:effectExtent l="0" t="0" r="0" b="1905"/>
            <wp:docPr id="19" name="图片 65" descr="任意画面分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5" descr="任意画面分割"/>
                    <pic:cNvPicPr>
                      <a:picLocks noChangeAspect="1"/>
                    </pic:cNvPicPr>
                  </pic:nvPicPr>
                  <pic:blipFill>
                    <a:blip r:embed="rId19"/>
                    <a:stretch>
                      <a:fillRect/>
                    </a:stretch>
                  </pic:blipFill>
                  <pic:spPr>
                    <a:xfrm>
                      <a:off x="0" y="0"/>
                      <a:ext cx="5276850" cy="3693795"/>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r>
        <w:rPr>
          <w:rFonts w:hint="eastAsia" w:ascii="宋体" w:hAnsi="宋体" w:cs="仿宋_GB2312"/>
          <w:color w:val="000000"/>
          <w:szCs w:val="21"/>
        </w:rPr>
        <w:t xml:space="preserve"> </w:t>
      </w:r>
      <w:r>
        <w:rPr>
          <w:rFonts w:ascii="宋体" w:hAnsi="宋体" w:cs="仿宋_GB2312"/>
          <w:color w:val="000000"/>
          <w:szCs w:val="21"/>
        </w:rPr>
        <w:t>图像叠加</w:t>
      </w:r>
      <w:r>
        <w:rPr>
          <w:rFonts w:hint="eastAsia" w:ascii="宋体" w:hAnsi="宋体" w:cs="仿宋_GB2312"/>
          <w:color w:val="000000"/>
          <w:szCs w:val="21"/>
        </w:rPr>
        <w:t>：可以将任意一个或者多个信号叠加到其他信号之上显示。</w:t>
      </w:r>
    </w:p>
    <w:p>
      <w:pPr>
        <w:pStyle w:val="54"/>
        <w:rPr>
          <w:color w:val="000000"/>
        </w:rPr>
      </w:pPr>
      <w:r>
        <w:rPr>
          <w:color w:val="000000"/>
          <w:lang/>
        </w:rPr>
        <w:drawing>
          <wp:inline distT="0" distB="0" distL="114300" distR="114300">
            <wp:extent cx="5268595" cy="3950970"/>
            <wp:effectExtent l="0" t="0" r="8255" b="11430"/>
            <wp:docPr id="20" name="图片 64" descr="图像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4" descr="图像叠加"/>
                    <pic:cNvPicPr>
                      <a:picLocks noChangeAspect="1"/>
                    </pic:cNvPicPr>
                  </pic:nvPicPr>
                  <pic:blipFill>
                    <a:blip r:embed="rId20"/>
                    <a:stretch>
                      <a:fillRect/>
                    </a:stretch>
                  </pic:blipFill>
                  <pic:spPr>
                    <a:xfrm>
                      <a:off x="0" y="0"/>
                      <a:ext cx="5268595" cy="3950970"/>
                    </a:xfrm>
                    <a:prstGeom prst="rect">
                      <a:avLst/>
                    </a:prstGeom>
                    <a:noFill/>
                    <a:ln>
                      <a:noFill/>
                    </a:ln>
                  </pic:spPr>
                </pic:pic>
              </a:graphicData>
            </a:graphic>
          </wp:inline>
        </w:drawing>
      </w:r>
    </w:p>
    <w:p>
      <w:pPr>
        <w:spacing w:line="400" w:lineRule="exact"/>
        <w:ind w:firstLine="480"/>
        <w:rPr>
          <w:rFonts w:ascii="宋体" w:hAnsi="宋体" w:cs="仿宋_GB2312"/>
          <w:color w:val="000000"/>
          <w:szCs w:val="21"/>
        </w:rPr>
      </w:pPr>
      <w:r>
        <w:rPr>
          <w:rFonts w:hint="eastAsia" w:ascii="宋体" w:hAnsi="宋体" w:cs="仿宋_GB2312"/>
          <w:color w:val="000000"/>
          <w:szCs w:val="21"/>
        </w:rPr>
        <w:t xml:space="preserve"> 全屏</w:t>
      </w:r>
      <w:r>
        <w:rPr>
          <w:rFonts w:ascii="宋体" w:hAnsi="宋体" w:cs="仿宋_GB2312"/>
          <w:color w:val="000000"/>
          <w:szCs w:val="21"/>
        </w:rPr>
        <w:t>任意</w:t>
      </w:r>
      <w:r>
        <w:rPr>
          <w:rFonts w:hint="eastAsia" w:ascii="宋体" w:hAnsi="宋体" w:cs="仿宋_GB2312"/>
          <w:color w:val="000000"/>
          <w:szCs w:val="21"/>
        </w:rPr>
        <w:t>分</w:t>
      </w:r>
      <w:r>
        <w:rPr>
          <w:rFonts w:ascii="宋体" w:hAnsi="宋体" w:cs="仿宋_GB2312"/>
          <w:color w:val="000000"/>
          <w:szCs w:val="21"/>
        </w:rPr>
        <w:t>割显示</w:t>
      </w:r>
      <w:r>
        <w:rPr>
          <w:rFonts w:hint="eastAsia" w:ascii="宋体" w:hAnsi="宋体" w:cs="仿宋_GB2312"/>
          <w:color w:val="000000"/>
          <w:szCs w:val="21"/>
        </w:rPr>
        <w:t>：可以对任意重要目标细节画面进行切割放大显示。</w:t>
      </w:r>
    </w:p>
    <w:p>
      <w:pPr>
        <w:pStyle w:val="3"/>
        <w:rPr>
          <w:rFonts w:hint="eastAsia"/>
          <w:color w:val="000000"/>
        </w:rPr>
      </w:pPr>
    </w:p>
    <w:p>
      <w:pPr>
        <w:spacing w:before="156" w:after="156"/>
        <w:ind w:firstLine="480"/>
        <w:rPr>
          <w:color w:val="000000"/>
        </w:rPr>
      </w:pPr>
      <w:r>
        <w:rPr>
          <w:color w:val="000000"/>
          <w:lang/>
        </w:rPr>
        <w:drawing>
          <wp:inline distT="0" distB="0" distL="114300" distR="114300">
            <wp:extent cx="5272405" cy="2533650"/>
            <wp:effectExtent l="0" t="0" r="4445" b="0"/>
            <wp:docPr id="21" name="图片 63" descr="画面任意切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3" descr="画面任意切割"/>
                    <pic:cNvPicPr>
                      <a:picLocks noChangeAspect="1"/>
                    </pic:cNvPicPr>
                  </pic:nvPicPr>
                  <pic:blipFill>
                    <a:blip r:embed="rId21"/>
                    <a:stretch>
                      <a:fillRect/>
                    </a:stretch>
                  </pic:blipFill>
                  <pic:spPr>
                    <a:xfrm>
                      <a:off x="0" y="0"/>
                      <a:ext cx="5272405" cy="2533650"/>
                    </a:xfrm>
                    <a:prstGeom prst="rect">
                      <a:avLst/>
                    </a:prstGeom>
                    <a:noFill/>
                    <a:ln>
                      <a:noFill/>
                    </a:ln>
                  </pic:spPr>
                </pic:pic>
              </a:graphicData>
            </a:graphic>
          </wp:inline>
        </w:drawing>
      </w:r>
    </w:p>
    <w:p>
      <w:pPr>
        <w:spacing w:before="156" w:after="156"/>
        <w:ind w:firstLine="480"/>
        <w:rPr>
          <w:color w:val="000000"/>
        </w:rPr>
      </w:pPr>
    </w:p>
    <w:p>
      <w:pPr>
        <w:spacing w:line="400" w:lineRule="exact"/>
        <w:ind w:firstLine="420" w:firstLineChars="200"/>
        <w:rPr>
          <w:rFonts w:ascii="宋体" w:hAnsi="宋体" w:cs="仿宋_GB2312"/>
          <w:color w:val="000000"/>
          <w:szCs w:val="21"/>
        </w:rPr>
      </w:pPr>
      <w:r>
        <w:rPr>
          <w:rFonts w:ascii="宋体" w:hAnsi="宋体" w:cs="仿宋_GB2312"/>
          <w:color w:val="000000"/>
          <w:szCs w:val="21"/>
        </w:rPr>
        <w:t>图像半透明混合处理</w:t>
      </w:r>
      <w:r>
        <w:rPr>
          <w:rFonts w:hint="eastAsia" w:ascii="宋体" w:hAnsi="宋体" w:cs="仿宋_GB2312"/>
          <w:color w:val="000000"/>
          <w:szCs w:val="21"/>
        </w:rPr>
        <w:t>:可将任意一个信号叠加到其他信号（地图）之上，图像透明度可调，即可以看到实图像又不覆盖其他信号。</w:t>
      </w:r>
    </w:p>
    <w:p>
      <w:pPr>
        <w:spacing w:before="156" w:after="156"/>
        <w:ind w:firstLine="480"/>
        <w:rPr>
          <w:color w:val="000000"/>
        </w:rPr>
      </w:pPr>
      <w:r>
        <w:rPr>
          <w:color w:val="000000"/>
          <w:lang/>
        </w:rPr>
        <w:drawing>
          <wp:inline distT="0" distB="0" distL="114300" distR="114300">
            <wp:extent cx="5275580" cy="3339465"/>
            <wp:effectExtent l="0" t="0" r="1270" b="13335"/>
            <wp:docPr id="2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1"/>
                    <pic:cNvPicPr>
                      <a:picLocks noChangeAspect="1"/>
                    </pic:cNvPicPr>
                  </pic:nvPicPr>
                  <pic:blipFill>
                    <a:blip r:embed="rId22"/>
                    <a:stretch>
                      <a:fillRect/>
                    </a:stretch>
                  </pic:blipFill>
                  <pic:spPr>
                    <a:xfrm>
                      <a:off x="0" y="0"/>
                      <a:ext cx="5275580" cy="333946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 xml:space="preserve"> </w:t>
      </w:r>
      <w:r>
        <w:rPr>
          <w:rFonts w:ascii="宋体" w:hAnsi="宋体" w:cs="仿宋_GB2312"/>
          <w:color w:val="000000"/>
          <w:szCs w:val="21"/>
        </w:rPr>
        <w:t>图像漫游</w:t>
      </w:r>
      <w:r>
        <w:rPr>
          <w:rFonts w:hint="eastAsia" w:ascii="宋体" w:hAnsi="宋体" w:cs="仿宋_GB2312"/>
          <w:color w:val="000000"/>
          <w:szCs w:val="21"/>
        </w:rPr>
        <w:t>：将任意一个信号在整个大屏上进行随意移动。</w:t>
      </w:r>
    </w:p>
    <w:p>
      <w:pPr>
        <w:pStyle w:val="3"/>
        <w:rPr>
          <w:rFonts w:hint="eastAsia"/>
          <w:color w:val="000000"/>
        </w:rPr>
      </w:pPr>
    </w:p>
    <w:p>
      <w:pPr>
        <w:spacing w:before="156" w:after="156"/>
        <w:ind w:firstLine="480"/>
        <w:rPr>
          <w:color w:val="000000"/>
        </w:rPr>
      </w:pPr>
      <w:r>
        <w:rPr>
          <w:color w:val="000000"/>
          <w:lang/>
        </w:rPr>
        <w:drawing>
          <wp:inline distT="0" distB="0" distL="114300" distR="114300">
            <wp:extent cx="5276850" cy="2983865"/>
            <wp:effectExtent l="0" t="0" r="0" b="6985"/>
            <wp:docPr id="23" name="图片 60" descr="C:\Users\yanchuhan\Desktop\LCD-9分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0" descr="C:\Users\yanchuhan\Desktop\LCD-9分屏.jpg"/>
                    <pic:cNvPicPr>
                      <a:picLocks noChangeAspect="1"/>
                    </pic:cNvPicPr>
                  </pic:nvPicPr>
                  <pic:blipFill>
                    <a:blip r:embed="rId23"/>
                    <a:stretch>
                      <a:fillRect/>
                    </a:stretch>
                  </pic:blipFill>
                  <pic:spPr>
                    <a:xfrm>
                      <a:off x="0" y="0"/>
                      <a:ext cx="5276850" cy="2983865"/>
                    </a:xfrm>
                    <a:prstGeom prst="rect">
                      <a:avLst/>
                    </a:prstGeom>
                    <a:noFill/>
                    <a:ln>
                      <a:noFill/>
                    </a:ln>
                  </pic:spPr>
                </pic:pic>
              </a:graphicData>
            </a:graphic>
          </wp:inline>
        </w:drawing>
      </w:r>
    </w:p>
    <w:p>
      <w:pPr>
        <w:spacing w:before="156" w:after="156"/>
        <w:ind w:firstLine="480"/>
        <w:rPr>
          <w:color w:val="000000"/>
        </w:rPr>
      </w:pP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 xml:space="preserve"> </w:t>
      </w:r>
      <w:r>
        <w:rPr>
          <w:rFonts w:ascii="宋体" w:hAnsi="宋体" w:cs="仿宋_GB2312"/>
          <w:color w:val="000000"/>
          <w:szCs w:val="21"/>
        </w:rPr>
        <w:t>图像拉伸</w:t>
      </w:r>
      <w:r>
        <w:rPr>
          <w:rFonts w:hint="eastAsia" w:ascii="宋体" w:hAnsi="宋体" w:cs="仿宋_GB2312"/>
          <w:color w:val="000000"/>
          <w:szCs w:val="21"/>
        </w:rPr>
        <w:t>：可将一个信号在整个屏幕墙上随意缩放。</w:t>
      </w:r>
    </w:p>
    <w:p>
      <w:pPr>
        <w:pStyle w:val="54"/>
        <w:rPr>
          <w:color w:val="000000"/>
        </w:rPr>
      </w:pPr>
      <w:r>
        <w:rPr>
          <w:color w:val="000000"/>
          <w:lang/>
        </w:rPr>
        <w:drawing>
          <wp:inline distT="0" distB="0" distL="114300" distR="114300">
            <wp:extent cx="5272405" cy="3514725"/>
            <wp:effectExtent l="0" t="0" r="4445" b="9525"/>
            <wp:docPr id="24" name="图片 59" descr="视频缩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9" descr="视频缩放"/>
                    <pic:cNvPicPr>
                      <a:picLocks noChangeAspect="1"/>
                    </pic:cNvPicPr>
                  </pic:nvPicPr>
                  <pic:blipFill>
                    <a:blip r:embed="rId24"/>
                    <a:stretch>
                      <a:fillRect/>
                    </a:stretch>
                  </pic:blipFill>
                  <pic:spPr>
                    <a:xfrm>
                      <a:off x="0" y="0"/>
                      <a:ext cx="5272405" cy="3514725"/>
                    </a:xfrm>
                    <a:prstGeom prst="rect">
                      <a:avLst/>
                    </a:prstGeom>
                    <a:noFill/>
                    <a:ln>
                      <a:noFill/>
                    </a:ln>
                  </pic:spPr>
                </pic:pic>
              </a:graphicData>
            </a:graphic>
          </wp:inline>
        </w:drawing>
      </w:r>
    </w:p>
    <w:p>
      <w:pPr>
        <w:pStyle w:val="54"/>
        <w:rPr>
          <w:color w:val="000000"/>
        </w:rPr>
      </w:pPr>
    </w:p>
    <w:p>
      <w:pPr>
        <w:pStyle w:val="2"/>
        <w:ind w:firstLine="0" w:firstLineChars="0"/>
        <w:rPr>
          <w:rFonts w:hint="eastAsia"/>
          <w:color w:val="000000"/>
        </w:rPr>
      </w:pPr>
    </w:p>
    <w:p>
      <w:pPr>
        <w:spacing w:line="400" w:lineRule="exact"/>
        <w:ind w:firstLine="420" w:firstLineChars="200"/>
        <w:rPr>
          <w:rFonts w:ascii="宋体" w:hAnsi="宋体" w:cs="仿宋_GB2312"/>
          <w:color w:val="000000"/>
          <w:szCs w:val="21"/>
        </w:rPr>
      </w:pPr>
      <w:bookmarkStart w:id="72" w:name="_Toc165"/>
      <w:bookmarkStart w:id="73" w:name="_Toc26481"/>
      <w:r>
        <w:rPr>
          <w:rFonts w:hint="eastAsia" w:ascii="宋体" w:hAnsi="宋体" w:cs="仿宋_GB2312"/>
          <w:color w:val="000000"/>
          <w:szCs w:val="21"/>
        </w:rPr>
        <w:t>3.1.5 集中控制管理系统设计</w:t>
      </w:r>
      <w:bookmarkEnd w:id="72"/>
      <w:bookmarkEnd w:id="73"/>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视频综合平台客户端软件，客户可在控制住机上安装客户端软件，对接入视频综合平台的外部视频信号（包括VGA、BNC、DVI、HDMI、IP、HD-SDI、3G-SDI、光纤、Y</w:t>
      </w:r>
      <w:r>
        <w:rPr>
          <w:rFonts w:ascii="宋体" w:hAnsi="宋体" w:cs="仿宋_GB2312"/>
          <w:color w:val="000000"/>
          <w:szCs w:val="21"/>
        </w:rPr>
        <w:t>p</w:t>
      </w:r>
      <w:r>
        <w:rPr>
          <w:rFonts w:hint="eastAsia" w:ascii="宋体" w:hAnsi="宋体" w:cs="仿宋_GB2312"/>
          <w:color w:val="000000"/>
          <w:szCs w:val="21"/>
        </w:rPr>
        <w:t>bPr等）进行管理及显示处理，支持对视频综合平台的配置与管理。</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客户通过客户端可以实现在L</w:t>
      </w:r>
      <w:r>
        <w:rPr>
          <w:rFonts w:ascii="宋体" w:hAnsi="宋体" w:cs="仿宋_GB2312"/>
          <w:color w:val="000000"/>
          <w:szCs w:val="21"/>
        </w:rPr>
        <w:t>CD</w:t>
      </w:r>
      <w:r>
        <w:rPr>
          <w:rFonts w:hint="eastAsia" w:ascii="宋体" w:hAnsi="宋体" w:cs="仿宋_GB2312"/>
          <w:color w:val="000000"/>
          <w:szCs w:val="21"/>
        </w:rPr>
        <w:t>屏幕的单屏显示、整屏显示、画面任意拼接、漫游缩放及分割、跨屏显示、信号切换、场景设置、信号预览、虚拟LED等一系列功能。此外，客户端还支持权限管理，客户可以同时进行多人操作，根据平台的权限管理可设置不同的操作权限。</w:t>
      </w:r>
    </w:p>
    <w:p>
      <w:pPr>
        <w:spacing w:line="400" w:lineRule="exact"/>
        <w:ind w:firstLine="420" w:firstLineChars="200"/>
        <w:rPr>
          <w:rFonts w:ascii="宋体" w:hAnsi="宋体" w:cs="仿宋_GB2312"/>
          <w:color w:val="000000"/>
          <w:szCs w:val="21"/>
        </w:rPr>
      </w:pPr>
      <w:bookmarkStart w:id="74" w:name="_Toc28476"/>
      <w:bookmarkStart w:id="75" w:name="_Toc5531"/>
      <w:r>
        <w:rPr>
          <w:rFonts w:hint="eastAsia" w:ascii="宋体" w:hAnsi="宋体" w:cs="仿宋_GB2312"/>
          <w:color w:val="000000"/>
          <w:szCs w:val="21"/>
        </w:rPr>
        <w:t>3.1.6 超高分显示系统设计</w:t>
      </w:r>
      <w:bookmarkEnd w:id="74"/>
      <w:bookmarkEnd w:id="75"/>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在项目建设中，超高分显示系统必须包含以下三个部分：高清多屏电视墙拼接系统、超高分显示控制系统、超高分软件及承载服务器。其中超高分软件可使用第三方高分辨率软件。</w:t>
      </w:r>
    </w:p>
    <w:p>
      <w:pPr>
        <w:pStyle w:val="54"/>
        <w:rPr>
          <w:color w:val="000000"/>
        </w:rPr>
      </w:pPr>
      <w:r>
        <w:rPr>
          <w:color w:val="000000"/>
          <w:lang/>
        </w:rPr>
        <w:drawing>
          <wp:inline distT="0" distB="0" distL="114300" distR="114300">
            <wp:extent cx="5535930" cy="2553335"/>
            <wp:effectExtent l="0" t="0" r="7620" b="18415"/>
            <wp:docPr id="25" name="图片 226" descr="686A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6" descr="686A0422"/>
                    <pic:cNvPicPr>
                      <a:picLocks noChangeAspect="1"/>
                    </pic:cNvPicPr>
                  </pic:nvPicPr>
                  <pic:blipFill>
                    <a:blip r:embed="rId25"/>
                    <a:srcRect l="4692" t="20335" r="4341" b="16960"/>
                    <a:stretch>
                      <a:fillRect/>
                    </a:stretch>
                  </pic:blipFill>
                  <pic:spPr>
                    <a:xfrm>
                      <a:off x="0" y="0"/>
                      <a:ext cx="5535930" cy="255333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超高分可视化系统由拼接大屏、视频综合平台、超高分数据软件和承载服务器一体机组成。其中拼接大屏展现最终的系统界面；视频综合平台负责视频的分割、拼接上墙等综合处理；超高分拼接服务器负责将数据可视化系统进行超高分拼接并将超高分视频信号输出给视频综合平台拼接上墙。</w:t>
      </w:r>
    </w:p>
    <w:p>
      <w:pPr>
        <w:pStyle w:val="3"/>
        <w:rPr>
          <w:rFonts w:hint="eastAsia"/>
          <w:color w:val="000000"/>
        </w:rPr>
      </w:pPr>
    </w:p>
    <w:p>
      <w:pPr>
        <w:pStyle w:val="54"/>
        <w:rPr>
          <w:color w:val="000000"/>
        </w:rPr>
      </w:pPr>
      <w:r>
        <w:rPr>
          <w:color w:val="000000"/>
          <w:lang/>
        </w:rPr>
        <w:drawing>
          <wp:inline distT="0" distB="0" distL="114300" distR="114300">
            <wp:extent cx="5281295" cy="3881755"/>
            <wp:effectExtent l="0" t="0" r="14605" b="444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6"/>
                    <a:stretch>
                      <a:fillRect/>
                    </a:stretch>
                  </pic:blipFill>
                  <pic:spPr>
                    <a:xfrm>
                      <a:off x="0" y="0"/>
                      <a:ext cx="5281295" cy="388175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系统由如下几部分组件构成：</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w:t>
      </w:r>
      <w:r>
        <w:rPr>
          <w:rFonts w:hint="eastAsia" w:ascii="宋体" w:hAnsi="宋体" w:cs="仿宋_GB2312"/>
          <w:color w:val="000000"/>
          <w:szCs w:val="21"/>
        </w:rPr>
        <w:tab/>
      </w:r>
      <w:r>
        <w:rPr>
          <w:rFonts w:hint="eastAsia" w:ascii="宋体" w:hAnsi="宋体" w:cs="仿宋_GB2312"/>
          <w:color w:val="000000"/>
          <w:szCs w:val="21"/>
        </w:rPr>
        <w:t>客户端：用于配置电视墙大屏布局，远程控制数据图墙界面打开以及对图墙进行配置和操作；</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w:t>
      </w:r>
      <w:r>
        <w:rPr>
          <w:rFonts w:hint="eastAsia" w:ascii="宋体" w:hAnsi="宋体" w:cs="仿宋_GB2312"/>
          <w:color w:val="000000"/>
          <w:szCs w:val="21"/>
        </w:rPr>
        <w:tab/>
      </w:r>
      <w:r>
        <w:rPr>
          <w:rFonts w:hint="eastAsia" w:ascii="宋体" w:hAnsi="宋体" w:cs="仿宋_GB2312"/>
          <w:color w:val="000000"/>
          <w:szCs w:val="21"/>
        </w:rPr>
        <w:t>超高分服务器：用于数据图墙展示界面以超高分辨率桌面输出，可视化软件可部署在其中；</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w:t>
      </w:r>
      <w:r>
        <w:rPr>
          <w:rFonts w:hint="eastAsia" w:ascii="宋体" w:hAnsi="宋体" w:cs="仿宋_GB2312"/>
          <w:color w:val="000000"/>
          <w:szCs w:val="21"/>
        </w:rPr>
        <w:tab/>
      </w:r>
      <w:r>
        <w:rPr>
          <w:rFonts w:hint="eastAsia" w:ascii="宋体" w:hAnsi="宋体" w:cs="仿宋_GB2312"/>
          <w:color w:val="000000"/>
          <w:szCs w:val="21"/>
        </w:rPr>
        <w:t>视频综合平台：通过N根DP视频线，接收超高分服务器桌面视频源切换拼接上墙</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w:t>
      </w:r>
      <w:r>
        <w:rPr>
          <w:rFonts w:hint="eastAsia" w:ascii="宋体" w:hAnsi="宋体" w:cs="仿宋_GB2312"/>
          <w:color w:val="000000"/>
          <w:szCs w:val="21"/>
        </w:rPr>
        <w:tab/>
      </w:r>
      <w:r>
        <w:rPr>
          <w:rFonts w:hint="eastAsia" w:ascii="宋体" w:hAnsi="宋体" w:cs="仿宋_GB2312"/>
          <w:color w:val="000000"/>
          <w:szCs w:val="21"/>
        </w:rPr>
        <w:t>LED大屏：用于内容最终展示；</w:t>
      </w:r>
    </w:p>
    <w:p>
      <w:pPr>
        <w:spacing w:line="400" w:lineRule="exact"/>
        <w:ind w:firstLine="420" w:firstLineChars="200"/>
        <w:rPr>
          <w:rFonts w:ascii="宋体" w:hAnsi="宋体" w:cs="仿宋_GB2312"/>
          <w:color w:val="000000"/>
          <w:szCs w:val="21"/>
        </w:rPr>
      </w:pPr>
      <w:bookmarkStart w:id="76" w:name="_Toc3939"/>
      <w:r>
        <w:rPr>
          <w:rFonts w:hint="eastAsia" w:ascii="宋体" w:hAnsi="宋体" w:cs="仿宋_GB2312"/>
          <w:color w:val="000000"/>
          <w:szCs w:val="21"/>
        </w:rPr>
        <w:t>5）超高分显示控制系统</w:t>
      </w:r>
      <w:bookmarkEnd w:id="76"/>
      <w:r>
        <w:rPr>
          <w:rFonts w:hint="eastAsia" w:ascii="宋体" w:hAnsi="宋体" w:cs="仿宋_GB2312"/>
          <w:color w:val="000000"/>
          <w:szCs w:val="21"/>
        </w:rPr>
        <w:t>：作为“图像源——大屏显示”中间的图像控制系统，需要完成超高分图像接入、超高分辨率图像绑定并无缩放点对点处理、超高分辨率拼接输出功能。</w:t>
      </w:r>
    </w:p>
    <w:p>
      <w:pPr>
        <w:spacing w:line="400" w:lineRule="exact"/>
        <w:ind w:firstLine="420" w:firstLineChars="200"/>
        <w:rPr>
          <w:rFonts w:ascii="宋体" w:hAnsi="宋体" w:cs="仿宋_GB2312"/>
          <w:color w:val="000000"/>
          <w:szCs w:val="21"/>
        </w:rPr>
      </w:pPr>
      <w:bookmarkStart w:id="77" w:name="_Toc956"/>
      <w:r>
        <w:rPr>
          <w:rFonts w:hint="eastAsia" w:ascii="宋体" w:hAnsi="宋体" w:cs="仿宋_GB2312"/>
          <w:color w:val="000000"/>
          <w:szCs w:val="21"/>
        </w:rPr>
        <w:t>6）超高分软件及承载服务器</w:t>
      </w:r>
      <w:bookmarkEnd w:id="77"/>
      <w:r>
        <w:rPr>
          <w:rFonts w:hint="eastAsia" w:ascii="宋体" w:hAnsi="宋体" w:cs="仿宋_GB2312"/>
          <w:color w:val="000000"/>
          <w:szCs w:val="21"/>
        </w:rPr>
        <w:t>：软件支持4K~千万像素级超高分图像生成，便于拼接电视墙整体点对点显示。超高分承载服务器，需要将软件生成的图像源通过1个4K或多个4K接口将整体图像分割成多个进行输出，多图像之间需要服务器具备显卡同步功能。输出后接入到拼接控制器当中。</w:t>
      </w:r>
    </w:p>
    <w:p>
      <w:pPr>
        <w:spacing w:line="400" w:lineRule="exact"/>
        <w:ind w:firstLine="420" w:firstLineChars="200"/>
        <w:rPr>
          <w:rFonts w:ascii="宋体" w:hAnsi="宋体" w:cs="仿宋_GB2312"/>
          <w:color w:val="000000"/>
          <w:szCs w:val="21"/>
        </w:rPr>
      </w:pPr>
      <w:bookmarkStart w:id="78" w:name="_Toc6241"/>
      <w:bookmarkStart w:id="79" w:name="_Toc26994"/>
      <w:r>
        <w:rPr>
          <w:rFonts w:hint="eastAsia" w:ascii="宋体" w:hAnsi="宋体" w:cs="仿宋_GB2312"/>
          <w:color w:val="000000"/>
          <w:szCs w:val="21"/>
        </w:rPr>
        <w:t>3.2 音频系统</w:t>
      </w:r>
      <w:bookmarkEnd w:id="78"/>
      <w:bookmarkEnd w:id="79"/>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指挥中心大厅的主扩声音箱采用6只1</w:t>
      </w:r>
      <w:r>
        <w:rPr>
          <w:rFonts w:ascii="宋体" w:hAnsi="宋体" w:cs="仿宋_GB2312"/>
          <w:color w:val="000000"/>
          <w:szCs w:val="21"/>
        </w:rPr>
        <w:t>50W</w:t>
      </w:r>
      <w:r>
        <w:rPr>
          <w:rFonts w:hint="eastAsia" w:ascii="宋体" w:hAnsi="宋体" w:cs="仿宋_GB2312"/>
          <w:color w:val="000000"/>
          <w:szCs w:val="21"/>
        </w:rPr>
        <w:t>模块化线性列阵扬声器，会商决策区采用4只1</w:t>
      </w:r>
      <w:r>
        <w:rPr>
          <w:rFonts w:ascii="宋体" w:hAnsi="宋体" w:cs="仿宋_GB2312"/>
          <w:color w:val="000000"/>
          <w:szCs w:val="21"/>
        </w:rPr>
        <w:t>50W</w:t>
      </w:r>
      <w:r>
        <w:rPr>
          <w:rFonts w:hint="eastAsia" w:ascii="宋体" w:hAnsi="宋体" w:cs="仿宋_GB2312"/>
          <w:color w:val="000000"/>
          <w:szCs w:val="21"/>
        </w:rPr>
        <w:t>模块化线性列阵扬声器，使用会议室时，整个扩声系统以高质量的语言清晰度为目标，同时在会议前后播放音乐时也具有较宽的频响和音乐的柔谐度。</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为了保证多功能厅的抗啸叫能力，我们采取了下列三个措施：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通过数字音频处理器以调节主扩声音箱的在厅内的频率响应；</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选用单方向性好的心型话筒，以其自身优越的轴向声接受达到良好的抗啸叫效果。</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系统中不配置声反馈抑制器而以合理布置扬声器的方式控制啸叫的产生，是为了保证扩声音质的高保真度。</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会商区内，我们考虑的发言系统主要用于主席台席的人员发言，在这里我们配置根据会场的需要配置20套可升降鹅颈话筒、10个电子身份显示无线会议讨论单元，设置一台无线接入点，可制定发言模式、输出音量和耳机监听音量。在指挥中心大厅的观摩席位，考虑安装10套可升降鹅颈话筒，同时考虑到讲解的人员的发言提问，还增加了</w:t>
      </w:r>
      <w:r>
        <w:rPr>
          <w:rFonts w:ascii="宋体" w:hAnsi="宋体" w:cs="仿宋_GB2312"/>
          <w:color w:val="000000"/>
          <w:szCs w:val="21"/>
        </w:rPr>
        <w:t>2</w:t>
      </w:r>
      <w:r>
        <w:rPr>
          <w:rFonts w:hint="eastAsia" w:ascii="宋体" w:hAnsi="宋体" w:cs="仿宋_GB2312"/>
          <w:color w:val="000000"/>
          <w:szCs w:val="21"/>
        </w:rPr>
        <w:t xml:space="preserve">套领夹式话筒2套手持无线话筒。 </w:t>
      </w:r>
    </w:p>
    <w:p>
      <w:pPr>
        <w:spacing w:line="400" w:lineRule="exact"/>
        <w:ind w:firstLine="420" w:firstLineChars="200"/>
        <w:rPr>
          <w:rFonts w:ascii="宋体" w:hAnsi="宋体" w:cs="仿宋_GB2312"/>
          <w:color w:val="000000"/>
          <w:szCs w:val="21"/>
        </w:rPr>
      </w:pPr>
      <w:bookmarkStart w:id="80" w:name="_Toc20962"/>
      <w:bookmarkStart w:id="81" w:name="_Toc3711"/>
      <w:r>
        <w:rPr>
          <w:rFonts w:hint="eastAsia" w:ascii="宋体" w:hAnsi="宋体" w:cs="仿宋_GB2312"/>
          <w:color w:val="000000"/>
          <w:szCs w:val="21"/>
        </w:rPr>
        <w:t>3.3 视频会议</w:t>
      </w:r>
      <w:bookmarkEnd w:id="80"/>
      <w:bookmarkEnd w:id="81"/>
    </w:p>
    <w:p>
      <w:pPr>
        <w:pStyle w:val="54"/>
        <w:rPr>
          <w:color w:val="000000"/>
        </w:rPr>
      </w:pPr>
      <w:r>
        <w:rPr>
          <w:color w:val="000000"/>
          <w:lang/>
        </w:rPr>
        <w:drawing>
          <wp:inline distT="0" distB="0" distL="114300" distR="114300">
            <wp:extent cx="5079365" cy="2308225"/>
            <wp:effectExtent l="0" t="0" r="6985" b="15875"/>
            <wp:docPr id="2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8"/>
                    <pic:cNvPicPr>
                      <a:picLocks noChangeAspect="1"/>
                    </pic:cNvPicPr>
                  </pic:nvPicPr>
                  <pic:blipFill>
                    <a:blip r:embed="rId27"/>
                    <a:stretch>
                      <a:fillRect/>
                    </a:stretch>
                  </pic:blipFill>
                  <pic:spPr>
                    <a:xfrm>
                      <a:off x="0" y="0"/>
                      <a:ext cx="5079365" cy="2308225"/>
                    </a:xfrm>
                    <a:prstGeom prst="rect">
                      <a:avLst/>
                    </a:prstGeom>
                    <a:noFill/>
                    <a:ln>
                      <a:noFill/>
                    </a:ln>
                  </pic:spPr>
                </pic:pic>
              </a:graphicData>
            </a:graphic>
          </wp:inline>
        </w:drawing>
      </w:r>
    </w:p>
    <w:p>
      <w:pPr>
        <w:spacing w:line="400" w:lineRule="exact"/>
        <w:ind w:firstLine="420" w:firstLineChars="200"/>
        <w:rPr>
          <w:rFonts w:hint="eastAsia" w:ascii="宋体" w:hAnsi="宋体" w:cs="仿宋_GB2312"/>
          <w:color w:val="000000"/>
          <w:szCs w:val="21"/>
        </w:rPr>
      </w:pPr>
      <w:r>
        <w:rPr>
          <w:rFonts w:hint="eastAsia" w:ascii="宋体" w:hAnsi="宋体" w:cs="仿宋_GB2312"/>
          <w:color w:val="000000"/>
          <w:szCs w:val="21"/>
        </w:rPr>
        <w:t>本次项目指挥中心大厅设计一套司法部点名会议系统及分体式视频会议主机，另外在会商区设计一套一体式视频会议主机。会商区一体式视频会议主机要求配置组会功能，能够支持6个会场组会。</w:t>
      </w:r>
    </w:p>
    <w:p>
      <w:pPr>
        <w:spacing w:line="400" w:lineRule="exact"/>
        <w:ind w:firstLine="420" w:firstLineChars="200"/>
        <w:rPr>
          <w:rFonts w:ascii="宋体" w:hAnsi="宋体" w:cs="仿宋_GB2312"/>
          <w:color w:val="000000"/>
          <w:szCs w:val="21"/>
        </w:rPr>
      </w:pPr>
      <w:bookmarkStart w:id="82" w:name="_Toc14049"/>
      <w:r>
        <w:rPr>
          <w:rFonts w:hint="eastAsia" w:ascii="宋体" w:hAnsi="宋体" w:cs="仿宋_GB2312"/>
          <w:color w:val="000000"/>
          <w:szCs w:val="21"/>
        </w:rPr>
        <w:t>3.4 无纸化办公系统</w:t>
      </w:r>
      <w:bookmarkEnd w:id="82"/>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 桌面终端功能要求</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3.4.1.1支持排位显示；能将几个小时的手工操作缩短为几秒钟，具备模拟排位、支持页面布局，包括缺席机制、新增机制、换位机制，能瞬间更新，名字自动移动并显示；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3.4.1.2支持会议触控签到功能，能够实现参会人员电子签到、统计会议出席情况，签到同时自动下载会议文件（根据人员权限），并且签到数据可实时投影到大屏幕显示并支持后台统一控制；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3.4.1.3支持会议文件查阅；对于各项议题文件实行严格权限管理，与会人员如果不涉及某个议题文件，会议终端自动屏蔽该议题文件在本终端上显示，会议结束后，所有资料自动删除；</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3.4.1.4支持批注功能；对可操作文件进行批注，修改，保存；</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3.4.1.5支持交互式电子白板功能，可多人同时电子白板上进行圈划、书写、交流、保存；</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3.4.1.6支持表决功能；对议题表决支持赞成、反对、弃权。表决结果实时投影到大屏幕，显示当前投票情况，并投票结果支持保存；</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3.4.1.7支持终端一键同屏；任何一台终端可以在会议过程中一键同屏画面到其他会议终端，进行讨论；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3.4.1.8支持会议终端一键进入同屏状态；当与会者终端，就各自关心的命题、内容提前进行思考，阅览或是回溯阅览后可以一键进入同屏模式下接收同屏信息；</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3.4.1.9支持会议主席机功能，会议主持人具备控制会议现场的一切管理权限。如强制同步某个信号、停止信息交流、统一进行签到、统一表决开始与结束等；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3.4.1.10支持会议交流功能；支持短信交流，可以一对一进行会议交流；</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3.4.1.11支持会议中服务功能；预设茶水、笔、服务员等，也可以自定义呼叫。</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 服务器软件与主席机功能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3.4.2.1支持常用操作系统安装，一键完成各个功能模块安装；</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3.4.2.2支持多会议预置功能；一次可以设置多场会议，包括参会人员、会议信息、会议文件等。一键切换下场会议，瞬间更新；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3.4.2.3支持图像界面修正参会人员与参会单位，支持批量导入与会议人员，支持界面操作，支持智能排位功能，包括：人们、背景、LOGO、字体、颜色等；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3.4.2.4支持远程访问控制会议流程（提供用户名与密码），可以实现无人值守；</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3.4.2.5支持会中集控功能；随意切换音视频源与终端信号并实时显示到会议终端或到大屏幕，可以统一控制信号的交互，如1号终端画面到其他显示终端，或到大屏幕、支持外部信号如笔记本电脑，台式电脑信号到全部会议终端或到大屏幕；</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3.4.2.6支持集中签到，并且画面到大屏幕显示签到实时情况与数据，支持集中表决，表决结果画面实时投影到大屏幕；</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3.4.2.7支持对终端的集中开关机控制，并检查连接状态等检测.；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3.4.2.8支持会议交流功能；支持系统通知群发，支持对单个或多个终端进行单独通知；</w:t>
      </w:r>
    </w:p>
    <w:p>
      <w:pPr>
        <w:spacing w:line="400" w:lineRule="exact"/>
        <w:ind w:firstLine="420" w:firstLineChars="200"/>
        <w:rPr>
          <w:rFonts w:ascii="宋体" w:hAnsi="宋体" w:cs="仿宋_GB2312"/>
          <w:color w:val="000000"/>
          <w:szCs w:val="21"/>
        </w:rPr>
      </w:pPr>
      <w:bookmarkStart w:id="83" w:name="_Toc16177"/>
      <w:bookmarkStart w:id="84" w:name="_Toc28500"/>
      <w:r>
        <w:rPr>
          <w:rFonts w:hint="eastAsia" w:ascii="宋体" w:hAnsi="宋体" w:cs="仿宋_GB2312"/>
          <w:color w:val="000000"/>
          <w:szCs w:val="21"/>
        </w:rPr>
        <w:t>3.4.3 基本功能</w:t>
      </w:r>
      <w:bookmarkEnd w:id="83"/>
      <w:bookmarkEnd w:id="84"/>
    </w:p>
    <w:p>
      <w:pPr>
        <w:pStyle w:val="3"/>
        <w:rPr>
          <w:rFonts w:hint="eastAsia"/>
          <w:color w:val="000000"/>
        </w:rPr>
      </w:pPr>
    </w:p>
    <w:p>
      <w:pPr>
        <w:pStyle w:val="54"/>
        <w:rPr>
          <w:color w:val="000000"/>
        </w:rPr>
      </w:pPr>
      <w:r>
        <w:rPr>
          <w:color w:val="000000"/>
          <w:lang/>
        </w:rPr>
        <w:drawing>
          <wp:inline distT="0" distB="0" distL="114300" distR="114300">
            <wp:extent cx="5872480" cy="2852420"/>
            <wp:effectExtent l="0" t="0" r="13970" b="508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28"/>
                    <a:stretch>
                      <a:fillRect/>
                    </a:stretch>
                  </pic:blipFill>
                  <pic:spPr>
                    <a:xfrm>
                      <a:off x="0" y="0"/>
                      <a:ext cx="5872480" cy="2852420"/>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1）会议信息</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该功能为参会人员提供了查看会议基本信息和会议日程简略信息以及当前会议人员的签到情况，具体可看到人员的座位号、姓名、工作单位、职位和签到时间。</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2）议程文稿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参会人员可通过会议日程查看议程安排，以便做好计划。会议文稿界面左侧展示本次会议议程，右侧显示对应议程的议程信息、汇报人、议程状态以及与此议程相关的文档。</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3）人员签到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该功能为参会人员提供了查看全体参会人员基本信息的功能，具体展现参会人员的座位号、姓名、公司名称、职位和签到时间。</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4）批注查看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该功能显示当前会议人员对会议文档己所做批注。点击“阅读”按钮可再次编辑。</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5）会议记录</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参会人员可通过会议记录功能编写自己所需要记录的文字内容，并可编辑、修改、删除、保存和导出。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6）投票表决</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投票功能为会议进行过程中相应的表决和选举进行投票的功能,首先需要会议主持人进行发起投票，然后参会人员可以选择投票选项。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7）电子白板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“电子白板”可提供多人白板互动功能，参会人员可以发起白板同步邀请，可将画板动作同步到其他参与画板同步的客户端，支持多人同步以及控制个人和他人画板笔迹显示隐藏。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8）视频直播</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注：该功能需要流媒体服务器支持和客户端功能支持。</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通过视频炬阵切换可以直播高清摄像头，视频会议等直播画面，可全屏播放，也可投放到大屏。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9）监控平台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该功能需要对接监控设备和客户端功能支持，并且提供SDK开发包进行二次开发。</w:t>
      </w:r>
    </w:p>
    <w:p>
      <w:pPr>
        <w:pStyle w:val="3"/>
        <w:rPr>
          <w:rFonts w:hint="eastAsia"/>
          <w:color w:val="000000"/>
        </w:rPr>
      </w:pPr>
    </w:p>
    <w:p>
      <w:pPr>
        <w:pStyle w:val="54"/>
        <w:rPr>
          <w:color w:val="000000"/>
        </w:rPr>
      </w:pPr>
      <w:r>
        <w:rPr>
          <w:color w:val="000000"/>
          <w:lang/>
        </w:rPr>
        <w:drawing>
          <wp:inline distT="0" distB="0" distL="114300" distR="114300">
            <wp:extent cx="5607050" cy="2607945"/>
            <wp:effectExtent l="0" t="0" r="0" b="1905"/>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29"/>
                    <a:stretch>
                      <a:fillRect/>
                    </a:stretch>
                  </pic:blipFill>
                  <pic:spPr>
                    <a:xfrm>
                      <a:off x="0" y="0"/>
                      <a:ext cx="5607050" cy="260794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1）一键同屏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一键同屏功能主要用于领导、主持人、主讲人、参会人员的本地屏幕同步给所有人员，在别人的屏幕上同步显示分享人的桌面显示内容.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2）交流提示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参会人员通过文字进行交流的即时通讯工具,支持1对1,1对多模式。可创建聊天组。</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3）呼叫服务</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后台提供了必备的茶、水、笔、纸等常用服务等呼叫，支持自定义呼叫内容和呼叫服务人员。</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4）信息发布</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信息发布属于高级功能，包含所有需要发布到大屏幕的信息，包括：签到统计、投票统计、视频直播等功能。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5）视频点播</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用户可本地播放会议视频资料，并可通过“同屏播放”按钮，通知其用户共同播放该视频，会议主席（主持人）可发起同屏播放，强制其他客户端播放此视频。</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6）资料管理</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“资料管理”功能主要提供管理和浏览Ftp服务器以及本地资源管理器的文件，参会人员可将资料管理里的文件快速上传到本次会议议程文档或上传到个人Ftp目录。</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7）资料导出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该功能提供参会人员可以选择导出本次会议过程中个人所做会议批注和会议记录。</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8）基于WIN10系统嵌入式开发、系统安全稳定，支持用户安装其他办公软件。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9）采用多点电容触控，查看及操作简单、便捷，类似与平板的触控体验，系统可支持无线键盘鼠标或手写板。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10）液晶屏终端为高分辨率（1920*1080dpi），屏幕视角为IPS全视角液晶屏，显示效果清晰亮丽。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11）升降器与触控屏无缝连接，无外露连接线，无连接背板。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12）系统采用纯网线组网，大大减轻了施工难度，提高了系统稳定性和可维护性。</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13）该系统覆盖会前、会中、会后全部流程，提供高品质会议服务，系统支持会议签到、表决投票、网上浏览、短消息通知、电子白板、手写批注、主持功能、中控功能等多项常用会议功能集成助力实现会议无纸化。</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14）支持原文件智能支持原文件智能分发功能，不需要文件进行二次转化；智能分发件具备权限功能，与会人员如果不涉及这个文件，会议终端自动屏蔽该文件显示。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15）支持自由交互功能，任何会议终端在会议过程中按照会议安排支持一键广播本地画面到其他会议终端与大屏幕同步显示。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16）服务器支持视频上传，支持本地视频点播和视频直播功能，直播视频流支持RTSP/RTMP；</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17）各终端可以一键退出同步画面进行自由异步查看会议文稿。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18）会议终端支持一键跟踪功能，会议终端在异步浏览文件的同时支持一键切换并跟踪主讲，显示主讲同步画面。</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19）支持与传统信号互联互通，直接将会场的公共投影的PPT、远程视频等各种高清图像、视频，广播到各个会议终端，进行同步显示。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20）PC模式：把无纸化终端作为普通PC电脑使用，并可以不借助其他第三方软件完成计算机桌面画面共享到其他会议终端与大屏幕同步显示。</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21）支持主席控制功能，具备签到管理、议题管理、投票管理、信号管理、结束会议等控制权限。</w:t>
      </w:r>
    </w:p>
    <w:p>
      <w:pPr>
        <w:spacing w:line="400" w:lineRule="exact"/>
        <w:ind w:firstLine="420" w:firstLineChars="200"/>
        <w:rPr>
          <w:rFonts w:ascii="宋体" w:hAnsi="宋体" w:cs="仿宋_GB2312"/>
          <w:color w:val="000000"/>
          <w:szCs w:val="21"/>
        </w:rPr>
      </w:pPr>
      <w:bookmarkStart w:id="85" w:name="_Toc11772"/>
      <w:r>
        <w:rPr>
          <w:rFonts w:hint="eastAsia" w:ascii="宋体" w:hAnsi="宋体" w:cs="仿宋_GB2312"/>
          <w:color w:val="000000"/>
          <w:szCs w:val="21"/>
        </w:rPr>
        <w:t>3.5 集中控制系统</w:t>
      </w:r>
      <w:bookmarkEnd w:id="85"/>
    </w:p>
    <w:p>
      <w:pPr>
        <w:spacing w:line="400" w:lineRule="exact"/>
        <w:ind w:firstLine="420" w:firstLineChars="200"/>
        <w:rPr>
          <w:rFonts w:ascii="宋体" w:hAnsi="宋体" w:cs="仿宋_GB2312"/>
          <w:color w:val="000000"/>
          <w:szCs w:val="21"/>
        </w:rPr>
      </w:pPr>
      <w:bookmarkStart w:id="86" w:name="_Toc32620"/>
      <w:bookmarkStart w:id="87" w:name="_Toc30445"/>
      <w:r>
        <w:rPr>
          <w:rFonts w:hint="eastAsia" w:ascii="宋体" w:hAnsi="宋体" w:cs="仿宋_GB2312"/>
          <w:color w:val="000000"/>
          <w:szCs w:val="21"/>
        </w:rPr>
        <w:t>3.5.1 总体设计</w:t>
      </w:r>
      <w:bookmarkEnd w:id="86"/>
      <w:bookmarkEnd w:id="87"/>
    </w:p>
    <w:p>
      <w:pPr>
        <w:pStyle w:val="54"/>
        <w:rPr>
          <w:color w:val="000000"/>
        </w:rPr>
      </w:pPr>
      <w:r>
        <w:rPr>
          <w:color w:val="000000"/>
          <w:lang/>
        </w:rPr>
        <w:drawing>
          <wp:inline distT="0" distB="0" distL="114300" distR="114300">
            <wp:extent cx="5108575" cy="2597785"/>
            <wp:effectExtent l="0" t="0" r="15875" b="12065"/>
            <wp:docPr id="30"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6"/>
                    <pic:cNvPicPr>
                      <a:picLocks noChangeAspect="1"/>
                    </pic:cNvPicPr>
                  </pic:nvPicPr>
                  <pic:blipFill>
                    <a:blip r:embed="rId30"/>
                    <a:stretch>
                      <a:fillRect/>
                    </a:stretch>
                  </pic:blipFill>
                  <pic:spPr>
                    <a:xfrm>
                      <a:off x="0" y="0"/>
                      <a:ext cx="5108575" cy="259778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采用平板电脑控制厅内的所有电气设备，包括控制窗帘升降、摄像机设备、信号切换，以及会场内的灯光照明、系统调光、音量调节等。简单明确的中文界面，只需用手轻触触摸屏上相应的界面，系统就会自动帮你实现你所想做的功能。采用中央集成控制系统大大简化了操作过程。所有音、视频信号通过质量可靠、技术先进的矩阵切换器进行选择。</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现代化多功能会议室，智能化程度在不断的提高，虽然会议室因功能不同而产生了配套设备的差异，但总的来说，现在的智能会议室配套设备一般都包括中央控制系统，来实现对会议室周边设备的集中控制。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会议室工程中，中央控制系统的身份就相当于会议室配套设备的“总管”、“沟通桥梁”，现代化的会议系统产品，在功能设计上，一直以围绕着中控系统来展开，除了满足一般会议系统的功能，保证会议系统的高性能、高品质外，特别强调“摄像跟踪功能”和“会议系统+中控系统完美搭配”，也就是说在功能上与中控系统进行完美的整合。</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方案在会议系统的摄像跟踪功能的设计，取消了一般会议系统在完成摄像跟踪功能时所配套的繁杂而功能单一的配置，不需要传统的控制键盘，不需要多摄像头跟踪时所必需的摄像跟踪切换台。取而代之的是通过一般会议室都会用到的中控系统来实现这一功能。在会议室里，一套完整的中控系统里包括控制主机、触摸屏操作界面、矩阵切换器，充分利用了现有的资源来实现摄像跟踪功能，无需增加其它任何设备。</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会议系统摄像跟踪功能的方式，采用了中控主机作为“会议系统主机”与“摄像头”之间的沟通桥梁即信息处理中心，触摸屏作为用户的操作界面。中控主机可以处理各种控制信号并实现对相关设备的控制，触摸屏则提供给用户一个相当友好的操作界面，可以实现摄像头的云台和镜头控制，并根据会场环境存储预置位。这样设计极大程度的提高了会议室配套设备的集成度，充分体现了现代会议室的智能化。</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传统的会议系统管理都是依赖主机直接操作，再进一步就是通过后台管理软件由专业的机务员来操作，这样的操作方式在一定程度上有违会议室智能化的发展方向。现在使用的会议系统将提供专门的接口，与中央控制系统相搭配后，可以替代管理软件，直接通过触摸屏操作界面来实现对整个会议系统的全面管理。</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触摸屏界面可以根据具体的用户需求进行设计，包括功能需求、可视化效果要求、模拟会场环境等方面。摒弃了操作繁琐的软件管理界面，最大程度的实现更友好、更人性化的人机界面。</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通过中央控制系统可实现的会议系统管理功能可以全面替代软件功能，包括：</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w:t>
      </w:r>
      <w:r>
        <w:rPr>
          <w:rFonts w:hint="eastAsia" w:ascii="宋体" w:hAnsi="宋体" w:cs="仿宋_GB2312"/>
          <w:color w:val="000000"/>
          <w:szCs w:val="21"/>
        </w:rPr>
        <w:tab/>
      </w:r>
      <w:r>
        <w:rPr>
          <w:rFonts w:hint="eastAsia" w:ascii="宋体" w:hAnsi="宋体" w:cs="仿宋_GB2312"/>
          <w:color w:val="000000"/>
          <w:szCs w:val="21"/>
        </w:rPr>
        <w:t>会议模式选择：正常模式/先入先出模式/申请发言等；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w:t>
      </w:r>
      <w:r>
        <w:rPr>
          <w:rFonts w:hint="eastAsia" w:ascii="宋体" w:hAnsi="宋体" w:cs="仿宋_GB2312"/>
          <w:color w:val="000000"/>
          <w:szCs w:val="21"/>
        </w:rPr>
        <w:tab/>
      </w:r>
      <w:r>
        <w:rPr>
          <w:rFonts w:hint="eastAsia" w:ascii="宋体" w:hAnsi="宋体" w:cs="仿宋_GB2312"/>
          <w:color w:val="000000"/>
          <w:szCs w:val="21"/>
        </w:rPr>
        <w:t>最多发言人数选择：1/2/4/6；</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w:t>
      </w:r>
      <w:r>
        <w:rPr>
          <w:rFonts w:hint="eastAsia" w:ascii="宋体" w:hAnsi="宋体" w:cs="仿宋_GB2312"/>
          <w:color w:val="000000"/>
          <w:szCs w:val="21"/>
        </w:rPr>
        <w:tab/>
      </w:r>
      <w:r>
        <w:rPr>
          <w:rFonts w:hint="eastAsia" w:ascii="宋体" w:hAnsi="宋体" w:cs="仿宋_GB2312"/>
          <w:color w:val="000000"/>
          <w:szCs w:val="21"/>
        </w:rPr>
        <w:t>会场编排功能：直接把会场环境在触摸屏上表现出来，操作员一目了然；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w:t>
      </w:r>
      <w:r>
        <w:rPr>
          <w:rFonts w:hint="eastAsia" w:ascii="宋体" w:hAnsi="宋体" w:cs="仿宋_GB2312"/>
          <w:color w:val="000000"/>
          <w:szCs w:val="21"/>
        </w:rPr>
        <w:tab/>
      </w:r>
      <w:r>
        <w:rPr>
          <w:rFonts w:hint="eastAsia" w:ascii="宋体" w:hAnsi="宋体" w:cs="仿宋_GB2312"/>
          <w:color w:val="000000"/>
          <w:szCs w:val="21"/>
        </w:rPr>
        <w:t>指定发言：管理人员拥有最高权力，可以直接控制代表发言单元的麦克风开/关，并可以查看当前会场各发言单元的麦克风开/关状态（需要双向触摸屏支持）；</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5.</w:t>
      </w:r>
      <w:r>
        <w:rPr>
          <w:rFonts w:hint="eastAsia" w:ascii="宋体" w:hAnsi="宋体" w:cs="仿宋_GB2312"/>
          <w:color w:val="000000"/>
          <w:szCs w:val="21"/>
        </w:rPr>
        <w:tab/>
      </w:r>
      <w:r>
        <w:rPr>
          <w:rFonts w:hint="eastAsia" w:ascii="宋体" w:hAnsi="宋体" w:cs="仿宋_GB2312"/>
          <w:color w:val="000000"/>
          <w:szCs w:val="21"/>
        </w:rPr>
        <w:t>表决的进程管理：可以发起/停止表决议程，并可显示当前表决方案的结果（需要双向触摸屏支持）；</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通过中央控制系统来实现对会议系统全面管理的方式，会议系统与中央控制系统之间实现无缝连接，传统会议系统的管理也从来没有达到过如此高程度的智能化，开创了会议室的新的智能模式。</w:t>
      </w:r>
    </w:p>
    <w:p>
      <w:pPr>
        <w:spacing w:line="400" w:lineRule="exact"/>
        <w:ind w:firstLine="420" w:firstLineChars="200"/>
        <w:rPr>
          <w:rFonts w:ascii="宋体" w:hAnsi="宋体" w:cs="仿宋_GB2312"/>
          <w:color w:val="000000"/>
          <w:szCs w:val="21"/>
        </w:rPr>
      </w:pPr>
      <w:bookmarkStart w:id="88" w:name="_Toc26300"/>
      <w:bookmarkStart w:id="89" w:name="_Toc25336"/>
      <w:r>
        <w:rPr>
          <w:rFonts w:hint="eastAsia" w:ascii="宋体" w:hAnsi="宋体" w:cs="仿宋_GB2312"/>
          <w:color w:val="000000"/>
          <w:szCs w:val="21"/>
        </w:rPr>
        <w:t>3.5.2 控制系统的功能实现</w:t>
      </w:r>
      <w:bookmarkEnd w:id="88"/>
      <w:bookmarkEnd w:id="89"/>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系统为一全自动控制系统,通过彩色触摸屏，对会议室的视音频播放设备、信号切换、设备电源、投影、摄像机、门禁及对讲系统等作统一集中控制。使用户透过单一接口,便能对整个空间的视音频设备、投影、音量等达到完全控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主机可实现密码设置，权限设置，双向操作系统和系统备份的强大功能；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用ITIRP控制DVD、VCR、功放，实现A/V系统的自动化控制；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通过主机上的RS232口控制摄像机、矩阵，实现大屏的功能控制及所有音视频信号的自由切换；</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通过ITLT8控制窗帘升降和设备电源，实现所有电源的自动控制；</w:t>
      </w:r>
    </w:p>
    <w:p>
      <w:pPr>
        <w:spacing w:line="400" w:lineRule="exact"/>
        <w:ind w:firstLine="420" w:firstLineChars="200"/>
        <w:rPr>
          <w:rFonts w:ascii="宋体" w:hAnsi="宋体" w:cs="仿宋_GB2312"/>
          <w:color w:val="000000"/>
          <w:szCs w:val="21"/>
        </w:rPr>
      </w:pPr>
      <w:bookmarkStart w:id="90" w:name="_Toc1405"/>
      <w:r>
        <w:rPr>
          <w:rFonts w:hint="eastAsia" w:ascii="宋体" w:hAnsi="宋体" w:cs="仿宋_GB2312"/>
          <w:color w:val="000000"/>
          <w:szCs w:val="21"/>
        </w:rPr>
        <w:t>3.6 综合布线及网络系统</w:t>
      </w:r>
      <w:bookmarkEnd w:id="90"/>
    </w:p>
    <w:p>
      <w:pPr>
        <w:spacing w:line="400" w:lineRule="exact"/>
        <w:ind w:firstLine="420" w:firstLineChars="200"/>
        <w:rPr>
          <w:rFonts w:ascii="宋体" w:hAnsi="宋体" w:cs="仿宋_GB2312"/>
          <w:color w:val="000000"/>
          <w:szCs w:val="21"/>
        </w:rPr>
      </w:pPr>
      <w:bookmarkStart w:id="91" w:name="_Toc135"/>
      <w:bookmarkStart w:id="92" w:name="_Toc18239"/>
      <w:r>
        <w:rPr>
          <w:rFonts w:hint="eastAsia" w:ascii="宋体" w:hAnsi="宋体" w:cs="仿宋_GB2312"/>
          <w:color w:val="000000"/>
          <w:szCs w:val="21"/>
        </w:rPr>
        <w:t>3.6.1 工作区子系统</w:t>
      </w:r>
      <w:bookmarkEnd w:id="91"/>
      <w:bookmarkEnd w:id="92"/>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工作区是放置应用系统设备的地方。它由终端设备连接到信息插座的连线（或接插软线）组成。计算机终端通过RJ45跳线与数据信息插座连接，而电话机终端则通过RJ11跳线与语音信息插座连接，其中数据和语音信息插座均采用相同标准的模块，插座底盒距离装修地面30cm。信息插座也可以接入无线网桥，提供无线接入。</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在各工作区内的信息插座主要安装于墙面上，指挥中心操作台则另外专门配置桌面插座。</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信息插座底座的固定方法因施工现场条件而定，宜采用扩张螺钉、射钉等方式。固定螺钉需拧紧，不应产生松动现象，面板安装后应平整干净。</w:t>
      </w:r>
    </w:p>
    <w:p>
      <w:pPr>
        <w:spacing w:line="400" w:lineRule="exact"/>
        <w:ind w:firstLine="420" w:firstLineChars="200"/>
        <w:rPr>
          <w:rFonts w:ascii="宋体" w:hAnsi="宋体" w:cs="仿宋_GB2312"/>
          <w:color w:val="000000"/>
          <w:szCs w:val="21"/>
        </w:rPr>
      </w:pPr>
      <w:bookmarkStart w:id="93" w:name="_Toc8621"/>
      <w:bookmarkStart w:id="94" w:name="_Toc29120"/>
      <w:r>
        <w:rPr>
          <w:rFonts w:hint="eastAsia" w:ascii="宋体" w:hAnsi="宋体" w:cs="仿宋_GB2312"/>
          <w:color w:val="000000"/>
          <w:szCs w:val="21"/>
        </w:rPr>
        <w:t>3.6.2 水平区子系统</w:t>
      </w:r>
      <w:bookmarkEnd w:id="93"/>
      <w:bookmarkEnd w:id="94"/>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水平子系统是将干线子系统经楼层配线间的管理区连接并延伸到工作区的信息插座。水平子系统与干线子系统的区别在于：水平子系统总是处在同一楼层上，线缆一端接在配线间的配线架上，另一端接在信息插座上。在建筑物内，干线子系统总是位于垂直的弱电间，并采用大对数双绞电缆或光缆，而水平子系统多为4对双绞电缆。这些双绞电缆能支持大多数终端设备。在需要较高宽带应用时，水平子系统也可以采用“光纤到桌面”的方案。</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根据国际标准对综合布线系统的“综合性”要求，无论终端设备为何种应用（如数据、语音、传真、无线接入、门禁），水平区子系统线缆均使用六类非屏蔽双绞线（UTP），并且线缆内部为十字分隔设计；</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（2）、水平子系统穿线管均选用符合国标的金属管安装，在施工过程中不应将强弱电线缆在同一金属管内穿放；</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（3）、设计合理的布线路由。必须考虑与强电的配合，避免出现与强电供电电源管路在找平层出现交叉现象；</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（4）、在吊顶或楼道内内敷设水平金属槽式桥架和垂直水平金属桥架，同时配备必须的托臂、螺杆吊挂、接地线等附件。</w:t>
      </w:r>
    </w:p>
    <w:p>
      <w:pPr>
        <w:spacing w:line="400" w:lineRule="exact"/>
        <w:ind w:firstLine="420" w:firstLineChars="200"/>
        <w:rPr>
          <w:rFonts w:ascii="宋体" w:hAnsi="宋体" w:cs="仿宋_GB2312"/>
          <w:color w:val="000000"/>
          <w:szCs w:val="21"/>
        </w:rPr>
      </w:pPr>
      <w:bookmarkStart w:id="95" w:name="_Toc6455"/>
      <w:bookmarkStart w:id="96" w:name="_Toc17342"/>
      <w:r>
        <w:rPr>
          <w:rFonts w:hint="eastAsia" w:ascii="宋体" w:hAnsi="宋体" w:cs="仿宋_GB2312"/>
          <w:color w:val="000000"/>
          <w:szCs w:val="21"/>
        </w:rPr>
        <w:t>3.6.3 管理间子系统</w:t>
      </w:r>
      <w:bookmarkEnd w:id="95"/>
      <w:bookmarkEnd w:id="96"/>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配线架位于配套机房，它采用交连和互连等方式，管理干线子系统和水平子系统的线缆。管理区为连通各个子系统提供连接手段，它相当于电话系统中每层配线箱或电话分线盒部分，本次项目管理间位于于指挥中心机房内，设置7只4</w:t>
      </w:r>
      <w:r>
        <w:rPr>
          <w:rFonts w:ascii="宋体" w:hAnsi="宋体" w:cs="仿宋_GB2312"/>
          <w:color w:val="000000"/>
          <w:szCs w:val="21"/>
        </w:rPr>
        <w:t>2U600*1200*2000</w:t>
      </w:r>
      <w:r>
        <w:rPr>
          <w:rFonts w:hint="eastAsia" w:ascii="宋体" w:hAnsi="宋体" w:cs="仿宋_GB2312"/>
          <w:color w:val="000000"/>
          <w:szCs w:val="21"/>
        </w:rPr>
        <w:t>机柜。</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管理间水平铜缆的配线架全部采用六类非屏蔽的RJ45模块化配线架；垂直主干数据配线架由24口机架式光纤配线箱组成，楼层主干光纤适配器采用LC接口；主干语音配线架采用110型100对对机架式配线架。各种配线架在楼层配线管理间内全部采用2米标准19英寸机柜安装，机柜均需提供安装底座，可由机柜后出线。楼层管理间及机房内，均需设计并安装各机柜至垂直桥架的金属走线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为便于语音和数据的互换和扩展，所有接入楼层配线间的语音水平铜缆，在配线间均须首先接入六类非屏蔽RJ45模块化配线架后，数据点通过RJ45-RJ45连接至网络交换机，语音点通过RJ45-110跳线连接至语音主干110配线架上。</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管理间内数据配线架跳线，均选用同一品牌布线系统的成品跳线，按各网配线间上架双绞线总数满配；从光分线盒至网络设备的光纤跳线，根据网络设备光纤口的数量和类型，按实际端口使用数量配备光纤跳线。</w:t>
      </w:r>
    </w:p>
    <w:p>
      <w:pPr>
        <w:spacing w:line="400" w:lineRule="exact"/>
        <w:ind w:firstLine="420" w:firstLineChars="200"/>
        <w:rPr>
          <w:rFonts w:ascii="宋体" w:hAnsi="宋体" w:cs="仿宋_GB2312"/>
          <w:color w:val="000000"/>
          <w:szCs w:val="21"/>
        </w:rPr>
      </w:pPr>
      <w:bookmarkStart w:id="97" w:name="_Toc16820"/>
      <w:bookmarkStart w:id="98" w:name="_Toc26583"/>
      <w:r>
        <w:rPr>
          <w:rFonts w:hint="eastAsia" w:ascii="宋体" w:hAnsi="宋体" w:cs="仿宋_GB2312"/>
          <w:color w:val="000000"/>
          <w:szCs w:val="21"/>
        </w:rPr>
        <w:t>3.6.4 主干区子系统</w:t>
      </w:r>
      <w:bookmarkEnd w:id="97"/>
      <w:bookmarkEnd w:id="98"/>
    </w:p>
    <w:p>
      <w:pPr>
        <w:spacing w:line="400" w:lineRule="exact"/>
        <w:ind w:firstLine="420" w:firstLineChars="200"/>
        <w:rPr>
          <w:rFonts w:hint="eastAsia" w:ascii="宋体" w:hAnsi="宋体" w:cs="仿宋_GB2312"/>
          <w:color w:val="000000"/>
          <w:szCs w:val="21"/>
        </w:rPr>
      </w:pPr>
      <w:r>
        <w:rPr>
          <w:rFonts w:hint="eastAsia" w:ascii="宋体" w:hAnsi="宋体" w:cs="仿宋_GB2312"/>
          <w:color w:val="000000"/>
          <w:szCs w:val="21"/>
        </w:rPr>
        <w:t>主干线路采用2条</w:t>
      </w:r>
      <w:r>
        <w:rPr>
          <w:rFonts w:ascii="宋体" w:hAnsi="宋体" w:cs="仿宋_GB2312"/>
          <w:color w:val="000000"/>
          <w:szCs w:val="21"/>
        </w:rPr>
        <w:t>24</w:t>
      </w:r>
      <w:r>
        <w:rPr>
          <w:rFonts w:hint="eastAsia" w:ascii="宋体" w:hAnsi="宋体" w:cs="仿宋_GB2312"/>
          <w:color w:val="000000"/>
          <w:szCs w:val="21"/>
        </w:rPr>
        <w:t>芯室外铠装单模光缆，采用单模光缆（9/125um），两端分别端接在配套机房ODF和监狱光交箱的ODF上。</w:t>
      </w:r>
    </w:p>
    <w:p>
      <w:pPr>
        <w:spacing w:line="400" w:lineRule="exact"/>
        <w:ind w:firstLine="420" w:firstLineChars="200"/>
        <w:rPr>
          <w:rFonts w:ascii="宋体" w:hAnsi="宋体" w:cs="仿宋_GB2312"/>
          <w:color w:val="000000"/>
          <w:szCs w:val="21"/>
        </w:rPr>
      </w:pPr>
      <w:bookmarkStart w:id="99" w:name="_Toc29356"/>
      <w:r>
        <w:rPr>
          <w:rFonts w:hint="eastAsia" w:ascii="宋体" w:hAnsi="宋体" w:cs="仿宋_GB2312"/>
          <w:color w:val="000000"/>
          <w:szCs w:val="21"/>
        </w:rPr>
        <w:t>3.7 指挥中心操作台</w:t>
      </w:r>
      <w:bookmarkEnd w:id="99"/>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控制台在监控调度指挥中心中扮演着不可或缺的角色，每一个指挥中心都有一整套配合对应环境和操作条件而设计的控制台，不论是对操作使用功能上的需要还是对整体空间环境和装饰的搭配外形需求，每一个细节都是设计师出图的灵魂点，是实现个性化定制解决方案的关键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对监控调度指挥中心所需控制台进行定制化设计之前，设计师需要先对用户使用的室内空间环境以及客户需求有充分的认识，并综合考虑操作台空间布局、室内光照、主体风格等多方面因素进行合理的设计，使室内工作的人员能够有更为舒适的体验，使整体空间达到良好的视觉效</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由于不同指挥中心功能特点的不同，因此需要根据相应的功能需求对功能性部件进行定制。在设计时还要考虑到人体工程原理的应用，在满足使用功能的基础上，让工作人员在使用的过程中能够减少疲劳感，提升操作体验。</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本次项目中设计2套3席位监控操作控制台及1套7席位指挥控制台，指挥中心大厅后场设置10席位观摩席位。</w:t>
      </w:r>
    </w:p>
    <w:p>
      <w:pPr>
        <w:spacing w:line="400" w:lineRule="exact"/>
        <w:ind w:firstLine="420" w:firstLineChars="200"/>
        <w:rPr>
          <w:rFonts w:ascii="宋体" w:hAnsi="宋体" w:cs="仿宋_GB2312"/>
          <w:color w:val="000000"/>
          <w:szCs w:val="21"/>
        </w:rPr>
      </w:pPr>
      <w:bookmarkStart w:id="100" w:name="_Toc2854"/>
      <w:r>
        <w:rPr>
          <w:rFonts w:hint="eastAsia" w:ascii="宋体" w:hAnsi="宋体" w:cs="仿宋_GB2312"/>
          <w:color w:val="000000"/>
          <w:szCs w:val="21"/>
        </w:rPr>
        <w:t>3.8 辅助用房工程</w:t>
      </w:r>
      <w:bookmarkEnd w:id="100"/>
    </w:p>
    <w:p>
      <w:pPr>
        <w:spacing w:line="400" w:lineRule="exact"/>
        <w:ind w:firstLine="420" w:firstLineChars="200"/>
        <w:rPr>
          <w:rFonts w:ascii="宋体" w:hAnsi="宋体" w:cs="仿宋_GB2312"/>
          <w:color w:val="000000"/>
          <w:szCs w:val="21"/>
        </w:rPr>
      </w:pPr>
      <w:bookmarkStart w:id="101" w:name="_Toc18865"/>
      <w:bookmarkStart w:id="102" w:name="_Toc294207371"/>
      <w:bookmarkStart w:id="103" w:name="_Toc31685"/>
      <w:r>
        <w:rPr>
          <w:rFonts w:hint="eastAsia" w:ascii="宋体" w:hAnsi="宋体" w:cs="仿宋_GB2312"/>
          <w:color w:val="000000"/>
          <w:szCs w:val="21"/>
        </w:rPr>
        <w:t>3.8.1 供配电系统</w:t>
      </w:r>
      <w:bookmarkEnd w:id="101"/>
      <w:bookmarkEnd w:id="102"/>
      <w:bookmarkEnd w:id="103"/>
    </w:p>
    <w:p>
      <w:pPr>
        <w:spacing w:line="400" w:lineRule="exact"/>
        <w:ind w:firstLine="420" w:firstLineChars="200"/>
        <w:rPr>
          <w:rFonts w:ascii="宋体" w:hAnsi="宋体" w:cs="仿宋_GB2312"/>
          <w:color w:val="000000"/>
          <w:szCs w:val="21"/>
        </w:rPr>
      </w:pPr>
      <w:bookmarkStart w:id="104" w:name="_Toc294207372"/>
      <w:r>
        <w:rPr>
          <w:rFonts w:ascii="宋体" w:hAnsi="宋体" w:cs="仿宋_GB2312"/>
          <w:color w:val="000000"/>
          <w:szCs w:val="21"/>
        </w:rPr>
        <w:t>设计范围</w:t>
      </w:r>
      <w:bookmarkEnd w:id="104"/>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市电部分：由大楼配电房引一路电缆至指挥中心机房市电精密配电柜，配置2个160A/3P市电输入开关，2个63A/4P防雷开关,带2个C级防雷，输出24路32A微断开关，12路16A微断开关。尺寸为600*1200*2000，主要考虑机房内空调、精密空调、照明系统、维修插座配电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UPS供配电系统：由原U</w:t>
      </w:r>
      <w:r>
        <w:rPr>
          <w:rFonts w:ascii="宋体" w:hAnsi="宋体" w:cs="仿宋_GB2312"/>
          <w:color w:val="000000"/>
          <w:szCs w:val="21"/>
        </w:rPr>
        <w:t>PS</w:t>
      </w:r>
      <w:r>
        <w:rPr>
          <w:rFonts w:hint="eastAsia" w:ascii="宋体" w:hAnsi="宋体" w:cs="仿宋_GB2312"/>
          <w:color w:val="000000"/>
          <w:szCs w:val="21"/>
        </w:rPr>
        <w:t>机房引入两条</w:t>
      </w:r>
      <w:r>
        <w:rPr>
          <w:rFonts w:ascii="宋体" w:hAnsi="宋体" w:cs="仿宋_GB2312"/>
          <w:color w:val="000000"/>
          <w:szCs w:val="21"/>
        </w:rPr>
        <w:t>ZRYJV4*70+1*35</w:t>
      </w:r>
      <w:r>
        <w:rPr>
          <w:rFonts w:hint="eastAsia" w:ascii="宋体" w:hAnsi="宋体" w:cs="仿宋_GB2312"/>
          <w:color w:val="000000"/>
          <w:szCs w:val="21"/>
        </w:rPr>
        <w:t>电缆，配置2个160A市电输入，4个63A/3P的公开,2个63A/4P防雷开关,带2个C级防雷，输出48路32A微断开关，10路16A微断开关。尺寸为600*1200*2000，主要考虑机房内网络设备、服务器设备、门禁、安防、操作台工位等需要不间断电源供电的用电设备的供配电系统。</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配电柜内设置独立的专用零地铜排，分别为：市电零、UPS专用零、UPS专用地（直流地）、综合地（防静电、安全保护地等）。铜排采用本地优质产品。</w:t>
      </w:r>
    </w:p>
    <w:p>
      <w:pPr>
        <w:spacing w:line="400" w:lineRule="exact"/>
        <w:ind w:firstLine="420" w:firstLineChars="200"/>
        <w:rPr>
          <w:rFonts w:ascii="宋体" w:hAnsi="宋体" w:cs="仿宋_GB2312"/>
          <w:color w:val="000000"/>
          <w:szCs w:val="21"/>
        </w:rPr>
      </w:pPr>
      <w:bookmarkStart w:id="105" w:name="_Toc12964"/>
      <w:bookmarkStart w:id="106" w:name="_Toc1842"/>
      <w:r>
        <w:rPr>
          <w:rFonts w:hint="eastAsia" w:ascii="宋体" w:hAnsi="宋体" w:cs="仿宋_GB2312"/>
          <w:color w:val="000000"/>
          <w:szCs w:val="21"/>
        </w:rPr>
        <w:t>3.8.2 防雷接地系统</w:t>
      </w:r>
      <w:bookmarkEnd w:id="105"/>
      <w:bookmarkEnd w:id="106"/>
    </w:p>
    <w:p>
      <w:pPr>
        <w:spacing w:line="400" w:lineRule="exact"/>
        <w:ind w:firstLine="420" w:firstLineChars="200"/>
        <w:rPr>
          <w:rFonts w:ascii="宋体" w:hAnsi="宋体" w:cs="仿宋_GB2312"/>
          <w:color w:val="000000"/>
          <w:szCs w:val="21"/>
        </w:rPr>
      </w:pPr>
      <w:bookmarkStart w:id="107" w:name="_Toc359252284"/>
      <w:bookmarkStart w:id="108" w:name="_Toc231790131"/>
      <w:bookmarkStart w:id="109" w:name="_Toc231790666"/>
      <w:bookmarkStart w:id="110" w:name="_Toc231803076"/>
      <w:bookmarkStart w:id="111" w:name="_Toc296950001"/>
      <w:bookmarkStart w:id="112" w:name="_Toc231803244"/>
      <w:bookmarkStart w:id="113" w:name="_Toc231803418"/>
      <w:bookmarkStart w:id="114" w:name="_Toc231803568"/>
      <w:bookmarkStart w:id="115" w:name="_Toc369635482"/>
      <w:bookmarkStart w:id="116" w:name="_Toc296944054"/>
      <w:bookmarkStart w:id="117" w:name="_Toc232389745"/>
      <w:bookmarkStart w:id="118" w:name="_Toc232393871"/>
      <w:bookmarkStart w:id="119" w:name="_Toc231790515"/>
      <w:bookmarkStart w:id="120" w:name="_Toc232745335"/>
      <w:bookmarkStart w:id="121" w:name="_Toc359246257"/>
      <w:bookmarkStart w:id="122" w:name="_Toc296943965"/>
      <w:bookmarkStart w:id="123" w:name="_Toc232390498"/>
      <w:bookmarkStart w:id="124" w:name="_Toc232747247"/>
      <w:bookmarkStart w:id="125" w:name="_Toc234044298"/>
      <w:bookmarkStart w:id="126" w:name="_Toc234218671"/>
      <w:bookmarkStart w:id="127" w:name="_Toc234223419"/>
      <w:bookmarkStart w:id="128" w:name="_Toc236982870"/>
      <w:bookmarkStart w:id="129" w:name="_Toc232581896"/>
      <w:bookmarkStart w:id="130" w:name="_Toc236988048"/>
      <w:bookmarkStart w:id="131" w:name="_Toc296949880"/>
      <w:bookmarkStart w:id="132" w:name="_Toc392685209"/>
      <w:bookmarkStart w:id="133" w:name="_Toc360451038"/>
      <w:bookmarkStart w:id="134" w:name="_Toc360522977"/>
      <w:bookmarkStart w:id="135" w:name="_Toc240182766"/>
      <w:r>
        <w:rPr>
          <w:rFonts w:hint="eastAsia" w:ascii="宋体" w:hAnsi="宋体" w:cs="仿宋_GB2312"/>
          <w:color w:val="000000"/>
          <w:szCs w:val="21"/>
        </w:rPr>
        <w:t>机房内根据规范有如下接地：直流工作接地＜1Ω；交流工作接地＜4Ω；安全保护接地＜4Ω；防静电地＜10Ω；防雷接地＜10Ω；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1)交流工作地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在电子计算机系统中，有大量的使用380V/220V交流电源的电气设备，这些设备按国家有关规范中对电气的规定进行工作接地，即把中性点接地。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2)安全保护地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当机房内各类电气设备的绝缘损坏时，将会对设备和操作、维修人员的安全构成威胁。为了保证设备和人身的安全，而把机房所有机器设备的外壳以及电动机、空调机等辅助设备的机体与地之间做良好的连接，称为安全保护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计算机机房内的安全保护地是将所有机柜的机壳，用数根绝缘导线串联起来，再用接地母线与大地相连。因此将空调机组，机柜等机房设备的机壳接地。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3)计算机机房供配电系统防雷、防浪涌保护地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为防止雷击产生感应雷而设的接地；</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计算机的接地系统对计算机的正常稳定运作起着决定性的关键作用。它要求彻底消除与大楼接地的耦合以及与其它接地的耦合。严格防止寄生电容的周边干扰，防止雷击对主机的破坏，确保主机设备的正常工作、寿命及操作人员的人生安全。数据中心内的导体必须与大地做可靠的联接，不得有对地绝缘的孤立导体。机房内绝缘体的静电电压不得大于1KV。</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本方案采用接地方式：交流工作接地、安全保护接地、防雷接地可利用大楼原有的接地方式，接地电阻≤1Ω。计算机系统专用地由用户提供，并保证接地电阻≤1Ω。用于计算机系统的直流接地。</w:t>
      </w:r>
    </w:p>
    <w:p>
      <w:pPr>
        <w:spacing w:line="400" w:lineRule="exact"/>
        <w:ind w:firstLine="420" w:firstLineChars="200"/>
        <w:rPr>
          <w:rFonts w:ascii="宋体" w:hAnsi="宋体" w:cs="仿宋_GB2312"/>
          <w:color w:val="000000"/>
          <w:szCs w:val="21"/>
        </w:rPr>
      </w:pPr>
      <w:bookmarkStart w:id="136" w:name="_Toc445383198"/>
      <w:r>
        <w:rPr>
          <w:rFonts w:hint="eastAsia" w:ascii="宋体" w:hAnsi="宋体" w:cs="仿宋_GB2312"/>
          <w:color w:val="000000"/>
          <w:szCs w:val="21"/>
        </w:rPr>
        <w:t>防浪涌保护器</w:t>
      </w:r>
      <w:bookmarkEnd w:id="136"/>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电涌保护器从本质上看就是一种等电位连接用的材料而已，其选型就是指在不同的防雷区内，按照不同雷击电磁脉冲的严重程度和等电位连接点的位置，决定位于该区域内的电子设备采用何种电涌保护器，实现与共用接地体等电位联结。分供电系统和电子信息系统浪涌保护。</w:t>
      </w:r>
    </w:p>
    <w:p>
      <w:pPr>
        <w:spacing w:line="400" w:lineRule="exact"/>
        <w:ind w:firstLine="420" w:firstLineChars="200"/>
        <w:rPr>
          <w:rFonts w:ascii="宋体" w:hAnsi="宋体" w:cs="仿宋_GB2312"/>
          <w:color w:val="000000"/>
          <w:szCs w:val="21"/>
        </w:rPr>
      </w:pPr>
      <w:bookmarkStart w:id="137" w:name="_Toc396231493"/>
      <w:bookmarkStart w:id="138" w:name="_Toc398621980"/>
      <w:r>
        <w:rPr>
          <w:rFonts w:hint="eastAsia" w:ascii="宋体" w:hAnsi="宋体" w:cs="仿宋_GB2312"/>
          <w:color w:val="000000"/>
          <w:szCs w:val="21"/>
        </w:rPr>
        <w:t>电源一级防雷保护</w:t>
      </w:r>
      <w:bookmarkEnd w:id="137"/>
      <w:bookmarkEnd w:id="138"/>
      <w:bookmarkStart w:id="139" w:name="_Toc332601537"/>
      <w:r>
        <w:rPr>
          <w:rFonts w:hint="eastAsia" w:ascii="宋体" w:hAnsi="宋体" w:cs="仿宋_GB2312"/>
          <w:color w:val="000000"/>
          <w:szCs w:val="21"/>
        </w:rPr>
        <w:t>：考虑到电力部门以及监理公司验收的要求，一级电源避雷保护（总配电屏的电源保）由强电专业设计安装。</w:t>
      </w:r>
      <w:bookmarkEnd w:id="139"/>
    </w:p>
    <w:p>
      <w:pPr>
        <w:spacing w:line="400" w:lineRule="exact"/>
        <w:ind w:firstLine="420" w:firstLineChars="200"/>
        <w:rPr>
          <w:rFonts w:ascii="宋体" w:hAnsi="宋体" w:cs="仿宋_GB2312"/>
          <w:color w:val="000000"/>
          <w:szCs w:val="21"/>
        </w:rPr>
      </w:pPr>
      <w:bookmarkStart w:id="140" w:name="_Toc398621981"/>
      <w:bookmarkStart w:id="141" w:name="_Toc396231494"/>
      <w:r>
        <w:rPr>
          <w:rFonts w:hint="eastAsia" w:ascii="宋体" w:hAnsi="宋体" w:cs="仿宋_GB2312"/>
          <w:color w:val="000000"/>
          <w:szCs w:val="21"/>
        </w:rPr>
        <w:t>电源二级防雷保护</w:t>
      </w:r>
      <w:bookmarkEnd w:id="140"/>
      <w:bookmarkEnd w:id="141"/>
      <w:bookmarkStart w:id="142" w:name="_Toc332601539"/>
      <w:r>
        <w:rPr>
          <w:rFonts w:hint="eastAsia" w:ascii="宋体" w:hAnsi="宋体" w:cs="仿宋_GB2312"/>
          <w:color w:val="000000"/>
          <w:szCs w:val="21"/>
        </w:rPr>
        <w:t>：在UPS进线前端安装电源二级电源防雷器。</w:t>
      </w:r>
      <w:bookmarkEnd w:id="142"/>
    </w:p>
    <w:p>
      <w:pPr>
        <w:spacing w:line="400" w:lineRule="exact"/>
        <w:ind w:firstLine="420" w:firstLineChars="200"/>
        <w:rPr>
          <w:rFonts w:ascii="宋体" w:hAnsi="宋体" w:cs="仿宋_GB2312"/>
          <w:color w:val="000000"/>
          <w:szCs w:val="21"/>
        </w:rPr>
      </w:pPr>
      <w:bookmarkStart w:id="143" w:name="_Toc396231495"/>
      <w:bookmarkStart w:id="144" w:name="_Toc398621982"/>
      <w:r>
        <w:rPr>
          <w:rFonts w:hint="eastAsia" w:ascii="宋体" w:hAnsi="宋体" w:cs="仿宋_GB2312"/>
          <w:color w:val="000000"/>
          <w:szCs w:val="21"/>
        </w:rPr>
        <w:t>电源三级防雷保护</w:t>
      </w:r>
      <w:bookmarkEnd w:id="143"/>
      <w:bookmarkEnd w:id="144"/>
      <w:bookmarkStart w:id="145" w:name="_Toc332601541"/>
      <w:r>
        <w:rPr>
          <w:rFonts w:hint="eastAsia" w:ascii="宋体" w:hAnsi="宋体" w:cs="仿宋_GB2312"/>
          <w:color w:val="000000"/>
          <w:szCs w:val="21"/>
        </w:rPr>
        <w:t>：在指挥中心用电设备前端列头柜安装三级电源防雷器，起到对重要机房设备用电保护的作用。</w:t>
      </w:r>
      <w:bookmarkEnd w:id="145"/>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具体如下：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在机房市电配电柜的总空气开关后安装A级三相电源避雷器，其最大雷电通流量为100KA；</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在机房UPS配电柜的总空气开关后安装B级三相电源避雷器，其最大雷电通流量为60KA；</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在机房墙柜的总空气开关后安装D级三相电源避雷器，其最大雷电通流量为20KA；</w:t>
      </w:r>
    </w:p>
    <w:p>
      <w:pPr>
        <w:spacing w:line="400" w:lineRule="exact"/>
        <w:ind w:firstLine="420" w:firstLineChars="200"/>
        <w:rPr>
          <w:rFonts w:ascii="宋体" w:hAnsi="宋体" w:cs="仿宋_GB2312"/>
          <w:color w:val="000000"/>
          <w:szCs w:val="21"/>
        </w:rPr>
      </w:pPr>
      <w:bookmarkStart w:id="146" w:name="_Toc9528"/>
      <w:bookmarkStart w:id="147" w:name="_Toc27321"/>
      <w:r>
        <w:rPr>
          <w:rFonts w:hint="eastAsia" w:ascii="宋体" w:hAnsi="宋体" w:cs="仿宋_GB2312"/>
          <w:color w:val="000000"/>
          <w:szCs w:val="21"/>
        </w:rPr>
        <w:t>3.8.3 机房消防系统</w:t>
      </w:r>
      <w:bookmarkEnd w:id="146"/>
      <w:bookmarkEnd w:id="147"/>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本次工程机房采用七氟丙烷灭火系统。</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（1）机房采用无管网全淹没方式气体灭火系统。设计灭火浓度为8%，设计温度为20℃。储存容器工作压力</w:t>
      </w:r>
      <w:r>
        <w:rPr>
          <w:rFonts w:ascii="宋体" w:hAnsi="宋体" w:cs="仿宋_GB2312"/>
          <w:color w:val="000000"/>
          <w:szCs w:val="21"/>
        </w:rPr>
        <w:t>4.2</w:t>
      </w:r>
      <w:r>
        <w:rPr>
          <w:rFonts w:hint="eastAsia" w:ascii="宋体" w:hAnsi="宋体" w:cs="仿宋_GB2312"/>
          <w:color w:val="000000"/>
          <w:szCs w:val="21"/>
        </w:rPr>
        <w:t>MPa</w:t>
      </w:r>
      <w:r>
        <w:rPr>
          <w:rFonts w:ascii="宋体" w:hAnsi="宋体" w:cs="仿宋_GB2312"/>
          <w:color w:val="000000"/>
          <w:szCs w:val="21"/>
        </w:rPr>
        <w:t>,</w:t>
      </w:r>
      <w:r>
        <w:rPr>
          <w:rFonts w:hint="eastAsia" w:ascii="宋体" w:hAnsi="宋体" w:cs="仿宋_GB2312"/>
          <w:color w:val="000000"/>
          <w:szCs w:val="21"/>
        </w:rPr>
        <w:t>喷射时间（S）≤10。</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（2）烟感、温感探测器穿钢管在吊顶内敷设，明装钢管须涂防火漆。</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3）机房消防报警部分新设一个气体灭火控制系统，实现对机房设备的火灾报警、消防设备的联动控制和气体灭火。气体灭火保护区域及编号详见给排水专业图纸，气体灭火控制盘要求与预制七氟丙烷灭火装置对应（即事故时能可靠启动电磁阀灭火）。消防中心能对气体灭火控制盘进行启动、停止控制，可实现自动、手动控制功能；发生火灾时，气体灭火控制盘能切除相关的非消防电源（如空调、普通照明等）并能将灭火动作反馈信号传至消防中心。</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（4）配置感烟探测器及门禁系统联动控制模块，保证当发出火警或需紧急疏散时，不使用钥匙人员应能迅速安全地通过。各区域消防报警系统均接入建筑物原有报警系统总线。</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进出机房的电缆等敷设完毕后其孔洞应可靠封堵以防影响气体灭火。</w:t>
      </w:r>
    </w:p>
    <w:p>
      <w:pPr>
        <w:spacing w:line="400" w:lineRule="exact"/>
        <w:ind w:firstLine="420" w:firstLineChars="200"/>
        <w:rPr>
          <w:rFonts w:ascii="宋体" w:hAnsi="宋体" w:cs="仿宋_GB2312"/>
          <w:color w:val="000000"/>
          <w:szCs w:val="21"/>
        </w:rPr>
      </w:pPr>
      <w:bookmarkStart w:id="148" w:name="_Toc175976407"/>
      <w:bookmarkStart w:id="149" w:name="_Toc392685310"/>
      <w:bookmarkStart w:id="150" w:name="_Toc164497612"/>
      <w:bookmarkStart w:id="151" w:name="_Toc445383202"/>
      <w:bookmarkStart w:id="152" w:name="_Toc154390344"/>
      <w:bookmarkStart w:id="153" w:name="_Toc392675241"/>
      <w:r>
        <w:rPr>
          <w:rFonts w:hint="eastAsia" w:ascii="宋体" w:hAnsi="宋体" w:cs="仿宋_GB2312"/>
          <w:color w:val="000000"/>
          <w:szCs w:val="21"/>
        </w:rPr>
        <w:t>系统结构</w:t>
      </w:r>
      <w:bookmarkEnd w:id="148"/>
      <w:bookmarkEnd w:id="149"/>
      <w:bookmarkEnd w:id="150"/>
      <w:bookmarkEnd w:id="151"/>
      <w:bookmarkEnd w:id="152"/>
      <w:bookmarkEnd w:id="153"/>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本次消防系统设计采用有管网结构。采用七氟丙烷(HFC-227</w:t>
      </w:r>
      <w:r>
        <w:rPr>
          <w:rFonts w:ascii="宋体" w:hAnsi="宋体" w:cs="仿宋_GB2312"/>
          <w:color w:val="000000"/>
          <w:szCs w:val="21"/>
        </w:rPr>
        <w:t>ea</w:t>
      </w:r>
      <w:r>
        <w:rPr>
          <w:rFonts w:hint="eastAsia" w:ascii="宋体" w:hAnsi="宋体" w:cs="仿宋_GB2312"/>
          <w:color w:val="000000"/>
          <w:szCs w:val="21"/>
        </w:rPr>
        <w:t>)洁净气体灭火系统。</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系统组成及结构图如下：</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2"/>
        <w:gridCol w:w="2119"/>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w:t>
            </w:r>
            <w:r>
              <w:rPr>
                <w:rFonts w:hint="eastAsia" w:ascii="宋体" w:hAnsi="宋体" w:eastAsia="宋体" w:cs="仿宋_GB2312"/>
                <w:color w:val="000000"/>
                <w:szCs w:val="21"/>
              </w:rPr>
              <w:t>紧急启停按钮</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2.</w:t>
            </w:r>
            <w:r>
              <w:rPr>
                <w:rFonts w:hint="eastAsia" w:ascii="宋体" w:hAnsi="宋体" w:eastAsia="宋体" w:cs="仿宋_GB2312"/>
                <w:color w:val="000000"/>
                <w:szCs w:val="21"/>
              </w:rPr>
              <w:t>放气指示灯</w:t>
            </w:r>
          </w:p>
        </w:tc>
        <w:tc>
          <w:tcPr>
            <w:tcW w:w="2119"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3.</w:t>
            </w:r>
            <w:r>
              <w:rPr>
                <w:rFonts w:hint="eastAsia" w:ascii="宋体" w:hAnsi="宋体" w:eastAsia="宋体" w:cs="仿宋_GB2312"/>
                <w:color w:val="000000"/>
                <w:szCs w:val="21"/>
              </w:rPr>
              <w:t>声报警器</w:t>
            </w:r>
          </w:p>
        </w:tc>
        <w:tc>
          <w:tcPr>
            <w:tcW w:w="2524"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4.</w:t>
            </w:r>
            <w:r>
              <w:rPr>
                <w:rFonts w:hint="eastAsia" w:ascii="宋体" w:hAnsi="宋体" w:eastAsia="宋体" w:cs="仿宋_GB2312"/>
                <w:color w:val="000000"/>
                <w:szCs w:val="21"/>
              </w:rPr>
              <w:t>光报警器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5.</w:t>
            </w:r>
            <w:r>
              <w:rPr>
                <w:rFonts w:hint="eastAsia" w:ascii="宋体" w:hAnsi="宋体" w:eastAsia="宋体" w:cs="仿宋_GB2312"/>
                <w:color w:val="000000"/>
                <w:szCs w:val="21"/>
              </w:rPr>
              <w:t>喷嘴</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6.</w:t>
            </w:r>
            <w:r>
              <w:rPr>
                <w:rFonts w:hint="eastAsia" w:ascii="宋体" w:hAnsi="宋体" w:eastAsia="宋体" w:cs="仿宋_GB2312"/>
                <w:color w:val="000000"/>
                <w:szCs w:val="21"/>
              </w:rPr>
              <w:t>火灾探测器</w:t>
            </w:r>
          </w:p>
        </w:tc>
        <w:tc>
          <w:tcPr>
            <w:tcW w:w="2119"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7.</w:t>
            </w:r>
            <w:r>
              <w:rPr>
                <w:rFonts w:hint="eastAsia" w:ascii="宋体" w:hAnsi="宋体" w:eastAsia="宋体" w:cs="仿宋_GB2312"/>
                <w:color w:val="000000"/>
                <w:szCs w:val="21"/>
              </w:rPr>
              <w:t>电气控制线路</w:t>
            </w:r>
          </w:p>
        </w:tc>
        <w:tc>
          <w:tcPr>
            <w:tcW w:w="2524"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8.</w:t>
            </w:r>
            <w:r>
              <w:rPr>
                <w:rFonts w:hint="eastAsia" w:ascii="宋体" w:hAnsi="宋体" w:eastAsia="宋体" w:cs="仿宋_GB2312"/>
                <w:color w:val="000000"/>
                <w:szCs w:val="21"/>
              </w:rPr>
              <w:t>灭火剂输送管道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9.</w:t>
            </w:r>
            <w:r>
              <w:rPr>
                <w:rFonts w:hint="eastAsia" w:ascii="宋体" w:hAnsi="宋体" w:eastAsia="宋体" w:cs="仿宋_GB2312"/>
                <w:color w:val="000000"/>
                <w:szCs w:val="21"/>
              </w:rPr>
              <w:t>信号反馈装置</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10.</w:t>
            </w:r>
            <w:r>
              <w:rPr>
                <w:rFonts w:hint="eastAsia" w:ascii="宋体" w:hAnsi="宋体" w:eastAsia="宋体" w:cs="仿宋_GB2312"/>
                <w:color w:val="000000"/>
                <w:szCs w:val="21"/>
              </w:rPr>
              <w:t>启动管路</w:t>
            </w:r>
          </w:p>
        </w:tc>
        <w:tc>
          <w:tcPr>
            <w:tcW w:w="2119"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11.</w:t>
            </w:r>
            <w:r>
              <w:rPr>
                <w:rFonts w:hint="eastAsia" w:ascii="宋体" w:hAnsi="宋体" w:eastAsia="宋体" w:cs="仿宋_GB2312"/>
                <w:color w:val="000000"/>
                <w:szCs w:val="21"/>
              </w:rPr>
              <w:t>集流管</w:t>
            </w:r>
          </w:p>
        </w:tc>
        <w:tc>
          <w:tcPr>
            <w:tcW w:w="2524"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12.</w:t>
            </w:r>
            <w:r>
              <w:rPr>
                <w:rFonts w:hint="eastAsia" w:ascii="宋体" w:hAnsi="宋体" w:eastAsia="宋体" w:cs="仿宋_GB2312"/>
                <w:color w:val="000000"/>
                <w:szCs w:val="21"/>
              </w:rPr>
              <w:t>灭火剂管路单向阀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13.</w:t>
            </w:r>
            <w:r>
              <w:rPr>
                <w:rFonts w:hint="eastAsia" w:ascii="宋体" w:hAnsi="宋体" w:eastAsia="宋体" w:cs="仿宋_GB2312"/>
                <w:color w:val="000000"/>
                <w:szCs w:val="21"/>
              </w:rPr>
              <w:t>安全泄压阀</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14.</w:t>
            </w:r>
            <w:r>
              <w:rPr>
                <w:rFonts w:hint="eastAsia" w:ascii="宋体" w:hAnsi="宋体" w:eastAsia="宋体" w:cs="仿宋_GB2312"/>
                <w:color w:val="000000"/>
                <w:szCs w:val="21"/>
              </w:rPr>
              <w:t>压力软管</w:t>
            </w:r>
          </w:p>
        </w:tc>
        <w:tc>
          <w:tcPr>
            <w:tcW w:w="2119"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15.</w:t>
            </w:r>
            <w:r>
              <w:rPr>
                <w:rFonts w:hint="eastAsia" w:ascii="宋体" w:hAnsi="宋体" w:eastAsia="宋体" w:cs="仿宋_GB2312"/>
                <w:color w:val="000000"/>
                <w:szCs w:val="21"/>
              </w:rPr>
              <w:t>灭火剂容器阀</w:t>
            </w:r>
          </w:p>
        </w:tc>
        <w:tc>
          <w:tcPr>
            <w:tcW w:w="2524"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16.</w:t>
            </w:r>
            <w:r>
              <w:rPr>
                <w:rFonts w:hint="eastAsia" w:ascii="宋体" w:hAnsi="宋体" w:eastAsia="宋体" w:cs="仿宋_GB2312"/>
                <w:color w:val="000000"/>
                <w:szCs w:val="21"/>
              </w:rPr>
              <w:t>机械应急启动把手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17.</w:t>
            </w:r>
            <w:r>
              <w:rPr>
                <w:rFonts w:hint="eastAsia" w:ascii="宋体" w:hAnsi="宋体" w:eastAsia="宋体" w:cs="仿宋_GB2312"/>
                <w:color w:val="000000"/>
                <w:szCs w:val="21"/>
              </w:rPr>
              <w:t>气体消防柜</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18.</w:t>
            </w:r>
            <w:r>
              <w:rPr>
                <w:rFonts w:hint="eastAsia" w:ascii="宋体" w:hAnsi="宋体" w:eastAsia="宋体" w:cs="仿宋_GB2312"/>
                <w:color w:val="000000"/>
                <w:szCs w:val="21"/>
              </w:rPr>
              <w:t>灭火剂容器</w:t>
            </w:r>
          </w:p>
        </w:tc>
        <w:tc>
          <w:tcPr>
            <w:tcW w:w="2119"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19.</w:t>
            </w:r>
            <w:r>
              <w:rPr>
                <w:rFonts w:hint="eastAsia" w:ascii="宋体" w:hAnsi="宋体" w:eastAsia="宋体" w:cs="仿宋_GB2312"/>
                <w:color w:val="000000"/>
                <w:szCs w:val="21"/>
              </w:rPr>
              <w:t>启动装置</w:t>
            </w:r>
          </w:p>
        </w:tc>
        <w:tc>
          <w:tcPr>
            <w:tcW w:w="2524"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20.</w:t>
            </w:r>
            <w:r>
              <w:rPr>
                <w:rFonts w:hint="eastAsia" w:ascii="宋体" w:hAnsi="宋体" w:eastAsia="宋体" w:cs="仿宋_GB2312"/>
                <w:color w:val="000000"/>
                <w:szCs w:val="21"/>
              </w:rPr>
              <w:t>无缝钢管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21"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2</w:t>
            </w:r>
            <w:r>
              <w:rPr>
                <w:rFonts w:hint="eastAsia" w:ascii="宋体" w:hAnsi="宋体" w:eastAsia="宋体" w:cs="仿宋_GB2312"/>
                <w:color w:val="000000"/>
                <w:szCs w:val="21"/>
              </w:rPr>
              <w:t>1</w:t>
            </w:r>
            <w:r>
              <w:rPr>
                <w:rFonts w:ascii="宋体" w:hAnsi="宋体" w:eastAsia="宋体" w:cs="仿宋_GB2312"/>
                <w:color w:val="000000"/>
                <w:szCs w:val="21"/>
              </w:rPr>
              <w:t>.</w:t>
            </w:r>
            <w:r>
              <w:rPr>
                <w:rFonts w:hint="eastAsia" w:ascii="宋体" w:hAnsi="宋体" w:eastAsia="宋体" w:cs="仿宋_GB2312"/>
                <w:color w:val="000000"/>
                <w:szCs w:val="21"/>
              </w:rPr>
              <w:t>报警控制器</w:t>
            </w:r>
          </w:p>
        </w:tc>
        <w:tc>
          <w:tcPr>
            <w:tcW w:w="2322" w:type="dxa"/>
            <w:noWrap w:val="0"/>
            <w:vAlign w:val="center"/>
          </w:tcPr>
          <w:p>
            <w:pPr>
              <w:spacing w:line="300" w:lineRule="exact"/>
              <w:jc w:val="center"/>
              <w:rPr>
                <w:rFonts w:ascii="宋体" w:hAnsi="宋体" w:eastAsia="宋体" w:cs="仿宋_GB2312"/>
                <w:color w:val="000000"/>
                <w:szCs w:val="21"/>
              </w:rPr>
            </w:pPr>
            <w:r>
              <w:rPr>
                <w:rFonts w:ascii="宋体" w:hAnsi="宋体" w:eastAsia="宋体" w:cs="仿宋_GB2312"/>
                <w:color w:val="000000"/>
                <w:szCs w:val="21"/>
              </w:rPr>
              <w:t>2</w:t>
            </w:r>
            <w:r>
              <w:rPr>
                <w:rFonts w:hint="eastAsia" w:ascii="宋体" w:hAnsi="宋体" w:eastAsia="宋体" w:cs="仿宋_GB2312"/>
                <w:color w:val="000000"/>
                <w:szCs w:val="21"/>
              </w:rPr>
              <w:t>2</w:t>
            </w:r>
            <w:r>
              <w:rPr>
                <w:rFonts w:ascii="宋体" w:hAnsi="宋体" w:eastAsia="宋体" w:cs="仿宋_GB2312"/>
                <w:color w:val="000000"/>
                <w:szCs w:val="21"/>
              </w:rPr>
              <w:t>.</w:t>
            </w:r>
            <w:r>
              <w:rPr>
                <w:rFonts w:hint="eastAsia" w:ascii="宋体" w:hAnsi="宋体" w:eastAsia="宋体" w:cs="仿宋_GB2312"/>
                <w:color w:val="000000"/>
                <w:szCs w:val="21"/>
              </w:rPr>
              <w:t>灭火控制器</w:t>
            </w:r>
          </w:p>
        </w:tc>
        <w:tc>
          <w:tcPr>
            <w:tcW w:w="2119" w:type="dxa"/>
            <w:noWrap w:val="0"/>
            <w:vAlign w:val="center"/>
          </w:tcPr>
          <w:p>
            <w:pPr>
              <w:spacing w:line="300" w:lineRule="exact"/>
              <w:jc w:val="center"/>
              <w:rPr>
                <w:rFonts w:ascii="宋体" w:hAnsi="宋体" w:eastAsia="宋体" w:cs="仿宋_GB2312"/>
                <w:color w:val="000000"/>
                <w:szCs w:val="21"/>
              </w:rPr>
            </w:pPr>
          </w:p>
        </w:tc>
        <w:tc>
          <w:tcPr>
            <w:tcW w:w="2524" w:type="dxa"/>
            <w:noWrap w:val="0"/>
            <w:vAlign w:val="center"/>
          </w:tcPr>
          <w:p>
            <w:pPr>
              <w:spacing w:line="300" w:lineRule="exact"/>
              <w:jc w:val="center"/>
              <w:rPr>
                <w:rFonts w:ascii="宋体" w:hAnsi="宋体" w:eastAsia="宋体" w:cs="仿宋_GB2312"/>
                <w:color w:val="000000"/>
                <w:szCs w:val="21"/>
              </w:rPr>
            </w:pPr>
          </w:p>
        </w:tc>
      </w:tr>
    </w:tbl>
    <w:p>
      <w:pPr>
        <w:pStyle w:val="54"/>
        <w:rPr>
          <w:color w:val="000000"/>
        </w:rPr>
      </w:pPr>
      <w:r>
        <w:rPr>
          <w:color w:val="000000"/>
          <w:lang/>
        </w:rPr>
        <w:drawing>
          <wp:inline distT="0" distB="0" distL="114300" distR="114300">
            <wp:extent cx="5010785" cy="3448685"/>
            <wp:effectExtent l="0" t="0" r="18415" b="18415"/>
            <wp:docPr id="3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2"/>
                    <pic:cNvPicPr>
                      <a:picLocks noChangeAspect="1"/>
                    </pic:cNvPicPr>
                  </pic:nvPicPr>
                  <pic:blipFill>
                    <a:blip r:embed="rId31"/>
                    <a:stretch>
                      <a:fillRect/>
                    </a:stretch>
                  </pic:blipFill>
                  <pic:spPr>
                    <a:xfrm>
                      <a:off x="0" y="0"/>
                      <a:ext cx="5010785" cy="3448685"/>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bookmarkStart w:id="154" w:name="_Toc154390345"/>
      <w:bookmarkStart w:id="155" w:name="_Toc392685311"/>
      <w:bookmarkStart w:id="156" w:name="_Toc164497613"/>
      <w:bookmarkStart w:id="157" w:name="_Toc392675242"/>
      <w:bookmarkStart w:id="158" w:name="_Toc445383203"/>
      <w:bookmarkStart w:id="159" w:name="_Toc175976408"/>
      <w:r>
        <w:rPr>
          <w:rFonts w:hint="eastAsia" w:ascii="宋体" w:hAnsi="宋体" w:cs="仿宋_GB2312"/>
          <w:color w:val="000000"/>
          <w:szCs w:val="21"/>
        </w:rPr>
        <w:t>基本性能参数</w:t>
      </w:r>
      <w:bookmarkEnd w:id="154"/>
      <w:bookmarkEnd w:id="155"/>
      <w:bookmarkEnd w:id="156"/>
      <w:bookmarkEnd w:id="157"/>
      <w:bookmarkEnd w:id="158"/>
      <w:bookmarkEnd w:id="159"/>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系统设计工作压力：</w:t>
      </w:r>
      <w:r>
        <w:rPr>
          <w:rFonts w:ascii="宋体" w:hAnsi="宋体" w:cs="仿宋_GB2312"/>
          <w:color w:val="000000"/>
          <w:szCs w:val="21"/>
        </w:rPr>
        <w:t>2.5MPa</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系统最大工作压力（</w:t>
      </w:r>
      <w:r>
        <w:rPr>
          <w:rFonts w:ascii="宋体" w:hAnsi="宋体" w:cs="仿宋_GB2312"/>
          <w:color w:val="000000"/>
          <w:szCs w:val="21"/>
        </w:rPr>
        <w:t>20</w:t>
      </w:r>
      <w:r>
        <w:rPr>
          <w:rFonts w:hint="eastAsia" w:ascii="宋体" w:hAnsi="宋体" w:cs="仿宋_GB2312"/>
          <w:color w:val="000000"/>
          <w:szCs w:val="21"/>
        </w:rPr>
        <w:t>℃）：4.2</w:t>
      </w:r>
      <w:r>
        <w:rPr>
          <w:rFonts w:ascii="宋体" w:hAnsi="宋体" w:cs="仿宋_GB2312"/>
          <w:color w:val="000000"/>
          <w:szCs w:val="21"/>
        </w:rPr>
        <w:t>Mpa</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灭火剂储存容器充装压力：</w:t>
      </w:r>
      <w:r>
        <w:rPr>
          <w:rFonts w:ascii="宋体" w:hAnsi="宋体" w:cs="仿宋_GB2312"/>
          <w:color w:val="000000"/>
          <w:szCs w:val="21"/>
        </w:rPr>
        <w:t>2.5MPa</w:t>
      </w:r>
      <w:r>
        <w:rPr>
          <w:rFonts w:hint="eastAsia" w:ascii="宋体" w:hAnsi="宋体" w:cs="仿宋_GB2312"/>
          <w:color w:val="000000"/>
          <w:szCs w:val="21"/>
        </w:rPr>
        <w:t>，</w:t>
      </w:r>
      <w:r>
        <w:rPr>
          <w:rFonts w:ascii="宋体" w:hAnsi="宋体" w:cs="仿宋_GB2312"/>
          <w:color w:val="000000"/>
          <w:szCs w:val="21"/>
        </w:rPr>
        <w:t>4.2MPa</w:t>
      </w:r>
      <w:r>
        <w:rPr>
          <w:rFonts w:hint="eastAsia" w:ascii="宋体" w:hAnsi="宋体" w:cs="仿宋_GB2312"/>
          <w:color w:val="000000"/>
          <w:szCs w:val="21"/>
        </w:rPr>
        <w:t>（</w:t>
      </w:r>
      <w:r>
        <w:rPr>
          <w:rFonts w:ascii="宋体" w:hAnsi="宋体" w:cs="仿宋_GB2312"/>
          <w:color w:val="000000"/>
          <w:szCs w:val="21"/>
        </w:rPr>
        <w:t>20</w:t>
      </w:r>
      <w:r>
        <w:rPr>
          <w:rFonts w:hint="eastAsia" w:ascii="宋体" w:hAnsi="宋体" w:cs="仿宋_GB2312"/>
          <w:color w:val="000000"/>
          <w:szCs w:val="21"/>
        </w:rPr>
        <w:t>℃）</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灭火剂储存容器容积：</w:t>
      </w:r>
      <w:r>
        <w:rPr>
          <w:rFonts w:ascii="宋体" w:hAnsi="宋体" w:cs="仿宋_GB2312"/>
          <w:color w:val="000000"/>
          <w:szCs w:val="21"/>
        </w:rPr>
        <w:t>70L</w:t>
      </w:r>
      <w:r>
        <w:rPr>
          <w:rFonts w:hint="eastAsia" w:ascii="宋体" w:hAnsi="宋体" w:cs="仿宋_GB2312"/>
          <w:color w:val="000000"/>
          <w:szCs w:val="21"/>
        </w:rPr>
        <w:t>，</w:t>
      </w:r>
      <w:r>
        <w:rPr>
          <w:rFonts w:ascii="宋体" w:hAnsi="宋体" w:cs="仿宋_GB2312"/>
          <w:color w:val="000000"/>
          <w:szCs w:val="21"/>
        </w:rPr>
        <w:t>90L</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喷射时间：≤</w:t>
      </w:r>
      <w:r>
        <w:rPr>
          <w:rFonts w:ascii="宋体" w:hAnsi="宋体" w:cs="仿宋_GB2312"/>
          <w:color w:val="000000"/>
          <w:szCs w:val="21"/>
        </w:rPr>
        <w:t>8s</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最大喷射时间：≤</w:t>
      </w:r>
      <w:r>
        <w:rPr>
          <w:rFonts w:ascii="宋体" w:hAnsi="宋体" w:cs="仿宋_GB2312"/>
          <w:color w:val="000000"/>
          <w:szCs w:val="21"/>
        </w:rPr>
        <w:t>10s</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系统工作电源：</w:t>
      </w:r>
      <w:r>
        <w:rPr>
          <w:rFonts w:ascii="宋体" w:hAnsi="宋体" w:cs="仿宋_GB2312"/>
          <w:color w:val="000000"/>
          <w:szCs w:val="21"/>
        </w:rPr>
        <w:t>AC220V50Hz</w:t>
      </w:r>
      <w:r>
        <w:rPr>
          <w:rFonts w:hint="eastAsia" w:ascii="宋体" w:hAnsi="宋体" w:cs="仿宋_GB2312"/>
          <w:color w:val="000000"/>
          <w:szCs w:val="21"/>
        </w:rPr>
        <w:t>，</w:t>
      </w:r>
      <w:r>
        <w:rPr>
          <w:rFonts w:ascii="宋体" w:hAnsi="宋体" w:cs="仿宋_GB2312"/>
          <w:color w:val="000000"/>
          <w:szCs w:val="21"/>
        </w:rPr>
        <w:t>DC24V</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气体储存环境温度：</w:t>
      </w:r>
      <w:r>
        <w:rPr>
          <w:rFonts w:ascii="宋体" w:hAnsi="宋体" w:cs="仿宋_GB2312"/>
          <w:color w:val="000000"/>
          <w:szCs w:val="21"/>
        </w:rPr>
        <w:t>0</w:t>
      </w:r>
      <w:r>
        <w:rPr>
          <w:rFonts w:hint="eastAsia" w:ascii="宋体" w:hAnsi="宋体" w:cs="仿宋_GB2312"/>
          <w:color w:val="000000"/>
          <w:szCs w:val="21"/>
        </w:rPr>
        <w:t>℃～</w:t>
      </w:r>
      <w:r>
        <w:rPr>
          <w:rFonts w:ascii="宋体" w:hAnsi="宋体" w:cs="仿宋_GB2312"/>
          <w:color w:val="000000"/>
          <w:szCs w:val="21"/>
        </w:rPr>
        <w:t>50</w:t>
      </w:r>
      <w:r>
        <w:rPr>
          <w:rFonts w:hint="eastAsia" w:ascii="宋体" w:hAnsi="宋体" w:cs="仿宋_GB2312"/>
          <w:color w:val="000000"/>
          <w:szCs w:val="21"/>
        </w:rPr>
        <w:t>℃</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启动气体：氮气(N</w:t>
      </w:r>
      <w:r>
        <w:rPr>
          <w:rFonts w:ascii="宋体" w:hAnsi="宋体" w:cs="仿宋_GB2312"/>
          <w:color w:val="000000"/>
          <w:szCs w:val="21"/>
        </w:rPr>
        <w:t>2</w:t>
      </w:r>
      <w:r>
        <w:rPr>
          <w:rFonts w:hint="eastAsia" w:ascii="宋体" w:hAnsi="宋体" w:cs="仿宋_GB2312"/>
          <w:color w:val="000000"/>
          <w:szCs w:val="21"/>
        </w:rPr>
        <w:t>)</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启动气体充装压力（</w:t>
      </w:r>
      <w:r>
        <w:rPr>
          <w:rFonts w:ascii="宋体" w:hAnsi="宋体" w:cs="仿宋_GB2312"/>
          <w:color w:val="000000"/>
          <w:szCs w:val="21"/>
        </w:rPr>
        <w:t>20</w:t>
      </w:r>
      <w:r>
        <w:rPr>
          <w:rFonts w:hint="eastAsia" w:ascii="宋体" w:hAnsi="宋体" w:cs="仿宋_GB2312"/>
          <w:color w:val="000000"/>
          <w:szCs w:val="21"/>
        </w:rPr>
        <w:t>℃）：</w:t>
      </w:r>
      <w:r>
        <w:rPr>
          <w:rFonts w:ascii="宋体" w:hAnsi="宋体" w:cs="仿宋_GB2312"/>
          <w:color w:val="000000"/>
          <w:szCs w:val="21"/>
        </w:rPr>
        <w:t>6Mpa</w:t>
      </w:r>
    </w:p>
    <w:p>
      <w:pPr>
        <w:spacing w:line="400" w:lineRule="exact"/>
        <w:ind w:firstLine="420" w:firstLineChars="200"/>
        <w:rPr>
          <w:rFonts w:ascii="宋体" w:hAnsi="宋体" w:cs="仿宋_GB2312"/>
          <w:color w:val="000000"/>
          <w:szCs w:val="21"/>
        </w:rPr>
      </w:pPr>
      <w:bookmarkStart w:id="160" w:name="_Toc392685312"/>
      <w:bookmarkStart w:id="161" w:name="_Toc392675243"/>
      <w:bookmarkStart w:id="162" w:name="_Toc164497614"/>
      <w:bookmarkStart w:id="163" w:name="_Toc445383204"/>
      <w:bookmarkStart w:id="164" w:name="_Toc154390346"/>
      <w:bookmarkStart w:id="165" w:name="_Toc175976409"/>
      <w:r>
        <w:rPr>
          <w:rFonts w:hint="eastAsia" w:ascii="宋体" w:hAnsi="宋体" w:cs="仿宋_GB2312"/>
          <w:color w:val="000000"/>
          <w:szCs w:val="21"/>
        </w:rPr>
        <w:t>对防护区的要求</w:t>
      </w:r>
      <w:bookmarkEnd w:id="160"/>
      <w:bookmarkEnd w:id="161"/>
      <w:bookmarkEnd w:id="162"/>
      <w:bookmarkEnd w:id="163"/>
      <w:bookmarkEnd w:id="164"/>
      <w:bookmarkEnd w:id="165"/>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防护区的最低环境温度不应低于0℃。</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维护结构及门窗耐火极限均不应低于0.5小时，吊顶的耐火极限不应低于0.25小时。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防护区维护结构承受内压的允许压强，不应低于1.2KPA，即120kg/m2。</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防护区灭火时应保持封闭条件，除泻压口以外的开口，以及用于该防护区的通风机和通风通道中的放火阀，在喷放七氟丙烷前，应做到关闭。</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防护区的泻压口应设在外墙上，应位于防护区净高的2/3以上，泻压口面积应根据相关标准进行计算。</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当设有外开弹性闭门器或弹簧门时，如果其开口面积不小于泻压口计算面积，不须另设泻压口。</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钢瓶安装位置应选择能避免接近热源和太阳光直接照射的地方，并靠近墙体安装，所以，钢瓶间的窗户应封堵。</w:t>
      </w:r>
    </w:p>
    <w:p>
      <w:pPr>
        <w:spacing w:line="400" w:lineRule="exact"/>
        <w:ind w:firstLine="420" w:firstLineChars="200"/>
        <w:rPr>
          <w:rFonts w:ascii="宋体" w:hAnsi="宋体" w:cs="仿宋_GB2312"/>
          <w:color w:val="000000"/>
          <w:szCs w:val="21"/>
        </w:rPr>
      </w:pPr>
      <w:r>
        <w:rPr>
          <w:rFonts w:ascii="宋体" w:hAnsi="宋体" w:cs="仿宋_GB2312"/>
          <w:color w:val="000000"/>
          <w:szCs w:val="21"/>
        </w:rPr>
        <w:t>机房出口应设置向疏散方向开启且能自动关闭的门。并应保证在任何情况下都能从机房内打开。</w:t>
      </w:r>
    </w:p>
    <w:p>
      <w:pPr>
        <w:spacing w:line="400" w:lineRule="exact"/>
        <w:ind w:firstLine="420" w:firstLineChars="200"/>
        <w:rPr>
          <w:rFonts w:ascii="宋体" w:hAnsi="宋体" w:cs="仿宋_GB2312"/>
          <w:color w:val="000000"/>
          <w:szCs w:val="21"/>
        </w:rPr>
      </w:pPr>
      <w:bookmarkStart w:id="166" w:name="_Toc164497617"/>
      <w:bookmarkStart w:id="167" w:name="_Toc154390349"/>
      <w:bookmarkStart w:id="168" w:name="_Toc445383205"/>
      <w:bookmarkStart w:id="169" w:name="_Toc392685314"/>
      <w:bookmarkStart w:id="170" w:name="_Toc175976412"/>
      <w:bookmarkStart w:id="171" w:name="_Toc171160611"/>
      <w:r>
        <w:rPr>
          <w:rFonts w:hint="eastAsia" w:ascii="宋体" w:hAnsi="宋体" w:cs="仿宋_GB2312"/>
          <w:color w:val="000000"/>
          <w:szCs w:val="21"/>
        </w:rPr>
        <w:t>消防报警系统及消防联动</w:t>
      </w:r>
      <w:bookmarkEnd w:id="166"/>
      <w:bookmarkEnd w:id="167"/>
      <w:bookmarkEnd w:id="168"/>
      <w:bookmarkEnd w:id="169"/>
      <w:bookmarkEnd w:id="170"/>
      <w:bookmarkEnd w:id="171"/>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消防报警系统主要包含烟感探测器、温感探测器和报警控制器。</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在报警系统探测火灾发生时，将给灭火系统发出信号，灭火控制盘在接到火灾信号时，将发出放气声光报警，提示机房内人员撤离，机房工作人员必须在30秒内进行撤离。</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报警系统同时和环境监控系统连接，环境监控主机在接收到火灾报警信号后，联动配电柜，将切断市电电源，停止新风机、空调等风机设备，关闭消防阀，并发出火灾报警信息。</w:t>
      </w:r>
    </w:p>
    <w:p>
      <w:pPr>
        <w:spacing w:line="400" w:lineRule="exact"/>
        <w:ind w:firstLine="420" w:firstLineChars="200"/>
        <w:rPr>
          <w:rFonts w:ascii="宋体" w:hAnsi="宋体" w:cs="仿宋_GB2312"/>
          <w:color w:val="000000"/>
          <w:szCs w:val="21"/>
        </w:rPr>
      </w:pPr>
      <w:bookmarkStart w:id="172" w:name="_Toc11871"/>
      <w:bookmarkStart w:id="173" w:name="_Toc22516"/>
      <w:r>
        <w:rPr>
          <w:rFonts w:hint="eastAsia" w:ascii="宋体" w:hAnsi="宋体" w:cs="仿宋_GB2312"/>
          <w:color w:val="000000"/>
          <w:szCs w:val="21"/>
        </w:rPr>
        <w:t>4.3.8.4 精密空调系统</w:t>
      </w:r>
      <w:bookmarkEnd w:id="172"/>
      <w:bookmarkEnd w:id="173"/>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为使机房内主要设备和管理操作人员有一个良好的工作环境，并为其具备能够安全、可靠地运行，发挥其最大的工作效率，机房对温湿度具体要求如下：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629"/>
        <w:gridCol w:w="1731"/>
        <w:gridCol w:w="1698"/>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15" w:type="dxa"/>
            <w:vMerge w:val="restart"/>
            <w:noWrap w:val="0"/>
            <w:vAlign w:val="center"/>
          </w:tcPr>
          <w:p>
            <w:pPr>
              <w:spacing w:line="300" w:lineRule="exact"/>
              <w:jc w:val="center"/>
              <w:rPr>
                <w:rFonts w:ascii="宋体" w:hAnsi="宋体" w:eastAsia="宋体" w:cs="仿宋_GB2312"/>
                <w:color w:val="000000"/>
                <w:szCs w:val="21"/>
              </w:rPr>
            </w:pPr>
          </w:p>
        </w:tc>
        <w:tc>
          <w:tcPr>
            <w:tcW w:w="3360" w:type="dxa"/>
            <w:gridSpan w:val="2"/>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A级</w:t>
            </w:r>
          </w:p>
        </w:tc>
        <w:tc>
          <w:tcPr>
            <w:tcW w:w="1698" w:type="dxa"/>
            <w:vMerge w:val="restart"/>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B级</w:t>
            </w:r>
          </w:p>
        </w:tc>
        <w:tc>
          <w:tcPr>
            <w:tcW w:w="1984" w:type="dxa"/>
            <w:vMerge w:val="restart"/>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C级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15" w:type="dxa"/>
            <w:vMerge w:val="continue"/>
            <w:noWrap w:val="0"/>
            <w:vAlign w:val="center"/>
          </w:tcPr>
          <w:p>
            <w:pPr>
              <w:spacing w:line="300" w:lineRule="exact"/>
              <w:jc w:val="center"/>
              <w:rPr>
                <w:rFonts w:ascii="宋体" w:hAnsi="宋体" w:eastAsia="宋体" w:cs="仿宋_GB2312"/>
                <w:color w:val="000000"/>
                <w:szCs w:val="21"/>
              </w:rPr>
            </w:pPr>
          </w:p>
        </w:tc>
        <w:tc>
          <w:tcPr>
            <w:tcW w:w="1629"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夏季</w:t>
            </w:r>
          </w:p>
        </w:tc>
        <w:tc>
          <w:tcPr>
            <w:tcW w:w="1731"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冬季</w:t>
            </w:r>
          </w:p>
        </w:tc>
        <w:tc>
          <w:tcPr>
            <w:tcW w:w="1698" w:type="dxa"/>
            <w:vMerge w:val="continue"/>
            <w:noWrap w:val="0"/>
            <w:vAlign w:val="center"/>
          </w:tcPr>
          <w:p>
            <w:pPr>
              <w:spacing w:line="300" w:lineRule="exact"/>
              <w:jc w:val="center"/>
              <w:rPr>
                <w:rFonts w:ascii="宋体" w:hAnsi="宋体" w:eastAsia="宋体" w:cs="仿宋_GB2312"/>
                <w:color w:val="000000"/>
                <w:szCs w:val="21"/>
              </w:rPr>
            </w:pPr>
          </w:p>
        </w:tc>
        <w:tc>
          <w:tcPr>
            <w:tcW w:w="1984" w:type="dxa"/>
            <w:vMerge w:val="continue"/>
            <w:noWrap w:val="0"/>
            <w:vAlign w:val="center"/>
          </w:tcPr>
          <w:p>
            <w:pPr>
              <w:spacing w:line="300" w:lineRule="exact"/>
              <w:jc w:val="center"/>
              <w:rPr>
                <w:rFonts w:ascii="宋体" w:hAnsi="宋体" w:eastAsia="宋体"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1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温度</w:t>
            </w:r>
          </w:p>
        </w:tc>
        <w:tc>
          <w:tcPr>
            <w:tcW w:w="1629"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220C±20C</w:t>
            </w:r>
          </w:p>
        </w:tc>
        <w:tc>
          <w:tcPr>
            <w:tcW w:w="1731"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200C±20C</w:t>
            </w:r>
          </w:p>
        </w:tc>
        <w:tc>
          <w:tcPr>
            <w:tcW w:w="169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150C～300C</w:t>
            </w:r>
          </w:p>
        </w:tc>
        <w:tc>
          <w:tcPr>
            <w:tcW w:w="1984"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100C～350C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1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相对湿度</w:t>
            </w:r>
          </w:p>
        </w:tc>
        <w:tc>
          <w:tcPr>
            <w:tcW w:w="3360" w:type="dxa"/>
            <w:gridSpan w:val="2"/>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45%～65%</w:t>
            </w:r>
          </w:p>
        </w:tc>
        <w:tc>
          <w:tcPr>
            <w:tcW w:w="1698" w:type="dxa"/>
            <w:noWrap w:val="0"/>
            <w:vAlign w:val="center"/>
          </w:tcPr>
          <w:p>
            <w:pPr>
              <w:spacing w:line="300" w:lineRule="exact"/>
              <w:jc w:val="center"/>
              <w:rPr>
                <w:rFonts w:ascii="宋体" w:hAnsi="宋体" w:eastAsia="宋体" w:cs="仿宋_GB2312"/>
                <w:color w:val="000000"/>
                <w:szCs w:val="21"/>
              </w:rPr>
            </w:pPr>
          </w:p>
        </w:tc>
        <w:tc>
          <w:tcPr>
            <w:tcW w:w="1984" w:type="dxa"/>
            <w:noWrap w:val="0"/>
            <w:vAlign w:val="center"/>
          </w:tcPr>
          <w:p>
            <w:pPr>
              <w:spacing w:line="300" w:lineRule="exact"/>
              <w:jc w:val="center"/>
              <w:rPr>
                <w:rFonts w:ascii="宋体" w:hAnsi="宋体" w:eastAsia="宋体" w:cs="仿宋_GB2312"/>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1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温度变化率</w:t>
            </w:r>
          </w:p>
        </w:tc>
        <w:tc>
          <w:tcPr>
            <w:tcW w:w="3360" w:type="dxa"/>
            <w:gridSpan w:val="2"/>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＜30C时不结露</w:t>
            </w:r>
          </w:p>
        </w:tc>
        <w:tc>
          <w:tcPr>
            <w:tcW w:w="169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＜100C时不结露</w:t>
            </w:r>
          </w:p>
        </w:tc>
        <w:tc>
          <w:tcPr>
            <w:tcW w:w="1984"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＜150时不结露</w:t>
            </w:r>
          </w:p>
        </w:tc>
      </w:tr>
    </w:tbl>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停机时应满足的条件：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2045"/>
        <w:gridCol w:w="2268"/>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82" w:type="dxa"/>
            <w:noWrap w:val="0"/>
            <w:vAlign w:val="center"/>
          </w:tcPr>
          <w:p>
            <w:pPr>
              <w:spacing w:line="300" w:lineRule="exact"/>
              <w:jc w:val="center"/>
              <w:rPr>
                <w:rFonts w:ascii="宋体" w:hAnsi="宋体" w:eastAsia="宋体" w:cs="仿宋_GB2312"/>
                <w:color w:val="000000"/>
                <w:szCs w:val="21"/>
              </w:rPr>
            </w:pPr>
          </w:p>
        </w:tc>
        <w:tc>
          <w:tcPr>
            <w:tcW w:w="204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A级</w:t>
            </w:r>
          </w:p>
        </w:tc>
        <w:tc>
          <w:tcPr>
            <w:tcW w:w="226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B级</w:t>
            </w:r>
          </w:p>
        </w:tc>
        <w:tc>
          <w:tcPr>
            <w:tcW w:w="2227"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C级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2"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温度</w:t>
            </w:r>
          </w:p>
        </w:tc>
        <w:tc>
          <w:tcPr>
            <w:tcW w:w="204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50C～350C</w:t>
            </w:r>
          </w:p>
        </w:tc>
        <w:tc>
          <w:tcPr>
            <w:tcW w:w="226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50C～350C</w:t>
            </w:r>
          </w:p>
        </w:tc>
        <w:tc>
          <w:tcPr>
            <w:tcW w:w="2227"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－100C～400C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2"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相对湿度</w:t>
            </w:r>
          </w:p>
        </w:tc>
        <w:tc>
          <w:tcPr>
            <w:tcW w:w="204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40%～70%</w:t>
            </w:r>
          </w:p>
        </w:tc>
        <w:tc>
          <w:tcPr>
            <w:tcW w:w="226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20%～80%</w:t>
            </w:r>
          </w:p>
        </w:tc>
        <w:tc>
          <w:tcPr>
            <w:tcW w:w="2227"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2"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温度变化率</w:t>
            </w:r>
          </w:p>
        </w:tc>
        <w:tc>
          <w:tcPr>
            <w:tcW w:w="2045"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＜50C时不结露</w:t>
            </w:r>
          </w:p>
        </w:tc>
        <w:tc>
          <w:tcPr>
            <w:tcW w:w="2268"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＜100C时不结露</w:t>
            </w:r>
          </w:p>
        </w:tc>
        <w:tc>
          <w:tcPr>
            <w:tcW w:w="2227" w:type="dxa"/>
            <w:noWrap w:val="0"/>
            <w:vAlign w:val="center"/>
          </w:tcPr>
          <w:p>
            <w:pPr>
              <w:spacing w:line="300" w:lineRule="exact"/>
              <w:jc w:val="center"/>
              <w:rPr>
                <w:rFonts w:ascii="宋体" w:hAnsi="宋体" w:eastAsia="宋体" w:cs="仿宋_GB2312"/>
                <w:color w:val="000000"/>
                <w:szCs w:val="21"/>
              </w:rPr>
            </w:pPr>
            <w:r>
              <w:rPr>
                <w:rFonts w:hint="eastAsia" w:ascii="宋体" w:hAnsi="宋体" w:eastAsia="宋体" w:cs="仿宋_GB2312"/>
                <w:color w:val="000000"/>
                <w:szCs w:val="21"/>
              </w:rPr>
              <w:t>＜150C时不结露</w:t>
            </w:r>
          </w:p>
        </w:tc>
      </w:tr>
    </w:tbl>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空调设备具备远程监控及来电自启动功能。</w:t>
      </w:r>
    </w:p>
    <w:p>
      <w:pPr>
        <w:spacing w:line="400" w:lineRule="exact"/>
        <w:ind w:firstLine="420" w:firstLineChars="200"/>
        <w:rPr>
          <w:rFonts w:hint="eastAsia" w:ascii="宋体" w:hAnsi="宋体" w:cs="仿宋_GB2312"/>
          <w:color w:val="000000"/>
          <w:szCs w:val="21"/>
        </w:rPr>
      </w:pPr>
      <w:r>
        <w:rPr>
          <w:rFonts w:hint="eastAsia" w:ascii="宋体" w:hAnsi="宋体" w:cs="仿宋_GB2312"/>
          <w:color w:val="000000"/>
          <w:szCs w:val="21"/>
        </w:rPr>
        <w:t>本工程在配套机房两端各配置1台精密空调，实现冗余备份。</w:t>
      </w:r>
    </w:p>
    <w:p>
      <w:pPr>
        <w:spacing w:line="400" w:lineRule="exact"/>
        <w:ind w:firstLine="420" w:firstLineChars="200"/>
        <w:rPr>
          <w:rFonts w:ascii="宋体" w:hAnsi="宋体" w:cs="仿宋_GB2312"/>
          <w:color w:val="000000"/>
          <w:szCs w:val="21"/>
        </w:rPr>
      </w:pPr>
      <w:bookmarkStart w:id="174" w:name="_Toc5550"/>
      <w:bookmarkStart w:id="175" w:name="_Toc31336"/>
      <w:r>
        <w:rPr>
          <w:rFonts w:hint="eastAsia" w:ascii="宋体" w:hAnsi="宋体" w:cs="仿宋_GB2312"/>
          <w:color w:val="000000"/>
          <w:szCs w:val="21"/>
        </w:rPr>
        <w:t>3.9 动力环境监测系统</w:t>
      </w:r>
      <w:bookmarkEnd w:id="174"/>
      <w:bookmarkEnd w:id="175"/>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动力环境监测系统：包含精密空调监测、漏水监测、温湿度监测等信息。</w:t>
      </w:r>
    </w:p>
    <w:p>
      <w:pPr>
        <w:spacing w:line="400" w:lineRule="exact"/>
        <w:ind w:firstLine="420" w:firstLineChars="200"/>
        <w:rPr>
          <w:rFonts w:ascii="宋体" w:hAnsi="宋体" w:cs="仿宋_GB2312"/>
          <w:color w:val="000000"/>
          <w:szCs w:val="21"/>
        </w:rPr>
      </w:pPr>
      <w:bookmarkStart w:id="176" w:name="_Toc387656164"/>
      <w:bookmarkStart w:id="177" w:name="_Toc207009863"/>
      <w:bookmarkStart w:id="178" w:name="_Toc374564987"/>
      <w:bookmarkStart w:id="179" w:name="_Toc445383123"/>
      <w:bookmarkStart w:id="180" w:name="_Toc8037"/>
      <w:r>
        <w:rPr>
          <w:rFonts w:hint="eastAsia" w:ascii="宋体" w:hAnsi="宋体" w:cs="仿宋_GB2312"/>
          <w:color w:val="000000"/>
          <w:szCs w:val="21"/>
        </w:rPr>
        <w:t>3.9.1 结构</w:t>
      </w:r>
      <w:bookmarkEnd w:id="176"/>
      <w:bookmarkEnd w:id="177"/>
      <w:bookmarkEnd w:id="178"/>
      <w:r>
        <w:rPr>
          <w:rFonts w:hint="eastAsia" w:ascii="宋体" w:hAnsi="宋体" w:cs="仿宋_GB2312"/>
          <w:color w:val="000000"/>
          <w:szCs w:val="21"/>
        </w:rPr>
        <w:t>设计</w:t>
      </w:r>
      <w:bookmarkEnd w:id="179"/>
      <w:bookmarkEnd w:id="180"/>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监控系统架构依照“分布控制、集中管理”的原则进行设计，整个系统分为采集层、管理层、展示层三层。</w:t>
      </w:r>
    </w:p>
    <w:p>
      <w:pPr>
        <w:pStyle w:val="54"/>
        <w:rPr>
          <w:color w:val="000000"/>
        </w:rPr>
      </w:pPr>
      <w:r>
        <w:rPr>
          <w:color w:val="000000"/>
          <w:lang/>
        </w:rPr>
        <w:drawing>
          <wp:inline distT="0" distB="0" distL="114300" distR="114300">
            <wp:extent cx="4510405" cy="3766820"/>
            <wp:effectExtent l="0" t="0" r="4445" b="5080"/>
            <wp:docPr id="32" name="图片 87" descr="机房监控系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7" descr="机房监控系统图"/>
                    <pic:cNvPicPr>
                      <a:picLocks noChangeAspect="1"/>
                    </pic:cNvPicPr>
                  </pic:nvPicPr>
                  <pic:blipFill>
                    <a:blip r:embed="rId32"/>
                    <a:srcRect t="4938" r="1740"/>
                    <a:stretch>
                      <a:fillRect/>
                    </a:stretch>
                  </pic:blipFill>
                  <pic:spPr>
                    <a:xfrm>
                      <a:off x="0" y="0"/>
                      <a:ext cx="4510405" cy="3766820"/>
                    </a:xfrm>
                    <a:prstGeom prst="rect">
                      <a:avLst/>
                    </a:prstGeom>
                    <a:noFill/>
                    <a:ln>
                      <a:noFill/>
                    </a:ln>
                  </pic:spPr>
                </pic:pic>
              </a:graphicData>
            </a:graphic>
          </wp:inline>
        </w:drawing>
      </w:r>
    </w:p>
    <w:p>
      <w:pPr>
        <w:spacing w:line="400" w:lineRule="exact"/>
        <w:ind w:firstLine="420" w:firstLineChars="200"/>
        <w:rPr>
          <w:rFonts w:ascii="宋体" w:hAnsi="宋体" w:cs="仿宋_GB2312"/>
          <w:color w:val="000000"/>
          <w:szCs w:val="21"/>
        </w:rPr>
      </w:pPr>
      <w:bookmarkStart w:id="181" w:name="_Toc374564988"/>
      <w:bookmarkStart w:id="182" w:name="_Toc180906684"/>
      <w:bookmarkStart w:id="183" w:name="_Toc176059017"/>
      <w:r>
        <w:rPr>
          <w:rFonts w:hint="eastAsia" w:ascii="宋体" w:hAnsi="宋体" w:cs="仿宋_GB2312"/>
          <w:color w:val="000000"/>
          <w:szCs w:val="21"/>
        </w:rPr>
        <w:t>采集层</w:t>
      </w:r>
      <w:bookmarkEnd w:id="181"/>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采集层包括各机房内需监控设备及监控服务器，在机房内通过传感器、采集器等前端设备对机房内设备及环境进行数据采集，转换为RS485信号后接入布置在现场的嵌入式监控服务器，完成基础设备信息数据采集存储工作，本地处理数据后以TCP/IP方式传输至管理指挥中心。</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数据采集设备</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数据采集设备为带完全光电隔离的固态封装设备，可采集站点内的供电、ups、漏水、温湿度等信号，将采集的信号转换为RS485信号后接入嵌入式监控服务器。</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数据采集设备可分为智能监控模块、非智能监控模块二种类型。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智能监控模块――实现与智能设备之间的通信协议转换，提供智能设备的接入平台。适用于本身具备监控功能、并提供监控通信接口的监控对象，提供数据接口与监控对象的监控通信接口连接，如UPS、温湿度传感器、漏水控制器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非智能监控模块――实现对开关量、模拟量的接收、处理和控制。适用于本身不具备监控功能的监控对象，需要配置采集设备对监控对象进行数据采集，如红外检测、消防采集等。</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嵌入式监控服务器</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嵌入式监控服务器设置在机房，在固化芯片上安装操作系统和运行程序，有效防止病毒及人为误操作。支持内插硬盘和外挂硬盘，并可安装电子盘扩大存储容量，可直接安装于任意深度的标准机柜内。</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嵌入式服务器具有现场数据采集、处理、存储和报警功能，数据存储时间大于3年。</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嵌入式监控服务通过网络接口主动或响应命令查询后向管理服务器发送设备的状态改变或告警信息及相应数据，接收监控中心的控制信息对监控模块进行控制操作；嵌入式服务器具备可扩展接口，可接入各种设备的总线数据。</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由于嵌入式主机本身就是一套完整的系统，当与上位机软件中断或者网络中断时嵌入式服务器也可完成自身所有工作，具有来电自启动、故障自修复功能，保障系统能7×24小时不间断运行，内嵌WEB服务器，支持通过WEB浏览器直接访问（B/S）实现现场监控管理。</w:t>
      </w:r>
    </w:p>
    <w:p>
      <w:pPr>
        <w:spacing w:line="400" w:lineRule="exact"/>
        <w:ind w:firstLine="420" w:firstLineChars="200"/>
        <w:rPr>
          <w:rFonts w:ascii="宋体" w:hAnsi="宋体" w:cs="仿宋_GB2312"/>
          <w:color w:val="000000"/>
          <w:szCs w:val="21"/>
        </w:rPr>
      </w:pPr>
      <w:bookmarkStart w:id="184" w:name="_Toc278254906"/>
      <w:bookmarkStart w:id="185" w:name="_Toc374564989"/>
      <w:bookmarkStart w:id="186" w:name="_Toc278148421"/>
      <w:r>
        <w:rPr>
          <w:rFonts w:hint="eastAsia" w:ascii="宋体" w:hAnsi="宋体" w:cs="仿宋_GB2312"/>
          <w:color w:val="000000"/>
          <w:szCs w:val="21"/>
        </w:rPr>
        <w:t>管理层</w:t>
      </w:r>
      <w:bookmarkEnd w:id="184"/>
      <w:bookmarkEnd w:id="185"/>
      <w:bookmarkEnd w:id="186"/>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管理层由管理服务器及远程管理终端组成，完成各机房数据的集中监控、管理、报警，并能生成相关报表，给管理人员提供优化管理资料，机房管理人员通过集中管理服务器及操作终端的人机交互界面进行实时监管，查看及管理任一机房的监控数据。</w:t>
      </w:r>
    </w:p>
    <w:bookmarkEnd w:id="182"/>
    <w:bookmarkEnd w:id="183"/>
    <w:p>
      <w:pPr>
        <w:spacing w:line="400" w:lineRule="exact"/>
        <w:ind w:firstLine="420" w:firstLineChars="200"/>
        <w:rPr>
          <w:rFonts w:ascii="宋体" w:hAnsi="宋体" w:cs="仿宋_GB2312"/>
          <w:color w:val="000000"/>
          <w:szCs w:val="21"/>
        </w:rPr>
      </w:pPr>
      <w:bookmarkStart w:id="187" w:name="_Toc240"/>
      <w:bookmarkStart w:id="188" w:name="_Toc155195299"/>
      <w:bookmarkStart w:id="189" w:name="_Toc259110020"/>
      <w:bookmarkStart w:id="190" w:name="_Toc292983730"/>
      <w:bookmarkStart w:id="191" w:name="_Toc445383126"/>
      <w:bookmarkStart w:id="192" w:name="_Toc91643250"/>
      <w:bookmarkStart w:id="193" w:name="_Toc374564996"/>
      <w:bookmarkStart w:id="194" w:name="_Toc179790833"/>
      <w:bookmarkStart w:id="195" w:name="_Toc259110023"/>
      <w:r>
        <w:rPr>
          <w:rFonts w:hint="eastAsia" w:ascii="宋体" w:hAnsi="宋体" w:cs="仿宋_GB2312"/>
          <w:color w:val="000000"/>
          <w:szCs w:val="21"/>
        </w:rPr>
        <w:t>3.9.2 精密空调监控</w:t>
      </w:r>
      <w:bookmarkEnd w:id="187"/>
      <w:bookmarkEnd w:id="188"/>
      <w:bookmarkEnd w:id="189"/>
      <w:bookmarkEnd w:id="190"/>
      <w:bookmarkEnd w:id="191"/>
      <w:bookmarkEnd w:id="192"/>
      <w:bookmarkEnd w:id="193"/>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监控内容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机房温度出现异常时，将导致机房其他设备运行所需的环境失去保障，因此设计对精密空调的运行状态和参数进行实时监测，同时可对空调进行远程的开关机控制。</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实现方式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通过精密/行间空调设备提供的RS485智能接口及通讯协议，采用总线的方式将精密/行间空调的监控信号直接接入嵌入式服务器的串口，由监控平台软件进行精密/行间空调的实时监测。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监视精密/行间空调压缩机、风机、水泵、加热器、加湿器、去湿器、滤网、回风温度和湿度等的运行状态与参数，并可对精密空调实现远程开关机的控制（能监测到的具体内容由厂家的协议决定，不同品牌、型号的精密空调所监控到的内容不同）。同时支持与其它子系统的联动控制，如当温度过高时自动联动启动空调进行制冷。</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可对监测到的各项参数设定越限阀值（包括上下限、恢复上下限），一旦精密空调发生故障，系统将自动切换到相应的监控界面，且发生报警的该项状态或参数会变红色并闪烁显示，同时产生报警事件进行记录存储并有相应的处理提示，第一时间发出手机短信、电话语音拨号等对外报警。</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提供曲线记录，直观显示实时及历史曲线，可查询一年内相应参数的历史曲线及具体时间的参数值（包括最大值、最小值），并可将历史曲线导出为EXCEL格式，方便管理员全面了解精密/行间空调的运行状况。</w:t>
      </w:r>
    </w:p>
    <w:p>
      <w:pPr>
        <w:spacing w:line="400" w:lineRule="exact"/>
        <w:ind w:firstLine="420" w:firstLineChars="200"/>
        <w:rPr>
          <w:rFonts w:ascii="宋体" w:hAnsi="宋体" w:cs="仿宋_GB2312"/>
          <w:color w:val="000000"/>
          <w:szCs w:val="21"/>
        </w:rPr>
      </w:pPr>
      <w:bookmarkStart w:id="196" w:name="_Toc374564997"/>
      <w:bookmarkStart w:id="197" w:name="_Toc445383127"/>
      <w:bookmarkStart w:id="198" w:name="_Toc17641"/>
      <w:r>
        <w:rPr>
          <w:rFonts w:hint="eastAsia" w:ascii="宋体" w:hAnsi="宋体" w:cs="仿宋_GB2312"/>
          <w:color w:val="000000"/>
          <w:szCs w:val="21"/>
        </w:rPr>
        <w:t>3.9.3 温湿度监测</w:t>
      </w:r>
      <w:bookmarkEnd w:id="194"/>
      <w:bookmarkEnd w:id="195"/>
      <w:bookmarkEnd w:id="196"/>
      <w:bookmarkEnd w:id="197"/>
      <w:bookmarkEnd w:id="198"/>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监控内容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对于机房内的电子设备，其正常运行对环境温湿度有较高的要求。因此设计在机房的各个重要部位，安装</w:t>
      </w:r>
      <w:r>
        <w:rPr>
          <w:rFonts w:ascii="宋体" w:hAnsi="宋体" w:cs="仿宋_GB2312"/>
          <w:color w:val="000000"/>
          <w:szCs w:val="21"/>
        </w:rPr>
        <w:t>2</w:t>
      </w:r>
      <w:r>
        <w:rPr>
          <w:rFonts w:hint="eastAsia" w:ascii="宋体" w:hAnsi="宋体" w:cs="仿宋_GB2312"/>
          <w:color w:val="000000"/>
          <w:szCs w:val="21"/>
        </w:rPr>
        <w:t>套温湿度传感器，一旦发现异常立即启动报警。</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实现方式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在机房重要部位安装带液晶显示的温湿度传感器对环境温湿度实现监测，既可在温湿度传感器表面实时看到当前的温度和湿度数值，亦可通过温湿度传感器的RS485智能接口和通讯协议采用总线的方式将信号接入嵌入式服务器的串口，由监控平台软件进行温湿度的实时监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实时监测机房区域内的温度和湿度值，同时支持与其它子系统的联动控制，如当温度过高时自动联动启动空调进行制冷。</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系统可对温度和湿度参数设定越限阀值（包括上下限、恢复上下限），一旦温湿度发生越限报警，系统将自动切换到相应的监控界面，且发生报警的参数会变红色并闪烁显示，同时产生报警事件进行记录存储并有相应的处理提示，并第一时间发出电话语音拨号、手机短信等对外报警。</w:t>
      </w:r>
    </w:p>
    <w:p>
      <w:pPr>
        <w:spacing w:line="400" w:lineRule="exact"/>
        <w:ind w:firstLine="420" w:firstLineChars="200"/>
        <w:rPr>
          <w:rFonts w:ascii="宋体" w:hAnsi="宋体" w:cs="仿宋_GB2312"/>
          <w:color w:val="000000"/>
          <w:szCs w:val="21"/>
        </w:rPr>
      </w:pPr>
      <w:bookmarkStart w:id="199" w:name="_Toc179790834"/>
      <w:bookmarkStart w:id="200" w:name="_Toc259110024"/>
      <w:bookmarkStart w:id="201" w:name="_Toc445383128"/>
      <w:bookmarkStart w:id="202" w:name="_Toc374564998"/>
      <w:bookmarkStart w:id="203" w:name="_Toc5247"/>
      <w:bookmarkStart w:id="204" w:name="_Toc20763"/>
      <w:r>
        <w:rPr>
          <w:rFonts w:hint="eastAsia" w:ascii="宋体" w:hAnsi="宋体" w:cs="仿宋_GB2312"/>
          <w:color w:val="000000"/>
          <w:szCs w:val="21"/>
        </w:rPr>
        <w:t>3.9.4 漏水</w:t>
      </w:r>
      <w:bookmarkEnd w:id="199"/>
      <w:r>
        <w:rPr>
          <w:rFonts w:hint="eastAsia" w:ascii="宋体" w:hAnsi="宋体" w:cs="仿宋_GB2312"/>
          <w:color w:val="000000"/>
          <w:szCs w:val="21"/>
        </w:rPr>
        <w:t>监测</w:t>
      </w:r>
      <w:bookmarkEnd w:id="200"/>
      <w:bookmarkEnd w:id="201"/>
      <w:bookmarkEnd w:id="202"/>
      <w:bookmarkEnd w:id="203"/>
      <w:bookmarkEnd w:id="204"/>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监控内容</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机房内有可能出现漏水隐患的地方就是精密空调和进出水管，根据工程经验，一般都是空调间出现漏水情况较多，其他区域几乎没有出现过漏水现象，因此建议对机房空调间防水堰内侧进行漏水检测，同时采用4套定位式绳式漏水检测设备进行漏水检测，可精确到哪块地板下有漏水现象，使机房管理更加便捷。</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实现方式</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通过在有水泄露地方的四周敷设漏水感应绳，当发生漏水时感应绳将报警信号传给定位式测漏控制模块，通过定位式测漏控制模块提供的RS485智能接口及通讯协议，采用总线的方式将漏水报警信号直接接入嵌入式服务器的串口，由监控平台软件进行漏水的实时监测。</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实现功能</w:t>
      </w:r>
    </w:p>
    <w:p>
      <w:pPr>
        <w:spacing w:line="400" w:lineRule="exact"/>
        <w:ind w:firstLine="420" w:firstLineChars="200"/>
        <w:rPr>
          <w:rFonts w:ascii="宋体" w:hAnsi="宋体" w:cs="仿宋_GB2312"/>
          <w:color w:val="000000"/>
          <w:szCs w:val="21"/>
        </w:rPr>
      </w:pPr>
      <w:r>
        <w:rPr>
          <w:rFonts w:hint="eastAsia" w:ascii="宋体" w:hAnsi="宋体" w:cs="仿宋_GB2312"/>
          <w:color w:val="000000"/>
          <w:szCs w:val="21"/>
        </w:rPr>
        <w:t>实时监测机房的漏水情况，发生漏水时系统自动切换到漏水监控界面，并显示具体的漏水位置，可精确到米，同时产生报警事件进行记录存储及有相应的处理提示，并第一时间发出电话语音拨号、手机短信等对外报警。</w:t>
      </w:r>
    </w:p>
    <w:p>
      <w:pPr>
        <w:spacing w:line="440" w:lineRule="exact"/>
        <w:ind w:firstLine="480"/>
        <w:rPr>
          <w:rFonts w:ascii="宋体" w:hAnsi="宋体" w:cs="仿宋_GB2312"/>
          <w:color w:val="000000"/>
          <w:sz w:val="24"/>
        </w:rPr>
      </w:pPr>
      <w:r>
        <w:rPr>
          <w:rFonts w:hint="eastAsia" w:ascii="宋体" w:hAnsi="宋体" w:cs="仿宋_GB2312"/>
          <w:color w:val="000000"/>
          <w:szCs w:val="21"/>
        </w:rPr>
        <w:t>十五、采购设备清单（附后）</w:t>
      </w:r>
    </w:p>
    <w:p>
      <w:pPr>
        <w:spacing w:line="440" w:lineRule="exact"/>
        <w:ind w:firstLine="480"/>
        <w:rPr>
          <w:rFonts w:ascii="宋体" w:hAnsi="宋体" w:cs="仿宋_GB2312"/>
          <w:b/>
          <w:color w:val="000000"/>
          <w:sz w:val="24"/>
          <w:u w:val="single"/>
        </w:rPr>
      </w:pPr>
      <w:r>
        <w:rPr>
          <w:rFonts w:hint="eastAsia" w:ascii="宋体" w:hAnsi="宋体" w:cs="仿宋_GB2312"/>
          <w:b/>
          <w:color w:val="000000"/>
          <w:sz w:val="24"/>
          <w:u w:val="single"/>
        </w:rPr>
        <w:t>注：采购清单中标“</w:t>
      </w:r>
      <w:r>
        <w:rPr>
          <w:rFonts w:hint="eastAsia" w:ascii="宋体" w:hAnsi="宋体" w:cs="宋体"/>
          <w:b/>
          <w:color w:val="000000"/>
          <w:kern w:val="0"/>
          <w:szCs w:val="21"/>
          <w:u w:val="single"/>
          <w:lang w:bidi="ar"/>
        </w:rPr>
        <w:t>★</w:t>
      </w:r>
      <w:r>
        <w:rPr>
          <w:rFonts w:hint="eastAsia" w:ascii="宋体" w:hAnsi="宋体" w:cs="仿宋_GB2312"/>
          <w:b/>
          <w:color w:val="000000"/>
          <w:sz w:val="24"/>
          <w:u w:val="single"/>
        </w:rPr>
        <w:t>”内容须在投标文件中提供相关证明材料复印件，或提供投标人承诺书（承诺本次投标所响应的品牌、型号、规格等技术参数完全满足或响应采购清单中（特别是标“</w:t>
      </w:r>
      <w:r>
        <w:rPr>
          <w:rFonts w:hint="eastAsia" w:ascii="宋体" w:hAnsi="宋体" w:cs="宋体"/>
          <w:b/>
          <w:color w:val="000000"/>
          <w:kern w:val="0"/>
          <w:szCs w:val="21"/>
          <w:u w:val="single"/>
          <w:lang w:bidi="ar"/>
        </w:rPr>
        <w:t>★</w:t>
      </w:r>
      <w:r>
        <w:rPr>
          <w:rFonts w:hint="eastAsia" w:ascii="宋体" w:hAnsi="宋体" w:cs="仿宋_GB2312"/>
          <w:b/>
          <w:color w:val="000000"/>
          <w:sz w:val="24"/>
          <w:u w:val="single"/>
        </w:rPr>
        <w:t>”号）的所有要求），承诺书格式及内容自拟。</w:t>
      </w:r>
    </w:p>
    <w:p>
      <w:pPr>
        <w:spacing w:line="440" w:lineRule="exact"/>
        <w:ind w:firstLine="480"/>
        <w:rPr>
          <w:rFonts w:ascii="宋体" w:hAnsi="宋体" w:cs="仿宋_GB2312"/>
          <w:b/>
          <w:color w:val="000000"/>
          <w:sz w:val="24"/>
          <w:u w:val="single"/>
        </w:rPr>
      </w:pPr>
      <w:r>
        <w:rPr>
          <w:rFonts w:hint="eastAsia" w:ascii="宋体" w:hAnsi="宋体" w:cs="仿宋_GB2312"/>
          <w:b/>
          <w:color w:val="000000"/>
          <w:sz w:val="24"/>
          <w:u w:val="single"/>
        </w:rPr>
        <w:t>若最终被选定的中标人在投标文件中提供上述内容涉及的承诺书的，则须在合同签订前提供采购清单中所有标“</w:t>
      </w:r>
      <w:r>
        <w:rPr>
          <w:rFonts w:hint="eastAsia" w:ascii="宋体" w:hAnsi="宋体" w:cs="宋体"/>
          <w:b/>
          <w:color w:val="000000"/>
          <w:kern w:val="0"/>
          <w:szCs w:val="21"/>
          <w:u w:val="single"/>
          <w:lang w:bidi="ar"/>
        </w:rPr>
        <w:t>★</w:t>
      </w:r>
      <w:r>
        <w:rPr>
          <w:rFonts w:hint="eastAsia" w:ascii="宋体" w:hAnsi="宋体" w:cs="仿宋_GB2312"/>
          <w:b/>
          <w:color w:val="000000"/>
          <w:sz w:val="24"/>
          <w:u w:val="single"/>
        </w:rPr>
        <w:t>”内容所需的材料复印件（必要时提供原件），若届时未能提供或提供的材料不符合要求的，采购人有权取消其中标权利，并追究其对本项目造成的损失，同时，将上报财政监管部门作进一步处罚。</w:t>
      </w:r>
    </w:p>
    <w:p>
      <w:pPr>
        <w:spacing w:line="440" w:lineRule="exact"/>
        <w:ind w:firstLine="480"/>
        <w:rPr>
          <w:rFonts w:ascii="宋体" w:hAnsi="宋体" w:cs="仿宋_GB2312"/>
          <w:color w:val="000000"/>
          <w:sz w:val="24"/>
        </w:rPr>
      </w:pPr>
    </w:p>
    <w:p>
      <w:pPr>
        <w:pStyle w:val="3"/>
        <w:rPr>
          <w:rFonts w:hint="eastAsia"/>
          <w:color w:val="000000"/>
        </w:rPr>
      </w:pPr>
    </w:p>
    <w:p>
      <w:pPr>
        <w:pageBreakBefore/>
        <w:spacing w:before="120" w:beforeLines="50" w:after="120" w:afterLines="50"/>
        <w:ind w:firstLine="2640" w:firstLineChars="880"/>
        <w:outlineLvl w:val="0"/>
        <w:rPr>
          <w:rFonts w:hint="eastAsia" w:ascii="宋体" w:hAnsi="宋体"/>
          <w:color w:val="000000"/>
          <w:sz w:val="30"/>
          <w:szCs w:val="30"/>
        </w:rPr>
        <w:sectPr>
          <w:headerReference r:id="rId6" w:type="default"/>
          <w:footerReference r:id="rId7" w:type="default"/>
          <w:pgSz w:w="11906" w:h="16838"/>
          <w:pgMar w:top="1247" w:right="1274" w:bottom="1089" w:left="1418" w:header="851" w:footer="992" w:gutter="0"/>
          <w:cols w:space="720" w:num="1"/>
          <w:docGrid w:linePitch="312" w:charSpace="0"/>
        </w:sectPr>
      </w:pPr>
      <w:bookmarkStart w:id="205" w:name="_Toc44755898"/>
    </w:p>
    <w:tbl>
      <w:tblPr>
        <w:tblStyle w:val="25"/>
        <w:tblW w:w="15267" w:type="dxa"/>
        <w:jc w:val="center"/>
        <w:tblLayout w:type="fixed"/>
        <w:tblCellMar>
          <w:top w:w="15" w:type="dxa"/>
          <w:left w:w="15" w:type="dxa"/>
          <w:bottom w:w="15" w:type="dxa"/>
          <w:right w:w="15" w:type="dxa"/>
        </w:tblCellMar>
      </w:tblPr>
      <w:tblGrid>
        <w:gridCol w:w="409"/>
        <w:gridCol w:w="1733"/>
        <w:gridCol w:w="10188"/>
        <w:gridCol w:w="518"/>
        <w:gridCol w:w="576"/>
        <w:gridCol w:w="1843"/>
      </w:tblGrid>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序号</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设备名称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主要技术参数</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单位</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数量</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参考品牌</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1 显示系统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555"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1.1 指挥大厅显示系统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LCD超窄边拼接屏</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尺寸：55英寸；</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分辨率：1920 × 1080@60 Hz（向下兼容）；</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视角：178°(水平)/ 178°(垂直)；</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响应时间：8ms(G to G)；</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LCD显示单元物理拼缝≤0.9mm，亮度达到620cd/㎡，对比度达到6000:1，图像显示清晰度≥950TVL，亮度鉴别等级为11级。</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液晶拼接屏必须采用整机设计，严禁使用飞线屏（供货时如果发现飞线屏，业主有权取消中标资格），显示屏具备完整后壳，不得以支架或挡板替代，无任何裸露在外的电路线，整体美观大方，而且产品符合检测规范；</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输入接口：HDMI × 1, DVI × 1, VGA × 1, CVBS × 1, USB × 1；</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输出接口：DVI × 1, VGA × 1, CVBS × 1；</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控制接口：RS232 IN × 1，RS232 OUT × 1；</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可定制接口 3G SDI(输入×1、输出×1)、DP、TVI(输入×1、输出×1)、网络源；</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功耗：≤ 192 W；</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电源要求：100～240 VAC, 50/60 Hz；</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寿命：≥60000 小时；</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工作温度和湿度：0℃～40℃</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10%～90% RH（无冷凝水）；</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外形尺寸：1210.81 (W) mm × 681.76 (H) mm × 67.35 (D) mm；</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毛重（含包装和配件盒）：69.92 ± 0.5 kg（双包）</w:t>
            </w:r>
          </w:p>
          <w:p>
            <w:pPr>
              <w:widowControl/>
              <w:numPr>
                <w:ilvl w:val="0"/>
                <w:numId w:val="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39.74 ± 0.5 kg（单包）；</w:t>
            </w:r>
          </w:p>
          <w:p>
            <w:pPr>
              <w:widowControl/>
              <w:numPr>
                <w:ilvl w:val="0"/>
                <w:numId w:val="2"/>
              </w:numPr>
              <w:spacing w:line="280" w:lineRule="exact"/>
              <w:jc w:val="left"/>
              <w:textAlignment w:val="center"/>
              <w:rPr>
                <w:rFonts w:hint="eastAsia" w:ascii="宋体" w:hAnsi="宋体" w:eastAsia="宋体" w:cs="宋体"/>
                <w:b/>
                <w:color w:val="000000"/>
                <w:kern w:val="0"/>
                <w:szCs w:val="21"/>
                <w:lang w:bidi="ar"/>
              </w:rPr>
            </w:pPr>
            <w:r>
              <w:rPr>
                <w:rFonts w:hint="eastAsia" w:ascii="宋体" w:hAnsi="宋体" w:eastAsia="宋体" w:cs="宋体"/>
                <w:color w:val="000000"/>
                <w:kern w:val="0"/>
                <w:szCs w:val="21"/>
                <w:lang w:bidi="ar"/>
              </w:rPr>
              <w:t>★液晶显示单元具有色坐标一致性，根据CIE1931标准色度系统，液晶显示单元色坐标误差在±0.001以内。</w:t>
            </w:r>
            <w:r>
              <w:rPr>
                <w:rFonts w:hint="eastAsia" w:ascii="宋体" w:hAnsi="宋体" w:eastAsia="宋体" w:cs="宋体"/>
                <w:b/>
                <w:color w:val="000000"/>
                <w:kern w:val="0"/>
                <w:szCs w:val="21"/>
                <w:lang w:bidi="ar"/>
              </w:rPr>
              <w:t>（提供封面具有CMA、ilac-MRA、CNAS标志的权威检测机构的检测报告）</w:t>
            </w:r>
          </w:p>
          <w:p>
            <w:pPr>
              <w:widowControl/>
              <w:numPr>
                <w:ilvl w:val="0"/>
                <w:numId w:val="2"/>
              </w:numPr>
              <w:spacing w:line="280" w:lineRule="exact"/>
              <w:jc w:val="left"/>
              <w:textAlignment w:val="center"/>
              <w:rPr>
                <w:rFonts w:hint="eastAsia" w:ascii="宋体" w:hAnsi="宋体" w:eastAsia="宋体" w:cs="宋体"/>
                <w:b/>
                <w:color w:val="000000"/>
                <w:kern w:val="0"/>
                <w:szCs w:val="21"/>
                <w:lang w:bidi="ar"/>
              </w:rPr>
            </w:pPr>
            <w:r>
              <w:rPr>
                <w:rFonts w:hint="eastAsia" w:ascii="宋体" w:hAnsi="宋体" w:eastAsia="宋体" w:cs="宋体"/>
                <w:color w:val="000000"/>
                <w:kern w:val="0"/>
                <w:szCs w:val="21"/>
                <w:lang w:bidi="ar"/>
              </w:rPr>
              <w:t>★液晶显示单元的风扇具备良好的散热效果，风扇散热性能≥60%。</w:t>
            </w:r>
            <w:r>
              <w:rPr>
                <w:rFonts w:hint="eastAsia" w:ascii="宋体" w:hAnsi="宋体" w:eastAsia="宋体" w:cs="宋体"/>
                <w:b/>
                <w:color w:val="000000"/>
                <w:kern w:val="0"/>
                <w:szCs w:val="21"/>
                <w:lang w:bidi="ar"/>
              </w:rPr>
              <w:t>（提供封面具有CMA、ilac-MRA、CNAS标志的权威检测机构的检测报告）</w:t>
            </w:r>
          </w:p>
          <w:p>
            <w:pPr>
              <w:widowControl/>
              <w:numPr>
                <w:ilvl w:val="0"/>
                <w:numId w:val="2"/>
              </w:numPr>
              <w:spacing w:line="280" w:lineRule="exact"/>
              <w:jc w:val="left"/>
              <w:textAlignment w:val="center"/>
              <w:rPr>
                <w:rFonts w:eastAsia="宋体"/>
                <w:color w:val="000000"/>
                <w:lang w:bidi="ar"/>
              </w:rPr>
            </w:pPr>
            <w:r>
              <w:rPr>
                <w:rFonts w:hint="eastAsia" w:ascii="宋体" w:hAnsi="宋体" w:eastAsia="宋体" w:cs="宋体"/>
                <w:color w:val="000000"/>
                <w:kern w:val="0"/>
                <w:szCs w:val="21"/>
                <w:lang w:bidi="ar"/>
              </w:rPr>
              <w:t>采用图像显示灰度等级提升技术，使8bit液晶屏实现10bit的显示效果，灰度等级从256级增加到1024级，画面层次丰富、色彩逼真。</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36</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室内双色LED</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 类型：室内双色Φ3；2) LED封装：国产；3) 像素间距：4mm；4) 像素密度：62500点/㎡；5）亮度：≥500cd/㎡；6）视角：≥120°；8) 峰值功耗：≤500W/㎡；9）模组尺寸：256*128mm；含配件</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仿宋"/>
                <w:color w:val="000000"/>
                <w:szCs w:val="21"/>
              </w:rPr>
            </w:pPr>
            <w:r>
              <w:rPr>
                <w:rStyle w:val="42"/>
                <w:rFonts w:hint="default" w:ascii="宋体" w:hAnsi="宋体" w:eastAsia="宋体"/>
                <w:sz w:val="21"/>
                <w:szCs w:val="21"/>
                <w:lang w:bidi="ar"/>
              </w:rPr>
              <w:t>M</w:t>
            </w:r>
            <w:r>
              <w:rPr>
                <w:rStyle w:val="46"/>
                <w:rFonts w:hint="default" w:ascii="宋体" w:hAnsi="宋体" w:eastAsia="宋体"/>
                <w:sz w:val="21"/>
                <w:szCs w:val="21"/>
                <w:lang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5.5</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大屏支架</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根据现场定制</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36</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电视墙框架</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根据现场定制</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大屏散力架</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8#槽钢制作，散力架支撑宽度不小于1.2米，长度满足整体电视墙区域，不小于14米</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视频综合平台</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投标产品为框架式结构，采用无源背板，机箱不小于16个板卡插槽，系统稳定可靠。</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投标产品主控板具有16个串口支持挂载128个RS485控制设备，可将IP数据发送至串口。主控板具有7个RJ45网络接口、6个光纤接口、1个USB接口。</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投标产品具备三码流编码功能：样机支持主码流、子码流、第三码流编码输出功能。</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投标产品应支持超高分辨率输入能力须满足或超过以下分辨率：支持接入4096x4320、8192x2160、15360x6480、15360x8460、16384x6480等分辨率图像信号。</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投标产品支持1、2、4、6、8、9、12、16、25、32、36、48、64画面分割显示。</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投标产品支持显示预案功能，可将样机的视频输出状态保存为场景，可设置多个场景并可对每个场景进行配置、清空、复制、修改、切换等操作，可实现多个场景轮巡切换、（预案）轮巡。</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投标产品支持视音频同步输出，支持多组轮巡同步切换。</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投标产品音频编码功能：具备G.722、G.711u、G.711A、PCM格式编码选项。</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投标产品支持多个视频输出拼接画面上编辑字符信息功能。</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投标产品支持视频输入通道参数设置功能，可对单个视频输入通道进行分辨率、帧率、码率、亮度、对比度、饱和度、色调、去噪等参数设置，图像显示模式可设定标准、室内、室外、弱光等显示模式进行设置。</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投标产品具有同一输入通道的视频图像在不同输出端口显示的失步误差小于1ms。</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★投标产品的信号源采集后经过高速背板总线到输出显示所用时间应≤35ms；图像切换时间应＜20ms。</w:t>
            </w:r>
            <w:r>
              <w:rPr>
                <w:rFonts w:hint="eastAsia" w:ascii="宋体" w:hAnsi="宋体" w:eastAsia="宋体" w:cs="宋体"/>
                <w:b/>
                <w:color w:val="000000"/>
                <w:kern w:val="0"/>
                <w:szCs w:val="21"/>
                <w:lang w:bidi="ar"/>
              </w:rPr>
              <w:t>（提供公安部出具的封面具有CNAS标志的报告复印件加盖原厂商公章）</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支持接入具备2个万兆光口及20个千兆电口板卡，并且支持VLAN配置功能。</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单块输出板卡应具备但不限于4路6912x2800或12路4000x3000或16路4096x2160或16路3840x2160或10路3072x2048或16路2592x2048或20路2048x1536或96路1920x1080或192路1280x720或384路704x576分辨率视频解码能力；还应支持多块解码板资源共享功能，支持解码资源动态分配，支持单块解码板所有输出口同时进行16画面分割解码1080P图像。</w:t>
            </w:r>
          </w:p>
          <w:p>
            <w:pPr>
              <w:widowControl/>
              <w:numPr>
                <w:ilvl w:val="0"/>
                <w:numId w:val="3"/>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应支持在任一视频输出显示画面上叠加显示多个不同视频输入信号的显示窗口，单个输出通道最少支持32个窗口叠加显示，单个输出板卡应可以支持128个漫游窗口叠加；并且窗口图像应支持置顶、置底操作。</w:t>
            </w:r>
            <w:r>
              <w:rPr>
                <w:rFonts w:hint="eastAsia" w:ascii="宋体" w:hAnsi="宋体" w:eastAsia="宋体" w:cs="宋体"/>
                <w:b/>
                <w:color w:val="000000"/>
                <w:kern w:val="0"/>
                <w:szCs w:val="21"/>
                <w:lang w:bidi="ar"/>
              </w:rPr>
              <w:t>（提供公安部出具的封面具有CNAS标志的报告复印件加盖原厂商公章）</w:t>
            </w:r>
          </w:p>
          <w:p>
            <w:pPr>
              <w:widowControl/>
              <w:numPr>
                <w:ilvl w:val="0"/>
                <w:numId w:val="3"/>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投标产品的拼接功能不仅应在多个视频输出端口组合显示视频输入图像，同时应支持在多台产品组成的集群内任意设备输出口实现拼接功能。</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高清输出解码板</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8路HDMI显示接口输出；支持16路800W/64路1080P/128路720P/256路4CIF解码H.264/H.265解码；支持大屏拼接漫游；1个DB15转8路音频输出；</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输入编码板</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视频输入口：8路视频输入，HDMI口；输入分辨率：1024×768@60Hz、1280×1024@60Hz、1280×800@60Hz、1366×768@60Hz、1440×900@60Hz、1680×1050@60Hz、1280×960@60Hz、1600×1200@60Hz、1280×720P@50Hz、1280×720P@60Hz、1920×1080I@50Hz、1920×1080I@60Hz、1920×1080P@50Hz、1920×1080P@60Hz；音频输入口：8路音频输入，1个DB15转BNC接口；编码标准：标准H.264；编码能力：8路，支持的编码分辨率为：1080P/720P/4CIF/CIF/QCIF；</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超高分编码板</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支持4路DP输入，4096*2160分辨率无编码功能，支持输入拼接，最大12个输入拼接为1个输入源；标准：DP1.2标准</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10</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超高分服务器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双路国产CPU 海光 8核16线程 3.0GHZ；32G DDR4，480G 企业级SSD；1块Quadro系列 RTX4000专业显卡（单卡4路输出，整机共4路输出）；DVD-RW，600W电源，内含Dp 3米线*4；显卡参数（单张）：RTX4000；显存8GB GDDR6；显存位宽256bit；流处理器单元2304个；DP数量3个，雷电口1个；支持分辨率：输出4个3840X2160/3200W；配合B20需配置 DS-6404HFU-B20DP*1；配合B21需配置 DS-6402HFU-B21DP*2；配合C10S需配置DS-C10S-SYNC*1，DS-C10S-DPI2T-4K*2；标配4路超高分服务器，如需高配4路超高分服务器选择DS-IVMS9530E-UH04/H2R5（显卡升级）</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DP线</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DP线缆，3m，黑色</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HDMI电缆（2m）</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HDMI电缆（15m）</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HDMI2.0锌合金高清线，铝箔+编织多重屏蔽，抗干扰性强，稳定传输，长度20m；内置4芯光纤，支持4K/60HZ画面，支持100米远距离传输，超低功耗250mw。</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海康、山泽、绿联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HDMI电缆（20m）</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HDMI2.0锌合金高清线，铝箔+编织多重屏蔽，抗干扰性强，稳定传输，长度20m；内置4芯光纤，支持4K/60HZ画面，支持100米远距离传输，超低功耗250mw。</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海康、山泽、绿联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15</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HDMI电缆（25m）</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HDMI2.0锌合金高清线，铝箔+编织多重屏蔽，抗干扰性强，稳定传输，长度25m；内置4芯光纤，支持4K/60HZ画面，支持100米远距离传输，超低功耗250mw。</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海康、山泽、绿联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1.2 决策会商区显示系统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55寸0.88拼缝拼接屏</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尺寸：55英寸；</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分辨率：1920 × 1080@60 Hz（向下兼容）；</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视角：178°(水平)/ 178°(垂直)；</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响应时间：8ms(G to G)；</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LCD显示单元物理拼缝≤0.9mm，亮度达到620cd/㎡，对比度达到6000:1，图像显示清晰度≥950TVL，亮度鉴别等级为11级。</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液晶拼接屏必须采用整机设计，严禁使用飞线屏（供货时如果发现飞线屏，业主有权取消中标资格），显示屏具备完整后壳，不得以支架或挡板替代，无任何裸露在外的电路线，整体美观大方，而且产品符合检测规范；</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输入接口：HDMI × 1, DVI × 1, VGA × 1, CVBS × 1, USB × 1；</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输出接口：DVI × 1, VGA × 1, CVBS × 1；</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控制接口：RS232 IN × 1，RS232 OUT × 1；</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可定制接口 3G SDI(输入×1、输出×1)、DP、TVI(输入×1、输出×1)、网络源；</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功耗：≤ 192 W；</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电源要求：100～240 VAC, 50/60 Hz；</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寿命：≥60000 小时；</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工作温度和湿度：0℃～40℃</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10%～90% RH（无冷凝水）；</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外形尺寸：1210.81 (W) mm × 681.76 (H) mm × 67.35 (D) mm；</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毛重（含包装和配件盒）：69.92 ± 0.5 kg（双包）</w:t>
            </w:r>
          </w:p>
          <w:p>
            <w:pPr>
              <w:widowControl/>
              <w:numPr>
                <w:ilvl w:val="0"/>
                <w:numId w:val="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39.74 ± 0.5 kg（单包）；</w:t>
            </w:r>
          </w:p>
          <w:p>
            <w:pPr>
              <w:widowControl/>
              <w:numPr>
                <w:ilvl w:val="0"/>
                <w:numId w:val="4"/>
              </w:numPr>
              <w:spacing w:line="280" w:lineRule="exact"/>
              <w:jc w:val="left"/>
              <w:textAlignment w:val="center"/>
              <w:rPr>
                <w:rFonts w:hint="eastAsia" w:ascii="宋体" w:hAnsi="宋体" w:eastAsia="宋体" w:cs="宋体"/>
                <w:b/>
                <w:color w:val="000000"/>
                <w:kern w:val="0"/>
                <w:szCs w:val="21"/>
                <w:lang w:bidi="ar"/>
              </w:rPr>
            </w:pPr>
            <w:r>
              <w:rPr>
                <w:rFonts w:hint="eastAsia" w:ascii="宋体" w:hAnsi="宋体" w:eastAsia="宋体" w:cs="宋体"/>
                <w:color w:val="000000"/>
                <w:kern w:val="0"/>
                <w:szCs w:val="21"/>
                <w:lang w:bidi="ar"/>
              </w:rPr>
              <w:t>液晶显示单元具有色坐标一致性，根据CIE1931标准色度系统，液晶显示单元色坐标误差在±0.001以内。</w:t>
            </w:r>
          </w:p>
          <w:p>
            <w:pPr>
              <w:widowControl/>
              <w:numPr>
                <w:ilvl w:val="0"/>
                <w:numId w:val="4"/>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液晶显示单元的风扇具备良好的散热效果，风扇散热性能≥60%。</w:t>
            </w:r>
          </w:p>
          <w:p>
            <w:pPr>
              <w:widowControl/>
              <w:numPr>
                <w:ilvl w:val="0"/>
                <w:numId w:val="4"/>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采用图像显示灰度等级提升技术，使8bit液晶屏实现10bit的显示效果，灰度等级从256级增加到1024级，画面层次丰富、色彩逼真。</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液压前维护支架</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支持手动、电动弹出、收回，根据实际需要定制</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视频综合平台一体机</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5U机箱+8路DVI输入（支持转VGA或HDMI）+12路HDMI输出+单主控板+单电源；整机支持解码6路2400W@25fps、或12路1200W@25fps、或24路800W@25fps、或48路400W@25fps、或 96路200W@30fps，192路720P@30fps，或192路4CIF@30fps以下分辨率</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投标产品主控板具有4个串口，每个串口挂载8个RS485控制设备，可将IP数据发送给串口。</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投标产品支持视频输入通道参数设置功能，可对单个视频输入通道进行分辨率、帧率、码率、亮度、对比度、饱和度、色调、去噪等参数设置，图像显示模式可设定标准、室内、室外、弱光等显示模式进行设置。</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投标产品解码显示视频无卡顿，编码预览视频无卡顿。</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投标产品支持显示预案功能，可将样机的视频输出状态保存为场景，可设置多个场景并可对每个场景进行配置、清空、复制、修改、切换等操作，可实现多个场景轮巡切换、（预案）轮巡。</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投标产品支持虚拟云台控制功能，具备虚拟云台控制按键，可调整球机和云台的运行速度和方向，并且支持多用户云台抢占、云台控制锁定功能；</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投标产品单板支持128个漫游窗口叠加，支持窗口置顶或置底设置。</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投标产品支持1、2、4、6、8、9、12、16、32、36、48、64画面分割显示。</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投标产品支持将25帧或30帧的视频转换为50或60帧。</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投标产品支持走廊模式显示功能。</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投标产品支持英飞拓、PELCO等键盘接入。</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投标产品对录像文件解码延时≤110ms。</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投标产品支持4K输出板最大分辨率为4096×2160，其它板卡支持至少8种分辨率输出1920×1080、1680×1050、1600×1200、1400×1050、1280×1024、1280×960、1280×720、1024×768。</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投标产品支持手动视频切换功能，支持将选定的视频输入切换到选定的视频输出，支持视音频同步切换、异步切换，画面切换时不出现黑屏。</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投标产品具有同一输入通道的视频图像在不同输出端口显示的失步误差小于1ms。</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投标产品可通过无线终端将视音频、图片、PPT等传送到屏幕上显示。</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采用嵌入式非X86架构，主控板不具备X86架构特征元件（CPU、内存条、硬盘、VGA接口）；</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★投标产品的信号源采集后经过高速背板总线到输出显示所用平均时间应≤35ms；</w:t>
            </w:r>
            <w:r>
              <w:rPr>
                <w:rFonts w:hint="eastAsia" w:ascii="宋体" w:hAnsi="宋体" w:eastAsia="宋体" w:cs="宋体"/>
                <w:b/>
                <w:color w:val="000000"/>
                <w:kern w:val="0"/>
                <w:szCs w:val="21"/>
                <w:lang w:bidi="ar"/>
              </w:rPr>
              <w:t>（提供公安部出具的封面具有CNAS标志的报告复印件加盖原厂商公章）</w:t>
            </w:r>
          </w:p>
          <w:p>
            <w:pPr>
              <w:widowControl/>
              <w:numPr>
                <w:ilvl w:val="0"/>
                <w:numId w:val="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★投标产品的图像切换时间＜20ms。</w:t>
            </w:r>
            <w:r>
              <w:rPr>
                <w:rFonts w:hint="eastAsia" w:ascii="宋体" w:hAnsi="宋体" w:eastAsia="宋体" w:cs="宋体"/>
                <w:b/>
                <w:color w:val="000000"/>
                <w:kern w:val="0"/>
                <w:szCs w:val="21"/>
                <w:lang w:bidi="ar"/>
              </w:rPr>
              <w:t>（提供公安部出具的封面具有CNAS标志的报告复印件加盖原厂商公章）</w:t>
            </w:r>
          </w:p>
          <w:p>
            <w:pPr>
              <w:widowControl/>
              <w:numPr>
                <w:ilvl w:val="0"/>
                <w:numId w:val="5"/>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投标产品支持解码中断时保留最后一帧的功能，解码板不同输出口以及跨解码板的输出口之间输出色彩无色差。</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HDMI输入线缆（50m）</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HDMI2.0锌合金高清线，铝箔+编织多重屏蔽，抗干扰性强，稳定传输；内置4芯光纤，支持4K/60HZ画面，支持100米远距离传输，超低功耗250mw。。</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18</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海康、三星、LG</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2 音频系统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2.1 指挥大厅音频系统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模块化线性列阵扬声器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6"/>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模块化线性列阵扬声器设计用于需要全频段音乐表现和较高的语言清晰度的室内和户外应用场所；</w:t>
            </w:r>
          </w:p>
          <w:p>
            <w:pPr>
              <w:widowControl/>
              <w:numPr>
                <w:ilvl w:val="0"/>
                <w:numId w:val="6"/>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★频率响应：75Hz-13kHz (-3dB)/58Hz-16kHz (-10dB)；</w:t>
            </w:r>
            <w:r>
              <w:rPr>
                <w:rFonts w:hint="eastAsia" w:ascii="宋体" w:hAnsi="宋体" w:eastAsia="宋体" w:cs="宋体"/>
                <w:b/>
                <w:color w:val="000000"/>
                <w:kern w:val="0"/>
                <w:szCs w:val="21"/>
                <w:lang w:bidi="ar"/>
              </w:rPr>
              <w:t>（提供产品官方证明材料）</w:t>
            </w:r>
          </w:p>
          <w:p>
            <w:pPr>
              <w:widowControl/>
              <w:numPr>
                <w:ilvl w:val="0"/>
                <w:numId w:val="6"/>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★持续功率处理：150W 连续（全频），300W 连续（中高频）；阻抗：8Ω；灵敏度：87dB-SPL, 1w, 1m；最大声输出：109dB-SPL, 1m；辐射角度：160º (H), 20º (V);</w:t>
            </w:r>
          </w:p>
          <w:p>
            <w:pPr>
              <w:widowControl/>
              <w:numPr>
                <w:ilvl w:val="0"/>
                <w:numId w:val="6"/>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外形尺寸：高≤98cm，宽度≤10.4cm，深度≤14.0cm；重量≤9.5KG。</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数字功功率放大器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功放功率：4x 300 W (THD+N &lt; 0.04%, 1 kHz, 4-8 Ω, 70/100V)；</w:t>
            </w:r>
          </w:p>
          <w:p>
            <w:pPr>
              <w:widowControl/>
              <w:numPr>
                <w:ilvl w:val="0"/>
                <w:numId w:val="7"/>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电流共享功率 : 将2个通道的功率成对桥接输出 2×600W (2-4 Ω, 70/100V)；</w:t>
            </w:r>
          </w:p>
          <w:p>
            <w:pPr>
              <w:widowControl/>
              <w:numPr>
                <w:ilvl w:val="0"/>
                <w:numId w:val="7"/>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频率响应：4-8 Ω: 20Hz–20kHz (+/- 1dB@1W)；</w:t>
            </w:r>
          </w:p>
          <w:p>
            <w:pPr>
              <w:widowControl/>
              <w:numPr>
                <w:ilvl w:val="0"/>
                <w:numId w:val="7"/>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通道隔离（串扰）：&gt;80dB @ 1 kHz,&gt;65dB@20kHz；</w:t>
            </w:r>
          </w:p>
          <w:p>
            <w:pPr>
              <w:widowControl/>
              <w:numPr>
                <w:ilvl w:val="0"/>
                <w:numId w:val="7"/>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A/D和D/A转换器：24-bit/48kHz；</w:t>
            </w:r>
          </w:p>
          <w:p>
            <w:pPr>
              <w:widowControl/>
              <w:numPr>
                <w:ilvl w:val="0"/>
                <w:numId w:val="7"/>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输入通道：4路平衡输入（Euroblock）；2路非平衡（RCA）；输入阻抗：10 kΩ；输入灵敏度：-10 dBV / 4dBu / 14 dBu；输出通道：4路（8口接线端子连接扬声器）；</w:t>
            </w:r>
          </w:p>
          <w:p>
            <w:pPr>
              <w:widowControl/>
              <w:numPr>
                <w:ilvl w:val="0"/>
                <w:numId w:val="7"/>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输出通道：1路 MOH 音乐保留辅助输出（Euroblock）；1路平衡辅助输出（Euroblock）；</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数字调音台</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利用数字混音技术的全部潜力，所有设置 ( 包括首要的推子位置和前置放大增益 ) 都可以全面调用，有便利的录音与播放解决方案，iPad 控制，个人监听选项和本地或远程 Cat5 输入 / 输出的选择。</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调音台有 4 个 DCA，可对 42 路音源进行混音，包括立体声输入和返回，它相当于一台带有广泛外置设备 (38 个门限，62 个压器，24 个图示均衡器和 4 个立体声效果器 ) 的 46 通道、8 编组、4VCA 模拟调音台！</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32个单声道输入； 3个立体声输入； 4个立体声FX返回； 24个混音输出； 4个FX引擎； 10个软键； 32×32 USB音频接口； DAW MIDI控制； AES数字输出； 33个电动推子；可调用前置放大器； Qu-Drive可直接在USB储存设备上进行多轨录音/回放； 7英寸触摸屏； iLive效果库； dSNAKETM远程音频端口；可兼容ME个人混音系统； Qu-Pad iPad应用程序；所有输入上有微调、极性、高通滤波器、门限、断电插入、4段参数均衡、压缩器和延时；所有混音输出上有断点插入、4段参数均衡、1/3倍频程图示均衡、压缩器和延时；</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内置信号发生器；实时分析器带峰值频带指示；</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YAMAHA、PEAVEY、JBL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数字音频处理器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路输入/8路输出，96kHz采样率；提供高信噪比，精准频率响应；可以通过一个USB连接线或网线连接配套的pc调试软件来进行的控制和预设存储与调用；每个输入通道提供：增益，高低通滤波器，8段参量均衡，极性调整和最高340毫秒的延时。每个输出通道提供：增益，压缩/限幅，9段参量均衡，极性调整，最高680毫秒的延时。分频/带通滤波器涵盖了巴特沃斯滤波器(Butterworth)、贝塞尔滤波器(Bessel)、林克威治-瑞利滤波器（Linkwitz-Riley）三种算法，提供由6dB/Oct到48dB/Oct多种斜率选择。均衡滤波器包括：参量均衡滤波器、低架滤波器、高架滤波器、低通滤波器、高通滤波器、全通滤波器1，全通滤波器2。信号发生器（正弦波，白噪音，粉红噪音）。安全锁功能。</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监听耳机</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连接方式：3.5mm插头；发声原理：动圈耳机；佩戴方式：头戴式；单元直径：45mm；频响范围：15-28000Hz；产品阻抗：38欧姆；灵敏度：99dB；最大功率：1600mW；插头类型：I直型"</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副</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AKG、铁三角、Audio Technica</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双轴墙架</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音箱原配支架</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BOSE/美国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2.2 决策会商区音频系统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模块化线性列阵扬声器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模块化线性列阵扬声器可用于室内和户外应用场所；</w:t>
            </w:r>
          </w:p>
          <w:p>
            <w:pPr>
              <w:widowControl/>
              <w:numPr>
                <w:ilvl w:val="0"/>
                <w:numId w:val="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频率响应：75Hz-13kHz (-3dB)/58Hz-16kHz (-10dB)； </w:t>
            </w:r>
          </w:p>
          <w:p>
            <w:pPr>
              <w:widowControl/>
              <w:numPr>
                <w:ilvl w:val="0"/>
                <w:numId w:val="8"/>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★持续功率处理：150W 连续（全频），300W 连续（中高频）；阻抗：8Ω；灵敏度：87dB-SPL, 1w, 1m；最大声输出：109dB-SPL, 1m；辐射角度：160º (H), 20º (V);</w:t>
            </w:r>
          </w:p>
          <w:p>
            <w:pPr>
              <w:widowControl/>
              <w:numPr>
                <w:ilvl w:val="0"/>
                <w:numId w:val="8"/>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外形尺寸：高≤98cm，宽度≤10.4cm，深度≤14.0cm；重量≤9.5KG。</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数字功功率放大器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功放功率：4x 300 W (THD+N &lt; 0.04%, 1 kHz, 4-8 Ω, 70/100V)；</w:t>
            </w:r>
          </w:p>
          <w:p>
            <w:pPr>
              <w:widowControl/>
              <w:numPr>
                <w:ilvl w:val="0"/>
                <w:numId w:val="9"/>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电流共享功率 : 将2个通道的功率成对桥接输出 2×600W (2-4 Ω, 70/100V)；</w:t>
            </w:r>
          </w:p>
          <w:p>
            <w:pPr>
              <w:widowControl/>
              <w:numPr>
                <w:ilvl w:val="0"/>
                <w:numId w:val="9"/>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频率响应：4-8 Ω: 20Hz–20kHz (+/- 1dB@1W)；</w:t>
            </w:r>
          </w:p>
          <w:p>
            <w:pPr>
              <w:widowControl/>
              <w:numPr>
                <w:ilvl w:val="0"/>
                <w:numId w:val="9"/>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通道隔离（串扰）：&gt;80dB @ 1 kHz,&gt;65dB@20kHz；</w:t>
            </w:r>
          </w:p>
          <w:p>
            <w:pPr>
              <w:widowControl/>
              <w:numPr>
                <w:ilvl w:val="0"/>
                <w:numId w:val="9"/>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A/D和D/A转换器：24-bit/48kHz；</w:t>
            </w:r>
          </w:p>
          <w:p>
            <w:pPr>
              <w:widowControl/>
              <w:numPr>
                <w:ilvl w:val="0"/>
                <w:numId w:val="9"/>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输入通道：4路平衡输入（Euroblock）；2路非平衡（RCA）；输入阻抗：10 kΩ；输入灵敏度：-10 dBV / 4dBu / 14 dBu；输出通道：4路（8口接线端子连接扬声器）；</w:t>
            </w:r>
          </w:p>
          <w:p>
            <w:pPr>
              <w:widowControl/>
              <w:numPr>
                <w:ilvl w:val="0"/>
                <w:numId w:val="9"/>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输出通道：1路 MOH 音乐保留辅助输出；1路平衡辅助输出；</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BOSE、PEAVEY、JBL</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数字音频处理器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路输入/8路输出，96kHz采样率；提供高信噪比，精准频率响应；可以通过一个USB连接线或网线连接VSX48E结合配套的pc调试软件来进行控制和预设存储与调用；每个输入通道提供：增益，高低通滤波器，8段参量均衡，极性调整和最高340毫秒的延时。每个输出通道提供：增益，压缩/限幅，9段参量均衡，极性调整，最高680毫秒的延时。分频/带通滤波器涵盖了巴特沃斯滤波器(Butterworth)、贝塞尔滤波器(Bessel)、林克威治-瑞利滤波器（Linkwitz-Riley）三种算法，提供由6dB/Oct到48dB/Oct多种斜率选择。均衡滤波器包括：参量均衡滤波器、低架滤波器、高架滤波器、低通滤波器、高通滤波器、全通滤波器1，全通滤波器2。信号发生器（正弦波，白噪音，粉红噪音）。安全锁功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BOSE、PEAVEY、YAMAHA</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反馈抑制器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利用精密的“搜索和消除”滤波，动态反馈抑制器可搜索、锁定并消除有误频率；24位转换器，48kHz采样频率；频率响应：20 Hz - 20 kHz (+/- 0.5 dB @ 1 kHz)；输入阻抗：40 kΩ；输出阻抗：120 kΩ；总谐波失真（THD）：0.005% @ 1 kHz；16个专用滤波器可同时运行（8个动态滤波器）；立体声或“双声道”运行（32种动态控制滤波）；有四种常用的预设；外加的“Panic”滤波器用于快速控制严重的突发性反馈；平衡的XLR（卡侬）和TRS输入/输出；后面板的禁用按钮可以快速禁用前面板的控制；每个输入/输出有+4dB或 -10dB开关；滤波器的带宽可变；复位按钮可重置部分或所有滤波器。</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BOSE、PEAVEY、YAMAHA</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10寸墙面嵌入式智能控制终端</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屏幕尺寸：10.1寸；外壳：金属外壳；CPU：RK3288/4核1.8GHz ARM Cortex-A17架构；操作系统：Android 5.1.1（完全ROOT）；运行内存：2GB；存储：8GB（EMMC）；GPU：ARM Mali-T764(支持OpenGLES1.1/2.0/3.0  OPENVG1.1,OPENCL,DirectX11)；显示屏接口：MIPI；分辨率：1280×800（比例16:10）；触摸形式：电容式（5点）；亮度：300 cd/m2；视角：全视角（IPS）；电源：一路DC12V，接口尺寸5.5×2.1MM；串口：4路RS232,2路RS485（2路RS232与RS485复用，RS232接口为PH-2.0MM-10P座子，RS485接口为PH-2.0MM-4P座子）；USB ：4路HOST（1路DEVICE接口对外引出4路USB HOST）；音频接口：1路MIC，2路SPK接口（双声道8Ω/3W功放，SPK接插件PH2.0MM-4P座子）；HDMI：1路（HDMI2.0通用接口）；TF卡：1路（TF卡接口）；网口：1路（10/100Mbps自适应网络接口）；GPIO：4路（IO接口，支持3V3的IO，接插件PH2.0MM-5P)；WIFI：1路</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蓝牙：1路（支持蓝牙4.0协议）；按键：1个recovery按键（用于烧写）；工作电压：DC11.5~12.5V（典型值12V）；工作电流：典型值600mA（12V）；工作温度：-10℃~70℃（典型值25℃）；工作湿度：5~95RH%；尺寸：256×170×34mm；底壳安装开孔尺寸：227×158×37mm</w:t>
            </w:r>
            <w:r>
              <w:rPr>
                <w:rFonts w:ascii="宋体" w:hAnsi="宋体" w:eastAsia="宋体" w:cs="宋体"/>
                <w:color w:val="000000"/>
                <w:kern w:val="0"/>
                <w:szCs w:val="21"/>
                <w:lang/>
              </w:rPr>
              <w:drawing>
                <wp:inline distT="0" distB="0" distL="114300" distR="114300">
                  <wp:extent cx="9525" cy="9525"/>
                  <wp:effectExtent l="0" t="0" r="0" b="0"/>
                  <wp:docPr id="3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6"/>
                          <pic:cNvPicPr>
                            <a:picLocks noChangeAspect="1"/>
                          </pic:cNvPicPr>
                        </pic:nvPicPr>
                        <pic:blipFill>
                          <a:blip r:embed="rId33"/>
                          <a:stretch>
                            <a:fillRect/>
                          </a:stretch>
                        </pic:blipFill>
                        <pic:spPr>
                          <a:xfrm>
                            <a:off x="0" y="0"/>
                            <a:ext cx="9525" cy="9525"/>
                          </a:xfrm>
                          <a:prstGeom prst="rect">
                            <a:avLst/>
                          </a:prstGeom>
                          <a:noFill/>
                          <a:ln>
                            <a:noFill/>
                          </a:ln>
                        </pic:spPr>
                      </pic:pic>
                    </a:graphicData>
                  </a:graphic>
                </wp:inline>
              </w:drawing>
            </w:r>
            <w:r>
              <w:rPr>
                <w:rFonts w:hint="eastAsia" w:ascii="宋体" w:hAnsi="宋体" w:eastAsia="宋体" w:cs="宋体"/>
                <w:color w:val="000000"/>
                <w:kern w:val="0"/>
                <w:szCs w:val="21"/>
                <w:lang w:bidi="ar"/>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华为、小米、华硕</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讨论话筒无线接入点</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独立使用，无需中央控制主机；</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电源电压(PSU)：100</w:t>
            </w:r>
            <w:r>
              <w:rPr>
                <w:rStyle w:val="40"/>
                <w:rFonts w:ascii="宋体" w:hAnsi="宋体" w:eastAsia="宋体"/>
                <w:sz w:val="21"/>
                <w:szCs w:val="21"/>
                <w:lang w:bidi="ar"/>
              </w:rPr>
              <w:noBreakHyphen/>
            </w:r>
            <w:r>
              <w:rPr>
                <w:rStyle w:val="52"/>
                <w:rFonts w:hint="default"/>
                <w:sz w:val="21"/>
                <w:szCs w:val="21"/>
                <w:lang w:bidi="ar"/>
              </w:rPr>
              <w:t>240 Vac 50</w:t>
            </w:r>
            <w:r>
              <w:rPr>
                <w:rStyle w:val="40"/>
                <w:rFonts w:ascii="宋体" w:hAnsi="宋体" w:eastAsia="宋体"/>
                <w:sz w:val="21"/>
                <w:szCs w:val="21"/>
                <w:lang w:bidi="ar"/>
              </w:rPr>
              <w:noBreakHyphen/>
            </w:r>
            <w:r>
              <w:rPr>
                <w:rStyle w:val="52"/>
                <w:rFonts w:hint="default"/>
                <w:sz w:val="21"/>
                <w:szCs w:val="21"/>
                <w:lang w:bidi="ar"/>
              </w:rPr>
              <w:t>60 Hz输入，48 Vdc输出；PoE 802.3af，802.3at - 类型1模式A（端跨），模式B（中跨）；</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系统电源：48 Vdc；功耗：10 W；</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频率响应：80 Hz – 20 kHz；额定电平时的THD：&lt;0.1 %</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动态范围：&gt;98 dBA；信噪比：&gt;96 dBA；</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以太网：1000Base</w:t>
            </w:r>
            <w:r>
              <w:rPr>
                <w:rStyle w:val="40"/>
                <w:rFonts w:ascii="宋体" w:hAnsi="宋体" w:eastAsia="宋体"/>
                <w:sz w:val="21"/>
                <w:szCs w:val="21"/>
                <w:lang w:bidi="ar"/>
              </w:rPr>
              <w:noBreakHyphen/>
            </w:r>
            <w:r>
              <w:rPr>
                <w:rStyle w:val="52"/>
                <w:rFonts w:hint="default"/>
                <w:sz w:val="21"/>
                <w:szCs w:val="21"/>
                <w:lang w:bidi="ar"/>
              </w:rPr>
              <w:t>T IEEE 802.3ab；</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插孔额定值：-18 dBV；插孔最大值：+18 dBV；</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WIFI标准：IEEE 802.11n、WPA2加密，2.4 GHz和5 GHz频段之间的无缝频率切换（无ISM许可限制）；</w:t>
            </w:r>
          </w:p>
          <w:p>
            <w:pPr>
              <w:widowControl/>
              <w:numPr>
                <w:ilvl w:val="0"/>
                <w:numId w:val="10"/>
              </w:numPr>
              <w:spacing w:line="280" w:lineRule="exact"/>
              <w:jc w:val="left"/>
              <w:textAlignment w:val="center"/>
              <w:rPr>
                <w:rStyle w:val="52"/>
                <w:rFonts w:hint="default"/>
                <w:sz w:val="21"/>
                <w:szCs w:val="21"/>
                <w:lang w:bidi="ar"/>
              </w:rPr>
            </w:pPr>
            <w:r>
              <w:rPr>
                <w:rStyle w:val="52"/>
                <w:rFonts w:hint="default"/>
                <w:sz w:val="21"/>
                <w:szCs w:val="21"/>
                <w:lang w:bidi="ar"/>
              </w:rPr>
              <w:t>安装：天花板、墙壁或三角落地支架（使用附带的支架）；</w:t>
            </w:r>
          </w:p>
          <w:p>
            <w:pPr>
              <w:widowControl/>
              <w:numPr>
                <w:ilvl w:val="0"/>
                <w:numId w:val="10"/>
              </w:numPr>
              <w:spacing w:line="280" w:lineRule="exact"/>
              <w:jc w:val="left"/>
              <w:textAlignment w:val="center"/>
              <w:rPr>
                <w:rFonts w:ascii="宋体" w:hAnsi="宋体" w:eastAsia="宋体" w:cs="宋体"/>
                <w:color w:val="000000"/>
                <w:szCs w:val="21"/>
              </w:rPr>
            </w:pPr>
            <w:r>
              <w:rPr>
                <w:rStyle w:val="52"/>
                <w:rFonts w:hint="default"/>
                <w:sz w:val="21"/>
                <w:szCs w:val="21"/>
                <w:lang w:bidi="ar"/>
              </w:rPr>
              <w:t>工作温度：5 ºC至+45 ºC（41 ºF至+113 ºF）。</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无线讨论话筒单元</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 xml:space="preserve">可拆卸电池组，方便更换和充电，电池组：7.5 Vdc，功耗：4.5 W，容量：12800mAh，工作时间：&gt;24小时（20%发言，80%聆听），完全充电少于3个小时； </w:t>
            </w:r>
          </w:p>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频率响应：100Hz - 20kHz（-3dB，额定电平）；额定电平时的THD：&lt; 0.1 %；动态范围：&gt; 90 dB；信噪比：&gt; 90 dB；耳机负载阻抗：&gt; 32 ohm &lt;1k ohm；耳机输出功率：15 mW；</w:t>
            </w:r>
          </w:p>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WIFI标准：IEEE 802.11n，频率范围：2.4 GHz和5 GHz（无ISM许可限制）；</w:t>
            </w:r>
          </w:p>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话筒额定输入：80 dB 声压级；话筒最大输入：110 dB声压级；</w:t>
            </w:r>
          </w:p>
          <w:p>
            <w:pPr>
              <w:widowControl/>
              <w:numPr>
                <w:ilvl w:val="0"/>
                <w:numId w:val="11"/>
              </w:numPr>
              <w:spacing w:line="280" w:lineRule="exact"/>
              <w:jc w:val="left"/>
              <w:textAlignment w:val="center"/>
              <w:rPr>
                <w:rStyle w:val="52"/>
                <w:rFonts w:hint="default"/>
                <w:sz w:val="21"/>
                <w:szCs w:val="21"/>
                <w:lang w:bidi="ar"/>
              </w:rPr>
            </w:pPr>
            <w:r>
              <w:rPr>
                <w:rFonts w:hint="eastAsia" w:ascii="宋体" w:hAnsi="宋体" w:cs="宋体"/>
                <w:color w:val="000000"/>
                <w:kern w:val="0"/>
                <w:szCs w:val="21"/>
                <w:lang w:bidi="ar"/>
              </w:rPr>
              <w:t>★</w:t>
            </w:r>
            <w:r>
              <w:rPr>
                <w:rStyle w:val="52"/>
                <w:rFonts w:hint="default"/>
                <w:sz w:val="21"/>
                <w:szCs w:val="21"/>
                <w:lang w:bidi="ar"/>
              </w:rPr>
              <w:t>内置扬声器，额定输出：72dB声压级，0.5米；内置扬声器最大输出：80 dB 声压级；</w:t>
            </w:r>
            <w:r>
              <w:rPr>
                <w:rStyle w:val="52"/>
                <w:rFonts w:hint="default"/>
                <w:b/>
                <w:sz w:val="21"/>
                <w:szCs w:val="21"/>
                <w:lang w:bidi="ar"/>
              </w:rPr>
              <w:t>（提供产品官网参数说明）</w:t>
            </w:r>
          </w:p>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耳机额定输出：0 dBV；耳机最大输出：3 dBV；</w:t>
            </w:r>
          </w:p>
          <w:p>
            <w:pPr>
              <w:widowControl/>
              <w:numPr>
                <w:ilvl w:val="0"/>
                <w:numId w:val="11"/>
              </w:numPr>
              <w:spacing w:line="280" w:lineRule="exact"/>
              <w:jc w:val="left"/>
              <w:textAlignment w:val="center"/>
              <w:rPr>
                <w:rStyle w:val="52"/>
                <w:rFonts w:hint="default"/>
                <w:sz w:val="21"/>
                <w:szCs w:val="21"/>
                <w:lang w:bidi="ar"/>
              </w:rPr>
            </w:pPr>
            <w:r>
              <w:rPr>
                <w:rStyle w:val="52"/>
                <w:rFonts w:hint="default"/>
                <w:sz w:val="21"/>
                <w:szCs w:val="21"/>
                <w:lang w:bidi="ar"/>
              </w:rPr>
              <w:t>可使用网页浏览器界面配置为与会人员、双代表或主席，无需修改硬件；</w:t>
            </w:r>
          </w:p>
          <w:p>
            <w:pPr>
              <w:widowControl/>
              <w:numPr>
                <w:ilvl w:val="0"/>
                <w:numId w:val="11"/>
              </w:numPr>
              <w:spacing w:line="280" w:lineRule="exact"/>
              <w:jc w:val="left"/>
              <w:textAlignment w:val="center"/>
              <w:rPr>
                <w:rStyle w:val="52"/>
                <w:rFonts w:hint="default"/>
                <w:sz w:val="21"/>
                <w:szCs w:val="21"/>
                <w:lang w:bidi="ar"/>
              </w:rPr>
            </w:pPr>
            <w:r>
              <w:rPr>
                <w:rFonts w:hint="eastAsia" w:ascii="宋体" w:hAnsi="宋体" w:cs="宋体"/>
                <w:color w:val="000000"/>
                <w:kern w:val="0"/>
                <w:szCs w:val="21"/>
                <w:lang w:bidi="ar"/>
              </w:rPr>
              <w:t>★</w:t>
            </w:r>
            <w:r>
              <w:rPr>
                <w:rStyle w:val="52"/>
                <w:rFonts w:hint="default"/>
                <w:sz w:val="21"/>
                <w:szCs w:val="21"/>
                <w:lang w:bidi="ar"/>
              </w:rPr>
              <w:t>根据用户现场情况配置强指向话筒或者鹅颈话筒杆（杆长480mm），与无线讨论单元一体化装配；</w:t>
            </w:r>
          </w:p>
          <w:p>
            <w:pPr>
              <w:widowControl/>
              <w:numPr>
                <w:ilvl w:val="0"/>
                <w:numId w:val="11"/>
              </w:numPr>
              <w:spacing w:line="280" w:lineRule="exact"/>
              <w:jc w:val="left"/>
              <w:textAlignment w:val="center"/>
              <w:rPr>
                <w:rStyle w:val="52"/>
                <w:rFonts w:hint="default"/>
                <w:sz w:val="21"/>
                <w:szCs w:val="21"/>
              </w:rPr>
            </w:pPr>
            <w:r>
              <w:rPr>
                <w:rStyle w:val="52"/>
                <w:rFonts w:hint="default"/>
                <w:sz w:val="21"/>
                <w:szCs w:val="21"/>
                <w:lang w:bidi="ar"/>
              </w:rPr>
              <w:t>话筒联通指示灯：具有红灯和绿灯， 红色表示话筒处于激活状态，绿色表示已接受请求；</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话筒电池充电箱</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可同时为最多5个电池组充电；</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单独的电池组充电电量指示灯；</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从零电量到充满电不到3个小时即可完成；</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电源电压：100-240Vac，50/60 Hz；</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最大功耗：300 W；</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尺寸：长≤340mm，宽≤195，高≤82mm；</w:t>
            </w:r>
          </w:p>
          <w:p>
            <w:pPr>
              <w:widowControl/>
              <w:numPr>
                <w:ilvl w:val="0"/>
                <w:numId w:val="1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重量：≥1.8千克（不含电池）；</w:t>
            </w:r>
          </w:p>
          <w:p>
            <w:pPr>
              <w:widowControl/>
              <w:numPr>
                <w:ilvl w:val="0"/>
                <w:numId w:val="12"/>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工作温度：5 ºC至+45 ºC（41 ºF至+113 ºF），存储和运输温度：-20 ºC至+70 ºC（-4 ºF至+158 ºF）；</w:t>
            </w:r>
          </w:p>
          <w:p>
            <w:pPr>
              <w:widowControl/>
              <w:numPr>
                <w:ilvl w:val="0"/>
                <w:numId w:val="12"/>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相对湿度：&lt;95%，&gt;5%。</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中央控制器</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13"/>
              </w:numPr>
              <w:spacing w:line="280" w:lineRule="exact"/>
              <w:jc w:val="left"/>
              <w:textAlignment w:val="center"/>
              <w:rPr>
                <w:rStyle w:val="52"/>
                <w:rFonts w:hint="default"/>
                <w:sz w:val="21"/>
                <w:szCs w:val="21"/>
                <w:lang w:bidi="ar"/>
              </w:rPr>
            </w:pPr>
            <w:r>
              <w:rPr>
                <w:rStyle w:val="52"/>
                <w:rFonts w:hint="default"/>
                <w:sz w:val="21"/>
                <w:szCs w:val="21"/>
                <w:lang w:bidi="ar"/>
              </w:rPr>
              <w:t>控制有线代表机话筒、分配同声传译和进行投票表决进程，无需操作人员干预；</w:t>
            </w:r>
          </w:p>
          <w:p>
            <w:pPr>
              <w:widowControl/>
              <w:numPr>
                <w:ilvl w:val="0"/>
                <w:numId w:val="13"/>
              </w:numPr>
              <w:spacing w:line="280" w:lineRule="exact"/>
              <w:jc w:val="left"/>
              <w:textAlignment w:val="center"/>
              <w:rPr>
                <w:rStyle w:val="52"/>
                <w:rFonts w:hint="default"/>
                <w:sz w:val="21"/>
                <w:szCs w:val="21"/>
                <w:lang w:bidi="ar"/>
              </w:rPr>
            </w:pPr>
            <w:r>
              <w:rPr>
                <w:rStyle w:val="52"/>
                <w:rFonts w:hint="default"/>
                <w:sz w:val="21"/>
                <w:szCs w:val="21"/>
                <w:lang w:bidi="ar"/>
              </w:rPr>
              <w:t>用于代表大会投票程序的基本投票控制；用于激活投票表决音的寻呼功能；</w:t>
            </w:r>
          </w:p>
          <w:p>
            <w:pPr>
              <w:widowControl/>
              <w:numPr>
                <w:ilvl w:val="0"/>
                <w:numId w:val="13"/>
              </w:numPr>
              <w:spacing w:line="280" w:lineRule="exact"/>
              <w:jc w:val="left"/>
              <w:textAlignment w:val="center"/>
              <w:rPr>
                <w:rStyle w:val="52"/>
                <w:rFonts w:hint="default"/>
                <w:sz w:val="21"/>
                <w:szCs w:val="21"/>
                <w:lang w:bidi="ar"/>
              </w:rPr>
            </w:pPr>
            <w:r>
              <w:rPr>
                <w:rStyle w:val="52"/>
                <w:rFonts w:hint="default"/>
                <w:sz w:val="21"/>
                <w:szCs w:val="21"/>
                <w:lang w:bidi="ar"/>
              </w:rPr>
              <w:t>最多245个有线馈送装置；</w:t>
            </w:r>
          </w:p>
          <w:p>
            <w:pPr>
              <w:widowControl/>
              <w:numPr>
                <w:ilvl w:val="0"/>
                <w:numId w:val="13"/>
              </w:numPr>
              <w:spacing w:line="280" w:lineRule="exact"/>
              <w:jc w:val="left"/>
              <w:textAlignment w:val="center"/>
              <w:rPr>
                <w:rStyle w:val="32"/>
                <w:rFonts w:hint="default"/>
                <w:sz w:val="21"/>
                <w:szCs w:val="21"/>
                <w:lang w:bidi="ar"/>
              </w:rPr>
            </w:pPr>
            <w:r>
              <w:rPr>
                <w:rStyle w:val="52"/>
                <w:rFonts w:hint="default"/>
                <w:sz w:val="21"/>
                <w:szCs w:val="21"/>
                <w:lang w:bidi="ar"/>
              </w:rPr>
              <w:t>电源电压100</w:t>
            </w:r>
            <w:r>
              <w:rPr>
                <w:rStyle w:val="39"/>
                <w:rFonts w:ascii="宋体" w:hAnsi="宋体" w:eastAsia="宋体"/>
                <w:sz w:val="21"/>
                <w:szCs w:val="21"/>
                <w:lang w:bidi="ar"/>
              </w:rPr>
              <w:noBreakHyphen/>
            </w:r>
            <w:r>
              <w:rPr>
                <w:rStyle w:val="32"/>
                <w:rFonts w:hint="default"/>
                <w:sz w:val="21"/>
                <w:szCs w:val="21"/>
                <w:lang w:bidi="ar"/>
              </w:rPr>
              <w:t>240 Vac 50</w:t>
            </w:r>
            <w:r>
              <w:rPr>
                <w:rStyle w:val="39"/>
                <w:rFonts w:ascii="宋体" w:hAnsi="宋体" w:eastAsia="宋体"/>
                <w:sz w:val="21"/>
                <w:szCs w:val="21"/>
                <w:lang w:bidi="ar"/>
              </w:rPr>
              <w:noBreakHyphen/>
            </w:r>
            <w:r>
              <w:rPr>
                <w:rStyle w:val="32"/>
                <w:rFonts w:hint="default"/>
                <w:sz w:val="21"/>
                <w:szCs w:val="21"/>
                <w:lang w:bidi="ar"/>
              </w:rPr>
              <w:t>60 Hz ；</w:t>
            </w:r>
          </w:p>
          <w:p>
            <w:pPr>
              <w:widowControl/>
              <w:numPr>
                <w:ilvl w:val="0"/>
                <w:numId w:val="13"/>
              </w:numPr>
              <w:spacing w:line="280" w:lineRule="exact"/>
              <w:jc w:val="left"/>
              <w:textAlignment w:val="center"/>
              <w:rPr>
                <w:rStyle w:val="32"/>
                <w:rFonts w:hint="default"/>
                <w:sz w:val="21"/>
                <w:szCs w:val="21"/>
                <w:lang w:bidi="ar"/>
              </w:rPr>
            </w:pPr>
            <w:r>
              <w:rPr>
                <w:rStyle w:val="32"/>
                <w:rFonts w:hint="default"/>
                <w:sz w:val="21"/>
                <w:szCs w:val="21"/>
                <w:lang w:bidi="ar"/>
              </w:rPr>
              <w:t>频率响应30 Hz – 20 kHz（-3 dB，额定电平）；</w:t>
            </w:r>
          </w:p>
          <w:p>
            <w:pPr>
              <w:widowControl/>
              <w:numPr>
                <w:ilvl w:val="0"/>
                <w:numId w:val="13"/>
              </w:numPr>
              <w:spacing w:line="280" w:lineRule="exact"/>
              <w:jc w:val="left"/>
              <w:textAlignment w:val="center"/>
              <w:rPr>
                <w:rStyle w:val="32"/>
                <w:rFonts w:hint="default"/>
                <w:sz w:val="21"/>
                <w:szCs w:val="21"/>
                <w:lang w:bidi="ar"/>
              </w:rPr>
            </w:pPr>
            <w:r>
              <w:rPr>
                <w:rStyle w:val="32"/>
                <w:rFonts w:hint="default"/>
                <w:sz w:val="21"/>
                <w:szCs w:val="21"/>
                <w:lang w:bidi="ar"/>
              </w:rPr>
              <w:t>额定电平时的 THD &lt; 0.5 % ；信噪比&gt; 87 dBA；</w:t>
            </w:r>
          </w:p>
          <w:p>
            <w:pPr>
              <w:widowControl/>
              <w:numPr>
                <w:ilvl w:val="0"/>
                <w:numId w:val="13"/>
              </w:numPr>
              <w:spacing w:line="280" w:lineRule="exact"/>
              <w:jc w:val="left"/>
              <w:textAlignment w:val="center"/>
              <w:rPr>
                <w:rFonts w:ascii="宋体" w:hAnsi="宋体" w:eastAsia="宋体" w:cs="宋体"/>
                <w:color w:val="000000"/>
                <w:szCs w:val="21"/>
              </w:rPr>
            </w:pPr>
            <w:r>
              <w:rPr>
                <w:rStyle w:val="32"/>
                <w:rFonts w:hint="default"/>
                <w:sz w:val="21"/>
                <w:szCs w:val="21"/>
                <w:lang w:bidi="ar"/>
              </w:rPr>
              <w:t>桌面安装或安装在19英寸机柜中。</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10</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主席控制面盘</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1、优先面板连接至双代表机接口的其中一个 RJ11 控制输入端口，控件和指示灯；</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2、一个话筒控制按钮；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3、话筒按钮周围的红色发光环用于指示优先级处于激活状态。互连组件；</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4、两个 RJ11 连接器，一个用于连接至双代表机接口， 一个用于环路布线</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cs="仿宋"/>
                <w:color w:val="000000"/>
                <w:kern w:val="0"/>
                <w:szCs w:val="21"/>
                <w:lang w:bidi="ar"/>
              </w:rPr>
            </w:pPr>
            <w:r>
              <w:rPr>
                <w:rFonts w:hint="eastAsia" w:ascii="宋体" w:hAnsi="宋体" w:cs="仿宋"/>
                <w:color w:val="000000"/>
                <w:kern w:val="0"/>
                <w:szCs w:val="21"/>
                <w:lang w:bidi="ar"/>
              </w:rPr>
              <w:t>11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升降式鹅颈话筒</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cs="宋体"/>
                <w:color w:val="000000"/>
                <w:kern w:val="0"/>
                <w:szCs w:val="21"/>
                <w:lang w:bidi="ar"/>
              </w:rPr>
              <w:t>1、</w:t>
            </w:r>
            <w:r>
              <w:rPr>
                <w:rFonts w:hint="eastAsia" w:ascii="宋体" w:hAnsi="宋体" w:eastAsia="宋体" w:cs="宋体"/>
                <w:color w:val="000000"/>
                <w:kern w:val="0"/>
                <w:szCs w:val="21"/>
                <w:lang w:bidi="ar"/>
              </w:rPr>
              <w:t>话筒连接面盘：</w:t>
            </w:r>
          </w:p>
          <w:p>
            <w:pPr>
              <w:widowControl/>
              <w:numPr>
                <w:ilvl w:val="0"/>
                <w:numId w:val="14"/>
              </w:numPr>
              <w:spacing w:line="280" w:lineRule="exact"/>
              <w:jc w:val="left"/>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话筒连接面板用于将可插拔话筒连接至双代表机接口的其中一个音频输入插孔；</w:t>
            </w:r>
          </w:p>
          <w:p>
            <w:pPr>
              <w:widowControl/>
              <w:numPr>
                <w:ilvl w:val="0"/>
                <w:numId w:val="14"/>
              </w:numPr>
              <w:spacing w:line="280" w:lineRule="exact"/>
              <w:jc w:val="left"/>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话筒连接面板还有一个输出插孔，用于控制通道选择器的输出级别。当话筒处于激活状态时，通道选择器的输出音量将会降低以防产生啸叫；</w:t>
            </w:r>
          </w:p>
          <w:p>
            <w:pPr>
              <w:widowControl/>
              <w:numPr>
                <w:ilvl w:val="0"/>
                <w:numId w:val="14"/>
              </w:numPr>
              <w:spacing w:line="280" w:lineRule="exact"/>
              <w:jc w:val="left"/>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互连组件2 米 （78.7 英寸），带八针 262° 电缆会议插头；</w:t>
            </w:r>
          </w:p>
          <w:p>
            <w:pPr>
              <w:widowControl/>
              <w:numPr>
                <w:ilvl w:val="0"/>
                <w:numId w:val="14"/>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用于控制通道选择器输出音量降低的连接器 （AMP173977-2插孔）；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cs="宋体"/>
                <w:color w:val="000000"/>
                <w:kern w:val="0"/>
                <w:szCs w:val="21"/>
                <w:lang w:bidi="ar"/>
              </w:rPr>
              <w:t>2、话筒控制面盘：</w:t>
            </w:r>
          </w:p>
          <w:p>
            <w:pPr>
              <w:widowControl/>
              <w:numPr>
                <w:ilvl w:val="0"/>
                <w:numId w:val="1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话筒控制面板经由其中一个 RJ11 控制输入接口连接至双代表机接口；</w:t>
            </w:r>
          </w:p>
          <w:p>
            <w:pPr>
              <w:widowControl/>
              <w:numPr>
                <w:ilvl w:val="0"/>
                <w:numId w:val="15"/>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按键和指示灯：一个话筒控制按钮，话筒按钮周围的三种颜色发光环可显示以下状态：红色-话筒处于激活状态，红色闪烁-已到达发言时间的最后一分钟，绿色-代表已列入请求发言名单，绿色闪烁-代表排在请求发言名单中的第一位，即将成为下一位发言者，黄色闪烁-代表已列入笔记簿，无需操作人员干预即可控制其话筒；</w:t>
            </w:r>
          </w:p>
          <w:p>
            <w:pPr>
              <w:widowControl/>
              <w:spacing w:line="280" w:lineRule="exact"/>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3、可插式话筒：</w:t>
            </w:r>
          </w:p>
          <w:p>
            <w:pPr>
              <w:widowControl/>
              <w:numPr>
                <w:ilvl w:val="0"/>
                <w:numId w:val="16"/>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控件和指示灯：红灯或绿灯，红色表示话筒处于激活状态，绿色表示已接受请求；</w:t>
            </w:r>
          </w:p>
          <w:p>
            <w:pPr>
              <w:widowControl/>
              <w:numPr>
                <w:ilvl w:val="0"/>
                <w:numId w:val="16"/>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互连组件：用于插入和固定话筒的连接器，话筒杆长480mm；</w:t>
            </w:r>
          </w:p>
          <w:p>
            <w:pPr>
              <w:widowControl/>
              <w:spacing w:line="280" w:lineRule="exact"/>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4、话筒升降器：</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颜色: 银色（PS）/深空灰、黑色（PB）（可定制）；</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电源电压：AC 220V 50Hz；</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消耗功率≤15W；</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开口尺寸：长≤105mm，宽≤65mm；</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控制方式：手控、中控、支持RS485/RS232</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麦秆长度：310mm-450mm；</w:t>
            </w:r>
          </w:p>
          <w:p>
            <w:pPr>
              <w:widowControl/>
              <w:numPr>
                <w:ilvl w:val="0"/>
                <w:numId w:val="17"/>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频率响应：100Hz—16KHz；</w:t>
            </w:r>
          </w:p>
          <w:p>
            <w:pPr>
              <w:widowControl/>
              <w:numPr>
                <w:ilvl w:val="0"/>
                <w:numId w:val="17"/>
              </w:numPr>
              <w:spacing w:line="280" w:lineRule="exact"/>
              <w:jc w:val="left"/>
              <w:textAlignment w:val="center"/>
              <w:rPr>
                <w:rFonts w:hint="eastAsia" w:eastAsia="宋体"/>
                <w:color w:val="000000"/>
                <w:lang w:bidi="ar"/>
              </w:rPr>
            </w:pPr>
            <w:r>
              <w:rPr>
                <w:rFonts w:hint="eastAsia" w:ascii="宋体" w:hAnsi="宋体" w:eastAsia="宋体" w:cs="宋体"/>
                <w:color w:val="000000"/>
                <w:kern w:val="0"/>
                <w:szCs w:val="21"/>
                <w:lang w:bidi="ar"/>
              </w:rPr>
              <w:t xml:space="preserve">  参考话距：20—120cm；</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双代表机接口</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当打开相应的输入时，扬声器输出将会关闭；</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该装置可以独立安放在桌面上，安装在墙上，嵌入桌面或座椅的扶手内；</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通过与话筒连接面板和话筒控制面板配合使用，该装置可用于手持式话筒，或可插拔话筒。</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话筒安装电缆</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会议系统专延长线缆，电缆两端各带一个模制六针圆形连接器（凸型和凹型）(该型号是100米)</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圈</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专用接头</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会议专用接头</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w:t>
            </w:r>
          </w:p>
        </w:tc>
        <w:tc>
          <w:tcPr>
            <w:tcW w:w="576"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1149"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无线手持话筒</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1、接收主机：一键式频率选择可快速查找最佳开放频率（在干扰情况下每个频带多达12个兼容系统）；</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2、内部天线分集、双色音频状态LED指示灯；</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3、每个频段可兼容数量:12、自动设置频道/组扫描；</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4、音频输出电平（参考值 ±33 kHz偏差，1 kHz音调）、XLR接口: –20.5 dBV (连接至100 kΩ 负载)； 5、灵敏度 -105 dB，12 dB信噪比（典型值）；</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6、半机架接收机、（内附原厂安装支架套件）；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7、12-8 V直流，150 mA，采用外部电源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8、手持式发射机、具备频率选择功能；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9、-10 dB增益衰减：</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10、2节 AA电池，&gt;长达14个小时；</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11、增益调整范围：10dB；</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12、射频发射机输出 最大值为30 mW；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13、音频输入电平：-10dB位置时最大值为+2 Dbv、最大值为-8 dBV； </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14、增益调整范围：10dB；</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无线领夹话筒</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集成腰包发射器；触式开关；</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26dB可调增益范围；轻质耐用结构；</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一键式频率选择可快速查找最佳开放频率（在干扰情况下）；</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每个频带多达12个兼容系统（视区域而定）；</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XLR和1/4英寸输出接口；微处理器控制的内部天线分集；</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双色音频状态LED指示灯，绿色：正常音频电平，红色：过高音频电平（过载衰减）；</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可调节的输出电平；</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可拆卸的天线令天线分布更快速；</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显示详细射频和音频计量；</w:t>
            </w:r>
          </w:p>
          <w:p>
            <w:pPr>
              <w:widowControl/>
              <w:numPr>
                <w:ilvl w:val="0"/>
                <w:numId w:val="18"/>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包括机架支架；微型领夹话筒，TA4F接头，黑色；类型:电容,拾音模式:全向形；频率范围：50Hz-20kHz，灵敏度：-38dBV/Pa；等效自噪：18dB（A）；</w:t>
            </w:r>
          </w:p>
          <w:p>
            <w:pPr>
              <w:widowControl/>
              <w:numPr>
                <w:ilvl w:val="0"/>
                <w:numId w:val="18"/>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最大声压级：120dB；</w:t>
            </w:r>
            <w:r>
              <w:rPr>
                <w:rFonts w:ascii="宋体" w:hAnsi="宋体" w:eastAsia="宋体" w:cs="宋体"/>
                <w:color w:val="000000"/>
                <w:kern w:val="0"/>
                <w:szCs w:val="21"/>
                <w:lang w:bidi="ar"/>
              </w:rPr>
              <w:t xml:space="preserve"> </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天线信号分配</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1、可用频率范围：亚洲：470-960 MHz；</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2、有5个频率范围可选；</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3、天线A和B输入过载LED指示灯；</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4、五路射频信号输出；</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5、4个用于接收机的直流馈电端（15V，最大2.5A）；</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6、用于天线偏置的直流输出端（12V，最大300mA）；</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7、需保证系统兼容性，话筒与分配器、天线需同一品牌。</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有源天线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1、接头类型: BNC, 插孔、阻抗: 50 Ω；</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2、电源要求: 来自同轴连接的 10 至 15 伏直流偏移, 75 mA；</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3、接收模式(3 dB 波束宽度): 70 角度；</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4、三阶过载交截点 (OIP3): &gt;30 dBm；</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5、天线增益 (在轴): 7.5 dBi；</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6、信号增益 ±1 dB；</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7、射频信号过强指示灯阈值: -5 dBm ；</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8、需保证系统兼容性，话筒与分配器、天线需同一品牌。</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BOSCH、BOSE、舒尔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19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便携会议专用提词器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系统支持WIN7及以上系统。 系统要求字色、底色256色任意搭配，男女播音员可分别选择不同的背景色和字色方便男女播音员选择自己的播音词,字体和字的大小任意选择，可选多种角色，以区分男角女角或更多播音角色。 文稿录入、编辑方便，操作简单，自动完成排版, 支持txt、rtf 、word 等格式文本。 分别采用监视器和高分辨率的彩显，清晰度高，字迹清晰。可台内外联网。可与文稿摄像方式联用，组成二合一型。适用于各电视台演播室的录、直播节目需要。文稿字迹明亮清晰支持自定义不同角色的字号/字体/颜色显示。 采用独家开发镜像功能液晶屏，使导播与播音员看到的新闻稿件均正像显示； 段落格式，项目符号，缩进，行间距都可以设置。日期时间随时插入演播稿。 软件支持汉、藏、蒙、傣、维、朝鲜等少数民族语言。而且还支持国外的一些语言英、日、韩、德、俄、法、阿拉伯文等国家语言。（可根据客户的要求来增加一些语言） 系统自动记录演播稿，当发生异常停电事故后再加电时自动寻找并且打开演播稿，并保证演播稿的完整性。 相对滚动时间、当前时间可同屏显示，任意设置大小、颜色，一目了然，更易把握节奏；重点语句可通过颜色标明。 更加细致，信息栏、更新时间、演播速度等方便实用。 新增导读线功能更方便了使用者进行读稿。 内容实时更新，更新过程播出不中断、不闪烁，更新速度快。</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天影视通、嘉视影、珂玛</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提词器专用控制主机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处理器默认主频1.6GHz，加速评率4.6GHz 内置8G DDR2400 RAM ，512G固态 R540X 2G独显 IPS全高清</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华为、小米、华硕</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21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音箱线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1.固定安装使用，2×4平方毫米线径；2.采用优质高纯度（OFC）无氧铜丝绞合，单丝直径为0.20mm；3.特别配方聚氯乙烯绝缘，护套采用灰色特别配方聚氯乙烯材料；4.护套为绞形，外径9mm</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450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BOSCH、成丰、佳耐美</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22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信号线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日本原装双芯带屏蔽信号线100米/卷</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卷</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BOSCH、成丰、佳耐美</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23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专业接插件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卡农公母头、大三芯、大二芯、音响插等</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BOSCH、罗科斯通、成丰</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hint="eastAsia" w:ascii="宋体" w:hAnsi="宋体" w:eastAsia="宋体" w:cs="仿宋"/>
                <w:color w:val="000000"/>
                <w:szCs w:val="21"/>
              </w:rPr>
            </w:pPr>
            <w:r>
              <w:rPr>
                <w:rFonts w:hint="eastAsia" w:ascii="宋体" w:hAnsi="宋体" w:eastAsia="宋体" w:cs="仿宋"/>
                <w:color w:val="000000"/>
                <w:kern w:val="0"/>
                <w:szCs w:val="21"/>
                <w:lang w:bidi="ar"/>
              </w:rPr>
              <w:t>24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双轴墙架</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音箱原配支架</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BOSE/美国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3 无纸化会议系统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高清升降触控屏一体机</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硬件参数：</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1、16.5寸超薄触摸液晶屏，外壳为铝合金一体成型方式俯仰角：屏幕升起后可自动后仰 0~30度，自动后仰停止角度任意可调；</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升降器面板为铝合金材料，外壳部分采用航空铝材CNC压铸工艺一次成型，极致超薄机身，极窄边框，铝一体成型保证了产品的散热、牢固度、稳定性都具有极高的水准，铝合金外框彰显高端，大气，动感电动超控，升降自如，可内嵌博世发言系统，保持桌面整洁，使用灵活，稳定性好，抗震性能好。升降器自动开合铝面板，银色或黑色，超薄设计，外形美观大方，GZW角度自动调节，支持任意分组控制升降，需自带USB接口和电源按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3、16.5寸10点触摸电容液晶屏升降一体机，屏幕尺寸：16.5英寸，液晶屏厚度4.8mm，液晶分辨率为1920*1080dpi，屏幕比例：16：9（宽屏）;采用高清高亮屏；</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cs="宋体"/>
                <w:color w:val="000000"/>
                <w:kern w:val="0"/>
                <w:szCs w:val="21"/>
                <w:lang w:bidi="ar"/>
              </w:rPr>
              <w:t>4、为了工程现场布线更加整洁美观，要求升降器具备≥1路环通输出电源插座，给终端供电减少终端电源插座布线。</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5、多点电容触摸液晶升降屏一体机，触摸屏类型：≧10点触控(JL)电容屏；动态对比度：100000：1；升降精度：水平±0.2mm、垂直±0.2mm；黑白响应时间：SD≤5MS；</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6、配合中控系统主机使用，支持串口方式控制升降屏一体机统一或单一升降、仰俯、电源管理等中控操作； 7、带有模拟VGA和数字HDMI两种接口，可以同时连接模拟和数字两种信号，HDMI信号可以满足全高清的动态显示；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8、升降器面板为铝合金材料，需自带USB接口和电源按钮；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9、显示屏可以一键同步显示会议室拼接大屏等大屏幕显示的图像。</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10、嵌入式系统主机：CPU：I5、网卡：有线千兆网卡；硬盘：1*64G SSD硬盘；内存：4GB；视频接口：VGA/HDMI；其他：HDMI ×1、4×USB2.0， 1000MLAN×1、VGA*1， Audio*1， MIC*1， DC；</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11、升降器安装方式由下向上落地式安装，自带支脚不影响桌板平整度，整体安装牢固稳定。</w:t>
            </w:r>
          </w:p>
          <w:p>
            <w:pPr>
              <w:pStyle w:val="2"/>
              <w:ind w:firstLine="210"/>
              <w:rPr>
                <w:rFonts w:hint="eastAsia" w:eastAsia="宋体"/>
                <w:color w:val="000000"/>
                <w:lang w:bidi="ar"/>
              </w:rPr>
            </w:pP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自带会议终端客户软件具有如下功能：</w:t>
            </w:r>
          </w:p>
          <w:p>
            <w:pPr>
              <w:widowControl/>
              <w:spacing w:line="280" w:lineRule="exact"/>
              <w:jc w:val="left"/>
              <w:textAlignment w:val="center"/>
              <w:rPr>
                <w:rFonts w:eastAsia="宋体"/>
                <w:color w:val="000000"/>
                <w:lang w:bidi="ar"/>
              </w:rPr>
            </w:pPr>
            <w:r>
              <w:rPr>
                <w:rFonts w:hint="eastAsia" w:ascii="宋体" w:hAnsi="宋体" w:eastAsia="宋体" w:cs="宋体"/>
                <w:color w:val="000000"/>
                <w:kern w:val="0"/>
                <w:szCs w:val="21"/>
                <w:lang w:bidi="ar"/>
              </w:rPr>
              <w:t xml:space="preserve">12、支持人名导位、会议签到（会议桌模拟图，密码签入、手写签到、亮点显示签到状态，支持设置免签到）。                                                                                13、支持参会者呼叫信息推送到服务台软件，服务台文字回复，服务台主动呼叫参会者）。                                                                   14、支持会议信息及与会者信息查看、支持会议记录（word格式）。                                                                 15、支持会议投票（实名匿名、单选多选、计时投票、饼状图柱状图显示投票结果，可根据投票权限设定来投票、查看投票结果）。                                                                                               16、支持文件会前分发、会中分发。                                                                                 17、支持与会者点对点、点对多、点对服务台交流提示。                                                                 18、支持文档资料导入导出（支持外部USB设备，可限定USB设备范围，可支持zip、rar等压缩文件格式）。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19、支持多台客户端同步演示过程中分别批注、保存，支持同步至投影幕或其他终端，可单独设定用户批注颜色，同步过程中可临时退出查看其他文件并能返回，office文件系列同步结果能保存回源文件。                                                                                                                     20、支持PC桌面共享模式（可同时共享画面与声音，也可以分别共享）。                                             21、外部电脑接入（外置PC电脑桌面或视频文件可以同步至投影幕或其他终端）。                                   22、支持具有主持权限的参会者可以手动标记所有参会者的签到状态、动态实时控制不同议题的开放与关闭、动态控制投票的开放与关闭、协助主讲者发起与停止屏幕共享、协助所有参会者统一切换到任意功能界面、控制会议过程的录音录屏、可统一控制所有设备的升降、可统一开关机、可关闭会议并销毁文件）。                                       23、支持会议加密（限定权限、限定资料上传范围、限定USB设备、会议完成后自动删除、可采用全程ssl加密模式不被嗅探、文件保存可加密）。                                                                             24、支持全办公格式（doc、docx、xls、xlsx、ppt、pptx、pdf、png、jpg、html、htm、mht、tif、tiff、txt）、支持扩展行业用文件格式（ceb、dwg、dxf）、支持所有可编辑文件格式的修改及保存副本、原笔迹批注（支持任意格式文档的原笔迹批注、office文件的批注结果动态叠加到文档中原格式保存）。                                         25、支持全格式视频播放、最高支持到2K片源解码播放，可全屏显示视频、可调节音量、可一键共享视频与音频到所有人的屏幕、可通过分享手段将音频同步到调音台.                                                                 26、支持外部电脑直接接入会议系统，可实现会议进行中针对主要功能进行操作，无需安装软件。</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18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席媒、ITC、华为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无纸化全数字会议系统主机</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含会议操作系统，支持多种会议功能；工业标准设计，系统稳定可靠；支持1路RS-485通讯；支持4路对拓展控制器输出；1路前置USB口，4路后置USB口，支持HDMI及VGA输出</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技术参数：</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输入电压:交流220V±10%V,满载最大功率2000W；工作温度:0-50摄氏度；工作湿度: 5﹪-95﹪；重量:12kg；箱体颜色:黑色；面板颜色:银色</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席媒、ITC、华为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无纸化后台管理软件</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多种会议功能，可现实会场布局，信息编辑、修改及背景自定义，可自定升级。友好的后台操作管理平台，具有历史服务申请记录、历史消息记录；支持实时批注、原迹保存等实用功能；可通过服务器端软件开启、关闭需要使用的本系统终端软件、可通过服务器端软件控制会议终端的开机、关机、重启;会议中控控制功能模块：</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 xml:space="preserve">1、 安装在控制主机上，提供无纸化系统会前、会中、会后所有功能的后台操作，包含会议服务软件、文件管理软件； </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支持多会议室管理，支持多会议预设，支持会议日程安排；灵活性要强； </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支持会议管理员对参会者进行模拟排位，支持拖动参会者图标安排人员就位且终端实时显示模拟排位后的参会者信息。</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 在后台实现用户管理，进行新建、删除等操作。用户可以通过分配好的账户及密码登陆会议客户端。</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 在后台对终端设备进行激活、注销等操作，只有激活过的设备才能使用。可以在配置管理中选择是否开启改功能。</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通过创建会议功能创建一个新的会议，输入会议名称、开始时间、结束时间、会务信息、与会人员、会议议程、会议级别等信息，点击右上角的“保存”按钮进行保存。会议成功创建后，点击“资料”即可上传相应的会议资料。</w:t>
            </w:r>
          </w:p>
          <w:p>
            <w:pPr>
              <w:widowControl/>
              <w:numPr>
                <w:ilvl w:val="0"/>
                <w:numId w:val="19"/>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在会议管理界面点击会议信息，可针对会议名称、开始时间、开始时间、结束时间等进行修改、调整，修改后，点击保存即可。</w:t>
            </w:r>
          </w:p>
          <w:p>
            <w:pPr>
              <w:widowControl/>
              <w:numPr>
                <w:ilvl w:val="0"/>
                <w:numId w:val="19"/>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会议状态分为：未启用、已启用、已停用。新创建的会议默认状态为未启用。在会议管理界面点击会议当前的状态即可变更。</w:t>
            </w:r>
          </w:p>
          <w:p>
            <w:pPr>
              <w:widowControl/>
              <w:numPr>
                <w:ilvl w:val="0"/>
                <w:numId w:val="19"/>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在会议管理界面点击签名查看，即可展示所有客户端在此会议中的签名情况，包括具体签名、签名人数、等，并可导出excel表格。</w:t>
            </w:r>
          </w:p>
          <w:p>
            <w:pPr>
              <w:widowControl/>
              <w:numPr>
                <w:ilvl w:val="0"/>
                <w:numId w:val="19"/>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可以为每个会议议题单独授权，授权后不同的用户可以看到不同的议题以及会议资料。</w:t>
            </w:r>
          </w:p>
          <w:p>
            <w:pPr>
              <w:widowControl/>
              <w:numPr>
                <w:ilvl w:val="0"/>
                <w:numId w:val="19"/>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根据平板大小，上传指定规格的图片，可更改客户端登陆界面LOGO以及背景图片。12.会议管理提供会议资料管理功能，包括资料分类、资料文档列表、批量上传等功能。</w:t>
            </w:r>
          </w:p>
          <w:p>
            <w:pPr>
              <w:widowControl/>
              <w:numPr>
                <w:ilvl w:val="0"/>
                <w:numId w:val="19"/>
              </w:numPr>
              <w:spacing w:line="280" w:lineRule="exact"/>
              <w:jc w:val="left"/>
              <w:textAlignment w:val="center"/>
              <w:rPr>
                <w:rFonts w:ascii="宋体" w:hAnsi="宋体" w:eastAsia="宋体" w:cs="宋体"/>
                <w:color w:val="000000"/>
                <w:szCs w:val="21"/>
              </w:rPr>
            </w:pPr>
            <w:r>
              <w:rPr>
                <w:rFonts w:hint="eastAsia" w:ascii="宋体" w:hAnsi="宋体" w:cs="宋体"/>
                <w:color w:val="000000"/>
                <w:kern w:val="0"/>
                <w:szCs w:val="21"/>
                <w:lang w:bidi="ar"/>
              </w:rPr>
              <w:t>★</w:t>
            </w:r>
            <w:r>
              <w:rPr>
                <w:rFonts w:hint="eastAsia" w:ascii="宋体" w:hAnsi="宋体" w:eastAsia="宋体" w:cs="宋体"/>
                <w:color w:val="000000"/>
                <w:kern w:val="0"/>
                <w:szCs w:val="21"/>
                <w:lang w:bidi="ar"/>
              </w:rPr>
              <w:t>具有</w:t>
            </w:r>
            <w:r>
              <w:rPr>
                <w:rFonts w:hint="eastAsia" w:ascii="宋体" w:hAnsi="宋体" w:cs="宋体"/>
                <w:color w:val="000000"/>
                <w:kern w:val="0"/>
                <w:szCs w:val="21"/>
                <w:lang w:bidi="ar"/>
              </w:rPr>
              <w:t>“无纸化后台管理软件”软件著作权证书</w:t>
            </w:r>
            <w:r>
              <w:rPr>
                <w:rFonts w:hint="eastAsia" w:ascii="宋体" w:hAnsi="宋体" w:cs="宋体"/>
                <w:b/>
                <w:bCs/>
                <w:color w:val="000000"/>
                <w:kern w:val="0"/>
                <w:szCs w:val="21"/>
                <w:lang w:bidi="ar"/>
              </w:rPr>
              <w:t>（提供证书复印件）</w:t>
            </w:r>
            <w:r>
              <w:rPr>
                <w:rFonts w:hint="eastAsia" w:ascii="宋体" w:hAnsi="宋体" w:eastAsia="宋体" w:cs="宋体"/>
                <w:color w:val="000000"/>
                <w:kern w:val="0"/>
                <w:szCs w:val="21"/>
                <w:lang w:bidi="ar"/>
              </w:rPr>
              <w:t xml:space="preserve"> </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席媒、ITC、华为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无纸化流媒体服务器</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支持视频信号的流媒体输出及局域网一体机单元视频的播放。支持格式：asf rm ，MPEG-2，MPEG-4 swf mov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标 准 ：RJ45；速 率： 10M/100M/1000M自适应；传输协议：RTSP、UDP、TCP、MUTP、RTP、MMS；压缩算法：H.264/ MPEG2/MPEG4；每台可采集摄像机视频信号；支持无纸化会议系统外部高清视频信号输入和视频信号同步输出的同步、异步处理转换处理，实现无纸化会议系统与其他视频设备的无缝对接。内嵌高清、标清视频信号处理模块，同步、异步处理视频信号输入、输出。支持HDMI或VGA或AV信号输入，外部信号通过此接口实时广播画面到所有会议终端并同步显示。</w:t>
            </w:r>
          </w:p>
        </w:tc>
        <w:tc>
          <w:tcPr>
            <w:tcW w:w="518"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席媒、ITC、华为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无纸化系统定制操作台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0"/>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表面材：表面贴0.6mm厚优质胡桃木皮，整体采用优质品牌水性漆涂装，五底三面封闭油漆工艺，甲醛释放量≤0.05mg/m3，木皮纹理颜色一致，无结疤，无瑕疵, 颜色可根据需求做选择；</w:t>
            </w:r>
          </w:p>
          <w:p>
            <w:pPr>
              <w:widowControl/>
              <w:numPr>
                <w:ilvl w:val="0"/>
                <w:numId w:val="20"/>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内芯材:采用优质品牌中密度纤维板，符合GB/T 11718-2009中密度纤维板，游离甲醛释放量≤0.03 mg/m³，有害物质释放量符合GB18580</w:t>
            </w:r>
          </w:p>
          <w:p>
            <w:pPr>
              <w:widowControl/>
              <w:numPr>
                <w:ilvl w:val="0"/>
                <w:numId w:val="20"/>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涂装工艺：五底三面油漆工艺，十三道处理工艺，采用优质品牌环保水性漆及水性微波烘干工艺，非显孔亚光，两面均衡油饰，漆膜附着力达到1级。</w:t>
            </w:r>
          </w:p>
          <w:p>
            <w:pPr>
              <w:widowControl/>
              <w:numPr>
                <w:ilvl w:val="0"/>
                <w:numId w:val="20"/>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胶粘剂：采用水基型胶粘剂, 符合GB 18583-2008室内装饰装修材料胶粘剂中有害物质限量标准要求，其中总挥发性有机物含量≤30g/L，游离甲醛未检出。</w:t>
            </w:r>
          </w:p>
          <w:p>
            <w:pPr>
              <w:widowControl/>
              <w:numPr>
                <w:ilvl w:val="0"/>
                <w:numId w:val="20"/>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五金件：选用优质FGV铰链；</w:t>
            </w:r>
          </w:p>
          <w:p>
            <w:pPr>
              <w:widowControl/>
              <w:numPr>
                <w:ilvl w:val="0"/>
                <w:numId w:val="20"/>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产品箱体结构，每个设备需对应一个检修门，内部走线合理，按甲方提供设备开孔。</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圣奥、大康、品冠</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无纸化作战椅</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1"/>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曲木板：采用多层薄木皮纵横交错热压成型，厚度13mm；</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椅面：优质黑色头层牛皮；</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泡棉：椅座采用高密度一体成型泡棉，不变形，达到国际防火标准，舒适度好，符合GB/T 10802-2006标准要求；</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底盘：STG背座同步倾仰,四档锁定功能,旋钮可调节倾仰松紧力度；</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 xml:space="preserve">气压棒：采用优质三弘品牌气压棒，，氮气纯度高达99.99%，升降自如（以气压棒上钢印为准），上下运行自如，行程≥10CM。座面中心承重102KG，气压棒30万次升降不漏气，不失灵；上部添加2mm厚钢板，安全防爆； </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扶手：铝合金精抛,可承受水平方向667N加载持续15s,垂直方向1125N加载持续15s,10±1°施力400N执行；</w:t>
            </w:r>
          </w:p>
          <w:p>
            <w:pPr>
              <w:widowControl/>
              <w:numPr>
                <w:ilvl w:val="0"/>
                <w:numId w:val="21"/>
              </w:numPr>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椅脚：抛光铝合金五星脚,可承受垂直方向施力11120N；持续1分钟；</w:t>
            </w:r>
          </w:p>
          <w:p>
            <w:pPr>
              <w:widowControl/>
              <w:numPr>
                <w:ilvl w:val="0"/>
                <w:numId w:val="21"/>
              </w:numPr>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椅轮：PA轮，滚动顺畅，保护地面</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圣奥、大康、品冠</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录音转写笔</w:t>
            </w:r>
          </w:p>
        </w:tc>
        <w:tc>
          <w:tcPr>
            <w:tcW w:w="10188" w:type="dxa"/>
            <w:tcBorders>
              <w:top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录音格式：AAC/WAV；产品屏幕3.5英寸 1280*720分辨率； 32G内存存储+20G云存储，内置电池2300mAh；</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800w像素摄像头，OCR识别功能；录音时能够实时查看转写内容，录音转文字达到98%准确率；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科大讯飞</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4 中控系统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中央控制系统主机</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CSZ3是自主研发的基于云端网络通讯型的中央控制主机，采用主频高达800MHz 的32 位内嵌式双核处理器，组合处理能力最高可达1.4GHz；ARM11 CPU，512M 内存，8G Flash闪存。</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开放式+模块化的用户编程界面，可轻易的完成各种复杂的控制接口编程。采用先进可靠的集成技术，提供高速准确的集中云端控制环境。协议控制卡支持RS-232、RS-485、RS-422、DMX512可任意实时自定义。TCP/IP、SPI、Zigbee、蓝牙、双向RF多协议支持。ITNET、E-BUS、CAN多总线协议支持。</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信锐、WMMAV、ITC</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编程软件</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音频管理、视频管理、环境周边设备控制管理编程</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信锐、WMMAV、ITC</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16通道IP继电器控制箱</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路大电流带常开/常闭触点继电器；自带配线架；机架式安装；CAN总线通讯，RS232，TCP/IP；任意变换的网路IP设置；支持手动及总线控制方式；配合CSZ3系列中央控制系统使用；支持RS232级联控制功能；单路功率：≤2200W；总功率：≤16000W；通讯方式：CAN总线通讯，RS232，TCP/IP；供电方式：24V DC总线供电；继电器通道数：8路；继电器触点结构：带一常开、常闭触点</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信锐、WMMAV、ITC</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串口扩容器</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一路RS-232串口输入，8路RS-232串口输出。专为串口扩展而设计，当控制设备较多而中控主机串口不够用时，CRS8是一款低成本高效率的成熟解决方案。</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信锐、WMMAV、ITC</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无线路由器</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1900M 双频吸顶式无线AP企业级wifi</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华为、小米、华硕</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无线控制面板</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10.8英寸全面屏平板电脑8GB+256GB WIFI版</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华为、小米、华硕</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电动窗帘1</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包含窗帘电机、窗帘轨道长度大于3m</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电动窗帘2</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包含窗帘电机、窗帘轨道长度大于10m</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窗帘1</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采用亚麻遮光面料，高度大于3.2m</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10</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沙帘1</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配套窗帘沙帘，高度大于3.2m</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25</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11</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窗帘2</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采用亚麻遮光面料，高度大于3.2m</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12</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沙帘2</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配套窗帘沙帘，高度大于3.2m</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华为、小米、萤石</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13</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智能电源管理器</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1.控制：嵌入式 ARM CPU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2.前面板常开开电源插座 ≥1 个；</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3.后面板 TCP/IP 控制电源时序控制 ≥16 个；</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4.前面板大屏幕电压显示功能：电压、设备 IP 地址、设备位置；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5.通过 TCP/IP 控制每一通道的开关功能：有；</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6.RFI/EMI 电源滤波器；</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7.采用五芯三相的电源进线工业插座；</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8.两相 / 三相兼容 . LED  电压指示；</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9.能与同型号的电源分配器多台级联；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10.嵌入式 ARM CPU 控制，具有 TCP/IP 网口 ,RS-485 通信端口，开放的第三方控制协议；</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11.总电流最大 32A ，8KW 。</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信锐、WMMAV、ITC</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14</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HDMI延长器</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支持120米传输，4k高清，带本地输出、带独立立体声音频</w:t>
            </w:r>
          </w:p>
        </w:tc>
        <w:tc>
          <w:tcPr>
            <w:tcW w:w="51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对</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BOWU、绿联、山泽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15</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司法部点名会议主机</w:t>
            </w:r>
          </w:p>
        </w:tc>
        <w:tc>
          <w:tcPr>
            <w:tcW w:w="1018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★与监狱现有江西赣玛司法部点名会议系统兼容</w:t>
            </w:r>
            <w:r>
              <w:rPr>
                <w:rFonts w:hint="eastAsia" w:ascii="宋体" w:hAnsi="宋体" w:eastAsia="宋体" w:cs="宋体"/>
                <w:b/>
                <w:bCs/>
                <w:color w:val="000000"/>
                <w:kern w:val="0"/>
                <w:szCs w:val="21"/>
                <w:lang w:bidi="ar"/>
              </w:rPr>
              <w:t>（提供赣玛公司出具的兼容性证明）</w:t>
            </w:r>
            <w:r>
              <w:rPr>
                <w:rFonts w:hint="eastAsia" w:ascii="宋体" w:hAnsi="宋体" w:eastAsia="宋体" w:cs="宋体"/>
                <w:color w:val="000000"/>
                <w:kern w:val="0"/>
                <w:szCs w:val="21"/>
                <w:lang w:bidi="ar"/>
              </w:rPr>
              <w:t>。</w:t>
            </w:r>
          </w:p>
        </w:tc>
        <w:tc>
          <w:tcPr>
            <w:tcW w:w="5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赣玛</w:t>
            </w:r>
          </w:p>
        </w:tc>
      </w:tr>
      <w:tr>
        <w:tblPrEx>
          <w:tblCellMar>
            <w:top w:w="15" w:type="dxa"/>
            <w:left w:w="15" w:type="dxa"/>
            <w:bottom w:w="15" w:type="dxa"/>
            <w:right w:w="15" w:type="dxa"/>
          </w:tblCellMar>
        </w:tblPrEx>
        <w:trPr>
          <w:wBefore w:w="0" w:type="dxa"/>
          <w:wAfter w:w="0" w:type="dxa"/>
          <w:trHeight w:val="301"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16</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一体式视频会议主机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1、嵌入式一体化结构设计，非PC（无内置内存条、硬盘）、工控机架构。</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2、集成编解码器、麦克风、摄像头。</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3、支持1080P25/30fps，720P50/60fps，720P30fps，4CIF, CIF等视频图像格式。</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4、支持G.711, G.722, G.722.1, G.722.1.C, G.728, AAC-LD等音频协议。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5、★提供至少2路高清输入（内置摄像机、VGA）；2路高清输出（HDMI、VGA）；</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6、支持2路内置MIC、1路3.5mm音频输入、1个阵列MIC输入接口，1路3.5mm音频输出；</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7、支持专用全向麦克风接口，实现一线不少于40米供电（无需USB供电）、声音传输。</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8、标配摄像机支持1080P50/60fps图像格式，支持不少于12倍光学变焦，支持不少于30个摄像机预置位，水平视角不低于72度，并且支持倒装。</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9、支持一条线缆即可实现供电、网络连接、高清视频输出和外置麦克风的连接。</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10、支持H.235/TLS/SRTP/AES等加密机制。</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11、支持512Kbps实现1080P@30fps会议效果；384Kbps实现720P@30fps会议效果。</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12、智能语音识别呼叫功能，说出名称建立点对点或多点会议。</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华为、POLOCOM、SONY</w:t>
            </w:r>
          </w:p>
        </w:tc>
      </w:tr>
      <w:tr>
        <w:tblPrEx>
          <w:tblCellMar>
            <w:top w:w="15" w:type="dxa"/>
            <w:left w:w="15" w:type="dxa"/>
            <w:bottom w:w="15" w:type="dxa"/>
            <w:right w:w="15" w:type="dxa"/>
          </w:tblCellMar>
        </w:tblPrEx>
        <w:trPr>
          <w:wBefore w:w="0" w:type="dxa"/>
          <w:wAfter w:w="0" w:type="dxa"/>
          <w:trHeight w:val="301"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17</w:t>
            </w:r>
          </w:p>
        </w:tc>
        <w:tc>
          <w:tcPr>
            <w:tcW w:w="173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分体式视频会议主机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采用嵌入式操作系统，非PC、工控机架构。</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★自主可控：采用国产视频编解码芯片，具备独立自主知识产权。</w:t>
            </w:r>
            <w:r>
              <w:rPr>
                <w:rFonts w:hint="eastAsia" w:ascii="宋体" w:hAnsi="宋体" w:eastAsia="宋体" w:cs="宋体"/>
                <w:b/>
                <w:color w:val="000000"/>
                <w:kern w:val="0"/>
                <w:szCs w:val="21"/>
                <w:lang w:bidi="ar"/>
              </w:rPr>
              <w:t>（提供产品官方相关证明材料）</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支持ITU-T H.323、IETF SIP协议，具有良好的兼容性和开放性。</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支持IPV4和IPV6双协议栈。 </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支持并提供64Kbps-8Mbps接入速率。</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支持H.264、H.264HP、H.264 SVC、H.265等图像编码协议。</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支持4K30fps、1080P 50/60 fps、1080P 25/30 fps、720P 50/ 60 fps、720P 25/30 fps、4CIF、 CIF等分辨率。</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本次项目所投终端要求配置1080P60fps对称编解码能力。</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支持G.711、G.722、G.722.1C、G.729A、Opus、AAC LD等音频协议，支持双声道立体声功能。</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支持H.239和BFCP双流协议。</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支持主流达到4K30fps情况下，辅流至少达到4K30fps分辨率。</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支持无线双流功能，兼容Windows、MAC操作系统，PC可通过Wi-Fi或有线网络将桌面内容作为双流发送给远端会场，视频清晰度不少于1080P，支持音频共享。</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支持移动设备无线投屏功能，兼容Android、IOS手机和Pad，支持通过扫描二维码连接，将移动设备的投屏内容发送给远端会场，视频清晰度不少于1080P。</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提供4路高清视频输入接口，其中至少包含3路HDMI接口；至少3路高清视频输出接口。</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具备长距离高清视频接口，实现4K30fps视频信号无损远距离传输，传输距离不少于120米，方便大型会议室摄像机远距离布置。</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支持摄像头一线连接终端，实现同时传输视频信号、控制信号和摄像头供电。</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提供至少5路音频输入接口、至少6路音频输出接口，至少具备卡侬头、RCA等音频接口。</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支持通过USB接口自动导入终端配置，方便设备的安装部署。</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支持不少于2个10M/100M/1000M自适应网口；</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支持2.4GHz、5GHz双频接入，同时支持Wi-Fi热点及客户端模式，满足通过无线网络进行视音频通信。</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支持IEEE802.11a/b/g/n/ac网络协议，支持WPA、WPA2认证。</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具备良好的网络适应性，25%的网络丢包下，图像流畅、清晰、无卡顿、无马赛克现象， </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支持70%的网络丢包下, 声音清晰流畅，无卡顿现象。</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支持512Kbps会议带宽下，实现1080P60帧图像格式编解码；384Kbps会议带宽下，实现1080P30帧图像格式编解码；256Kbps会议带宽下，实现720P30帧图像格式编解码。 </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支持IP网络升降速，可根据IP网络带宽的变化，自动调整会议中视音频带宽，保证图像语音质量良好。</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支持在H.323协议下，H.235信令加密；支持在SIP下，TLS、SRTP加密；支持 AES媒体流加密算法，保证会议安全。</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支持Web、telnet密码保护功能，密码须符合复杂度要求，至少包含字母、数字、特殊字符中的两种，密码长度不小于8位。</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支持同品牌数字阵列麦克风接入，支持不少于2个阵列麦克风级联。</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支持通过终端Web界面，实现会场预览及摄像机曝光度、白平衡、视频格式等参数调节。</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支持单屏三显功能，在一个显示设备上显示远端图像、本端图像及双流图像。</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支持在终端前面板显示工作状态、IP地址、会场号码、异常信息（温度异常等）。</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支持断线重呼功能，能对会议中掉线的终端自动重新呼叫。</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支持断点续传功能，终端升级过程中发生网络中断、断电重启，恢复后可断点续传，避免升级失败。</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支持高温告警功能，超过临界温度时终端界面弹出告警提示框。</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视频画面经过本地采集、编码、网络传输、解码、显示输出后整体时延不超过280ms。 </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提供API二次开发接口，实现与第三方系统集成。</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★支持智能语音控制，通过语音指令实现唤醒终端、加入/结束会议、调解音量、发送/停止双流共享、延长会议等功能。</w:t>
            </w:r>
            <w:r>
              <w:rPr>
                <w:rFonts w:hint="eastAsia" w:ascii="宋体" w:hAnsi="宋体" w:eastAsia="宋体" w:cs="宋体"/>
                <w:b/>
                <w:color w:val="000000"/>
                <w:kern w:val="0"/>
                <w:szCs w:val="21"/>
                <w:lang w:bidi="ar"/>
              </w:rPr>
              <w:t>（提供原厂盖章的证明材料）</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★标配原厂触控平板，采用不小于10英寸尺寸的IPS触控屏，分辨率不小于1920*1200，像素密度不小于220PPI。</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内置以太网口接口及Wi-Fi模块，支持通过有线、无线网络与终端。</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支持终端休眠和唤醒、创建会议、静音/闭音、音量调节、摄像机PTZ控制、预置位调用、双流共享、呼叫/挂断会场、添加/删除会场、观看/广播会场、多画面设置、声控切换、结束会议等功能。</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支持电源适配器、终端PoE口及PoE交换机供电。</w:t>
            </w:r>
          </w:p>
          <w:p>
            <w:pPr>
              <w:widowControl/>
              <w:numPr>
                <w:ilvl w:val="0"/>
                <w:numId w:val="2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▲配置2台专用高清摄像机和1台全向麦克风。</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高清摄像头配置要求：支持不小于800万像素1/2.5英寸CMOS成像芯片，支持不小于12倍光学变焦。支持≥80°水平视角，增加外置广角镜视为不满足。水平转动范围：≥+/-170°，垂直转动范围：≥+/- 30°。支持≥254个预置位。支持不少于2路高清视频输出接口。</w:t>
            </w:r>
          </w:p>
          <w:p>
            <w:pPr>
              <w:widowControl/>
              <w:numPr>
                <w:ilvl w:val="0"/>
                <w:numId w:val="22"/>
              </w:numPr>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w:t>
            </w:r>
            <w:r>
              <w:rPr>
                <w:rFonts w:hint="eastAsia" w:ascii="宋体" w:hAnsi="宋体" w:eastAsia="宋体"/>
                <w:color w:val="000000"/>
                <w:szCs w:val="21"/>
              </w:rPr>
              <w:t>支持人脸识别，自动调整最佳拍摄视角，保证参会人同框。</w:t>
            </w:r>
            <w:r>
              <w:rPr>
                <w:rFonts w:hint="eastAsia" w:ascii="宋体" w:hAnsi="宋体" w:eastAsia="宋体"/>
                <w:b/>
                <w:color w:val="000000"/>
                <w:szCs w:val="21"/>
              </w:rPr>
              <w:t>（</w:t>
            </w:r>
            <w:r>
              <w:rPr>
                <w:rFonts w:hint="eastAsia" w:ascii="宋体" w:hAnsi="宋体" w:eastAsia="宋体" w:cs="宋体"/>
                <w:b/>
                <w:color w:val="000000"/>
                <w:kern w:val="0"/>
                <w:szCs w:val="21"/>
                <w:lang w:bidi="ar"/>
              </w:rPr>
              <w:t>提供原厂盖章的证明材料）</w:t>
            </w:r>
          </w:p>
          <w:p>
            <w:pPr>
              <w:widowControl/>
              <w:numPr>
                <w:ilvl w:val="0"/>
                <w:numId w:val="22"/>
              </w:numPr>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★提供产品原厂质保和服务保证。</w:t>
            </w:r>
            <w:r>
              <w:rPr>
                <w:rFonts w:hint="eastAsia" w:ascii="宋体" w:hAnsi="宋体" w:eastAsia="宋体" w:cs="宋体"/>
                <w:b/>
                <w:color w:val="000000"/>
                <w:kern w:val="0"/>
                <w:szCs w:val="21"/>
                <w:lang w:bidi="ar"/>
              </w:rPr>
              <w:t>（要求提供原厂授权函）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华为、POLOCOM、SONY</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5 周边配套设备</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宋体"/>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42U机柜</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2000*600*1200平板六角网孔前门,双开平板六角网孔后门，带风扇，加厚；附带8块托盘</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图腾、威图、金盾</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机柜散力架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50*5角钢定制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国产优质</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四门控制器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门禁主要功能:支持多门互锁功能、反潜回功能、多重卡开门功能、首卡开门功能、超级卡和超级密码开门、在线升级功能、中心远程开门功能；报警功能:支持读卡器防拆报警、门未关妥报警、门被外力开起报警、开门等待超时报警、胁迫报警、黑名单报警、非法卡超次刷卡报警;控制器须采用冗余设计，主控与副控独立供电，主控正常时副控不工作，主控异常（故障或断网）时副控自动切换；支持多人多组多时段组合管理，支持中心动态密码确认;SDK开发包:提供完整的、完全公开的SDK开发包;处理器 32bit，内置uC/OS-II嵌入式操作系统或Linux操作系统， 数据传输采用3DES算法;上行通讯接口 TCP/IP网络接口和RS485接口;下行通讯接口:RS485和Wiegand;支持打印输出接口;合法卡/事件记录:10万合法卡和30万刷卡记录，可扩充至20万合法卡和60万刷卡记录;通讯方式:TCP/IP 10/100M自适应；输入接口：报警输入*4、门磁*4、开门按钮*4、Case输入*4（类似继电器）、防拆*1；输出接口：开门继电器*4 报警继电器*4；</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纽贝尔、博世、海康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门禁读卡器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读卡距离:≤6cm;射频标准:ISO14443/ ISO15693;工作频率:13.56M Hz;支持卡类型:MIFARE1、 CPU卡、PLUS CPU卡、MIFARE S50卡/ S70卡  NFC**通手机;支持加密类型 Crypto1 AES 3DES或国密SM2;报警功能:防拆报警;密码键盘:12键按键;响应时间 ≤1 秒；LED状态指示:工作状态指示、读卡成功/失败指示；峰鸣器状态指示：读卡成功/失败指示；WIEGAND通信接口 传输距离应大于100米 ；电源：DC 12V±10%；最大功率：≦2W；应用环境要求：24小时不间断连续工作；</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纽贝尔、博世、海康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动态人脸识别仪</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尺寸：7 英寸，全视角，170°IPS 液晶屏；分辨率：1024×600;分辨率 200W 像素;光圈 F2.4；焦距 6mm ；白平衡：自动宽动态：支持；CPU：4 核，1.8 GHz；存储容量：内存 2G，储存 8G；补光灯：红外、LED 补光灯；支持有线、无线（2.4GWi-Fi）、无线（4G 网卡，USB 外接）；人脸检测 同时支持检测跟踪 5 个人，1：N 人脸识别 误识别率万分之三的条件下，识别准确率 99.7%；陌生人检测 支持；识别距离配置0.5-5M；产品特性：•支持外接 HDMI 大屏幕（仅支持竖屏）；•动态双摄防伪，彻底解决各类照片在各种载体上的欺骗；•夜间红外、RGB 双补光；•支持外接 4G 上网卡无线上网；•支持外接二维码扫描器、身份证阅读器；•支持串口、韦根 26 输出，输出内容支持配置；•采用基于视频流的动态人脸检测、跟踪识别算法；•支持设备本地存储万人库，（a）云平台设备支持同时储存 5 万张人脸照片（小于 400KB）、100 万条识别记录（0.45KB）、2 万张现场抓拍照片（b）局域网设备支持同时存储 2 万张人脸照片（照片按 100KB 计算）、1 万条识别记录（含现场抓拍照片）；•人脸库为 3000 时，误识率万分之三的条件下，1：N 识别准确率为 99.7%；•识别速度快，（a）人脸跟踪与检测耗时 20ms 左右（b）人脸特征提取耗时 200ms 左右（c）活体检测人脸比对耗时 0.2ms（1000 人库，多次识别取平均值），0.5ms（10000 人库，多次识别取平均值）；•支持陌生人检测，陌生人等级可配置；•支持人脸识别或陌生人检测时的现场照片保存；•支持公网、局域网使用部署方式；支持 HTTP 方式接口对接；•支持屏幕显示内容配置；•支持识别距离配置。</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纽贝尔、博世、海康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门禁开关</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按键具有弹簧自动回位功能，适合86型盒安装。</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纽贝尔、博世、施耐德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双门磁力锁</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高强度铝合金材质带信号反馈和延时功能；</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280KG</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纽贝尔、博世、海康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单门磁力锁</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高强度铝合金材质带信号反馈和延时功能；</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280KG</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纽贝尔、博世、海康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单目全景摄像机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具有300万像素 CMOS传感器。</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水平视场角不小于175°，垂直视场角不小于175°。</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最低照度彩色：0.008 lx，黑白:0.001 lx。</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需支持双码流技术，主码流最高2048x1536@30fps，子码流最高704x576@30fps。</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支持H.265、H.264视频编码格式。</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红外补光不小于30米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内置麦克和外甩线的两路音频输入均支持立体声。</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支持畸变校正功能，并支持3级畸变校正等级设置。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支持远端放大功能，并支持3级远端放大等级设置。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需具有黑白名单功能，其中白名单可添加不小于10个IP地址。</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具有存储卡满、存储器卡异常、非法访问、网络断开、IP冲突等检测报警功能。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当使用一个账户登录，密码输入错误达到5次时，该账户会被锁定一段时间。</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设置密码时，需可以自动提示密码复杂度为高、中、低。</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需支持本地SD卡存储，最大支持256G。</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不低于IK10防暴和IP67防尘防水等级。</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设备与客户端之间用100米网线进行传输，数据包丢包数不大于0.1%。</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具有抗丢包（10%）处理能力。</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摄像机能够在-25~60摄氏度，湿度小于93%环境下稳定工作。</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同一静止场景相同图像质量下，设备在H.265编码方式时，开启智能编码功能和不开启智能编码相比，码率节约1/2。</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设备工作状态时，支持空气放电9kV，接触放电7kV。</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海康、大华、华为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高清可转向半球摄像机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视频输出支持2560×1536@30fps，红外距离可达100米；</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支持23倍光学变倍，16倍数字变倍；支持最低照度可达彩色0.001Lux，黑白0.0001Lux；支持水平手控速度不小于300°/S，云台定位精度为±0.1°；水平旋转范围为0°~360°，垂直旋转范围为-5°~90°；</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支持300个预置位，支持30条巡航路径，支持7条以上的模式路径设置，支持预置位视频冻结功能；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信噪比≥56dB，网络延时不大于130ms；</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动态范围不小于106dB，照度适应范围不小于120dB，宽动态能力综合得分不小于125；支持透雾、强光抑制、电子防抖、数字降噪、防红外过曝功能；支持区域遮盖功能，支持设置不少于24个不规则四边形区域，可设置不同颜色；支持自动定位、断电记忆功能；支持定时抓拍或报警联动抓图上传ftp功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当红外开启后，透明罩出现水雾、灰尘、刮痕时，采集的图像不应出现重影、模糊及光反射现象；</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支持采用H.265、H.264视频编码标准，H.264编码支持Baseline/Main/High Profile，音频编码支持G.711ulaw/G.711alaw/G.726/G.722.1；具备较好的防护性能环境适应性，支持IP66，6kV防浪涌，工作温度范围可达-40℃-70℃；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海康、大华、华为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硬盘录像机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2U标准机架式 2个HDMI，2个VGA,HDMI+VGA组内同源 8盘位，可满配6TB硬盘 2个千兆网口 2个USB2.0接口、1个USB3.0接口； 1个eSATA接口 支持RAID0、1、5、10，支持全局热备盘 软件性能： 输入带宽：320M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32路H.264、H.265混合接入 最大支持16×1080P解码 支持H.265、H.264解码；</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★配置4块6T硬盘；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Smart 2.0/整机热备/ANR/智能检索/智能回放/车牌检索/人脸检索/热度图/客流量统计/分时段回放/超高倍速回放/双系统备份技术规格接口人标准价；</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海康、大华、华为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双备份集成电源</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U机架式，带32个DC12V+4个AC24输出端口，总输出功率DC350W（双备份），内置遇故障自动切换的主、备双直流电源模块，每路输出都有独立自恢复保护及指示灯；具有短路保护、电源状态检测功能；带可靠的防雷接地保护，具有通风散热功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四方博瑞、华为、维帝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两警联动终端</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液晶显示屏：4.3英寸彩色LCD屏，分辨率480*272，显示报警、操作、状态等信息；前置摄像头：130万像素，2.8mm定焦镜头，LED红外补光；语音对讲：1路麦克风/1路3W扬声器；1个旋钮调节音量；五色警灯：脱逃（红），暴狱（黄），劫持（白）、袭击（蓝），灾害（绿），报警灯采用33mm*33mm亚克力板；报警时相应警灯闪烁，语音播报警情；操作按键：脱逃、暴狱、劫持、袭击、灾害、紧急报警、呼叫、挂断按键，支持背光；模拟电话：集成1路PSTN公共交换电话；</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通信接口：集成多业务光端机；支持1路FC光接口，单模单纤，传输距离≧10Km；工作电源：AC220V±10%、DC12V±10%，可外接蓄电池，支持对蓄电池充做放电管理；工作温度：-20℃～55℃；工作湿度：10%～95%（无冷凝）；</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★支持和武警哨位执勤系统报警、视频、语音等整体联动；</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★支持训练模式，训练模式下两警联动终端不接受其他哨位警情、语音对讲主机广播；</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★支持光纤传输，传输模拟视频、模拟电话和加密串行信号，两警之间网络物理隔离；</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晨鹰、四方博瑞、纽贝尔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cs="仿宋"/>
                <w:color w:val="000000"/>
                <w:kern w:val="0"/>
                <w:szCs w:val="21"/>
                <w:lang w:bidi="ar"/>
              </w:rPr>
            </w:pPr>
            <w:r>
              <w:rPr>
                <w:rFonts w:hint="eastAsia" w:ascii="宋体" w:hAnsi="宋体" w:cs="仿宋"/>
                <w:color w:val="000000"/>
                <w:kern w:val="0"/>
                <w:szCs w:val="21"/>
                <w:lang w:bidi="ar"/>
              </w:rPr>
              <w:t>14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两警联动服务器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kern w:val="0"/>
                <w:szCs w:val="21"/>
                <w:lang w:bidi="ar"/>
              </w:rPr>
            </w:pPr>
            <w:r>
              <w:rPr>
                <w:rFonts w:ascii="宋体" w:hAnsi="宋体" w:cs="宋体"/>
                <w:color w:val="000000"/>
                <w:kern w:val="0"/>
                <w:szCs w:val="21"/>
                <w:lang w:bidi="ar"/>
              </w:rPr>
              <w:t>1、</w:t>
            </w:r>
            <w:r>
              <w:rPr>
                <w:rFonts w:hint="eastAsia" w:ascii="宋体" w:hAnsi="宋体" w:eastAsia="宋体" w:cs="宋体"/>
                <w:color w:val="000000"/>
                <w:kern w:val="0"/>
                <w:szCs w:val="21"/>
                <w:lang w:bidi="ar"/>
              </w:rPr>
              <w:t>支持光纤传输，光纤中只传输模拟视频、模拟电话和加密串行信号，“两警”之间没有网络互通的可能，加密串行信号中包含语音对讲及警情信息；</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2、</w:t>
            </w:r>
            <w:r>
              <w:rPr>
                <w:rFonts w:hint="eastAsia" w:ascii="宋体" w:hAnsi="宋体" w:eastAsia="宋体" w:cs="宋体"/>
                <w:color w:val="000000"/>
                <w:kern w:val="0"/>
                <w:szCs w:val="21"/>
                <w:lang w:bidi="ar"/>
              </w:rPr>
              <w:t>支持</w:t>
            </w: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路</w:t>
            </w:r>
            <w:r>
              <w:rPr>
                <w:rFonts w:ascii="宋体" w:hAnsi="宋体" w:eastAsia="宋体" w:cs="宋体"/>
                <w:color w:val="000000"/>
                <w:kern w:val="0"/>
                <w:szCs w:val="21"/>
                <w:lang w:bidi="ar"/>
              </w:rPr>
              <w:t>PSTN</w:t>
            </w:r>
            <w:r>
              <w:rPr>
                <w:rFonts w:hint="eastAsia" w:ascii="宋体" w:hAnsi="宋体" w:eastAsia="宋体" w:cs="宋体"/>
                <w:color w:val="000000"/>
                <w:kern w:val="0"/>
                <w:szCs w:val="21"/>
                <w:lang w:bidi="ar"/>
              </w:rPr>
              <w:t>模拟电话，通过</w:t>
            </w:r>
            <w:r>
              <w:rPr>
                <w:rFonts w:ascii="宋体" w:hAnsi="宋体" w:eastAsia="宋体" w:cs="宋体"/>
                <w:color w:val="000000"/>
                <w:kern w:val="0"/>
                <w:szCs w:val="21"/>
                <w:lang w:bidi="ar"/>
              </w:rPr>
              <w:t>RJ11</w:t>
            </w:r>
            <w:r>
              <w:rPr>
                <w:rFonts w:hint="eastAsia" w:ascii="宋体" w:hAnsi="宋体" w:eastAsia="宋体" w:cs="宋体"/>
                <w:color w:val="000000"/>
                <w:kern w:val="0"/>
                <w:szCs w:val="21"/>
                <w:lang w:bidi="ar"/>
              </w:rPr>
              <w:t>接口接入程控交换机；</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3、</w:t>
            </w:r>
            <w:r>
              <w:rPr>
                <w:rFonts w:hint="eastAsia" w:ascii="宋体" w:hAnsi="宋体" w:eastAsia="宋体" w:cs="宋体"/>
                <w:color w:val="000000"/>
                <w:kern w:val="0"/>
                <w:szCs w:val="21"/>
                <w:lang w:bidi="ar"/>
              </w:rPr>
              <w:t>支持</w:t>
            </w: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路模拟视频进行</w:t>
            </w:r>
            <w:r>
              <w:rPr>
                <w:rFonts w:ascii="宋体" w:hAnsi="宋体" w:eastAsia="宋体" w:cs="宋体"/>
                <w:color w:val="000000"/>
                <w:kern w:val="0"/>
                <w:szCs w:val="21"/>
                <w:lang w:bidi="ar"/>
              </w:rPr>
              <w:t>H.264</w:t>
            </w:r>
            <w:r>
              <w:rPr>
                <w:rFonts w:hint="eastAsia" w:ascii="宋体" w:hAnsi="宋体" w:eastAsia="宋体" w:cs="宋体"/>
                <w:color w:val="000000"/>
                <w:kern w:val="0"/>
                <w:szCs w:val="21"/>
                <w:lang w:bidi="ar"/>
              </w:rPr>
              <w:t>编码后通过以太网上传哨位集成箱管理系统；</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4、</w:t>
            </w:r>
            <w:r>
              <w:rPr>
                <w:rFonts w:hint="eastAsia" w:ascii="宋体" w:hAnsi="宋体" w:eastAsia="宋体" w:cs="宋体"/>
                <w:color w:val="000000"/>
                <w:kern w:val="0"/>
                <w:szCs w:val="21"/>
                <w:lang w:bidi="ar"/>
              </w:rPr>
              <w:t>支持</w:t>
            </w:r>
            <w:r>
              <w:rPr>
                <w:rFonts w:ascii="宋体" w:hAnsi="宋体" w:eastAsia="宋体" w:cs="宋体"/>
                <w:color w:val="000000"/>
                <w:kern w:val="0"/>
                <w:szCs w:val="21"/>
                <w:lang w:bidi="ar"/>
              </w:rPr>
              <w:t>4</w:t>
            </w:r>
            <w:r>
              <w:rPr>
                <w:rFonts w:hint="eastAsia" w:ascii="宋体" w:hAnsi="宋体" w:eastAsia="宋体" w:cs="宋体"/>
                <w:color w:val="000000"/>
                <w:kern w:val="0"/>
                <w:szCs w:val="21"/>
                <w:lang w:bidi="ar"/>
              </w:rPr>
              <w:t>种分类报警和一键报警在加密串行总线和以太网之间双向解析转发；</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5、</w:t>
            </w:r>
            <w:r>
              <w:rPr>
                <w:rFonts w:hint="eastAsia" w:ascii="宋体" w:hAnsi="宋体" w:eastAsia="宋体" w:cs="宋体"/>
                <w:color w:val="000000"/>
                <w:kern w:val="0"/>
                <w:szCs w:val="21"/>
                <w:lang w:bidi="ar"/>
              </w:rPr>
              <w:t>支持</w:t>
            </w:r>
            <w:r>
              <w:rPr>
                <w:rFonts w:ascii="宋体" w:hAnsi="宋体" w:eastAsia="宋体" w:cs="宋体"/>
                <w:color w:val="000000"/>
                <w:kern w:val="0"/>
                <w:szCs w:val="21"/>
                <w:lang w:bidi="ar"/>
              </w:rPr>
              <w:t>1</w:t>
            </w:r>
            <w:r>
              <w:rPr>
                <w:rFonts w:hint="eastAsia" w:ascii="宋体" w:hAnsi="宋体" w:eastAsia="宋体" w:cs="宋体"/>
                <w:color w:val="000000"/>
                <w:kern w:val="0"/>
                <w:szCs w:val="21"/>
                <w:lang w:bidi="ar"/>
              </w:rPr>
              <w:t>路高品质双向语音对讲在加密串行总线和以太网之间双向解析转发；</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6、</w:t>
            </w:r>
            <w:r>
              <w:rPr>
                <w:rFonts w:hint="eastAsia" w:ascii="宋体" w:hAnsi="宋体" w:eastAsia="宋体" w:cs="宋体"/>
                <w:color w:val="000000"/>
                <w:kern w:val="0"/>
                <w:szCs w:val="21"/>
                <w:lang w:bidi="ar"/>
              </w:rPr>
              <w:t>两警联动终端和两警联动服务器之间数据加密传输，确保两警通信安全；</w:t>
            </w:r>
            <w:r>
              <w:rPr>
                <w:rFonts w:ascii="宋体" w:hAnsi="宋体" w:eastAsia="宋体" w:cs="宋体"/>
                <w:color w:val="000000"/>
                <w:kern w:val="0"/>
                <w:szCs w:val="21"/>
                <w:lang w:bidi="ar"/>
              </w:rPr>
              <w:t xml:space="preserve">  </w:t>
            </w:r>
          </w:p>
          <w:p>
            <w:pPr>
              <w:widowControl/>
              <w:spacing w:line="280" w:lineRule="exact"/>
              <w:jc w:val="left"/>
              <w:textAlignment w:val="center"/>
              <w:rPr>
                <w:rFonts w:ascii="宋体" w:hAnsi="宋体" w:eastAsia="宋体" w:cs="宋体"/>
                <w:color w:val="000000"/>
                <w:kern w:val="0"/>
                <w:szCs w:val="21"/>
                <w:lang w:bidi="ar"/>
              </w:rPr>
            </w:pPr>
            <w:r>
              <w:rPr>
                <w:rFonts w:ascii="宋体" w:hAnsi="宋体" w:eastAsia="宋体" w:cs="宋体"/>
                <w:color w:val="000000"/>
                <w:kern w:val="0"/>
                <w:szCs w:val="21"/>
                <w:lang w:bidi="ar"/>
              </w:rPr>
              <w:t>7、</w:t>
            </w:r>
            <w:r>
              <w:rPr>
                <w:rFonts w:hint="eastAsia" w:ascii="宋体" w:hAnsi="宋体" w:eastAsia="宋体" w:cs="宋体"/>
                <w:color w:val="000000"/>
                <w:kern w:val="0"/>
                <w:szCs w:val="21"/>
                <w:lang w:bidi="ar"/>
              </w:rPr>
              <w:t>采用嵌入式系统设计，有体积小、集成度高、可靠稳定、部署方便等特点；</w:t>
            </w:r>
          </w:p>
          <w:p>
            <w:pPr>
              <w:widowControl/>
              <w:spacing w:line="280" w:lineRule="exact"/>
              <w:jc w:val="left"/>
              <w:textAlignment w:val="center"/>
              <w:rPr>
                <w:rFonts w:hint="eastAsia" w:ascii="宋体" w:hAnsi="宋体" w:cs="宋体"/>
                <w:color w:val="000000"/>
                <w:kern w:val="0"/>
                <w:szCs w:val="21"/>
                <w:lang w:bidi="ar"/>
              </w:rPr>
            </w:pPr>
            <w:r>
              <w:rPr>
                <w:rFonts w:ascii="宋体" w:hAnsi="宋体" w:eastAsia="宋体" w:cs="宋体"/>
                <w:color w:val="000000"/>
                <w:kern w:val="0"/>
                <w:szCs w:val="21"/>
                <w:lang w:bidi="ar"/>
              </w:rPr>
              <w:t>8、</w:t>
            </w:r>
            <w:r>
              <w:rPr>
                <w:rFonts w:hint="eastAsia" w:ascii="宋体" w:hAnsi="宋体" w:eastAsia="宋体" w:cs="宋体"/>
                <w:color w:val="000000"/>
                <w:kern w:val="0"/>
                <w:szCs w:val="21"/>
                <w:lang w:bidi="ar"/>
              </w:rPr>
              <w:t>支持远程软件升级，当软件升级失败时系统可以自动恢复</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cs="宋体"/>
                <w:color w:val="000000"/>
                <w:kern w:val="0"/>
                <w:szCs w:val="21"/>
                <w:lang w:bidi="ar"/>
              </w:rPr>
            </w:pPr>
            <w:r>
              <w:rPr>
                <w:rFonts w:hint="eastAsia" w:ascii="宋体" w:hAnsi="宋体" w:eastAsia="宋体" w:cs="宋体"/>
                <w:color w:val="000000"/>
                <w:kern w:val="0"/>
                <w:szCs w:val="21"/>
                <w:lang w:bidi="ar"/>
              </w:rPr>
              <w:t>晨鹰、四方博瑞、纽贝尔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安防平台控制主机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2U机标准机框；支持Intel® Xeon® Scalable Processors (TDP up to 205W)系列处理器；</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配置4颗英特尔至强金牌5218，内存配置容量：≥16*32GB，内存槽位最大支持32个；内存类型：ECC DDR4  RDIMM /LRDIMM内存插槽；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内置硬盘配置数目：2*600G SAS硬盘；硬盘扩展能力：可扩展≥25个热插拔2.5'硬盘槽位；配置独立磁盘阵列卡，支持RAID 0/1/5/10；</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配置：4*GE+2*10GE光口，2*16GB HBA卡；最大支持≥9个PCIE 插槽，支持PCIe SSD高性能存储卡；提供铂金超高效率电源，效率≥94%，提供80plus认证证书，满配冗余热插拔电源，并提供配套的电源连接线。标配集成显卡，32M显存；满配冗余风扇；可管理和维护性:1. 集成系统管理处理器支持：自动服务器重启、风扇监视和控制、电源监控、温度监控、启动/关闭、按序重启、本地固件更新、错误日志，可通过可视化工具提供系统未来状况的可视显示； 2.具有图形管理界面及其他高级管理功能；3.配置独立的远程管理控制端口，支持远程监控图形界面, 可实现与操作系统无关的远程对服务器的完全控制，包括远程的开机、关机、重启、虚拟软驱、虚拟光驱等操作；具备环境、机械、EMC、安规的测试能力。</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华为、新华三、四方博瑞</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门禁信号线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RVV6*1.0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中策、远东、万马</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音频连接线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根据现场定制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绿联、秋叶原、山泽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18</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视频线1</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HDMI2.0锌合金高清线，铝箔+编织多重屏蔽，抗干扰性强，稳定传输，长度5米</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绿联、秋叶原、山泽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19</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视频线2</w:t>
            </w:r>
          </w:p>
        </w:tc>
        <w:tc>
          <w:tcPr>
            <w:tcW w:w="101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HDMI2.0锌合金高清线，铝箔+编织多重屏蔽，抗干扰性强，稳定传输，长度2米</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绿联、秋叶原、山泽</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控制线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RVV 3X0.5mm2</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春天、润通、天诚</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六类非屏蔽双绞线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1）规格：23AWG六类非屏蔽双绞线； 2）标准：UL 444, EIA/TIA 568-B.2和ISO/IEC 11801, IEC61156-5；</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3）传输：100米范围内≥250MHz条件下的传输要求； 4）材料：无氧铜，填充物聚乙烯提供出色的十字隔离防串扰隔离技术从而保障良好的传输性能,护套（PVC）聚氯乙烯； 5）电气特性：1-250MHZ输入阻抗100±6Ω，1-250MHZ时延偏离≦45ns/100M,20℃条件下的导线最大直流电阻73.2Ω/KM不平衡直流电阻≦5%； 6）结构：导线直径0.565，外直径6.5±0.2mm，绝缘层聚乙烯平均厚度0.28，护套PVC平均厚度0.5±0.05mm； 7）性能：最大张力为10KG，工作温度为-20~60℃；认证：产品要求要求通过中国信息产业部等独立测试机构的检验报告、环保认证；产品通过中国质量认证监督管理中心；</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箱</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秋叶原、安普、兰贝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24芯室外单模层绞式铠装光缆</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数：光纤类别：9/125μm，外护套颜色：黑色，敷设方式：室内或室外，适用温度范围：-20度至60度。传输性能：溢出驱动光源最小模式带宽：100/50MHz.KM@850/1350nm激光驱动光源最小模式带宽：2000MHz.KM@850nm。符合标准：ISO/IEC11801：2002 2nd Edition type OM3，TIA/EIA-568B.3和IEC-60793-2-10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光纤熔接</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包含熔接所需的尾纤</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芯</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96</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理线槽</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1U标准机架式理线槽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6类24口配线架（含六类模块）</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参数：模块插芯达到50U镀金，打线方式为180度直解安装，带透明防尘盖并提供多种颜色可选。模块的外壳采用的是抗冲击、阻燃PC料，抗破坏能力极强。模块针脚：RJ45 8针连接器：符合FCC68.500；&amp; IEC60603-7 TIA/EIA568标准，采用交错式针脚排列结构；耐用性：可拔插1000次以上；材料：磷青铜+100μm镀镍层+50μm镀金层；IDC连接器：可卡接22～24AWG规格导体；容纳导体绝缘层直径：0.70～1 .40mm；材料：镀镍磷青铜；IDC主体和覆盖材料：塑材防火等级；最小直流稳定电压：1000VAC RMS(60Hz 接点到接点。</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6类非屏蔽跳线(2米)</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参数：符合中华人民共和国行业标准YD/T（1019-2000），符合美国ANSI/TIA/EIA-568B.2标准.ISO /IEC11801标准，UL Subject444标准。•  高密度聚乙烯绝缘和彩色编码线缆。 每一电缆由四对双绞24AWG多股铜线组成。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六类RJ45接头，满足T-568A、B六类传输标准。低延迟，在100Mbps,155Mbps ATM 和622Mbps 速率下不影响传输。近端串扰和远端串扰控制，可于并行全双工传输。颜色：红、兰、黄、灰，可根据不同要求特殊定制，适用于设备间或水平子系统的互配端接，满足T-568A六类传输标准，符合T568A和T568B线序</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秋叶原、安普、兰贝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6类非屏蔽跳线(3米)</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参数：符合中华人民共和国行业标准YD/T（1019-2000），符合美国ANSI/TIA/EIA-568B.2标准.ISO /IEC11801标准，UL Subject444标准。•  高密度聚乙烯绝缘和彩色编码线缆。 每一电缆由四对双绞24AWG多股铜线组成。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六类RJ45接头，满足T-568A、B六类传输标准。低延迟，在100Mbps,155Mbps ATM 和622Mbps 速率下不影响传输。近端串扰和远端串扰控制，可于并行全双工传输。颜色：红、兰、黄、灰，可根据不同要求特殊定制；适用于设备间或水平子系统的互配端接，满足T-568A六类传输标准，符合T568A和T568B线序</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秋叶原、安普、兰贝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2U光配架（含LC适配器）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数：24口光纤配线架19英寸机架式设计，可兼容不同的适配器。可兼容LC\FC\ST\SC等不同快捷式适配器含有字码排序，便于标识更换安装识别。可安装室内或室外光缆，设计小巧、美观。本次需配置光纤熔接盘、可以安装24个双工LC法兰。</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LC-LC双芯单模跳线(3米)</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参数 单/多模光纤尾纤主要用来做从设备到光纤布线链路的跳接线,使之形成一个完整的光通信链路。常用光纤尾纤一般分为FC/SC/ST/LC/MTRJ/SMA/DIN型，多模为50/125μm、62.5/125μm,单模为9 /125μm；按研磨方式可分为PC型、APC型、UPC型。技术优点：插入损害低、高反射衰减、标准金属件、二氧化锆陶瓷插芯。使用温度范围:-20℃~+60℃。通过ANSI/TIA/EIA-568-C.3标准；用于光纤配线箱到有源设备的连接；插入损耗 ≤0.3dB ；温度性能 ：-40℃～+80℃ ；重复性 ≤0.1dB ；互换性 ≤0.2dB ；回波损耗 ≥45dB；光纤护套：PVC；</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可能提供不同类型的接头与之交换机接口配套使用</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条</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50对机架式跳线架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参数：符合中华人民共和国行业标准YD/T（1019-2000），符合美国ANSI/TIA/EIA- 568B.2标准，ISO /IEC11801标准，UL Subject444标准。满足T-568A超五类传输标准，符合T568A和T568B线序，适用于设备间的水平布线或集中点的互配端接。坚固及易于安装的设计，减少安装与操作费用，较大的正面标识空间方便端口识别，便于管理。带有固定脚的支架可直接安装在墙上，不带固定脚的支架可安装在限制深度的框架或墙上。备有50对、100对无腿和有腿跳线架，100、200对机架式跳线架等多种规格可供选择。外壳材料为聚碳酸酯，杏仁色。 </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IDC打线柱夹子为磷青铜材料，耐用性为550次插拔。前端平坦，凹型接线夹子及内置线对分离。适用于22，24及26AWG（0.64，0.5及0.4mm）线缆。标准的T568A和T568B线序。使用标准的110型打线工具</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双口面板（含模块）</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参数：面板前端面带标签处，模块处防尘盖为冲压式向下开起弹簧门。参数：产品描符合中华人民共和国行业标准YD/T（1019-2000），符合美国ANSI/TIA/EIA- 568B.2标准，ISO /IEC11801标准，UL Subject444标准。塑料材质：环保型PVC材质，采用ABS工程塑料，结实耐用；外观颜色：白色</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45</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胜为、安普、兰贝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48口接入交换机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48个10/100/1000BASE-T以太网端口，4个千兆SFP接口；包转发率：87/166Mpps；交换容量：336Gbps/3.36Tbps</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端口汇聚功能：支持端口汇聚，支持静态、动态LACP链路汇聚控制协议，支持同个虚拟化集群中跨物理设备进行端口汇聚。路由功能：支持静态路由； VLAN特性：支持4K个VLAN;支持基于MAC/协议、IP子网、策略、端口的VLAN划分；支持基于1:1和N:1 VLAN Mapping功能。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48口POE接入交换机</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48个10/100/1000BASE-T以太网端口，4个万兆SFP+接口，配置4个单模万兆SFP+模块；配置可插拔双电源，提供POE供电；包转发率：87/166Mpps；交换容量：336Gbps/3.36Tbps</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汇聚交换机1</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1、性能：交换容量≥336Gps；包转发率≥108Mpps。</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2、端口配置要求：千兆SFP端口≥24个，千兆以太网Combo端口≥8个，万兆SFP+端口≥4个，配置设备原厂单模10G SFP+ 4个。</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3、具有虚拟化/堆叠功能：支持N：1的设备虚拟化/堆叠（非专用连接线及模块实现）,主机纵向和横向虚拟化/堆叠数不小于9台,并支持以太网电口堆叠。支持MCE(Muti-VPN-instance CE)功能，本次项目需要使用该功能（必须满足）。</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4、端口汇聚功能：支持端口汇聚，支持静态、动态LACP链路汇聚控制协议，支持同个虚拟化集群中跨物理设备进行端口汇聚。</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5、路由功能：支持静态路由、RIP、RIPng、OSPF、OSPFv3、ISIS、BGP、BGP4+等动态路由协议；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6、VLAN特性：支持4K个VLAN;支持GVRP协议；支持基于MAC/协议、IP子网、策略、端口的VLAN划分；支持基于1:1和N:1 VLAN Mapping功能。</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7、★配置冗余双电源，实现电源1+1冗余备份；</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8、可靠性：支持RRPP环型拓扑和RRPP多实例；支持SmartLink树型拓朴和SmartLink多实例，提供主备链路的毫秒级保护；支持BPDU保护、根保护和环回保护；</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汇聚交换机2</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24*10GE SFP+端口，上行2*40GE QSFP+端口；</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★配置可插拔冗余双电源，实现电源1+1冗余备份，支持交流电；</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支持USB;包转发率：480Mpps；交换容量：2.56Tbps/23.04Tbps；支持MCE(Muti-VPN-instance CE)功能，本次项目需要使用该功能（必须满足）。端口汇聚功能：支持端口汇聚，支持静态、动态LACP链路汇聚控制协议，支持同个虚拟化集群中跨物理设备进行端口汇聚。路由功能：支持静态路由、RIP、RIPng、OSPF、OSPFv3、ISIS、BGP、BGP4+等动态路由协议； VLAN特性：支持4K个VLAN;支持GVRP协议；支持基于MAC/协议、IP子网、策略、端口的VLAN划分；支持基于1:1和N:1 VLAN Mapping功能。可靠性：支持RRPP环型拓扑和RRPP多实例；支持SmartLink树型拓朴和SmartLink多实例，提供主备链路的毫秒级保护；支持BPDU保护、根保护和环回保护；</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393"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网络防火墙</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3"/>
              </w:numPr>
              <w:spacing w:line="280" w:lineRule="exact"/>
              <w:jc w:val="left"/>
              <w:textAlignment w:val="center"/>
              <w:rPr>
                <w:rFonts w:eastAsia="宋体"/>
                <w:color w:val="000000"/>
                <w:kern w:val="0"/>
                <w:szCs w:val="21"/>
                <w:lang w:bidi="ar"/>
              </w:rPr>
            </w:pPr>
            <w:r>
              <w:rPr>
                <w:rFonts w:eastAsia="宋体"/>
                <w:color w:val="000000"/>
                <w:kern w:val="0"/>
                <w:szCs w:val="21"/>
                <w:lang w:bidi="ar"/>
              </w:rPr>
              <w:t>2 x 10GE (SFP+) + 8 x GE Combo + 2 x GE WAN，配置冗余双电源；</w:t>
            </w:r>
          </w:p>
          <w:p>
            <w:pPr>
              <w:widowControl/>
              <w:numPr>
                <w:ilvl w:val="0"/>
                <w:numId w:val="23"/>
              </w:numPr>
              <w:spacing w:line="280" w:lineRule="exact"/>
              <w:jc w:val="left"/>
              <w:textAlignment w:val="center"/>
              <w:rPr>
                <w:rFonts w:eastAsia="宋体"/>
                <w:color w:val="000000"/>
                <w:kern w:val="0"/>
                <w:szCs w:val="21"/>
                <w:lang w:bidi="ar"/>
              </w:rPr>
            </w:pPr>
            <w:r>
              <w:rPr>
                <w:rFonts w:hint="eastAsia" w:ascii="宋体" w:hAnsi="宋体" w:eastAsia="宋体" w:cs="宋体"/>
                <w:color w:val="000000"/>
                <w:kern w:val="0"/>
                <w:szCs w:val="21"/>
                <w:lang w:bidi="ar"/>
              </w:rPr>
              <w:t>★</w:t>
            </w:r>
            <w:r>
              <w:rPr>
                <w:rFonts w:eastAsia="宋体"/>
                <w:color w:val="000000"/>
                <w:kern w:val="0"/>
                <w:szCs w:val="21"/>
                <w:lang w:bidi="ar"/>
              </w:rPr>
              <w:t>吞吐量≥6Gbps，最大并发连接数≥400万，每秒新建连接数≥8万，IPSec吞吐量≥6Gbps，IPS吞吐量≥2.2Gbps，SSL_VPN吞吐量≥480Mbps ,SSL代理吞吐量≥500Mbps；</w:t>
            </w:r>
          </w:p>
          <w:p>
            <w:pPr>
              <w:widowControl/>
              <w:numPr>
                <w:ilvl w:val="0"/>
                <w:numId w:val="23"/>
              </w:numPr>
              <w:spacing w:line="280" w:lineRule="exact"/>
              <w:jc w:val="left"/>
              <w:textAlignment w:val="center"/>
              <w:rPr>
                <w:rFonts w:eastAsia="宋体"/>
                <w:color w:val="000000"/>
                <w:kern w:val="0"/>
                <w:szCs w:val="21"/>
                <w:lang w:bidi="ar"/>
              </w:rPr>
            </w:pPr>
            <w:r>
              <w:rPr>
                <w:rFonts w:eastAsia="宋体"/>
                <w:color w:val="000000"/>
                <w:kern w:val="0"/>
                <w:szCs w:val="21"/>
                <w:lang w:bidi="ar"/>
              </w:rPr>
              <w:t>支持将基于端口的安全策略转换为基于应用的安全策略，分析设备策略风险，及冗余策略，提供安全策略优化建议；</w:t>
            </w:r>
          </w:p>
          <w:p>
            <w:pPr>
              <w:widowControl/>
              <w:numPr>
                <w:ilvl w:val="0"/>
                <w:numId w:val="23"/>
              </w:numPr>
              <w:spacing w:line="280" w:lineRule="exact"/>
              <w:jc w:val="left"/>
              <w:textAlignment w:val="center"/>
              <w:rPr>
                <w:rFonts w:ascii="宋体" w:hAnsi="宋体" w:eastAsia="宋体" w:cs="宋体"/>
                <w:color w:val="000000"/>
                <w:kern w:val="0"/>
                <w:szCs w:val="21"/>
                <w:lang w:bidi="ar"/>
              </w:rPr>
            </w:pPr>
            <w:r>
              <w:rPr>
                <w:rFonts w:eastAsia="宋体"/>
                <w:color w:val="000000"/>
                <w:kern w:val="0"/>
                <w:szCs w:val="21"/>
                <w:lang w:bidi="ar"/>
              </w:rPr>
              <w:t>1*USB2.0+1*USB3.0;产品存储：1U机架式；集传统防火墙、VPN、入侵防御、防病毒、数据防泄漏、带宽管理、Anti-DDoS、URL过滤、反垃圾邮件等多种功能于一身，全局配置视图和一体化策略管理；</w:t>
            </w:r>
          </w:p>
          <w:p>
            <w:pPr>
              <w:widowControl/>
              <w:numPr>
                <w:ilvl w:val="0"/>
                <w:numId w:val="23"/>
              </w:numPr>
              <w:spacing w:line="280" w:lineRule="exact"/>
              <w:jc w:val="left"/>
              <w:textAlignment w:val="center"/>
              <w:rPr>
                <w:rFonts w:ascii="宋体" w:hAnsi="宋体" w:eastAsia="宋体" w:cs="宋体"/>
                <w:color w:val="000000"/>
                <w:kern w:val="0"/>
                <w:szCs w:val="21"/>
                <w:lang w:bidi="ar"/>
              </w:rPr>
            </w:pPr>
            <w:r>
              <w:rPr>
                <w:rFonts w:eastAsia="宋体"/>
                <w:color w:val="000000"/>
                <w:kern w:val="0"/>
                <w:szCs w:val="21"/>
                <w:lang w:bidi="ar"/>
              </w:rPr>
              <w:t>识别6000+应用，访问控制精度到应用功能，例如：区分微信的文字和语音。应用识别与入侵检测、防病毒、内容过滤相结合，提高检测性能和准确率；</w:t>
            </w:r>
          </w:p>
          <w:p>
            <w:pPr>
              <w:widowControl/>
              <w:numPr>
                <w:ilvl w:val="0"/>
                <w:numId w:val="23"/>
              </w:numPr>
              <w:spacing w:line="280" w:lineRule="exact"/>
              <w:jc w:val="left"/>
              <w:textAlignment w:val="center"/>
              <w:rPr>
                <w:rFonts w:ascii="宋体" w:hAnsi="宋体" w:eastAsia="宋体" w:cs="宋体"/>
                <w:color w:val="000000"/>
                <w:kern w:val="0"/>
                <w:szCs w:val="21"/>
                <w:lang w:bidi="ar"/>
              </w:rPr>
            </w:pPr>
            <w:r>
              <w:rPr>
                <w:rFonts w:eastAsia="宋体"/>
                <w:color w:val="000000"/>
                <w:kern w:val="0"/>
                <w:szCs w:val="21"/>
                <w:lang w:bidi="ar"/>
              </w:rPr>
              <w:t>与本地/云端沙箱联动，对恶意文件进行检测和阻断加密流量无需解密，联动大数据分析平台HiSec Insight，实现对加密流量威胁检测主动响应恶意扫描行为，并通过联动大数据分析平台HiSec Insight进行行为分析，快速发现，记录恶意行为，实现对企业威胁的实时防护；</w:t>
            </w:r>
          </w:p>
          <w:p>
            <w:pPr>
              <w:widowControl/>
              <w:numPr>
                <w:ilvl w:val="0"/>
                <w:numId w:val="23"/>
              </w:numPr>
              <w:spacing w:line="280" w:lineRule="exact"/>
              <w:jc w:val="left"/>
              <w:textAlignment w:val="center"/>
              <w:rPr>
                <w:rFonts w:ascii="宋体" w:hAnsi="宋体" w:eastAsia="宋体" w:cs="宋体"/>
                <w:color w:val="000000"/>
                <w:kern w:val="0"/>
                <w:szCs w:val="21"/>
                <w:lang w:bidi="ar"/>
              </w:rPr>
            </w:pPr>
            <w:r>
              <w:rPr>
                <w:rFonts w:eastAsia="宋体"/>
                <w:color w:val="000000"/>
                <w:kern w:val="0"/>
                <w:szCs w:val="21"/>
                <w:lang w:bidi="ar"/>
              </w:rPr>
              <w:t>整机最大功耗40W；配置危险防护功能包36个月授权许可，包含IPS，AV,URL,云沙箱功能；配置基础软件包和高级软件包；</w:t>
            </w:r>
          </w:p>
          <w:p>
            <w:pPr>
              <w:widowControl/>
              <w:numPr>
                <w:ilvl w:val="0"/>
                <w:numId w:val="23"/>
              </w:numPr>
              <w:spacing w:line="280" w:lineRule="exact"/>
              <w:jc w:val="left"/>
              <w:textAlignment w:val="center"/>
              <w:rPr>
                <w:rFonts w:ascii="宋体" w:hAnsi="宋体" w:eastAsia="宋体" w:cs="宋体"/>
                <w:color w:val="000000"/>
                <w:kern w:val="0"/>
                <w:szCs w:val="21"/>
                <w:lang w:bidi="ar"/>
              </w:rPr>
            </w:pPr>
            <w:r>
              <w:rPr>
                <w:rFonts w:eastAsia="宋体"/>
                <w:color w:val="000000"/>
                <w:kern w:val="0"/>
                <w:szCs w:val="21"/>
                <w:lang w:bidi="ar"/>
              </w:rPr>
              <w:t>具有流探针功能能与态势感知设备协同工作；</w:t>
            </w:r>
          </w:p>
          <w:p>
            <w:pPr>
              <w:widowControl/>
              <w:numPr>
                <w:ilvl w:val="0"/>
                <w:numId w:val="23"/>
              </w:numPr>
              <w:spacing w:line="280" w:lineRule="exact"/>
              <w:jc w:val="left"/>
              <w:textAlignment w:val="center"/>
              <w:rPr>
                <w:rFonts w:eastAsia="宋体"/>
                <w:color w:val="000000"/>
                <w:lang w:bidi="ar"/>
              </w:rPr>
            </w:pPr>
            <w:r>
              <w:rPr>
                <w:rFonts w:hint="eastAsia" w:ascii="宋体" w:hAnsi="宋体" w:eastAsia="宋体" w:cs="宋体"/>
                <w:color w:val="000000"/>
                <w:kern w:val="0"/>
                <w:szCs w:val="21"/>
                <w:lang w:bidi="ar"/>
              </w:rPr>
              <w:t>★</w:t>
            </w:r>
            <w:r>
              <w:rPr>
                <w:rFonts w:hint="eastAsia" w:eastAsia="宋体"/>
                <w:color w:val="000000"/>
                <w:kern w:val="0"/>
                <w:szCs w:val="21"/>
                <w:lang w:bidi="ar"/>
              </w:rPr>
              <w:t>具有中国信息安全认证中心颁发的《中国国家信息安全产品认证证书》；</w:t>
            </w:r>
            <w:r>
              <w:rPr>
                <w:rFonts w:eastAsia="宋体"/>
                <w:b/>
                <w:color w:val="000000"/>
                <w:kern w:val="0"/>
                <w:szCs w:val="21"/>
                <w:lang w:bidi="ar"/>
              </w:rPr>
              <w:t>（提供证书复印件）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上网行为管理</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color w:val="000000"/>
                <w:kern w:val="0"/>
              </w:rPr>
            </w:pPr>
            <w:r>
              <w:rPr>
                <w:color w:val="000000"/>
                <w:kern w:val="0"/>
              </w:rPr>
              <w:t>1、最大功率≤150W；支持硬件Bypass模块，在设备断电、重启时，可自动切换到Bypass状态，当设备恢复时，可自动切换回工作状态；</w:t>
            </w:r>
          </w:p>
          <w:p>
            <w:pPr>
              <w:widowControl/>
              <w:spacing w:line="280" w:lineRule="exact"/>
              <w:jc w:val="left"/>
              <w:textAlignment w:val="center"/>
              <w:rPr>
                <w:rFonts w:hint="eastAsia" w:eastAsia="宋体"/>
                <w:color w:val="000000"/>
                <w:kern w:val="0"/>
              </w:rPr>
            </w:pPr>
            <w:r>
              <w:rPr>
                <w:color w:val="000000"/>
                <w:kern w:val="0"/>
              </w:rPr>
              <w:t>2、</w:t>
            </w:r>
            <w:r>
              <w:rPr>
                <w:rFonts w:hint="eastAsia" w:ascii="宋体" w:hAnsi="宋体" w:eastAsia="宋体" w:cs="宋体"/>
                <w:color w:val="000000"/>
                <w:kern w:val="0"/>
                <w:szCs w:val="21"/>
                <w:lang w:bidi="ar"/>
              </w:rPr>
              <w:t>★</w:t>
            </w:r>
            <w:r>
              <w:rPr>
                <w:rFonts w:ascii="宋体" w:hAnsi="宋体" w:eastAsia="宋体"/>
                <w:color w:val="000000"/>
                <w:kern w:val="0"/>
              </w:rPr>
              <w:t>接口：</w:t>
            </w:r>
            <w:r>
              <w:rPr>
                <w:rFonts w:hint="eastAsia" w:ascii="宋体" w:hAnsi="宋体" w:eastAsia="宋体"/>
                <w:color w:val="000000"/>
                <w:kern w:val="0"/>
              </w:rPr>
              <w:t>配置</w:t>
            </w:r>
            <w:r>
              <w:rPr>
                <w:rFonts w:ascii="宋体" w:hAnsi="宋体" w:eastAsia="宋体"/>
                <w:color w:val="000000"/>
                <w:kern w:val="0"/>
              </w:rPr>
              <w:t>10M/100M/1000M自适应电接口数量≥12，</w:t>
            </w:r>
            <w:r>
              <w:rPr>
                <w:rFonts w:hint="eastAsia" w:ascii="宋体" w:hAnsi="宋体" w:eastAsia="宋体"/>
                <w:color w:val="000000"/>
                <w:kern w:val="0"/>
              </w:rPr>
              <w:t>配置</w:t>
            </w:r>
            <w:r>
              <w:rPr>
                <w:rFonts w:ascii="宋体" w:hAnsi="宋体" w:eastAsia="宋体"/>
                <w:color w:val="000000"/>
                <w:kern w:val="0"/>
              </w:rPr>
              <w:t>千兆光接口数量≥12，</w:t>
            </w:r>
            <w:r>
              <w:rPr>
                <w:rFonts w:hint="eastAsia" w:ascii="宋体" w:hAnsi="宋体" w:eastAsia="宋体"/>
                <w:color w:val="000000"/>
                <w:kern w:val="0"/>
              </w:rPr>
              <w:t>配置</w:t>
            </w:r>
            <w:r>
              <w:rPr>
                <w:rStyle w:val="43"/>
                <w:rFonts w:hint="default"/>
                <w:szCs w:val="21"/>
                <w:lang w:bidi="ar"/>
              </w:rPr>
              <w:t>万兆光接口数量≥4；</w:t>
            </w:r>
            <w:r>
              <w:rPr>
                <w:rFonts w:ascii="宋体" w:hAnsi="宋体" w:eastAsia="宋体"/>
                <w:b/>
                <w:color w:val="000000"/>
                <w:kern w:val="0"/>
              </w:rPr>
              <w:t>（要求提供产品照片）</w:t>
            </w:r>
          </w:p>
          <w:p>
            <w:pPr>
              <w:widowControl/>
              <w:spacing w:line="280" w:lineRule="exact"/>
              <w:jc w:val="left"/>
              <w:textAlignment w:val="center"/>
              <w:rPr>
                <w:color w:val="000000"/>
                <w:kern w:val="0"/>
              </w:rPr>
            </w:pPr>
            <w:r>
              <w:rPr>
                <w:color w:val="000000"/>
                <w:kern w:val="0"/>
              </w:rPr>
              <w:t>3、网络吞吐量：≥39Gbps，应用性能：≥16Gbps，最大并发连接数：≥500万；</w:t>
            </w:r>
          </w:p>
          <w:p>
            <w:pPr>
              <w:widowControl/>
              <w:spacing w:line="280" w:lineRule="exact"/>
              <w:jc w:val="left"/>
              <w:textAlignment w:val="center"/>
              <w:rPr>
                <w:rFonts w:eastAsia="宋体"/>
                <w:color w:val="000000"/>
                <w:kern w:val="0"/>
              </w:rPr>
            </w:pPr>
            <w:r>
              <w:rPr>
                <w:color w:val="000000"/>
                <w:kern w:val="0"/>
                <w:lang w:bidi="ar"/>
              </w:rPr>
              <w:t>支持路由模式、透明（网桥）模式、混合模式，支持将多个物理网口加入一个网桥中；支持镜像和被镜像；支持路由和透明模式配置源地址转换、目的地址转换、双向地址转换等；支持静态路由、策略路由、动态路由、ISP路由；策略路由支持七元组策略；动态路由支持RIP、OSPF等；ISP路由支持运营商地址自定义；</w:t>
            </w:r>
          </w:p>
          <w:p>
            <w:pPr>
              <w:widowControl/>
              <w:spacing w:line="280" w:lineRule="exact"/>
              <w:jc w:val="left"/>
              <w:textAlignment w:val="center"/>
              <w:rPr>
                <w:color w:val="000000"/>
                <w:kern w:val="0"/>
                <w:lang w:bidi="ar"/>
              </w:rPr>
            </w:pPr>
            <w:r>
              <w:rPr>
                <w:color w:val="000000"/>
                <w:kern w:val="0"/>
                <w:lang w:bidi="ar"/>
              </w:rPr>
              <w:t>4、支持4G扩展网卡</w:t>
            </w:r>
            <w:r>
              <w:rPr>
                <w:rFonts w:eastAsia="宋体"/>
                <w:color w:val="000000"/>
                <w:kern w:val="0"/>
              </w:rPr>
              <w:t>，</w:t>
            </w:r>
            <w:r>
              <w:rPr>
                <w:color w:val="000000"/>
                <w:kern w:val="0"/>
                <w:lang w:bidi="ar"/>
              </w:rPr>
              <w:t>支持在4G接口上运行IPSec VPN；</w:t>
            </w:r>
          </w:p>
          <w:p>
            <w:pPr>
              <w:widowControl/>
              <w:spacing w:line="280" w:lineRule="exact"/>
              <w:jc w:val="left"/>
              <w:textAlignment w:val="center"/>
              <w:rPr>
                <w:color w:val="000000"/>
                <w:kern w:val="0"/>
              </w:rPr>
            </w:pPr>
            <w:r>
              <w:rPr>
                <w:color w:val="000000"/>
                <w:kern w:val="0"/>
              </w:rPr>
              <w:t>配置支持一对一、多对一、多对多等多种形式的NAT，支持H.323等应用协议ALG；</w:t>
            </w:r>
            <w:r>
              <w:rPr>
                <w:rFonts w:eastAsia="宋体"/>
                <w:color w:val="000000"/>
                <w:kern w:val="0"/>
              </w:rPr>
              <w:t>配置支持基于用户、应用、时</w:t>
            </w:r>
            <w:r>
              <w:rPr>
                <w:color w:val="000000"/>
                <w:kern w:val="0"/>
              </w:rPr>
              <w:t>间对象的流量管控和策略设置；</w:t>
            </w:r>
          </w:p>
          <w:p>
            <w:pPr>
              <w:widowControl/>
              <w:spacing w:line="280" w:lineRule="exact"/>
              <w:jc w:val="left"/>
              <w:textAlignment w:val="center"/>
              <w:rPr>
                <w:color w:val="000000"/>
                <w:kern w:val="0"/>
              </w:rPr>
            </w:pPr>
            <w:r>
              <w:rPr>
                <w:color w:val="000000"/>
                <w:kern w:val="0"/>
              </w:rPr>
              <w:t>5、支持自定义关键字对象，提供多种匹配模式，匹配类型包含关键字和数字；</w:t>
            </w:r>
          </w:p>
          <w:p>
            <w:pPr>
              <w:widowControl/>
              <w:spacing w:line="280" w:lineRule="exact"/>
              <w:jc w:val="left"/>
              <w:textAlignment w:val="center"/>
              <w:rPr>
                <w:color w:val="000000"/>
                <w:kern w:val="0"/>
              </w:rPr>
            </w:pPr>
            <w:r>
              <w:rPr>
                <w:color w:val="000000"/>
                <w:kern w:val="0"/>
              </w:rPr>
              <w:t>6、支持即时通讯应用管控的精细化管理，可管控QQ的“所有行为”、“登录”、“收发文件”、“语音视频”、“收消息”、“收消息”等行为，；支持网络社区应用管控的精细化管理，例如可管控“所有行为”、“登录”、“网页浏览”、“发表”、“上传”等行为；</w:t>
            </w:r>
          </w:p>
          <w:p>
            <w:pPr>
              <w:widowControl/>
              <w:spacing w:line="280" w:lineRule="exact"/>
              <w:jc w:val="left"/>
              <w:textAlignment w:val="center"/>
              <w:rPr>
                <w:color w:val="000000"/>
                <w:kern w:val="0"/>
              </w:rPr>
            </w:pPr>
            <w:r>
              <w:rPr>
                <w:color w:val="000000"/>
                <w:kern w:val="0"/>
              </w:rPr>
              <w:t>7、支持股票应用的行情和交易特征，并可以将股票软件的行情和交易进行区分管控；</w:t>
            </w:r>
          </w:p>
          <w:p>
            <w:pPr>
              <w:widowControl/>
              <w:spacing w:line="280" w:lineRule="exact"/>
              <w:jc w:val="left"/>
              <w:textAlignment w:val="center"/>
              <w:rPr>
                <w:rFonts w:hint="eastAsia" w:eastAsia="宋体"/>
                <w:color w:val="000000"/>
                <w:kern w:val="0"/>
              </w:rPr>
            </w:pPr>
            <w:r>
              <w:rPr>
                <w:color w:val="000000"/>
                <w:kern w:val="0"/>
              </w:rPr>
              <w:t>8、支持收集网站访问日志，记录用户所有访问网站行为；</w:t>
            </w:r>
          </w:p>
          <w:p>
            <w:pPr>
              <w:widowControl/>
              <w:spacing w:line="280" w:lineRule="exact"/>
              <w:jc w:val="left"/>
              <w:textAlignment w:val="center"/>
              <w:rPr>
                <w:rFonts w:hint="eastAsia" w:ascii="宋体" w:hAnsi="宋体" w:eastAsia="宋体"/>
                <w:color w:val="000000"/>
                <w:kern w:val="0"/>
              </w:rPr>
            </w:pPr>
            <w:r>
              <w:rPr>
                <w:rFonts w:hint="eastAsia" w:eastAsia="宋体"/>
                <w:color w:val="000000"/>
                <w:kern w:val="0"/>
              </w:rPr>
              <w:t>9、</w:t>
            </w:r>
            <w:r>
              <w:rPr>
                <w:rFonts w:ascii="宋体" w:hAnsi="宋体" w:eastAsia="宋体"/>
                <w:color w:val="000000"/>
                <w:kern w:val="0"/>
              </w:rPr>
              <w:t>支持收集搜索引擎日志，记录用户的搜索内容；</w:t>
            </w:r>
          </w:p>
          <w:p>
            <w:pPr>
              <w:widowControl/>
              <w:spacing w:line="280" w:lineRule="exact"/>
              <w:jc w:val="left"/>
              <w:textAlignment w:val="center"/>
              <w:rPr>
                <w:rFonts w:hint="eastAsia" w:ascii="宋体" w:hAnsi="宋体" w:eastAsia="宋体"/>
                <w:color w:val="000000"/>
                <w:kern w:val="0"/>
              </w:rPr>
            </w:pPr>
            <w:r>
              <w:rPr>
                <w:rFonts w:hint="eastAsia" w:ascii="宋体" w:hAnsi="宋体" w:eastAsia="宋体"/>
                <w:color w:val="000000"/>
                <w:kern w:val="0"/>
              </w:rPr>
              <w:t>10、</w:t>
            </w:r>
            <w:r>
              <w:rPr>
                <w:rFonts w:ascii="宋体" w:hAnsi="宋体" w:eastAsia="宋体"/>
                <w:color w:val="000000"/>
                <w:kern w:val="0"/>
              </w:rPr>
              <w:t>支持收集IM通讯软件日志，记录用户登录、注销、收发消息、收发文件等行为；</w:t>
            </w:r>
          </w:p>
          <w:p>
            <w:pPr>
              <w:widowControl/>
              <w:spacing w:line="280" w:lineRule="exact"/>
              <w:jc w:val="left"/>
              <w:textAlignment w:val="center"/>
              <w:rPr>
                <w:rFonts w:ascii="宋体" w:hAnsi="宋体" w:eastAsia="宋体"/>
                <w:color w:val="000000"/>
                <w:kern w:val="0"/>
              </w:rPr>
            </w:pPr>
            <w:r>
              <w:rPr>
                <w:rFonts w:hint="eastAsia" w:ascii="宋体" w:hAnsi="宋体" w:eastAsia="宋体"/>
                <w:color w:val="000000"/>
                <w:kern w:val="0"/>
              </w:rPr>
              <w:t>11、</w:t>
            </w:r>
            <w:r>
              <w:rPr>
                <w:rFonts w:ascii="宋体" w:hAnsi="宋体" w:eastAsia="宋体"/>
                <w:color w:val="000000"/>
                <w:kern w:val="0"/>
              </w:rPr>
              <w:t>支持收集邮件日志，记录邮件发件人、收件人、主题、正文、附件等信息；</w:t>
            </w:r>
          </w:p>
          <w:p>
            <w:pPr>
              <w:widowControl/>
              <w:spacing w:line="280" w:lineRule="exact"/>
              <w:jc w:val="left"/>
              <w:textAlignment w:val="center"/>
              <w:rPr>
                <w:rFonts w:hint="eastAsia" w:ascii="宋体" w:hAnsi="宋体" w:eastAsia="宋体"/>
                <w:color w:val="000000"/>
                <w:kern w:val="0"/>
              </w:rPr>
            </w:pPr>
            <w:r>
              <w:rPr>
                <w:rFonts w:ascii="宋体" w:hAnsi="宋体" w:eastAsia="宋体"/>
                <w:color w:val="000000"/>
                <w:kern w:val="0"/>
              </w:rPr>
              <w:t>12、支持单用户全天行为分析报表，一个界面同时展示用户名、用户组、在线时长、虚拟身份（如QQ号码、微博账号等）、日志关联情况、全天流量使用分布、网站访问类别分布、全天关键网络行为轴等信息；</w:t>
            </w:r>
          </w:p>
          <w:p>
            <w:pPr>
              <w:widowControl/>
              <w:spacing w:line="280" w:lineRule="exact"/>
              <w:jc w:val="left"/>
              <w:textAlignment w:val="center"/>
              <w:rPr>
                <w:rFonts w:ascii="宋体" w:hAnsi="宋体" w:eastAsia="宋体"/>
                <w:color w:val="000000"/>
                <w:kern w:val="0"/>
              </w:rPr>
            </w:pPr>
            <w:r>
              <w:rPr>
                <w:rFonts w:hint="eastAsia" w:ascii="宋体" w:hAnsi="宋体" w:eastAsia="宋体"/>
                <w:color w:val="000000"/>
                <w:kern w:val="0"/>
              </w:rPr>
              <w:t>13、</w:t>
            </w:r>
            <w:r>
              <w:rPr>
                <w:rFonts w:ascii="宋体" w:hAnsi="宋体" w:eastAsia="宋体"/>
                <w:color w:val="000000"/>
                <w:kern w:val="0"/>
              </w:rPr>
              <w:t>支持用户标签，可根据用户访问信息生成访问类型标签，并将用户标签同步至Portal服务器，Portal服务器向用户推送预定义页面；</w:t>
            </w:r>
          </w:p>
          <w:p>
            <w:pPr>
              <w:widowControl/>
              <w:spacing w:line="280" w:lineRule="exact"/>
              <w:jc w:val="left"/>
              <w:textAlignment w:val="center"/>
              <w:rPr>
                <w:rFonts w:ascii="宋体" w:hAnsi="宋体" w:eastAsia="宋体"/>
                <w:color w:val="000000"/>
                <w:kern w:val="0"/>
              </w:rPr>
            </w:pPr>
            <w:r>
              <w:rPr>
                <w:rFonts w:ascii="宋体" w:hAnsi="宋体" w:eastAsia="宋体"/>
                <w:color w:val="000000"/>
                <w:kern w:val="0"/>
              </w:rPr>
              <w:t>14、支持伪Portal抑制技术，可限制应用产生的HTTP伪推请求，有效缓解认证服务器压力；</w:t>
            </w:r>
          </w:p>
          <w:p>
            <w:pPr>
              <w:widowControl/>
              <w:spacing w:line="280" w:lineRule="exact"/>
              <w:jc w:val="left"/>
              <w:textAlignment w:val="center"/>
              <w:rPr>
                <w:rFonts w:eastAsia="宋体"/>
                <w:color w:val="000000"/>
                <w:lang w:bidi="ar"/>
              </w:rPr>
            </w:pPr>
            <w:r>
              <w:rPr>
                <w:rFonts w:hint="eastAsia" w:ascii="宋体" w:hAnsi="宋体" w:eastAsia="宋体" w:cs="宋体"/>
                <w:color w:val="000000"/>
                <w:kern w:val="0"/>
                <w:szCs w:val="21"/>
                <w:lang w:bidi="ar"/>
              </w:rPr>
              <w:t>15、★</w:t>
            </w:r>
            <w:r>
              <w:rPr>
                <w:rFonts w:hint="eastAsia" w:ascii="宋体" w:hAnsi="宋体" w:eastAsia="宋体"/>
                <w:color w:val="000000"/>
                <w:kern w:val="0"/>
              </w:rPr>
              <w:t>实现与</w:t>
            </w:r>
            <w:r>
              <w:rPr>
                <w:rFonts w:ascii="宋体" w:hAnsi="宋体" w:eastAsia="宋体"/>
                <w:color w:val="000000"/>
                <w:kern w:val="0"/>
              </w:rPr>
              <w:t>监狱</w:t>
            </w:r>
            <w:r>
              <w:rPr>
                <w:rFonts w:hint="eastAsia" w:ascii="宋体" w:hAnsi="宋体" w:eastAsia="宋体"/>
                <w:color w:val="000000"/>
                <w:kern w:val="0"/>
              </w:rPr>
              <w:t>现有核心防火墙USG9560</w:t>
            </w:r>
            <w:r>
              <w:rPr>
                <w:rFonts w:ascii="宋体" w:hAnsi="宋体" w:eastAsia="宋体"/>
                <w:color w:val="000000"/>
                <w:kern w:val="0"/>
              </w:rPr>
              <w:t>联动</w:t>
            </w:r>
            <w:r>
              <w:rPr>
                <w:rFonts w:hint="eastAsia" w:ascii="宋体" w:hAnsi="宋体" w:eastAsia="宋体"/>
                <w:color w:val="000000"/>
                <w:kern w:val="0"/>
              </w:rPr>
              <w:t>，实现同步应用特征库以及基于应用进行安全威胁联动管控</w:t>
            </w:r>
            <w:r>
              <w:rPr>
                <w:rFonts w:ascii="宋体" w:hAnsi="宋体" w:eastAsia="宋体"/>
                <w:color w:val="000000"/>
                <w:kern w:val="0"/>
              </w:rPr>
              <w:t>；</w:t>
            </w:r>
            <w:r>
              <w:rPr>
                <w:rFonts w:ascii="宋体" w:hAnsi="宋体" w:eastAsia="宋体"/>
                <w:b/>
                <w:color w:val="000000"/>
                <w:kern w:val="0"/>
              </w:rPr>
              <w:t>（</w:t>
            </w:r>
            <w:r>
              <w:rPr>
                <w:rFonts w:hint="eastAsia" w:ascii="宋体" w:hAnsi="宋体" w:eastAsia="宋体"/>
                <w:b/>
                <w:color w:val="000000"/>
                <w:kern w:val="0"/>
              </w:rPr>
              <w:t>提供原厂盖章的测试报告</w:t>
            </w:r>
            <w:r>
              <w:rPr>
                <w:rFonts w:ascii="宋体" w:hAnsi="宋体" w:eastAsia="宋体"/>
                <w:b/>
                <w:color w:val="000000"/>
                <w:kern w:val="0"/>
              </w:rPr>
              <w:t>）</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华为、深信服、中兴</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辅材</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水晶头，标签标示等，电话线</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国产优质</w:t>
            </w:r>
          </w:p>
        </w:tc>
      </w:tr>
      <w:tr>
        <w:tblPrEx>
          <w:tblCellMar>
            <w:top w:w="15" w:type="dxa"/>
            <w:left w:w="15" w:type="dxa"/>
            <w:bottom w:w="15" w:type="dxa"/>
            <w:right w:w="15" w:type="dxa"/>
          </w:tblCellMar>
        </w:tblPrEx>
        <w:trPr>
          <w:wBefore w:w="0" w:type="dxa"/>
          <w:wAfter w:w="0" w:type="dxa"/>
          <w:trHeight w:val="60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6 指挥中心操作台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375"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3席位监控操作控制台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工作台台面为抗倍特面板，贴面不允许有拼接缝，面板到地面距离为：730-750 mm ，深度1000mm，长度3840mm;</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容腿空间：≥450mm；</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主体框架结构使用优质冷轧钢板，其中主承重结构采用2.5mm厚冷轧钢板加工，一般受力配件采用2.0mm厚优质冷轧钢板钣金加工，采用精密钣金工艺加工，使用螺接样式进行框架结构搭建；</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控制台内部架构可以放置主机托盘及标准19英寸设备架，满足用户放置不同设备的各种需求。</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台面使用抗倍特面板贴防火板加工，整体厚度为18mm；</w:t>
            </w:r>
          </w:p>
          <w:p>
            <w:pPr>
              <w:widowControl/>
              <w:numPr>
                <w:ilvl w:val="0"/>
                <w:numId w:val="24"/>
              </w:numPr>
              <w:spacing w:line="280" w:lineRule="exact"/>
              <w:jc w:val="left"/>
              <w:textAlignment w:val="center"/>
              <w:rPr>
                <w:rStyle w:val="43"/>
                <w:rFonts w:hint="default"/>
                <w:sz w:val="21"/>
                <w:szCs w:val="21"/>
                <w:lang w:bidi="ar"/>
              </w:rPr>
            </w:pPr>
            <w:r>
              <w:rPr>
                <w:rStyle w:val="43"/>
                <w:rFonts w:hint="default"/>
                <w:sz w:val="21"/>
                <w:szCs w:val="21"/>
              </w:rPr>
              <w:t>背墙采用亚克力，钣金，铝型材三者结合的形式装配，亚克力区域可进行LOGO或文字等显示形式的私塾定制；</w:t>
            </w:r>
          </w:p>
          <w:p>
            <w:pPr>
              <w:widowControl/>
              <w:numPr>
                <w:ilvl w:val="0"/>
                <w:numId w:val="24"/>
              </w:numPr>
              <w:spacing w:line="280" w:lineRule="exact"/>
              <w:jc w:val="left"/>
              <w:textAlignment w:val="center"/>
              <w:rPr>
                <w:rStyle w:val="43"/>
                <w:rFonts w:hint="default"/>
                <w:sz w:val="21"/>
                <w:szCs w:val="21"/>
                <w:lang w:bidi="ar"/>
              </w:rPr>
            </w:pPr>
            <w:r>
              <w:rPr>
                <w:rStyle w:val="43"/>
                <w:rFonts w:hint="default"/>
                <w:sz w:val="21"/>
                <w:szCs w:val="21"/>
              </w:rPr>
              <w:t>后背墙厚度150mm，可选择200背墙，370背墙，也可根据需要选择无背墙；</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侧板材质为铝型材和钣金，采用模块化整体设计，分别与框架、背墙和面板采用螺钉连接，增加可靠性；</w:t>
            </w:r>
          </w:p>
          <w:p>
            <w:pPr>
              <w:widowControl/>
              <w:numPr>
                <w:ilvl w:val="0"/>
                <w:numId w:val="24"/>
              </w:numPr>
              <w:spacing w:line="280" w:lineRule="exact"/>
              <w:jc w:val="left"/>
              <w:textAlignment w:val="center"/>
              <w:rPr>
                <w:rFonts w:ascii="宋体" w:hAnsi="宋体" w:eastAsia="宋体" w:cs="宋体"/>
                <w:color w:val="000000"/>
                <w:szCs w:val="21"/>
              </w:rPr>
            </w:pPr>
            <w:r>
              <w:rPr>
                <w:rStyle w:val="43"/>
                <w:rFonts w:hint="default"/>
                <w:sz w:val="21"/>
                <w:szCs w:val="21"/>
              </w:rPr>
              <w:t>主要的垂直及水平结构部件采用的钢材厚度指标达到3mm；</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控制台空气污染物的排放要求：TVOC排放量≤30μg/㎡.hr、甲醛释放量≤5μg/㎡.hr、总醛释放量≤0.1μmol/㎡.hr；</w:t>
            </w:r>
          </w:p>
          <w:p>
            <w:pPr>
              <w:widowControl/>
              <w:numPr>
                <w:ilvl w:val="0"/>
                <w:numId w:val="24"/>
              </w:numPr>
              <w:spacing w:line="280" w:lineRule="exact"/>
              <w:jc w:val="left"/>
              <w:textAlignment w:val="center"/>
              <w:rPr>
                <w:rStyle w:val="43"/>
                <w:rFonts w:hint="default"/>
                <w:sz w:val="21"/>
                <w:szCs w:val="21"/>
              </w:rPr>
            </w:pPr>
            <w:r>
              <w:rPr>
                <w:rStyle w:val="43"/>
                <w:rFonts w:hint="default"/>
                <w:sz w:val="21"/>
                <w:szCs w:val="21"/>
              </w:rPr>
              <w:t>控制台整体按 GB20286-2006做燃烧测试达到等级应不低于阻燃1级，其中“一氧化碳”释放量应低于100ppm，烟密度为不超过26.5%。</w:t>
            </w:r>
          </w:p>
          <w:p>
            <w:pPr>
              <w:widowControl/>
              <w:numPr>
                <w:ilvl w:val="0"/>
                <w:numId w:val="24"/>
              </w:numPr>
              <w:spacing w:line="280" w:lineRule="exact"/>
              <w:jc w:val="left"/>
              <w:textAlignment w:val="center"/>
              <w:rPr>
                <w:rStyle w:val="43"/>
                <w:rFonts w:hint="default"/>
                <w:sz w:val="21"/>
                <w:szCs w:val="21"/>
                <w:lang w:bidi="ar"/>
              </w:rPr>
            </w:pPr>
            <w:r>
              <w:rPr>
                <w:rStyle w:val="43"/>
                <w:rFonts w:hint="default"/>
                <w:sz w:val="21"/>
                <w:szCs w:val="21"/>
              </w:rPr>
              <w:t>采用优质亚克力，透明、磨砂，安装到操作席背墙，配置LED灯带，分为单色与多色，可以实现报警功能，可以接入中控系统。</w:t>
            </w:r>
          </w:p>
          <w:p>
            <w:pPr>
              <w:widowControl/>
              <w:numPr>
                <w:ilvl w:val="0"/>
                <w:numId w:val="24"/>
              </w:numPr>
              <w:spacing w:line="280" w:lineRule="exact"/>
              <w:jc w:val="left"/>
              <w:textAlignment w:val="center"/>
              <w:rPr>
                <w:rStyle w:val="43"/>
                <w:rFonts w:hint="default"/>
                <w:sz w:val="21"/>
                <w:szCs w:val="21"/>
                <w:lang w:bidi="ar"/>
              </w:rPr>
            </w:pPr>
            <w:r>
              <w:rPr>
                <w:rStyle w:val="43"/>
                <w:rFonts w:hint="default"/>
                <w:sz w:val="21"/>
                <w:szCs w:val="21"/>
              </w:rPr>
              <w:t>包含3套鼠标键盘托，金属托盘，聚氨酯护腕，人体工程学机构；</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7席位指挥控制台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工作台台面为抗倍特面板，贴面不允许有拼接缝，面板到地面距离为：730-750 mm ，深度1000mm，长度9240mm</w:t>
            </w:r>
            <w:r>
              <w:rPr>
                <w:rFonts w:eastAsia="宋体"/>
                <w:color w:val="000000"/>
                <w:kern w:val="0"/>
                <w:lang w:bidi="ar"/>
              </w:rPr>
              <w:t>；</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容腿空间：≥450mm；</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主体框架结构使用优质冷轧钢板，其中主承重结构采用2.5mm厚冷轧钢板加工，一般受力配件采用2.0mm厚优质冷轧钢板钣金加工，采用精密钣金工艺加工，使用螺接样式进行框架结构搭建；</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控制台内部架构可以放置主机托盘及标准19英寸设备架，满足用户放置不同设备的各种需求</w:t>
            </w:r>
            <w:r>
              <w:rPr>
                <w:rFonts w:eastAsia="宋体"/>
                <w:color w:val="000000"/>
                <w:kern w:val="0"/>
                <w:lang w:bidi="ar"/>
              </w:rPr>
              <w:t>；</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台面使用抗倍特面板贴防火板加工，整体厚度为18mm；</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背墙采用亚克力，钣金，铝型材三者结合的形式装配，亚克力区域可进行LOGO或文字等显示形式的私塾定制；</w:t>
            </w:r>
          </w:p>
          <w:p>
            <w:pPr>
              <w:widowControl/>
              <w:numPr>
                <w:ilvl w:val="0"/>
                <w:numId w:val="25"/>
              </w:numPr>
              <w:spacing w:line="280" w:lineRule="exact"/>
              <w:jc w:val="left"/>
              <w:textAlignment w:val="center"/>
              <w:rPr>
                <w:rFonts w:ascii="宋体" w:hAnsi="宋体" w:eastAsia="宋体" w:cs="宋体"/>
                <w:color w:val="000000"/>
                <w:kern w:val="0"/>
                <w:szCs w:val="21"/>
                <w:lang w:bidi="ar"/>
              </w:rPr>
            </w:pPr>
            <w:r>
              <w:rPr>
                <w:rFonts w:hint="eastAsia" w:eastAsia="宋体"/>
                <w:color w:val="000000"/>
                <w:kern w:val="0"/>
                <w:lang w:bidi="ar"/>
              </w:rPr>
              <w:t>后背墙厚度150mm，可选择200背墙，370背墙，也可根据需要选择无背墙；</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侧板材质为铝型材和钣金，采用模块化整体设计，分别与框架、背墙和面板采用螺钉连接，增加可靠性；</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主要的垂直及水平结构部件采用的钢材厚度指标达到3mm；</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控制台空气污染物的排放要求：TVOC排放量≤30μg/㎡.hr、甲醛释放量≤5μg/㎡.hr、总醛释放量≤0.1μmol/㎡.hr</w:t>
            </w:r>
            <w:r>
              <w:rPr>
                <w:rFonts w:eastAsia="宋体"/>
                <w:color w:val="000000"/>
                <w:kern w:val="0"/>
                <w:lang w:bidi="ar"/>
              </w:rPr>
              <w:t>；</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控制台整体按 GB20286-2006做燃烧测试达到等级应不低于阻燃1级，其中“一氧化碳”释放量应低于100ppm，烟密度为不超过26.5%。</w:t>
            </w:r>
          </w:p>
          <w:p>
            <w:pPr>
              <w:widowControl/>
              <w:numPr>
                <w:ilvl w:val="0"/>
                <w:numId w:val="25"/>
              </w:numPr>
              <w:spacing w:line="280" w:lineRule="exact"/>
              <w:jc w:val="left"/>
              <w:textAlignment w:val="center"/>
              <w:rPr>
                <w:rFonts w:eastAsia="宋体"/>
                <w:color w:val="000000"/>
                <w:kern w:val="0"/>
                <w:lang w:bidi="ar"/>
              </w:rPr>
            </w:pPr>
            <w:r>
              <w:rPr>
                <w:rFonts w:hint="eastAsia" w:eastAsia="宋体"/>
                <w:color w:val="000000"/>
                <w:kern w:val="0"/>
                <w:lang w:bidi="ar"/>
              </w:rPr>
              <w:t>采用优质亚克力，透明、磨砂，安装到操作席背墙，配置LED灯带，分为单色与多色，可以实现报警功能，可以接入中控系统。</w:t>
            </w:r>
          </w:p>
          <w:p>
            <w:pPr>
              <w:widowControl/>
              <w:numPr>
                <w:ilvl w:val="0"/>
                <w:numId w:val="25"/>
              </w:numPr>
              <w:spacing w:line="280" w:lineRule="exact"/>
              <w:jc w:val="left"/>
              <w:textAlignment w:val="center"/>
              <w:rPr>
                <w:rStyle w:val="43"/>
                <w:rFonts w:hint="default"/>
                <w:sz w:val="21"/>
                <w:szCs w:val="21"/>
                <w:lang w:bidi="ar"/>
              </w:rPr>
            </w:pPr>
            <w:r>
              <w:rPr>
                <w:rFonts w:hint="eastAsia" w:eastAsia="宋体"/>
                <w:color w:val="000000"/>
                <w:kern w:val="0"/>
                <w:lang w:bidi="ar"/>
              </w:rPr>
              <w:t>包含7套鼠标键盘托，金属托盘，聚氨酯护腕，人体工程学机构；</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亚克力灯带-多色</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1、采用优质亚克力； 2、表面样式：透明、磨砂； 3、可以安装到背墙； 4、配置LED灯带，分为单色与多色；</w:t>
            </w:r>
            <w:r>
              <w:rPr>
                <w:rFonts w:hint="eastAsia" w:ascii="宋体" w:hAnsi="宋体" w:eastAsia="宋体" w:cs="宋体"/>
                <w:color w:val="000000"/>
                <w:kern w:val="0"/>
                <w:szCs w:val="21"/>
                <w:lang w:bidi="ar"/>
              </w:rPr>
              <w:br w:type="textWrapping"/>
            </w:r>
            <w:r>
              <w:rPr>
                <w:rFonts w:hint="eastAsia" w:ascii="宋体" w:hAnsi="宋体" w:eastAsia="宋体" w:cs="宋体"/>
                <w:color w:val="000000"/>
                <w:kern w:val="0"/>
                <w:szCs w:val="21"/>
                <w:lang w:bidi="ar"/>
              </w:rPr>
              <w:t>5、可以实现报警功能； 6、可以接入中控系统。</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16.9</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LCD支架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1.适用于27＂以下的电脑显示器；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2.单臂最大承载重量9Kg；</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3.符合VESA国际安装标准孔位：75×75mm和100×100mm；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4.手臂最大可延伸≤496mm；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5.手臂可折叠的最小尺寸为≥138mm；</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6.可调倾斜范围：﹢90°～－65°；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7.可实现空间180°旋转/平面内360°旋转； </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8.手臂可在立柱上下调整范围260mm；</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 xml:space="preserve">9.快拆式定位安装结构，最大限度节省安装时间； </w:t>
            </w:r>
          </w:p>
          <w:p>
            <w:pPr>
              <w:widowControl/>
              <w:spacing w:line="280" w:lineRule="exact"/>
              <w:jc w:val="left"/>
              <w:textAlignment w:val="center"/>
              <w:rPr>
                <w:rFonts w:ascii="宋体" w:hAnsi="宋体" w:eastAsia="宋体" w:cs="宋体"/>
                <w:color w:val="000000"/>
                <w:kern w:val="0"/>
                <w:szCs w:val="21"/>
                <w:lang w:bidi="ar"/>
              </w:rPr>
            </w:pPr>
            <w:r>
              <w:rPr>
                <w:rFonts w:hint="eastAsia" w:ascii="宋体" w:hAnsi="宋体" w:eastAsia="宋体" w:cs="宋体"/>
                <w:color w:val="000000"/>
                <w:kern w:val="0"/>
                <w:szCs w:val="21"/>
                <w:lang w:bidi="ar"/>
              </w:rPr>
              <w:t>10.表面处理：喷粉； 11.颜色支持：黑色；</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27</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人体工程学专业操作椅</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符合人体工程学要求，调节座椅高低</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铁力山、联友、宜闻思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10席位指挥观摩席位</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6"/>
              </w:numPr>
              <w:spacing w:line="280" w:lineRule="exact"/>
              <w:jc w:val="left"/>
              <w:textAlignment w:val="center"/>
              <w:rPr>
                <w:rFonts w:hint="eastAsia" w:eastAsia="宋体"/>
                <w:color w:val="000000"/>
                <w:kern w:val="0"/>
                <w:lang w:bidi="ar"/>
              </w:rPr>
            </w:pPr>
            <w:r>
              <w:rPr>
                <w:rFonts w:hint="eastAsia" w:eastAsia="宋体"/>
                <w:color w:val="000000"/>
                <w:kern w:val="0"/>
                <w:lang w:bidi="ar"/>
              </w:rPr>
              <w:t>工作台台面为抗倍特面板，面板到地面距离为：730-750 mm，深度8000mm，长度9200mm；</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主体框架结构使用优质冷轧钢板，其中主承重结构采用2.5mm厚冷轧钢板加工，一般受力配件采用2.0mm厚优质冷轧钢板钣金加工，采用精密钣金工艺加工，使用螺接样式进行框架结构搭建；</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控制台内部架构可以放置主机托盘及标准19英寸设备架，满足用户放置不同设备的各种需求；</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台面使用抗倍特面板贴防火板加工，整体厚度为18mm；</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背墙采用亚克力，钣金，铝型材三者结合的形式装配，亚克力区域可进行LOGO或文字等显示形式的私塾定制；</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 xml:space="preserve">后背墙厚度150mm，可选择50mm或100mm背墙背墙； </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侧板材质为铝型材和钣金，采用模块化整体设计，分别与框架、背墙和面板采用螺钉连接，增加可靠性；</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主要的垂直及水平结构部件采用的钢材厚度指标达到3mm；</w:t>
            </w:r>
          </w:p>
          <w:p>
            <w:pPr>
              <w:widowControl/>
              <w:numPr>
                <w:ilvl w:val="0"/>
                <w:numId w:val="26"/>
              </w:numPr>
              <w:spacing w:line="280" w:lineRule="exact"/>
              <w:jc w:val="left"/>
              <w:textAlignment w:val="center"/>
              <w:rPr>
                <w:rFonts w:hint="eastAsia" w:ascii="宋体" w:hAnsi="宋体" w:eastAsia="宋体" w:cs="宋体"/>
                <w:color w:val="000000"/>
                <w:szCs w:val="21"/>
              </w:rPr>
            </w:pPr>
            <w:r>
              <w:rPr>
                <w:rFonts w:hint="eastAsia" w:eastAsia="宋体"/>
                <w:color w:val="000000"/>
                <w:kern w:val="0"/>
                <w:lang w:bidi="ar"/>
              </w:rPr>
              <w:t xml:space="preserve">控制台空气污染物的排放要求：TVOC排放量≤30μg/㎡.hr、甲醛释放量≤5μg/㎡.hr、总醛释放量≤0.1μmol/㎡.hr； </w:t>
            </w:r>
          </w:p>
          <w:p>
            <w:pPr>
              <w:widowControl/>
              <w:numPr>
                <w:ilvl w:val="0"/>
                <w:numId w:val="26"/>
              </w:numPr>
              <w:spacing w:line="280" w:lineRule="exact"/>
              <w:jc w:val="left"/>
              <w:textAlignment w:val="center"/>
              <w:rPr>
                <w:rFonts w:ascii="宋体" w:hAnsi="宋体" w:eastAsia="宋体" w:cs="宋体"/>
                <w:color w:val="000000"/>
                <w:szCs w:val="21"/>
              </w:rPr>
            </w:pPr>
            <w:r>
              <w:rPr>
                <w:rFonts w:hint="eastAsia" w:eastAsia="宋体"/>
                <w:color w:val="000000"/>
                <w:kern w:val="0"/>
                <w:lang w:bidi="ar"/>
              </w:rPr>
              <w:t>控制台整体按 GB20286-2006做燃烧测试达到等级应不低于阻燃1级，其中“一氧化碳”释放量应低于100ppm，烟密度为不超过26.5%。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指挥操作椅</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1、牛皮饰面，透气性好，回位伸缩性强，优质环保牛皮，光泽度好，易清洁，耐用； 2、背框：≥18厘10层弯曲板，优质高回弹海棉 , 椅背耐久测试，座垫施力109kg力，背垫施加45kg，累计循环测试12万次，无异常，符合人体工学； 3、座垫：≥18厘10层弯曲板，优质高回弹海棉 ,通过座垫耐久测试承重57kg，离座垫高度36mm，自由落体测试10万次，无异常； 4、铝合金抛光固定扶手：皮扶手面，通过耐久测试：以垂直扶手向内形成10度方向，向两个扶手同时施加41kg力，循环测试6万次无异常； 5、飞机底盘，带原位锁定功能，后仰结构测试30万次，无异常； 6、三级电镀汽杆（氮气），防爆炸，施重123kg，旋转12万次无异常，承重57kg，离座垫高度36mm，自由落体测试10万次无异常； </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把</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嵌入式多媒体桌插</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包含多功能电源插座、RJ45和HDMI口和一个预留口。</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圣奥、大康、品冠</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音控室操作台</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长1800mm、宽800mm、高800mm，主体框架结构使用2mm厚冷轧钢板钣金加工；承重配件使用3.0mm厚冷轧钢板加工；所有钣金配件外表面使用静电吸塑工艺。主体框架结构为360框架，采用模块化结构，通过螺栓连接成型，下部采用可调整水平的固定脚支撑,框架下部设有进线孔,方便外部线路引入框体,连接其他设备。可提供足够的腿部空间(大于等于450mm)。工作台表面到地面距离为：740-755 mm；配置键盘托，要求金属托盘，聚氨酯护腕，人体工程学机构；背墙采用截面壁厚不小于1.5mm的挤压铝型材加工,表面阳极氧化处理，两端安装铸造件封闭背墙两端部；面板应使用实木颗粒板双面贴防火板加工，整体厚度不低于27mm;前后门板应使用实木颗粒板双帖防火板加工，整体厚度不低于20mm。前侧采用PVC封边条，应与桌面材质无缝拼接，后侧采用PVC封边，保证整体外观协调统一。"</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铁力山、温斯泰德、宜闻思</w:t>
            </w:r>
          </w:p>
        </w:tc>
      </w:tr>
      <w:tr>
        <w:tblPrEx>
          <w:tblCellMar>
            <w:top w:w="15" w:type="dxa"/>
            <w:left w:w="15" w:type="dxa"/>
            <w:bottom w:w="15" w:type="dxa"/>
            <w:right w:w="15" w:type="dxa"/>
          </w:tblCellMar>
        </w:tblPrEx>
        <w:trPr>
          <w:wBefore w:w="0" w:type="dxa"/>
          <w:wAfter w:w="0" w:type="dxa"/>
          <w:trHeight w:val="54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7 情报报送模块</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情报报送模块优化</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优化现有监狱指挥中心应急指挥平台，新增监狱内部情报报送子模块，实现各部门日常通过应急指挥平台进行五情数据及时报送，由指挥中心进行信息汇总；具有全维度信息检索功能，并能够实现每日数据汇总并导出相应报表；</w:t>
            </w:r>
          </w:p>
          <w:p>
            <w:pPr>
              <w:pStyle w:val="71"/>
              <w:spacing w:before="120"/>
              <w:ind w:firstLine="0"/>
              <w:rPr>
                <w:rFonts w:eastAsia="宋体"/>
                <w:b/>
                <w:color w:val="000000"/>
                <w:lang w:bidi="ar"/>
              </w:rPr>
            </w:pPr>
            <w:r>
              <w:rPr>
                <w:rStyle w:val="43"/>
                <w:rFonts w:hint="default"/>
                <w:sz w:val="21"/>
                <w:szCs w:val="21"/>
                <w:lang w:bidi="ar"/>
              </w:rPr>
              <w:t>★2、</w:t>
            </w:r>
            <w:r>
              <w:rPr>
                <w:rFonts w:hint="eastAsia" w:ascii="宋体" w:hAnsi="宋体" w:eastAsia="宋体" w:cs="宋体"/>
                <w:b/>
                <w:color w:val="000000"/>
                <w:sz w:val="21"/>
                <w:szCs w:val="21"/>
                <w:lang w:bidi="ar"/>
              </w:rPr>
              <w:t>（提供监狱现有四方博瑞应急指挥平台授权函）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r>
      <w:tr>
        <w:tblPrEx>
          <w:tblCellMar>
            <w:top w:w="15" w:type="dxa"/>
            <w:left w:w="15" w:type="dxa"/>
            <w:bottom w:w="15" w:type="dxa"/>
            <w:right w:w="15" w:type="dxa"/>
          </w:tblCellMar>
        </w:tblPrEx>
        <w:trPr>
          <w:wBefore w:w="0" w:type="dxa"/>
          <w:wAfter w:w="0" w:type="dxa"/>
          <w:trHeight w:val="66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color w:val="000000"/>
                <w:szCs w:val="21"/>
              </w:rPr>
            </w:pP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仿宋"/>
                <w:b/>
                <w:color w:val="000000"/>
                <w:szCs w:val="21"/>
              </w:rPr>
            </w:pPr>
            <w:r>
              <w:rPr>
                <w:rFonts w:hint="eastAsia" w:ascii="宋体" w:hAnsi="宋体" w:eastAsia="宋体" w:cs="仿宋"/>
                <w:b/>
                <w:color w:val="000000"/>
                <w:kern w:val="0"/>
                <w:szCs w:val="21"/>
                <w:lang w:bidi="ar"/>
              </w:rPr>
              <w:t>8 动力制冷系统</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left"/>
              <w:rPr>
                <w:rFonts w:ascii="宋体" w:hAnsi="宋体" w:eastAsia="宋体" w:cs="仿宋"/>
                <w:b/>
                <w:color w:val="000000"/>
                <w:szCs w:val="21"/>
              </w:rPr>
            </w:pP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spacing w:line="280" w:lineRule="exact"/>
              <w:jc w:val="center"/>
              <w:rPr>
                <w:rFonts w:ascii="宋体" w:hAnsi="宋体" w:eastAsia="宋体" w:cs="仿宋"/>
                <w:b/>
                <w:color w:val="000000"/>
                <w:szCs w:val="21"/>
              </w:rPr>
            </w:pP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精密空调</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27"/>
              </w:numPr>
              <w:spacing w:line="280" w:lineRule="exact"/>
              <w:jc w:val="left"/>
              <w:textAlignment w:val="center"/>
              <w:rPr>
                <w:rStyle w:val="43"/>
                <w:rFonts w:hint="default"/>
                <w:sz w:val="21"/>
                <w:szCs w:val="21"/>
                <w:lang w:bidi="ar"/>
              </w:rPr>
            </w:pPr>
            <w:r>
              <w:rPr>
                <w:rStyle w:val="43"/>
                <w:rFonts w:hint="default"/>
                <w:sz w:val="21"/>
                <w:szCs w:val="21"/>
                <w:lang w:bidi="ar"/>
              </w:rPr>
              <w:t>★具有远红外加湿,加湿量3kg/h，加湿水盘为不锈钢</w:t>
            </w:r>
            <w:r>
              <w:rPr>
                <w:rStyle w:val="43"/>
                <w:rFonts w:hint="default"/>
                <w:b/>
                <w:bCs/>
                <w:sz w:val="21"/>
                <w:szCs w:val="21"/>
                <w:lang w:bidi="ar"/>
              </w:rPr>
              <w:t>（提供产品官方参数证明）</w:t>
            </w:r>
            <w:r>
              <w:rPr>
                <w:rStyle w:val="43"/>
                <w:rFonts w:hint="default"/>
                <w:sz w:val="21"/>
                <w:szCs w:val="21"/>
                <w:lang w:bidi="ar"/>
              </w:rPr>
              <w:t>；</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大面积V型蒸发器，确保高制冷量和显冷量；</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总冷量28.1KW、显冷量25.3KW、上送风，风量7300m</w:t>
            </w:r>
            <w:r>
              <w:rPr>
                <w:rStyle w:val="35"/>
                <w:rFonts w:hint="default"/>
                <w:sz w:val="21"/>
                <w:szCs w:val="21"/>
                <w:lang w:bidi="ar"/>
              </w:rPr>
              <w:t>3</w:t>
            </w:r>
            <w:r>
              <w:rPr>
                <w:rStyle w:val="43"/>
                <w:rFonts w:hint="default"/>
                <w:sz w:val="21"/>
                <w:szCs w:val="21"/>
                <w:lang w:bidi="ar"/>
              </w:rPr>
              <w:t>/h；</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机外静压20-50Pa；</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电加热功率=6KW；</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配备标准RS485监控接口；最大电流(A)=30.3A；</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尺寸（宽*深*高）≤850*835*1975；采用环保制冷剂R410；</w:t>
            </w:r>
          </w:p>
          <w:p>
            <w:pPr>
              <w:widowControl/>
              <w:numPr>
                <w:ilvl w:val="0"/>
                <w:numId w:val="27"/>
              </w:numPr>
              <w:spacing w:line="280" w:lineRule="exact"/>
              <w:jc w:val="left"/>
              <w:textAlignment w:val="center"/>
              <w:rPr>
                <w:rStyle w:val="43"/>
                <w:rFonts w:hint="default"/>
                <w:sz w:val="21"/>
                <w:szCs w:val="21"/>
              </w:rPr>
            </w:pPr>
            <w:r>
              <w:rPr>
                <w:rStyle w:val="43"/>
                <w:rFonts w:hint="default"/>
                <w:sz w:val="21"/>
                <w:szCs w:val="21"/>
                <w:lang w:bidi="ar"/>
              </w:rPr>
              <w:t>含配套内外机电源线和安装铜管；</w:t>
            </w:r>
          </w:p>
          <w:p>
            <w:pPr>
              <w:widowControl/>
              <w:numPr>
                <w:ilvl w:val="0"/>
                <w:numId w:val="27"/>
              </w:numPr>
              <w:spacing w:line="280" w:lineRule="exact"/>
              <w:jc w:val="left"/>
              <w:textAlignment w:val="center"/>
              <w:rPr>
                <w:rFonts w:ascii="宋体" w:hAnsi="宋体" w:eastAsia="宋体" w:cs="宋体"/>
                <w:color w:val="000000"/>
                <w:szCs w:val="21"/>
              </w:rPr>
            </w:pPr>
            <w:r>
              <w:rPr>
                <w:rStyle w:val="43"/>
                <w:rFonts w:hint="default"/>
                <w:sz w:val="21"/>
                <w:szCs w:val="21"/>
                <w:lang w:bidi="ar"/>
              </w:rPr>
              <w:t>配置精密空调检测卡，能够与现有动环系统无缝对接；设备配置铜管等安装附件以及冷媒等；</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维帝、施耐德、世图玆</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精密空调散力架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50*5角钢定制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国产优质</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精密空调室外机底座支架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水泥基础+原装外机支架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国产优质</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七氟丙烷灭火装置</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柜式；贮存瓶规格≥90L；全淹没灭火方式；自动、电气手动；启动延迟设定0~30s；灭火喷放时间≤10s；系统工作电压/电流DC24V/1.5A</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七氟丙烷药剂</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以化学灭火方式为主的自动灭火系统；灭火剂瓶储存压力4.2MPa；灭火浓度≥8%；喷射时间（S）≤10；报警延迟时间（S）0~40；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KG</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90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泄压口</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400*400</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智能光电感烟火灾探测器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Φ100mm × 36mm 外形尺寸；采用内置微处理器；对自身采集到的数据进行存储和判断，需具有自诊断功能；定温报警；可以通过控制器查看现场的温度升幅曲线；抗灰尘附着、抗电磁干扰、抗腐蚀、抗环境温度影响能力强；可适应不同气候环境的要求；</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智能感温火灾探测器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100mm × 44mm外形尺寸；使用专用电子编码器；内置微处理器；能实现对不同探测环境灵敏度的要求；监视状态瞬时微亮，报警闪亮（红色）；保护面积≥60-80m2；最远传输距离≥1500m;</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通用探测器底座</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用于配接感烟探测器、感温探测器</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火灾报警控制器(联动型)</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联动模块</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声光报警器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放气指示灯</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现场紧急启停按钮</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定制</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新纪元、海湾、北大青鸟</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16口RS422/485串口服务器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16*RS485接口</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动环监控软件</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软件平台带自检功能，Watchdog能监测软件平台的核心进程、数据库表、数据发包和接收端口等，如异常会发送短信邮件等告警。</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软件平台可对监控主机监测其联通性并在网络中断时报警，记录并统计次数。软件平台有每天定时自检功能，可定制短消息发送用户关注的数据。软件平台采用后台服务方式启动（services），无需登录操作，监控就已经启动运行。软件平台可对网内任意IP设备进行网络通断监控，如网络中断可发送短信、声光、电话报警等。软件平台可在一个页面上显示全部监控数据。软件平台支持微信报警。</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软件平台支持手机APP监控。软件平台可开放应用层开发接口，兼容其他网管平台。</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UPS检测</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采用后台服务方式启动，每个监控参数可定制名称和报警范围。实时监控ups\空调等数据接入监控平台系统；显示和记录各种参数的变化曲线，并对各种报警状态进行记录和报警处理。</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智能温湿度传感器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显示：数码显示测量值；测湿范围：0-100%RH;精度：±3%RH；测温范围：-10-50℃；精度：±0.5℃；串行输出：RS485;</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19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定位式测漏控制器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供电电源：220VAC；线缆连接引脚：4个，红黑黄绿；测量精度：精确定位到某1M位置；泄漏测量方式：电流+电阻综合判定</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8米引出线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长度：4M；线缆数量：4股封装；颜色：红黑黄绿；作用:用于连接漏水感应线和控制器；</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15米测漏感应线</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长度15M；线缆数量：4股扭转；颜色：主体为黄色，内部为红黑黄绿四色；作用：水触碰绳体，发出报警信号到控制器；</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万联、施耐德、霍尼韦尔</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UPS精密配电柜</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1、2个160A 市电输入，4个63A/3P的公开,2个63A/4P防雷开关,带2个C级防雷，输出48路32A微断开关，10路16A微断开关。尺寸为600*1200*2000，与机柜同一尺寸. 1、 为了保证供电安全，配电系统采用2路UPS电源供电，2路市电供电。</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2、精密配电柜主要元器件采用施耐德、ABB、西门子品牌。</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3、配备七寸全彩触摸显示屏、指示灯，显示主路、支路电气参数、开关状态及各种报警信息。</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4、主路电气参数：电量、三相电压、三相电流、有功功率、无功功率、频率、视在功率、功率因数、负载百分比。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5、支路电气参数：电量、电压、电流、负载功率、负载百分比。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6、开关状态：实时监控主路、支路开关状态。</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7、本地声光报警；8、 主路、支路故障报警包括：过压、欠压、过流、频率超限、阀值等；9、 触摸屏设置相应权限，非授权人员不能进行参数设置；10、触摸屏保存5000条报警信息，便于故障分析；11、 配备RS485通讯接口，可将采集到的参数传送到机房监控系统，机房管理人员能实时监测设备运行状态。                  </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施耐德、ABB、华为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市电精密配电柜</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配置ATS电源自动切换装置，最大电流≥200A；1个160A/3P市电输入，6个63A/3P的输出软壳断路器,2个63A/4P防雷开关,带2个C级防雷，输出24路32A微断开关，12路16A微断开关。尺寸为600*1200*2000，与机柜同一尺寸。</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 为了保证供电安全，配电系统采用2路UPS电源供电，2路市电供电；</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 精密配电柜主要元器件采用施耐德、ABB、西门子品牌；</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 配备七寸全彩触摸显示屏、指示灯，显示主路、支路电气参数、开关状态及各种报警信息；</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 主路电气参数：电量、三相电压、三相电流、有功功率、无功功率、频率、视在功率、功率因数、负载百分比；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 支路电气参数：电量、电压、电流、负载功率、负载百分比；</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6、 开关状态：实时监控主路、支路开关状态；</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7、 本地声光报警；</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8、 主路、支路故障报警包括：过压、欠压、过流、频率超限、阀值等；</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9、 触摸屏设置相应权限，非授权人员不能进行参数设置；</w:t>
            </w:r>
          </w:p>
          <w:p>
            <w:pPr>
              <w:widowControl/>
              <w:spacing w:line="280" w:lineRule="exact"/>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10、触摸屏保存5000条报警信息，便于故障分析；</w:t>
            </w:r>
          </w:p>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 xml:space="preserve">11、 配备RS485通讯接口，可将采集到的参数传送到机房监控系统，机房管理人员能实时监测设备运行状态。                  </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台</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施耐德、ABB、华为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配电柜辅料</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包含连接线以及接线裸端子、L1层供电专业线束</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施耐德、ABB、华为</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25</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UPS电缆</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ZR YJV 4*70+1*35，国标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420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中策、远东、万马</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26</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UPS分支电缆1</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ZR YJV 3*6，国标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200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中策、远东、万马</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27</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UPS分支电缆2</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ZR YJV 3*4，国标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中策、远东、万马</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28</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工业连接器</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32A，3孔</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个</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16</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华为、维帝、施耐德</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29</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JDG管</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JDG管，直径25mm,壁厚1.2mm</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米</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600</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天顺、天一、亿泰</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30</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12位PDU</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12位10A PDU带防雷模块和断电开关按钮，带电流检测显示功能，插孔要求万能插孔要符合国标，欧标，美标等标准。</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飞利浦、华为、图腾（TOTEN）</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31</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12位PDU</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12位10A+4位16A PDU带防雷模块和断电开关按钮，带电流检测显示功能，插孔要求万能插孔要符合国标，欧标，美标等标准。</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15</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飞利浦、华为、图腾（TOTEN）</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32</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8位PDU</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8位PDU带防雷模块和断电开关按钮，带电流检测显示功能，插孔要求万能插孔要符合国标，欧标，美标等标准。</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套</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12</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飞利浦、华为、图腾（TOTEN）</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33</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电源插座</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指挥中心内按照实际最终配电图纸数量实施。</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w:t>
            </w:r>
          </w:p>
        </w:tc>
      </w:tr>
      <w:tr>
        <w:tblPrEx>
          <w:tblCellMar>
            <w:top w:w="15" w:type="dxa"/>
            <w:left w:w="15" w:type="dxa"/>
            <w:bottom w:w="15" w:type="dxa"/>
            <w:right w:w="15" w:type="dxa"/>
          </w:tblCellMar>
        </w:tblPrEx>
        <w:trPr>
          <w:wBefore w:w="0" w:type="dxa"/>
          <w:wAfter w:w="0" w:type="dxa"/>
          <w:trHeight w:val="390" w:hRule="atLeast"/>
          <w:jc w:val="center"/>
        </w:trPr>
        <w:tc>
          <w:tcPr>
            <w:tcW w:w="409"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仿宋"/>
                <w:color w:val="000000"/>
                <w:szCs w:val="21"/>
              </w:rPr>
            </w:pPr>
            <w:r>
              <w:rPr>
                <w:rFonts w:hint="eastAsia" w:ascii="宋体" w:hAnsi="宋体" w:eastAsia="宋体" w:cs="仿宋"/>
                <w:color w:val="000000"/>
                <w:kern w:val="0"/>
                <w:szCs w:val="21"/>
                <w:lang w:bidi="ar"/>
              </w:rPr>
              <w:t>34</w:t>
            </w:r>
          </w:p>
        </w:tc>
        <w:tc>
          <w:tcPr>
            <w:tcW w:w="173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原有指挥中心设备迁移</w:t>
            </w:r>
          </w:p>
        </w:tc>
        <w:tc>
          <w:tcPr>
            <w:tcW w:w="1018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ascii="宋体" w:hAnsi="宋体" w:eastAsia="宋体" w:cs="宋体"/>
                <w:color w:val="000000"/>
                <w:szCs w:val="21"/>
              </w:rPr>
            </w:pPr>
            <w:r>
              <w:rPr>
                <w:rFonts w:hint="eastAsia" w:ascii="宋体" w:hAnsi="宋体" w:eastAsia="宋体" w:cs="宋体"/>
                <w:color w:val="000000"/>
                <w:kern w:val="0"/>
                <w:szCs w:val="21"/>
                <w:lang w:bidi="ar"/>
              </w:rPr>
              <w:t>主要包括现有司法部视频会议主机、来邦对讲系统、监狱系统IP电话、IP广播系统、指挥调度平台等，按照监狱方实际需要搬移的其他设备。</w:t>
            </w:r>
          </w:p>
        </w:tc>
        <w:tc>
          <w:tcPr>
            <w:tcW w:w="51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项</w:t>
            </w:r>
          </w:p>
        </w:tc>
        <w:tc>
          <w:tcPr>
            <w:tcW w:w="5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184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国产</w:t>
            </w:r>
          </w:p>
        </w:tc>
      </w:tr>
    </w:tbl>
    <w:p>
      <w:pPr>
        <w:pageBreakBefore/>
        <w:spacing w:before="120" w:beforeLines="50" w:after="120" w:afterLines="50"/>
        <w:ind w:firstLine="2640" w:firstLineChars="880"/>
        <w:outlineLvl w:val="0"/>
        <w:rPr>
          <w:rFonts w:ascii="宋体" w:hAnsi="宋体"/>
          <w:color w:val="000000"/>
          <w:sz w:val="30"/>
          <w:szCs w:val="30"/>
        </w:rPr>
        <w:sectPr>
          <w:pgSz w:w="16838" w:h="11906" w:orient="landscape"/>
          <w:pgMar w:top="1276" w:right="1089" w:bottom="1418" w:left="1247" w:header="851" w:footer="992" w:gutter="0"/>
          <w:cols w:space="720" w:num="1"/>
          <w:docGrid w:linePitch="312" w:charSpace="0"/>
        </w:sectPr>
      </w:pPr>
    </w:p>
    <w:p>
      <w:pPr>
        <w:pageBreakBefore/>
        <w:spacing w:before="120" w:beforeLines="50" w:after="120" w:afterLines="50"/>
        <w:ind w:firstLine="2640" w:firstLineChars="880"/>
        <w:outlineLvl w:val="0"/>
        <w:rPr>
          <w:rFonts w:hint="eastAsia" w:ascii="宋体" w:hAnsi="宋体"/>
          <w:bCs/>
          <w:color w:val="000000"/>
          <w:sz w:val="30"/>
          <w:szCs w:val="30"/>
        </w:rPr>
      </w:pPr>
      <w:r>
        <w:rPr>
          <w:rFonts w:hint="eastAsia" w:ascii="宋体" w:hAnsi="宋体"/>
          <w:color w:val="000000"/>
          <w:sz w:val="30"/>
          <w:szCs w:val="30"/>
        </w:rPr>
        <w:t xml:space="preserve">第五章  </w:t>
      </w:r>
      <w:r>
        <w:rPr>
          <w:rFonts w:hint="eastAsia" w:ascii="宋体" w:hAnsi="宋体"/>
          <w:bCs/>
          <w:color w:val="000000"/>
          <w:sz w:val="30"/>
          <w:szCs w:val="30"/>
        </w:rPr>
        <w:t>合同主要条款</w:t>
      </w:r>
      <w:bookmarkEnd w:id="205"/>
    </w:p>
    <w:p>
      <w:pPr>
        <w:spacing w:line="440" w:lineRule="exact"/>
        <w:ind w:firstLine="482"/>
        <w:rPr>
          <w:rFonts w:ascii="宋体" w:hAnsi="宋体" w:cs="宋体"/>
          <w:color w:val="000000"/>
          <w:sz w:val="24"/>
        </w:rPr>
      </w:pPr>
    </w:p>
    <w:p>
      <w:pPr>
        <w:spacing w:line="440" w:lineRule="exact"/>
        <w:ind w:firstLine="482"/>
        <w:rPr>
          <w:rFonts w:ascii="宋体" w:hAnsi="宋体" w:cs="仿宋_GB2312"/>
          <w:color w:val="000000"/>
          <w:sz w:val="24"/>
        </w:rPr>
      </w:pPr>
      <w:r>
        <w:rPr>
          <w:rFonts w:hint="eastAsia" w:ascii="宋体" w:hAnsi="宋体" w:cs="仿宋_GB2312"/>
          <w:color w:val="000000"/>
          <w:sz w:val="24"/>
        </w:rPr>
        <w:t>特别提示：本合同条款仅供参考，中标人与采购人在签订合同时，应在不违背本项目采购文件原则性条款的基础上，视具体情况进行补充与增减。</w:t>
      </w:r>
    </w:p>
    <w:p>
      <w:pPr>
        <w:spacing w:line="440" w:lineRule="exact"/>
        <w:ind w:firstLine="482"/>
        <w:rPr>
          <w:rFonts w:ascii="宋体" w:hAnsi="宋体" w:cs="仿宋_GB2312"/>
          <w:color w:val="000000"/>
          <w:sz w:val="24"/>
        </w:rPr>
      </w:pPr>
      <w:r>
        <w:rPr>
          <w:rFonts w:hint="eastAsia" w:ascii="宋体" w:hAnsi="宋体" w:cs="仿宋_GB2312"/>
          <w:color w:val="000000"/>
          <w:sz w:val="24"/>
        </w:rPr>
        <w:t>合同编号：S4J-B202105005</w:t>
      </w:r>
    </w:p>
    <w:p>
      <w:pPr>
        <w:spacing w:line="440" w:lineRule="exact"/>
        <w:ind w:firstLine="482"/>
        <w:rPr>
          <w:rFonts w:ascii="宋体" w:hAnsi="宋体" w:cs="仿宋_GB2312"/>
          <w:color w:val="000000"/>
          <w:sz w:val="24"/>
        </w:rPr>
      </w:pPr>
      <w:r>
        <w:rPr>
          <w:rFonts w:hint="eastAsia" w:ascii="宋体" w:hAnsi="宋体" w:cs="仿宋_GB2312"/>
          <w:color w:val="000000"/>
          <w:sz w:val="24"/>
        </w:rPr>
        <w:t>甲   方：</w:t>
      </w:r>
      <w:r>
        <w:rPr>
          <w:rFonts w:hint="eastAsia" w:ascii="宋体" w:hAnsi="宋体" w:cs="仿宋_GB2312"/>
          <w:color w:val="000000"/>
          <w:sz w:val="24"/>
          <w:u w:val="single"/>
        </w:rPr>
        <w:t>浙江省第四监狱</w:t>
      </w:r>
    </w:p>
    <w:p>
      <w:pPr>
        <w:spacing w:line="440" w:lineRule="exact"/>
        <w:ind w:firstLine="482"/>
        <w:rPr>
          <w:rFonts w:ascii="宋体" w:hAnsi="宋体" w:cs="仿宋_GB2312"/>
          <w:color w:val="000000"/>
          <w:sz w:val="24"/>
          <w:u w:val="single"/>
        </w:rPr>
      </w:pPr>
      <w:r>
        <w:rPr>
          <w:rFonts w:hint="eastAsia" w:ascii="宋体" w:hAnsi="宋体" w:cs="仿宋_GB2312"/>
          <w:color w:val="000000"/>
          <w:sz w:val="24"/>
        </w:rPr>
        <w:t>乙   方：</w:t>
      </w:r>
      <w:r>
        <w:rPr>
          <w:rFonts w:hint="eastAsia" w:ascii="宋体" w:hAnsi="宋体" w:cs="仿宋_GB2312"/>
          <w:color w:val="000000"/>
          <w:sz w:val="24"/>
          <w:u w:val="single"/>
        </w:rPr>
        <w:t xml:space="preserve"> </w:t>
      </w:r>
      <w:r>
        <w:rPr>
          <w:rFonts w:ascii="宋体" w:hAnsi="宋体" w:cs="仿宋_GB2312"/>
          <w:color w:val="000000"/>
          <w:sz w:val="24"/>
          <w:u w:val="single"/>
        </w:rPr>
        <w:t xml:space="preserve">                        </w:t>
      </w:r>
    </w:p>
    <w:p>
      <w:pPr>
        <w:spacing w:line="440" w:lineRule="exact"/>
        <w:ind w:firstLine="482"/>
        <w:rPr>
          <w:rFonts w:ascii="宋体" w:hAnsi="宋体" w:cs="仿宋_GB2312"/>
          <w:color w:val="000000"/>
          <w:sz w:val="24"/>
        </w:rPr>
      </w:pPr>
      <w:r>
        <w:rPr>
          <w:rFonts w:hint="eastAsia" w:ascii="宋体" w:hAnsi="宋体" w:cs="仿宋_GB2312"/>
          <w:color w:val="000000"/>
          <w:sz w:val="24"/>
        </w:rPr>
        <w:t>签订地：</w:t>
      </w:r>
      <w:r>
        <w:rPr>
          <w:rFonts w:hint="eastAsia" w:ascii="宋体" w:hAnsi="宋体" w:cs="仿宋_GB2312"/>
          <w:color w:val="000000"/>
          <w:sz w:val="24"/>
          <w:u w:val="single"/>
        </w:rPr>
        <w:t>浙江省第四监狱</w:t>
      </w:r>
    </w:p>
    <w:p>
      <w:pPr>
        <w:spacing w:line="440" w:lineRule="exact"/>
        <w:ind w:firstLine="480"/>
        <w:rPr>
          <w:rFonts w:ascii="宋体" w:hAnsi="宋体" w:cs="仿宋_GB2312"/>
          <w:color w:val="000000"/>
          <w:sz w:val="24"/>
        </w:rPr>
      </w:pPr>
      <w:r>
        <w:rPr>
          <w:rFonts w:hint="eastAsia" w:ascii="宋体" w:hAnsi="宋体" w:cs="仿宋_GB2312"/>
          <w:color w:val="000000"/>
          <w:sz w:val="24"/>
        </w:rPr>
        <w:t> 甲乙双方根据《中华人民共和国合同法》（以下简称《合同法》）等法律规定，就乙方承揽甲方（ 指挥中心迁建项目项目）项目的活动场地策划、布置工作，协商一致并签订本合同如下：</w:t>
      </w:r>
    </w:p>
    <w:p>
      <w:pPr>
        <w:numPr>
          <w:ilvl w:val="0"/>
          <w:numId w:val="28"/>
        </w:numPr>
        <w:spacing w:line="440" w:lineRule="exact"/>
        <w:rPr>
          <w:rFonts w:hint="eastAsia" w:ascii="宋体" w:hAnsi="宋体" w:cs="仿宋_GB2312"/>
          <w:color w:val="000000"/>
          <w:sz w:val="24"/>
        </w:rPr>
      </w:pPr>
      <w:r>
        <w:rPr>
          <w:rFonts w:hint="eastAsia" w:ascii="宋体" w:hAnsi="宋体" w:cs="仿宋_GB2312"/>
          <w:color w:val="000000"/>
          <w:sz w:val="24"/>
        </w:rPr>
        <w:t>项目内容</w:t>
      </w:r>
    </w:p>
    <w:p>
      <w:pPr>
        <w:spacing w:line="440" w:lineRule="exact"/>
        <w:ind w:firstLine="480"/>
        <w:rPr>
          <w:rFonts w:ascii="宋体" w:hAnsi="宋体" w:cs="仿宋_GB2312"/>
          <w:color w:val="000000"/>
          <w:sz w:val="24"/>
          <w:u w:val="single"/>
        </w:rPr>
      </w:pPr>
      <w:r>
        <w:rPr>
          <w:rFonts w:hint="eastAsia" w:ascii="宋体" w:hAnsi="宋体" w:cs="仿宋_GB2312"/>
          <w:color w:val="000000"/>
          <w:sz w:val="24"/>
        </w:rPr>
        <w:t>1、项目名称：</w:t>
      </w:r>
      <w:r>
        <w:rPr>
          <w:rFonts w:hint="eastAsia" w:ascii="宋体" w:hAnsi="宋体" w:cs="仿宋_GB2312"/>
          <w:color w:val="000000"/>
          <w:sz w:val="24"/>
          <w:u w:val="single"/>
        </w:rPr>
        <w:t>指挥中心迁建项目项目</w:t>
      </w:r>
    </w:p>
    <w:p>
      <w:pPr>
        <w:spacing w:line="440" w:lineRule="exact"/>
        <w:ind w:firstLine="480"/>
        <w:rPr>
          <w:rFonts w:ascii="宋体" w:hAnsi="宋体" w:cs="仿宋_GB2312"/>
          <w:color w:val="000000"/>
          <w:sz w:val="24"/>
        </w:rPr>
      </w:pPr>
      <w:r>
        <w:rPr>
          <w:rFonts w:hint="eastAsia" w:ascii="宋体" w:hAnsi="宋体" w:cs="仿宋_GB2312"/>
          <w:color w:val="000000"/>
          <w:sz w:val="24"/>
        </w:rPr>
        <w:t>2、建设地点：</w:t>
      </w:r>
      <w:r>
        <w:rPr>
          <w:rFonts w:hint="eastAsia" w:ascii="宋体" w:hAnsi="宋体" w:cs="仿宋_GB2312"/>
          <w:color w:val="000000"/>
          <w:sz w:val="24"/>
          <w:u w:val="single"/>
        </w:rPr>
        <w:t xml:space="preserve"> 浙江省第四监狱       </w:t>
      </w:r>
      <w:r>
        <w:rPr>
          <w:rFonts w:hint="eastAsia" w:ascii="宋体" w:hAnsi="宋体" w:cs="仿宋_GB2312"/>
          <w:color w:val="000000"/>
          <w:sz w:val="24"/>
        </w:rPr>
        <w:t>                     </w:t>
      </w:r>
    </w:p>
    <w:p>
      <w:pPr>
        <w:spacing w:line="440" w:lineRule="exact"/>
        <w:ind w:firstLine="480"/>
        <w:rPr>
          <w:rFonts w:ascii="宋体" w:hAnsi="宋体" w:cs="仿宋_GB2312"/>
          <w:color w:val="000000"/>
          <w:sz w:val="24"/>
        </w:rPr>
      </w:pPr>
      <w:r>
        <w:rPr>
          <w:rFonts w:hint="eastAsia" w:ascii="宋体" w:hAnsi="宋体" w:cs="仿宋_GB2312"/>
          <w:color w:val="000000"/>
          <w:sz w:val="24"/>
        </w:rPr>
        <w:t>3、 完成时间：</w:t>
      </w:r>
      <w:r>
        <w:rPr>
          <w:rFonts w:hint="eastAsia" w:ascii="宋体" w:hAnsi="宋体" w:cs="仿宋_GB2312"/>
          <w:color w:val="000000"/>
          <w:sz w:val="24"/>
          <w:u w:val="single"/>
        </w:rPr>
        <w:t xml:space="preserve"> 不迟于2021年</w:t>
      </w:r>
      <w:r>
        <w:rPr>
          <w:rFonts w:ascii="宋体" w:hAnsi="宋体" w:cs="仿宋_GB2312"/>
          <w:color w:val="000000"/>
          <w:sz w:val="24"/>
          <w:u w:val="single"/>
        </w:rPr>
        <w:t>6</w:t>
      </w:r>
      <w:r>
        <w:rPr>
          <w:rFonts w:hint="eastAsia" w:ascii="宋体" w:hAnsi="宋体" w:cs="仿宋_GB2312"/>
          <w:color w:val="000000"/>
          <w:sz w:val="24"/>
          <w:u w:val="single"/>
        </w:rPr>
        <w:t>月25日前   </w:t>
      </w:r>
      <w:r>
        <w:rPr>
          <w:rFonts w:hint="eastAsia" w:ascii="宋体" w:hAnsi="宋体" w:cs="仿宋_GB2312"/>
          <w:color w:val="000000"/>
          <w:sz w:val="24"/>
        </w:rPr>
        <w:t xml:space="preserve">                     </w:t>
      </w:r>
    </w:p>
    <w:p>
      <w:pPr>
        <w:numPr>
          <w:ilvl w:val="0"/>
          <w:numId w:val="28"/>
        </w:numPr>
        <w:spacing w:line="440" w:lineRule="exact"/>
        <w:rPr>
          <w:rFonts w:hint="eastAsia" w:ascii="宋体" w:hAnsi="宋体" w:cs="仿宋_GB2312"/>
          <w:color w:val="000000"/>
          <w:sz w:val="24"/>
        </w:rPr>
      </w:pPr>
      <w:r>
        <w:rPr>
          <w:rFonts w:hint="eastAsia" w:ascii="宋体" w:hAnsi="宋体" w:cs="仿宋_GB2312"/>
          <w:color w:val="000000"/>
          <w:sz w:val="24"/>
        </w:rPr>
        <w:t>服务内容</w:t>
      </w:r>
    </w:p>
    <w:p>
      <w:pPr>
        <w:spacing w:line="440" w:lineRule="exact"/>
        <w:ind w:firstLine="480"/>
        <w:rPr>
          <w:rFonts w:ascii="宋体" w:hAnsi="宋体" w:cs="仿宋_GB2312"/>
          <w:color w:val="000000"/>
          <w:sz w:val="24"/>
        </w:rPr>
      </w:pPr>
      <w:r>
        <w:rPr>
          <w:rFonts w:hint="eastAsia" w:ascii="宋体" w:hAnsi="宋体" w:cs="仿宋_GB2312"/>
          <w:color w:val="000000"/>
          <w:sz w:val="24"/>
        </w:rPr>
        <w:t>乙方根据甲方项目的主旨和目标提供以下服务：</w:t>
      </w:r>
    </w:p>
    <w:p>
      <w:pPr>
        <w:spacing w:line="440" w:lineRule="exact"/>
        <w:ind w:firstLine="480"/>
        <w:rPr>
          <w:rFonts w:ascii="宋体" w:hAnsi="宋体" w:cs="仿宋_GB2312"/>
          <w:color w:val="000000"/>
          <w:sz w:val="24"/>
        </w:rPr>
      </w:pPr>
      <w:r>
        <w:rPr>
          <w:rFonts w:hint="eastAsia" w:ascii="宋体" w:hAnsi="宋体" w:cs="仿宋_GB2312"/>
          <w:color w:val="000000"/>
          <w:sz w:val="24"/>
        </w:rPr>
        <w:t>1、调查并从执行层面确定前期方案的可行性，提供切实可行的创意及合理化建议，协助甲方做项目全程的筹备工作；制定详细的方案、筹备工作流程表及详细的执行表。</w:t>
      </w:r>
    </w:p>
    <w:p>
      <w:pPr>
        <w:spacing w:line="440" w:lineRule="exact"/>
        <w:ind w:firstLine="480"/>
        <w:rPr>
          <w:rFonts w:hint="eastAsia" w:ascii="宋体" w:hAnsi="宋体" w:cs="仿宋_GB2312"/>
          <w:color w:val="000000"/>
          <w:sz w:val="24"/>
        </w:rPr>
      </w:pPr>
      <w:r>
        <w:rPr>
          <w:rFonts w:hint="eastAsia" w:ascii="宋体" w:hAnsi="宋体" w:cs="仿宋_GB2312"/>
          <w:color w:val="000000"/>
          <w:sz w:val="24"/>
        </w:rPr>
        <w:t>2、根据确定的流程表，执行实施各项工作（以甲方确认的费用表及相关工作联系单为准）。</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技术资料</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1、乙方应按采购文件规定的时间向甲方提供使用项目的有关技术资料。</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知识产权</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乙方应保证所提供的货物或其任何一部分均不会侵犯任何第三方的知识产权。</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产权担保</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乙方保证所交付的货物的所有权完全属于乙方且无任何抵押、查封等产权瑕疵。</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转包或分包</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不允许转包。</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允许分包部分</w:t>
      </w:r>
      <w:r>
        <w:rPr>
          <w:rFonts w:hint="eastAsia" w:ascii="宋体" w:hAnsi="宋体" w:cs="仿宋_GB2312"/>
          <w:color w:val="000000"/>
          <w:sz w:val="24"/>
          <w:u w:val="single"/>
        </w:rPr>
        <w:t xml:space="preserve">   /    </w:t>
      </w:r>
      <w:r>
        <w:rPr>
          <w:rFonts w:hint="eastAsia" w:ascii="宋体" w:hAnsi="宋体" w:cs="仿宋_GB2312"/>
          <w:color w:val="000000"/>
          <w:sz w:val="24"/>
        </w:rPr>
        <w:t xml:space="preserve">  。</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如乙方将项目转包或将不允许分包部分就行了分包，甲方有权解除合同，没收履约保证金并追究乙方的违约责任。</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调试和验收</w:t>
      </w:r>
    </w:p>
    <w:p>
      <w:pPr>
        <w:spacing w:line="440" w:lineRule="exact"/>
        <w:ind w:firstLine="480" w:firstLineChars="200"/>
        <w:rPr>
          <w:rFonts w:hint="eastAsia" w:ascii="宋体" w:hAnsi="宋体" w:cs="仿宋_GB2312"/>
          <w:color w:val="000000"/>
          <w:sz w:val="24"/>
        </w:rPr>
      </w:pPr>
      <w:r>
        <w:rPr>
          <w:rFonts w:hint="eastAsia" w:ascii="宋体" w:hAnsi="宋体" w:cs="仿宋_GB2312"/>
          <w:color w:val="000000"/>
          <w:sz w:val="24"/>
        </w:rPr>
        <w:t>项目完工后进行初步验收。初步验收通过后进入试用期，试用期为6个月。试用期满后无质量问题的，进行项目终验。具体验收办法详见招标文件。</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费用及支付方式</w:t>
      </w:r>
    </w:p>
    <w:p>
      <w:pPr>
        <w:spacing w:line="440" w:lineRule="exact"/>
        <w:ind w:firstLine="480"/>
        <w:rPr>
          <w:rFonts w:hint="eastAsia" w:ascii="宋体" w:hAnsi="宋体"/>
          <w:color w:val="000000"/>
          <w:sz w:val="24"/>
        </w:rPr>
      </w:pPr>
      <w:r>
        <w:rPr>
          <w:rFonts w:hint="eastAsia" w:ascii="宋体" w:hAnsi="宋体"/>
          <w:snapToGrid w:val="0"/>
          <w:color w:val="000000"/>
          <w:sz w:val="24"/>
        </w:rPr>
        <w:t>项目通过初步验收后支付项目成交金额的50%（以200万元为限）。项目终验合格后，根据财政资金下达情况</w:t>
      </w:r>
      <w:r>
        <w:rPr>
          <w:rFonts w:hint="eastAsia" w:ascii="宋体" w:hAnsi="宋体"/>
          <w:color w:val="000000"/>
          <w:sz w:val="24"/>
        </w:rPr>
        <w:t>，结合项目审计金额，支付剩余款项。</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税费</w:t>
      </w:r>
    </w:p>
    <w:p>
      <w:pPr>
        <w:spacing w:line="440" w:lineRule="exact"/>
        <w:ind w:firstLine="480"/>
        <w:rPr>
          <w:rFonts w:hint="eastAsia" w:ascii="宋体" w:hAnsi="宋体"/>
          <w:snapToGrid w:val="0"/>
          <w:color w:val="000000"/>
          <w:sz w:val="24"/>
        </w:rPr>
      </w:pPr>
      <w:r>
        <w:rPr>
          <w:rFonts w:hint="eastAsia" w:ascii="宋体" w:hAnsi="宋体"/>
          <w:snapToGrid w:val="0"/>
          <w:color w:val="000000"/>
          <w:sz w:val="24"/>
        </w:rPr>
        <w:t>本合同执行中相关的一切税费均由乙方负担。</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质保期履约保证金</w:t>
      </w:r>
    </w:p>
    <w:p>
      <w:pPr>
        <w:pStyle w:val="16"/>
        <w:adjustRightInd w:val="0"/>
        <w:snapToGrid w:val="0"/>
        <w:spacing w:beforeLines="0" w:afterLines="0" w:line="360" w:lineRule="auto"/>
        <w:ind w:firstLine="480" w:firstLineChars="200"/>
        <w:rPr>
          <w:rFonts w:hint="eastAsia" w:hAnsi="宋体"/>
          <w:snapToGrid w:val="0"/>
          <w:color w:val="000000"/>
        </w:rPr>
      </w:pPr>
      <w:r>
        <w:rPr>
          <w:rFonts w:hint="eastAsia" w:hAnsi="宋体"/>
          <w:snapToGrid w:val="0"/>
          <w:color w:val="000000"/>
        </w:rPr>
        <w:t>1、质保期</w:t>
      </w:r>
      <w:r>
        <w:rPr>
          <w:rFonts w:hint="eastAsia" w:hAnsi="宋体"/>
          <w:snapToGrid w:val="0"/>
          <w:color w:val="000000"/>
          <w:u w:val="single"/>
        </w:rPr>
        <w:t xml:space="preserve">   </w:t>
      </w:r>
      <w:r>
        <w:rPr>
          <w:rFonts w:hint="eastAsia" w:hAnsi="宋体"/>
          <w:snapToGrid w:val="0"/>
          <w:color w:val="000000"/>
        </w:rPr>
        <w:t>年。（自项目验收合格交付使用之日起计）</w:t>
      </w:r>
    </w:p>
    <w:p>
      <w:pPr>
        <w:spacing w:line="440" w:lineRule="exact"/>
        <w:ind w:firstLine="480"/>
        <w:rPr>
          <w:rFonts w:ascii="宋体" w:hAnsi="宋体" w:cs="仿宋_GB2312"/>
          <w:color w:val="000000"/>
          <w:sz w:val="24"/>
        </w:rPr>
      </w:pPr>
      <w:r>
        <w:rPr>
          <w:rFonts w:hint="eastAsia" w:hAnsi="宋体"/>
          <w:snapToGrid w:val="0"/>
          <w:color w:val="000000"/>
          <w:sz w:val="24"/>
        </w:rPr>
        <w:t>2、乙方在合同签订后3个工作日内向甲方缴纳履约保证金￥</w:t>
      </w:r>
      <w:r>
        <w:rPr>
          <w:rFonts w:hint="eastAsia" w:hAnsi="宋体"/>
          <w:snapToGrid w:val="0"/>
          <w:color w:val="000000"/>
          <w:sz w:val="24"/>
          <w:u w:val="single"/>
        </w:rPr>
        <w:t xml:space="preserve">        </w:t>
      </w:r>
      <w:r>
        <w:rPr>
          <w:rFonts w:hint="eastAsia" w:hAnsi="宋体"/>
          <w:snapToGrid w:val="0"/>
          <w:color w:val="000000"/>
          <w:sz w:val="24"/>
        </w:rPr>
        <w:t>元（</w:t>
      </w:r>
      <w:r>
        <w:rPr>
          <w:rFonts w:hint="eastAsia" w:hAnsi="宋体"/>
          <w:color w:val="000000"/>
          <w:sz w:val="24"/>
        </w:rPr>
        <w:t>合同总价的5%</w:t>
      </w:r>
      <w:r>
        <w:rPr>
          <w:rFonts w:hint="eastAsia" w:hAnsi="宋体"/>
          <w:snapToGrid w:val="0"/>
          <w:color w:val="000000"/>
          <w:sz w:val="24"/>
        </w:rPr>
        <w:t>），</w:t>
      </w:r>
      <w:r>
        <w:rPr>
          <w:rFonts w:hint="eastAsia" w:ascii="宋体" w:hAnsi="宋体" w:cs="仿宋_GB2312"/>
          <w:color w:val="000000"/>
          <w:sz w:val="24"/>
        </w:rPr>
        <w:t>款项统一缴纳到浙江省第四监狱账户。质保期结束后，双方无争议的前提下无息退还。如乙方因非不可抗力原因不能履行合同的，履约保证金将不予退还。</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双方权责及义务</w:t>
      </w:r>
    </w:p>
    <w:p>
      <w:pPr>
        <w:spacing w:line="440" w:lineRule="exact"/>
        <w:ind w:firstLine="480"/>
        <w:rPr>
          <w:rFonts w:ascii="宋体" w:hAnsi="宋体" w:cs="仿宋_GB2312"/>
          <w:color w:val="000000"/>
          <w:sz w:val="24"/>
        </w:rPr>
      </w:pPr>
      <w:r>
        <w:rPr>
          <w:rFonts w:hint="eastAsia" w:ascii="宋体" w:hAnsi="宋体" w:cs="仿宋_GB2312"/>
          <w:color w:val="000000"/>
          <w:sz w:val="24"/>
        </w:rPr>
        <w:t>1、甲方与乙方签定合同后，乙方将负责场地周边的清理及围挡。</w:t>
      </w:r>
    </w:p>
    <w:p>
      <w:pPr>
        <w:spacing w:line="440" w:lineRule="exact"/>
        <w:ind w:firstLine="480"/>
        <w:rPr>
          <w:rFonts w:ascii="宋体" w:hAnsi="宋体" w:cs="仿宋_GB2312"/>
          <w:color w:val="000000"/>
          <w:sz w:val="24"/>
        </w:rPr>
      </w:pPr>
      <w:r>
        <w:rPr>
          <w:rFonts w:hint="eastAsia" w:ascii="宋体" w:hAnsi="宋体" w:cs="仿宋_GB2312"/>
          <w:color w:val="000000"/>
          <w:sz w:val="24"/>
        </w:rPr>
        <w:t>2、甲方有义务向乙方提供附件内相关工作人员安排。</w:t>
      </w:r>
    </w:p>
    <w:p>
      <w:pPr>
        <w:spacing w:line="440" w:lineRule="exact"/>
        <w:ind w:firstLine="480"/>
        <w:rPr>
          <w:rFonts w:ascii="宋体" w:hAnsi="宋体" w:cs="仿宋_GB2312"/>
          <w:color w:val="000000"/>
          <w:sz w:val="24"/>
        </w:rPr>
      </w:pPr>
      <w:r>
        <w:rPr>
          <w:rFonts w:hint="eastAsia" w:ascii="宋体" w:hAnsi="宋体" w:cs="仿宋_GB2312"/>
          <w:color w:val="000000"/>
          <w:sz w:val="24"/>
        </w:rPr>
        <w:t>3、甲方有权利对补充协议内容提出合理化建议及要求。</w:t>
      </w:r>
    </w:p>
    <w:p>
      <w:pPr>
        <w:spacing w:line="440" w:lineRule="exact"/>
        <w:ind w:firstLine="480"/>
        <w:rPr>
          <w:rFonts w:ascii="宋体" w:hAnsi="宋体" w:cs="仿宋_GB2312"/>
          <w:color w:val="000000"/>
          <w:sz w:val="24"/>
        </w:rPr>
      </w:pPr>
      <w:r>
        <w:rPr>
          <w:rFonts w:hint="eastAsia" w:ascii="宋体" w:hAnsi="宋体" w:cs="仿宋_GB2312"/>
          <w:color w:val="000000"/>
          <w:sz w:val="24"/>
        </w:rPr>
        <w:t>4、乙方有义务在合同规定时间内完成甲方委托内容，并协调甲方其他服务提供商的工作。</w:t>
      </w:r>
    </w:p>
    <w:p>
      <w:pPr>
        <w:spacing w:line="440" w:lineRule="exact"/>
        <w:ind w:firstLine="480"/>
        <w:rPr>
          <w:rFonts w:ascii="宋体" w:hAnsi="宋体" w:cs="仿宋_GB2312"/>
          <w:color w:val="000000"/>
          <w:sz w:val="24"/>
        </w:rPr>
      </w:pPr>
      <w:r>
        <w:rPr>
          <w:rFonts w:hint="eastAsia" w:ascii="宋体" w:hAnsi="宋体" w:cs="仿宋_GB2312"/>
          <w:color w:val="000000"/>
          <w:sz w:val="24"/>
        </w:rPr>
        <w:t>5、乙方有义务在项目结束后，向甲方开具发票，并提供项目所需相关资料。</w:t>
      </w:r>
    </w:p>
    <w:p>
      <w:pPr>
        <w:spacing w:line="440" w:lineRule="exact"/>
        <w:ind w:firstLine="480"/>
        <w:rPr>
          <w:rFonts w:ascii="宋体" w:hAnsi="宋体" w:cs="仿宋_GB2312"/>
          <w:color w:val="000000"/>
          <w:sz w:val="24"/>
        </w:rPr>
      </w:pPr>
      <w:r>
        <w:rPr>
          <w:rFonts w:hint="eastAsia" w:ascii="宋体" w:hAnsi="宋体" w:cs="仿宋_GB2312"/>
          <w:color w:val="000000"/>
          <w:sz w:val="24"/>
        </w:rPr>
        <w:t>6、若因不可抗力如地震、气候突变、安全状况恶化、政府行为等造成活动时间延期的，本合同服务内容相应顺延。若因前述不可抗力因素而致本合同不能履行的，双方终止履行，甲方有义务对乙方前期所投入的相关费用进行结算。不可抗力因素消失后，双方需要继续合作的，由双方另行协商。</w:t>
      </w:r>
    </w:p>
    <w:p>
      <w:pPr>
        <w:spacing w:line="440" w:lineRule="exact"/>
        <w:ind w:firstLine="480"/>
        <w:rPr>
          <w:rFonts w:ascii="宋体" w:hAnsi="宋体" w:cs="仿宋_GB2312"/>
          <w:color w:val="000000"/>
          <w:sz w:val="24"/>
        </w:rPr>
      </w:pPr>
      <w:r>
        <w:rPr>
          <w:rFonts w:hint="eastAsia" w:ascii="宋体" w:hAnsi="宋体" w:cs="仿宋_GB2312"/>
          <w:color w:val="000000"/>
          <w:sz w:val="24"/>
        </w:rPr>
        <w:t>7、如由于乙方的责任在活动执行过程中出现安全事故、环节出错、效果打折、乙方工作人员纠纷等事件，由乙方负全责，甲方保留追究法律责任和经济赔偿的权利。</w:t>
      </w:r>
    </w:p>
    <w:p>
      <w:pPr>
        <w:spacing w:line="440" w:lineRule="exact"/>
        <w:ind w:firstLine="480"/>
        <w:rPr>
          <w:rFonts w:ascii="宋体" w:hAnsi="宋体" w:cs="仿宋_GB2312"/>
          <w:color w:val="000000"/>
          <w:sz w:val="24"/>
        </w:rPr>
      </w:pPr>
      <w:r>
        <w:rPr>
          <w:rFonts w:hint="eastAsia" w:ascii="宋体" w:hAnsi="宋体" w:cs="仿宋_GB2312"/>
          <w:color w:val="000000"/>
          <w:sz w:val="24"/>
        </w:rPr>
        <w:t>8、乙方或其代表，根据本协议而直接或间接创造之所有的资料均应视为甲方所有的财产。前述资料的所有权，包括但不限于著作权，自所有款项结清之时起归甲方所有。</w:t>
      </w:r>
    </w:p>
    <w:p>
      <w:pPr>
        <w:spacing w:line="440" w:lineRule="exact"/>
        <w:ind w:firstLine="480"/>
        <w:rPr>
          <w:rFonts w:ascii="宋体" w:hAnsi="宋体" w:cs="仿宋_GB2312"/>
          <w:color w:val="000000"/>
          <w:sz w:val="24"/>
        </w:rPr>
      </w:pPr>
      <w:r>
        <w:rPr>
          <w:rFonts w:hint="eastAsia" w:ascii="宋体" w:hAnsi="宋体" w:cs="仿宋_GB2312"/>
          <w:color w:val="000000"/>
          <w:sz w:val="24"/>
        </w:rPr>
        <w:t>9、甲方向乙方提交的所有资料的所有权归甲方所有，未经甲方的书面同意，乙方不得擅自使用，否则乙方应承担违约责任。</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保密规定</w:t>
      </w:r>
    </w:p>
    <w:p>
      <w:pPr>
        <w:spacing w:line="440" w:lineRule="exact"/>
        <w:ind w:firstLine="480"/>
        <w:rPr>
          <w:rFonts w:ascii="宋体" w:hAnsi="宋体" w:cs="仿宋_GB2312"/>
          <w:color w:val="000000"/>
          <w:sz w:val="24"/>
        </w:rPr>
      </w:pPr>
      <w:r>
        <w:rPr>
          <w:rFonts w:hint="eastAsia" w:ascii="宋体" w:hAnsi="宋体" w:cs="仿宋_GB2312"/>
          <w:color w:val="000000"/>
          <w:sz w:val="24"/>
        </w:rPr>
        <w:t>乙方承诺在合同履行期间内所获悉的甲方商业信息和技术信息，无论本合同是否存续，乙方均需承担保密义务，若因乙方过错违反本条约定而给甲方带来损失的，由乙方负责赔偿。</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违约责任及纠纷调解</w:t>
      </w:r>
    </w:p>
    <w:p>
      <w:pPr>
        <w:spacing w:line="440" w:lineRule="exact"/>
        <w:ind w:firstLine="480"/>
        <w:rPr>
          <w:rFonts w:hint="eastAsia" w:ascii="宋体" w:hAnsi="宋体" w:cs="仿宋_GB2312"/>
          <w:color w:val="000000"/>
          <w:sz w:val="24"/>
        </w:rPr>
      </w:pPr>
      <w:r>
        <w:rPr>
          <w:rFonts w:hint="eastAsia" w:ascii="宋体" w:hAnsi="宋体" w:cs="仿宋_GB2312"/>
          <w:color w:val="000000"/>
          <w:sz w:val="24"/>
        </w:rPr>
        <w:t>1、甲方擅自单方解除合同的，应支付乙方合同总价的</w:t>
      </w:r>
      <w:r>
        <w:rPr>
          <w:rFonts w:hint="eastAsia" w:ascii="宋体" w:hAnsi="宋体" w:cs="仿宋_GB2312"/>
          <w:color w:val="000000"/>
          <w:sz w:val="24"/>
          <w:u w:val="single"/>
        </w:rPr>
        <w:t xml:space="preserve"> 5 ％</w:t>
      </w:r>
      <w:r>
        <w:rPr>
          <w:rFonts w:hint="eastAsia" w:ascii="宋体" w:hAnsi="宋体" w:cs="仿宋_GB2312"/>
          <w:color w:val="000000"/>
          <w:sz w:val="24"/>
        </w:rPr>
        <w:t>作为违约金。</w:t>
      </w:r>
    </w:p>
    <w:p>
      <w:pPr>
        <w:spacing w:line="440" w:lineRule="exact"/>
        <w:ind w:firstLine="480"/>
        <w:rPr>
          <w:rFonts w:ascii="宋体" w:hAnsi="宋体" w:cs="仿宋_GB2312"/>
          <w:color w:val="000000"/>
          <w:sz w:val="24"/>
        </w:rPr>
      </w:pPr>
      <w:r>
        <w:rPr>
          <w:rFonts w:hint="eastAsia" w:ascii="宋体" w:hAnsi="宋体" w:cs="仿宋_GB2312"/>
          <w:color w:val="000000"/>
          <w:sz w:val="24"/>
        </w:rPr>
        <w:t>2、乙方擅自单方解除合同的，应支付甲方合同总价的</w:t>
      </w:r>
      <w:r>
        <w:rPr>
          <w:rFonts w:hint="eastAsia" w:ascii="宋体" w:hAnsi="宋体" w:cs="仿宋_GB2312"/>
          <w:color w:val="000000"/>
          <w:sz w:val="24"/>
          <w:u w:val="single"/>
        </w:rPr>
        <w:t xml:space="preserve"> 5 ％</w:t>
      </w:r>
      <w:r>
        <w:rPr>
          <w:rFonts w:hint="eastAsia" w:ascii="宋体" w:hAnsi="宋体" w:cs="仿宋_GB2312"/>
          <w:color w:val="000000"/>
          <w:sz w:val="24"/>
        </w:rPr>
        <w:t>作为违约金，并全额返还甲方已付款。若乙方不能按期履行合同，每逾期一天，按合同总价</w:t>
      </w:r>
      <w:r>
        <w:rPr>
          <w:rFonts w:hint="eastAsia" w:ascii="宋体" w:hAnsi="宋体" w:cs="仿宋_GB2312"/>
          <w:color w:val="000000"/>
          <w:sz w:val="24"/>
          <w:u w:val="single"/>
        </w:rPr>
        <w:t xml:space="preserve"> 0.1 %</w:t>
      </w:r>
      <w:r>
        <w:rPr>
          <w:rFonts w:hint="eastAsia" w:ascii="宋体" w:hAnsi="宋体" w:cs="仿宋_GB2312"/>
          <w:color w:val="000000"/>
          <w:sz w:val="24"/>
        </w:rPr>
        <w:t>支付违约金给甲方，逾期超过</w:t>
      </w:r>
      <w:r>
        <w:rPr>
          <w:rFonts w:hint="eastAsia" w:ascii="宋体" w:hAnsi="宋体" w:cs="仿宋_GB2312"/>
          <w:color w:val="000000"/>
          <w:sz w:val="24"/>
          <w:u w:val="single"/>
        </w:rPr>
        <w:t xml:space="preserve"> 5 </w:t>
      </w:r>
      <w:r>
        <w:rPr>
          <w:rFonts w:hint="eastAsia" w:ascii="宋体" w:hAnsi="宋体" w:cs="仿宋_GB2312"/>
          <w:color w:val="000000"/>
          <w:sz w:val="24"/>
        </w:rPr>
        <w:t>天，甲方有权单方解除合同，乙方应向甲方承担合同总价5％的违约金，并全额返还甲方已付款。</w:t>
      </w:r>
    </w:p>
    <w:p>
      <w:pPr>
        <w:spacing w:line="440" w:lineRule="exact"/>
        <w:ind w:firstLine="480"/>
        <w:rPr>
          <w:rFonts w:ascii="宋体" w:hAnsi="宋体" w:cs="仿宋_GB2312"/>
          <w:color w:val="000000"/>
          <w:sz w:val="24"/>
        </w:rPr>
      </w:pPr>
      <w:r>
        <w:rPr>
          <w:rFonts w:hint="eastAsia" w:ascii="宋体" w:hAnsi="宋体" w:cs="仿宋_GB2312"/>
          <w:color w:val="000000"/>
          <w:sz w:val="24"/>
        </w:rPr>
        <w:t>3、如违约金不足以弥补损失的，守约方有权要求违约方赔偿不足部分的损失。</w:t>
      </w:r>
    </w:p>
    <w:p>
      <w:pPr>
        <w:spacing w:line="440" w:lineRule="exact"/>
        <w:ind w:firstLine="480"/>
        <w:rPr>
          <w:rFonts w:ascii="宋体" w:hAnsi="宋体" w:cs="仿宋_GB2312"/>
          <w:color w:val="000000"/>
          <w:sz w:val="24"/>
        </w:rPr>
      </w:pPr>
      <w:r>
        <w:rPr>
          <w:rFonts w:hint="eastAsia" w:ascii="宋体" w:hAnsi="宋体" w:cs="仿宋_GB2312"/>
          <w:color w:val="000000"/>
          <w:sz w:val="24"/>
        </w:rPr>
        <w:t>4、如因乙方向甲方交付的产品/提供的服务（或其任何部分）产生任何第三方的权利主张或索赔，乙方将在甲方通知后，立即按甲方要求采取相应措施，包括但不限于：代表甲方主动与该权利主张方取得联系，积极进行相应的旨在澄清和解决问题的行动；在进入司法程序时，按照甲方的要求及时提供相关证据、作为第三方或共同被告参与诉讼等。同时，甲方有权暂停支付任何应付款项，直至双方通过书面形式确认已经妥善解决了所有前述主张或索赔。</w:t>
      </w:r>
    </w:p>
    <w:p>
      <w:pPr>
        <w:spacing w:line="440" w:lineRule="exact"/>
        <w:ind w:firstLine="480"/>
        <w:rPr>
          <w:rFonts w:ascii="宋体" w:hAnsi="宋体" w:cs="仿宋_GB2312"/>
          <w:color w:val="000000"/>
          <w:sz w:val="24"/>
        </w:rPr>
      </w:pPr>
      <w:r>
        <w:rPr>
          <w:rFonts w:hint="eastAsia" w:ascii="宋体" w:hAnsi="宋体" w:cs="仿宋_GB2312"/>
          <w:color w:val="000000"/>
          <w:sz w:val="24"/>
        </w:rPr>
        <w:t>5、乙方承诺，乙方对本协议的履行及其提交的设计/作品（或其任何部分）不会侵犯任何第三方的任何权利（包括但不限于知识产权）。如因乙方对本协议的履行或其提交的设计/作品（或其任何部分）产生任何责任、索赔、权利主张或费用（包括但不限于律师费）的，乙方应当保证甲方不受损害并应给予甲方完全的补偿。 如甲方及其任何关联公司或雇员需对任何第三方（包括个人）的索赔负责、或为此承担责任、赔偿、或因此遭受任何损失或承担任何费用（包括律师费），且该等索赔、责任、赔偿、损失或费用系因乙方履行其在本合同项下工作或义务所直接或间接而引起,则乙方应对甲方及其任何关联公司或雇员予以保护并赔偿,以使其免受损害。</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合同的变更和解除</w:t>
      </w:r>
    </w:p>
    <w:p>
      <w:pPr>
        <w:spacing w:line="440" w:lineRule="exact"/>
        <w:ind w:firstLine="480"/>
        <w:rPr>
          <w:rFonts w:ascii="宋体" w:hAnsi="宋体" w:cs="仿宋_GB2312"/>
          <w:color w:val="000000"/>
          <w:sz w:val="24"/>
        </w:rPr>
      </w:pPr>
      <w:r>
        <w:rPr>
          <w:rFonts w:hint="eastAsia" w:ascii="宋体" w:hAnsi="宋体" w:cs="仿宋_GB2312"/>
          <w:color w:val="000000"/>
          <w:sz w:val="24"/>
        </w:rPr>
        <w:t>如发生下列情况之一，本合同可以解除，解除方无需承担违约责任：</w:t>
      </w:r>
    </w:p>
    <w:p>
      <w:pPr>
        <w:spacing w:line="440" w:lineRule="exact"/>
        <w:ind w:firstLine="480"/>
        <w:rPr>
          <w:rFonts w:ascii="宋体" w:hAnsi="宋体" w:cs="仿宋_GB2312"/>
          <w:color w:val="000000"/>
          <w:sz w:val="24"/>
        </w:rPr>
      </w:pPr>
      <w:r>
        <w:rPr>
          <w:rFonts w:hint="eastAsia" w:ascii="宋体" w:hAnsi="宋体" w:cs="仿宋_GB2312"/>
          <w:color w:val="000000"/>
          <w:sz w:val="24"/>
        </w:rPr>
        <w:t>1、双方协商一致同意解除合同。</w:t>
      </w:r>
    </w:p>
    <w:p>
      <w:pPr>
        <w:spacing w:line="440" w:lineRule="exact"/>
        <w:ind w:firstLine="480"/>
        <w:rPr>
          <w:rFonts w:ascii="宋体" w:hAnsi="宋体" w:cs="仿宋_GB2312"/>
          <w:color w:val="000000"/>
          <w:sz w:val="24"/>
        </w:rPr>
      </w:pPr>
      <w:r>
        <w:rPr>
          <w:rFonts w:hint="eastAsia" w:ascii="宋体" w:hAnsi="宋体" w:cs="仿宋_GB2312"/>
          <w:color w:val="000000"/>
          <w:sz w:val="24"/>
        </w:rPr>
        <w:t>2、一方在约定期限内没有履行合同，在被允许延迟履行的合理期限内仍未履行合同，另一方有权单方解除合同并追究违约方的违约责任。</w:t>
      </w:r>
    </w:p>
    <w:p>
      <w:pPr>
        <w:spacing w:line="440" w:lineRule="exact"/>
        <w:ind w:firstLine="480"/>
        <w:rPr>
          <w:rFonts w:ascii="宋体" w:hAnsi="宋体" w:cs="仿宋_GB2312"/>
          <w:color w:val="000000"/>
          <w:sz w:val="24"/>
        </w:rPr>
      </w:pPr>
      <w:r>
        <w:rPr>
          <w:rFonts w:hint="eastAsia" w:ascii="宋体" w:hAnsi="宋体" w:cs="仿宋_GB2312"/>
          <w:color w:val="000000"/>
          <w:sz w:val="24"/>
        </w:rPr>
        <w:t>3、本合同约定可以解除合同的情形。</w:t>
      </w:r>
    </w:p>
    <w:p>
      <w:pPr>
        <w:spacing w:line="440" w:lineRule="exact"/>
        <w:ind w:firstLine="480"/>
        <w:rPr>
          <w:rFonts w:ascii="宋体" w:hAnsi="宋体" w:cs="仿宋_GB2312"/>
          <w:color w:val="000000"/>
          <w:sz w:val="24"/>
        </w:rPr>
      </w:pPr>
      <w:r>
        <w:rPr>
          <w:rFonts w:hint="eastAsia" w:ascii="宋体" w:hAnsi="宋体" w:cs="仿宋_GB2312"/>
          <w:color w:val="000000"/>
          <w:sz w:val="24"/>
        </w:rPr>
        <w:t>4、其他法律法规规定可以解除合同的情况。</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争议的解决</w:t>
      </w:r>
    </w:p>
    <w:p>
      <w:pPr>
        <w:spacing w:line="440" w:lineRule="exact"/>
        <w:ind w:firstLine="480"/>
        <w:rPr>
          <w:rFonts w:ascii="宋体" w:hAnsi="宋体" w:cs="仿宋_GB2312"/>
          <w:color w:val="000000"/>
          <w:sz w:val="24"/>
        </w:rPr>
      </w:pPr>
      <w:r>
        <w:rPr>
          <w:rFonts w:hint="eastAsia" w:ascii="宋体" w:hAnsi="宋体" w:cs="仿宋_GB2312"/>
          <w:color w:val="000000"/>
          <w:sz w:val="24"/>
        </w:rPr>
        <w:t>1、甲乙双方对合同履行发生争议，应本着互谅互让的原则，平等协商解决。</w:t>
      </w:r>
    </w:p>
    <w:p>
      <w:pPr>
        <w:spacing w:line="440" w:lineRule="exact"/>
        <w:ind w:firstLine="480"/>
        <w:rPr>
          <w:rFonts w:ascii="宋体" w:hAnsi="宋体" w:cs="仿宋_GB2312"/>
          <w:color w:val="000000"/>
          <w:sz w:val="24"/>
        </w:rPr>
      </w:pPr>
      <w:r>
        <w:rPr>
          <w:rFonts w:hint="eastAsia" w:ascii="宋体" w:hAnsi="宋体" w:cs="仿宋_GB2312"/>
          <w:color w:val="000000"/>
          <w:sz w:val="24"/>
        </w:rPr>
        <w:t>2、双方经协商未能解决争议的，至甲方所在地有管辖权的人民法院管辖审理。</w:t>
      </w:r>
    </w:p>
    <w:p>
      <w:pPr>
        <w:numPr>
          <w:ilvl w:val="0"/>
          <w:numId w:val="29"/>
        </w:numPr>
        <w:spacing w:line="440" w:lineRule="exact"/>
        <w:ind w:firstLine="480"/>
        <w:rPr>
          <w:rFonts w:hint="eastAsia" w:ascii="宋体" w:hAnsi="宋体" w:cs="仿宋_GB2312"/>
          <w:color w:val="000000"/>
          <w:sz w:val="24"/>
        </w:rPr>
      </w:pPr>
      <w:r>
        <w:rPr>
          <w:rFonts w:hint="eastAsia" w:ascii="宋体" w:hAnsi="宋体" w:cs="仿宋_GB2312"/>
          <w:color w:val="000000"/>
          <w:sz w:val="24"/>
        </w:rPr>
        <w:t>其他约定</w:t>
      </w:r>
    </w:p>
    <w:p>
      <w:pPr>
        <w:spacing w:line="440" w:lineRule="exact"/>
        <w:ind w:firstLine="480"/>
        <w:rPr>
          <w:rFonts w:ascii="宋体" w:hAnsi="宋体" w:cs="仿宋_GB2312"/>
          <w:color w:val="000000"/>
          <w:sz w:val="24"/>
        </w:rPr>
      </w:pPr>
      <w:r>
        <w:rPr>
          <w:rFonts w:hint="eastAsia" w:ascii="宋体" w:hAnsi="宋体" w:cs="仿宋_GB2312"/>
          <w:color w:val="000000"/>
          <w:sz w:val="24"/>
        </w:rPr>
        <w:t>1、本合同经双方盖章之日起生效，服务内容履行完毕且款项结清时自动失效。</w:t>
      </w:r>
    </w:p>
    <w:p>
      <w:pPr>
        <w:spacing w:line="440" w:lineRule="exact"/>
        <w:ind w:firstLine="480"/>
        <w:rPr>
          <w:rFonts w:ascii="宋体" w:hAnsi="宋体" w:cs="仿宋_GB2312"/>
          <w:color w:val="000000"/>
          <w:sz w:val="24"/>
        </w:rPr>
      </w:pPr>
      <w:r>
        <w:rPr>
          <w:rFonts w:hint="eastAsia" w:ascii="宋体" w:hAnsi="宋体" w:cs="仿宋_GB2312"/>
          <w:color w:val="000000"/>
          <w:sz w:val="24"/>
        </w:rPr>
        <w:t>2、本合同一式两份，甲方执一份，乙方执一份，具有同等法律效力。</w:t>
      </w:r>
    </w:p>
    <w:p>
      <w:pPr>
        <w:spacing w:line="440" w:lineRule="exact"/>
        <w:ind w:firstLine="480"/>
        <w:rPr>
          <w:rFonts w:ascii="宋体" w:hAnsi="宋体" w:cs="仿宋_GB2312"/>
          <w:color w:val="000000"/>
          <w:sz w:val="24"/>
        </w:rPr>
      </w:pPr>
      <w:r>
        <w:rPr>
          <w:rFonts w:hint="eastAsia" w:ascii="宋体" w:hAnsi="宋体" w:cs="仿宋_GB2312"/>
          <w:color w:val="000000"/>
          <w:sz w:val="24"/>
        </w:rPr>
        <w:t>3、附件为本合同有效组成部分，与本合同具有同等法律效力。</w:t>
      </w:r>
    </w:p>
    <w:p>
      <w:pPr>
        <w:pStyle w:val="16"/>
        <w:snapToGrid w:val="0"/>
        <w:spacing w:beforeLines="0" w:afterLines="0" w:line="360" w:lineRule="auto"/>
        <w:ind w:right="395" w:rightChars="188" w:firstLine="537" w:firstLineChars="224"/>
        <w:rPr>
          <w:rFonts w:hint="eastAsia" w:hAnsi="宋体" w:cs="宋体"/>
          <w:color w:val="000000"/>
        </w:rPr>
      </w:pPr>
    </w:p>
    <w:p>
      <w:pPr>
        <w:snapToGrid w:val="0"/>
        <w:spacing w:before="120" w:after="120"/>
        <w:ind w:left="5160" w:hanging="5160" w:hangingChars="2150"/>
        <w:rPr>
          <w:rFonts w:ascii="宋体" w:hAnsi="宋体"/>
          <w:color w:val="000000"/>
          <w:sz w:val="24"/>
        </w:rPr>
      </w:pPr>
      <w:r>
        <w:rPr>
          <w:rFonts w:hint="eastAsia" w:ascii="宋体" w:hAnsi="宋体"/>
          <w:color w:val="000000"/>
          <w:sz w:val="24"/>
        </w:rPr>
        <w:t xml:space="preserve">甲方：浙江省第四监狱      </w:t>
      </w:r>
      <w:r>
        <w:rPr>
          <w:rFonts w:ascii="宋体" w:hAnsi="宋体"/>
          <w:color w:val="000000"/>
          <w:sz w:val="24"/>
        </w:rPr>
        <w:t xml:space="preserve">         </w:t>
      </w:r>
      <w:r>
        <w:rPr>
          <w:rFonts w:hint="eastAsia" w:ascii="宋体" w:hAnsi="宋体"/>
          <w:color w:val="000000"/>
          <w:sz w:val="24"/>
        </w:rPr>
        <w:t>乙方：</w:t>
      </w:r>
    </w:p>
    <w:p>
      <w:pPr>
        <w:snapToGrid w:val="0"/>
        <w:spacing w:before="120" w:after="120"/>
        <w:ind w:left="5160" w:hanging="5160" w:hangingChars="2150"/>
        <w:rPr>
          <w:rFonts w:ascii="宋体" w:hAnsi="宋体"/>
          <w:color w:val="000000"/>
          <w:sz w:val="24"/>
        </w:rPr>
      </w:pPr>
      <w:r>
        <w:rPr>
          <w:rFonts w:hint="eastAsia" w:ascii="宋体" w:hAnsi="宋体"/>
          <w:color w:val="000000"/>
          <w:sz w:val="24"/>
        </w:rPr>
        <w:t>地址：                             地址：</w:t>
      </w:r>
    </w:p>
    <w:p>
      <w:pPr>
        <w:snapToGrid w:val="0"/>
        <w:spacing w:before="120" w:after="120"/>
        <w:rPr>
          <w:rFonts w:ascii="宋体" w:hAnsi="宋体"/>
          <w:color w:val="000000"/>
          <w:sz w:val="24"/>
        </w:rPr>
      </w:pPr>
      <w:r>
        <w:rPr>
          <w:rFonts w:hint="eastAsia" w:ascii="宋体" w:hAnsi="宋体"/>
          <w:color w:val="000000"/>
          <w:sz w:val="24"/>
        </w:rPr>
        <w:t>法定代表人或委托代理人：            法定代表人或委托代理人：</w:t>
      </w:r>
    </w:p>
    <w:p>
      <w:pPr>
        <w:tabs>
          <w:tab w:val="left" w:pos="4410"/>
          <w:tab w:val="left" w:pos="4620"/>
        </w:tabs>
        <w:spacing w:line="360" w:lineRule="auto"/>
        <w:ind w:right="395" w:rightChars="188"/>
        <w:rPr>
          <w:rFonts w:hint="eastAsia" w:ascii="宋体" w:hAnsi="宋体" w:cs="宋体"/>
          <w:color w:val="000000"/>
          <w:spacing w:val="-20"/>
          <w:sz w:val="24"/>
        </w:rPr>
      </w:pPr>
      <w:r>
        <w:rPr>
          <w:rFonts w:hint="eastAsia" w:ascii="宋体" w:hAnsi="宋体"/>
          <w:color w:val="000000"/>
          <w:sz w:val="24"/>
        </w:rPr>
        <w:t>签字日期：    年   月   日          签字日期：    年   月   日</w:t>
      </w:r>
    </w:p>
    <w:p>
      <w:pPr>
        <w:adjustRightInd w:val="0"/>
        <w:snapToGrid w:val="0"/>
        <w:spacing w:line="360" w:lineRule="auto"/>
        <w:ind w:firstLine="420" w:firstLineChars="200"/>
        <w:jc w:val="center"/>
        <w:rPr>
          <w:rFonts w:ascii="宋体" w:hAnsi="宋体"/>
          <w:color w:val="000000"/>
        </w:rPr>
      </w:pPr>
    </w:p>
    <w:p>
      <w:pPr>
        <w:adjustRightInd w:val="0"/>
        <w:snapToGrid w:val="0"/>
        <w:spacing w:line="360" w:lineRule="auto"/>
        <w:ind w:firstLine="562" w:firstLineChars="200"/>
        <w:jc w:val="center"/>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pStyle w:val="2"/>
        <w:ind w:firstLine="281"/>
        <w:rPr>
          <w:rFonts w:ascii="宋体" w:hAnsi="宋体"/>
          <w:b/>
          <w:color w:val="000000"/>
          <w:sz w:val="28"/>
          <w:szCs w:val="28"/>
        </w:rPr>
      </w:pPr>
    </w:p>
    <w:p>
      <w:pPr>
        <w:adjustRightInd w:val="0"/>
        <w:snapToGrid w:val="0"/>
        <w:spacing w:line="360" w:lineRule="auto"/>
        <w:ind w:firstLine="562" w:firstLineChars="200"/>
        <w:jc w:val="center"/>
        <w:rPr>
          <w:rFonts w:ascii="宋体" w:hAnsi="宋体"/>
          <w:b/>
          <w:color w:val="000000"/>
          <w:sz w:val="28"/>
          <w:szCs w:val="28"/>
        </w:rPr>
      </w:pPr>
      <w:r>
        <w:rPr>
          <w:rFonts w:ascii="宋体" w:hAnsi="宋体"/>
          <w:b/>
          <w:color w:val="000000"/>
          <w:sz w:val="28"/>
          <w:szCs w:val="28"/>
        </w:rPr>
        <w:t>廉洁协议书</w:t>
      </w:r>
    </w:p>
    <w:p>
      <w:pPr>
        <w:adjustRightInd w:val="0"/>
        <w:snapToGrid w:val="0"/>
        <w:spacing w:line="400" w:lineRule="exact"/>
        <w:ind w:firstLine="422" w:firstLineChars="200"/>
        <w:rPr>
          <w:rFonts w:hint="eastAsia" w:ascii="宋体" w:hAnsi="宋体"/>
          <w:b/>
          <w:color w:val="000000"/>
          <w:szCs w:val="21"/>
        </w:rPr>
      </w:pPr>
      <w:r>
        <w:rPr>
          <w:rFonts w:ascii="宋体" w:hAnsi="宋体"/>
          <w:b/>
          <w:color w:val="000000"/>
          <w:szCs w:val="21"/>
        </w:rPr>
        <w:t>甲方：</w:t>
      </w:r>
      <w:r>
        <w:rPr>
          <w:rFonts w:hint="eastAsia" w:ascii="宋体" w:hAnsi="宋体"/>
          <w:b/>
          <w:color w:val="000000"/>
          <w:szCs w:val="21"/>
        </w:rPr>
        <w:t>浙江省第四监狱</w:t>
      </w:r>
    </w:p>
    <w:p>
      <w:pPr>
        <w:adjustRightInd w:val="0"/>
        <w:snapToGrid w:val="0"/>
        <w:spacing w:line="400" w:lineRule="exact"/>
        <w:ind w:firstLine="422" w:firstLineChars="200"/>
        <w:rPr>
          <w:rFonts w:ascii="宋体" w:hAnsi="宋体"/>
          <w:b/>
          <w:color w:val="000000"/>
          <w:szCs w:val="21"/>
        </w:rPr>
      </w:pPr>
      <w:r>
        <w:rPr>
          <w:rFonts w:ascii="宋体" w:hAnsi="宋体"/>
          <w:b/>
          <w:color w:val="000000"/>
          <w:szCs w:val="21"/>
        </w:rPr>
        <w:t xml:space="preserve">乙方： </w:t>
      </w:r>
    </w:p>
    <w:p>
      <w:pPr>
        <w:adjustRightInd w:val="0"/>
        <w:snapToGrid w:val="0"/>
        <w:spacing w:line="400" w:lineRule="exact"/>
        <w:ind w:firstLine="420" w:firstLineChars="200"/>
        <w:rPr>
          <w:rFonts w:hint="eastAsia" w:ascii="宋体" w:hAnsi="宋体" w:cs="Arial"/>
          <w:color w:val="000000"/>
          <w:kern w:val="0"/>
          <w:szCs w:val="21"/>
        </w:rPr>
      </w:pPr>
      <w:r>
        <w:rPr>
          <w:rFonts w:ascii="宋体" w:hAnsi="宋体"/>
          <w:color w:val="000000"/>
          <w:szCs w:val="21"/>
        </w:rPr>
        <w:t>项目名称：</w:t>
      </w:r>
      <w:r>
        <w:rPr>
          <w:rFonts w:hint="eastAsia" w:ascii="宋体" w:hAnsi="宋体" w:cs="Arial"/>
          <w:color w:val="000000"/>
          <w:kern w:val="0"/>
          <w:szCs w:val="21"/>
        </w:rPr>
        <w:t xml:space="preserve"> </w:t>
      </w:r>
    </w:p>
    <w:p>
      <w:pPr>
        <w:adjustRightInd w:val="0"/>
        <w:snapToGrid w:val="0"/>
        <w:spacing w:line="400" w:lineRule="exact"/>
        <w:ind w:firstLine="420" w:firstLineChars="200"/>
        <w:rPr>
          <w:rFonts w:ascii="宋体" w:hAnsi="宋体"/>
          <w:color w:val="000000"/>
          <w:szCs w:val="21"/>
        </w:rPr>
      </w:pPr>
      <w:r>
        <w:rPr>
          <w:rFonts w:ascii="宋体" w:hAnsi="宋体"/>
          <w:color w:val="000000"/>
          <w:szCs w:val="21"/>
        </w:rPr>
        <w:t>为了保持廉政自律的工作作风，防止各种不正当行为的发生，根据国家和</w:t>
      </w:r>
      <w:r>
        <w:rPr>
          <w:rFonts w:hint="eastAsia" w:ascii="宋体" w:hAnsi="宋体"/>
          <w:color w:val="000000"/>
          <w:szCs w:val="21"/>
        </w:rPr>
        <w:t>省</w:t>
      </w:r>
      <w:r>
        <w:rPr>
          <w:rFonts w:ascii="宋体" w:hAnsi="宋体"/>
          <w:color w:val="000000"/>
          <w:szCs w:val="21"/>
        </w:rPr>
        <w:t>市有关</w:t>
      </w:r>
      <w:r>
        <w:rPr>
          <w:rFonts w:hint="eastAsia" w:ascii="宋体" w:hAnsi="宋体"/>
          <w:color w:val="000000"/>
          <w:szCs w:val="21"/>
        </w:rPr>
        <w:t>廉</w:t>
      </w:r>
      <w:r>
        <w:rPr>
          <w:rFonts w:ascii="宋体" w:hAnsi="宋体"/>
          <w:color w:val="000000"/>
          <w:szCs w:val="21"/>
        </w:rPr>
        <w:t>政建设的各项规定，结合</w:t>
      </w:r>
      <w:r>
        <w:rPr>
          <w:rFonts w:hint="eastAsia" w:ascii="宋体" w:hAnsi="宋体"/>
          <w:color w:val="000000"/>
          <w:szCs w:val="21"/>
        </w:rPr>
        <w:t>项目</w:t>
      </w:r>
      <w:r>
        <w:rPr>
          <w:rFonts w:ascii="宋体" w:hAnsi="宋体"/>
          <w:color w:val="000000"/>
          <w:szCs w:val="21"/>
        </w:rPr>
        <w:t>的特点，订立本协议如下：</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一、甲乙双方应当自觉遵守关于廉政建设的各项规定。</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二、甲方及其工作人员不得以任何形式向乙方索要和收受回扣等好处费。</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三、甲方工作人员应当保持与乙方的正常业务交往，不得接受乙方的现金、有价证券和贵重物品，不得在乙方报销任何应有个人支付的费用。</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四、甲方工作人员不得参加可能对公正执行公务有影响的宴请和娱乐活动。</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五、甲方工作人员不得要求接受乙方为其住房装修、婚丧嫁娶、家属和子女的工作安排以及出国等提供方便。</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六、甲方工作人员不得向乙方介绍家属或者亲友从事与甲方项目有关的经济活动。</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七、乙方应当通过正常途径开展业务工作，不得为获取某些不正当利益而向甲方工作人员赠送礼金、有价证券和贵重物品等。</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八、乙方不得为谋取私利擅自与甲方工作人员进行私下商谈或者达成默契。</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九、乙方不得以洽谈业务、签订经济合同为借口，邀请甲方工作人员外出旅游和进入高档娱乐性场所。</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十、乙方不得为甲方和个人购置或者提供通讯工具、家电、高档办公用品等物品。</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十一、乙方如发现甲方工作人员有违反上述协议者，应向甲方领导或者甲方上级单位举报。甲方不得找任何借口对乙方进行报复。甲方对举报属实和严格遵守廉政协议的乙方，在同等条件下给予承接后续项目的优先邀请投标权。</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十二、甲方发现乙方有违反本协议或者采用不正当的手段行贿甲方工作人员，甲方根据具体情节和造成的后果追究乙方合同造价</w:t>
      </w:r>
      <w:r>
        <w:rPr>
          <w:rFonts w:ascii="宋体" w:hAnsi="宋体"/>
          <w:color w:val="000000"/>
          <w:szCs w:val="21"/>
        </w:rPr>
        <w:t>1%—5%的违约金，由此给甲方造成的损失均由乙方承担，乙方用不正当手段获取的非法所得由甲方单位予以追缴。</w:t>
      </w:r>
    </w:p>
    <w:p>
      <w:pPr>
        <w:adjustRightInd w:val="0"/>
        <w:snapToGrid w:val="0"/>
        <w:spacing w:line="400" w:lineRule="exact"/>
        <w:ind w:firstLine="420" w:firstLineChars="200"/>
        <w:rPr>
          <w:rFonts w:hint="eastAsia" w:ascii="宋体" w:hAnsi="宋体"/>
          <w:color w:val="000000"/>
          <w:szCs w:val="21"/>
        </w:rPr>
      </w:pPr>
      <w:r>
        <w:rPr>
          <w:rFonts w:hint="eastAsia" w:ascii="宋体" w:hAnsi="宋体"/>
          <w:color w:val="000000"/>
          <w:szCs w:val="21"/>
        </w:rPr>
        <w:t>十三、严格执行中纪委下发的中纪发【2007】7号《中共中央纪委关于严格禁止利用职务上的便利谋取不正当利益的若干规定》。</w:t>
      </w:r>
    </w:p>
    <w:p>
      <w:pPr>
        <w:adjustRightInd w:val="0"/>
        <w:snapToGrid w:val="0"/>
        <w:spacing w:line="400" w:lineRule="exact"/>
        <w:ind w:firstLine="420" w:firstLineChars="200"/>
        <w:rPr>
          <w:rFonts w:ascii="宋体" w:hAnsi="宋体"/>
          <w:color w:val="000000"/>
          <w:szCs w:val="21"/>
        </w:rPr>
      </w:pPr>
      <w:r>
        <w:rPr>
          <w:rFonts w:hint="eastAsia" w:ascii="宋体" w:hAnsi="宋体"/>
          <w:color w:val="000000"/>
          <w:szCs w:val="21"/>
        </w:rPr>
        <w:t>十四、本廉政协议作为合同的附件，与合同具有同等法律效力，经协议双方签署后立即生效。</w:t>
      </w:r>
    </w:p>
    <w:p>
      <w:pPr>
        <w:adjustRightInd w:val="0"/>
        <w:snapToGrid w:val="0"/>
        <w:spacing w:line="400" w:lineRule="exact"/>
        <w:ind w:firstLine="420" w:firstLineChars="200"/>
        <w:rPr>
          <w:rFonts w:hint="eastAsia" w:ascii="宋体" w:hAnsi="宋体"/>
          <w:color w:val="000000"/>
          <w:szCs w:val="21"/>
        </w:rPr>
      </w:pPr>
      <w:r>
        <w:rPr>
          <w:rFonts w:hint="eastAsia" w:ascii="宋体" w:hAnsi="宋体"/>
          <w:color w:val="000000"/>
          <w:szCs w:val="21"/>
        </w:rPr>
        <w:t>十五、本协议一式两份，甲、乙双方各执一份。</w:t>
      </w:r>
    </w:p>
    <w:p>
      <w:pPr>
        <w:adjustRightInd w:val="0"/>
        <w:snapToGrid w:val="0"/>
        <w:spacing w:line="400" w:lineRule="exact"/>
        <w:ind w:firstLine="420" w:firstLineChars="200"/>
        <w:rPr>
          <w:rFonts w:hint="eastAsia" w:ascii="宋体" w:hAnsi="宋体"/>
          <w:color w:val="000000"/>
          <w:szCs w:val="21"/>
        </w:rPr>
      </w:pPr>
      <w:r>
        <w:rPr>
          <w:rFonts w:hint="eastAsia" w:ascii="宋体" w:hAnsi="宋体"/>
          <w:color w:val="000000"/>
          <w:szCs w:val="21"/>
        </w:rPr>
        <w:t>甲方（公章）：</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rPr>
        <w:t>乙方（公章）：</w:t>
      </w:r>
    </w:p>
    <w:p>
      <w:pPr>
        <w:adjustRightInd w:val="0"/>
        <w:snapToGrid w:val="0"/>
        <w:spacing w:line="400" w:lineRule="exact"/>
        <w:ind w:firstLine="420" w:firstLineChars="200"/>
        <w:rPr>
          <w:rFonts w:hint="eastAsia" w:ascii="宋体" w:hAnsi="宋体"/>
          <w:color w:val="000000"/>
          <w:szCs w:val="21"/>
        </w:rPr>
      </w:pPr>
      <w:r>
        <w:rPr>
          <w:rFonts w:hint="eastAsia" w:ascii="宋体" w:hAnsi="宋体"/>
          <w:color w:val="000000"/>
          <w:szCs w:val="21"/>
        </w:rPr>
        <w:t>法定代表人：</w:t>
      </w:r>
      <w:r>
        <w:rPr>
          <w:rFonts w:ascii="宋体" w:hAnsi="宋体"/>
          <w:color w:val="000000"/>
          <w:szCs w:val="21"/>
        </w:rPr>
        <w:t xml:space="preserve">                         </w:t>
      </w:r>
      <w:r>
        <w:rPr>
          <w:rFonts w:hint="eastAsia" w:ascii="宋体" w:hAnsi="宋体"/>
          <w:color w:val="000000"/>
          <w:szCs w:val="21"/>
        </w:rPr>
        <w:t xml:space="preserve">             法定代表人：</w:t>
      </w:r>
    </w:p>
    <w:p>
      <w:pPr>
        <w:adjustRightInd w:val="0"/>
        <w:snapToGrid w:val="0"/>
        <w:spacing w:line="400" w:lineRule="exact"/>
        <w:ind w:firstLine="420" w:firstLineChars="200"/>
        <w:rPr>
          <w:rFonts w:hint="eastAsia" w:ascii="宋体" w:hAnsi="宋体"/>
          <w:color w:val="000000"/>
          <w:szCs w:val="21"/>
        </w:rPr>
      </w:pPr>
      <w:r>
        <w:rPr>
          <w:rFonts w:hint="eastAsia" w:ascii="宋体" w:hAnsi="宋体"/>
          <w:color w:val="000000"/>
          <w:szCs w:val="21"/>
        </w:rPr>
        <w:t>或委托代理人：</w:t>
      </w:r>
      <w:r>
        <w:rPr>
          <w:rFonts w:ascii="宋体" w:hAnsi="宋体"/>
          <w:color w:val="000000"/>
          <w:szCs w:val="21"/>
        </w:rPr>
        <w:t xml:space="preserve">                       </w:t>
      </w:r>
      <w:r>
        <w:rPr>
          <w:rFonts w:hint="eastAsia" w:ascii="宋体" w:hAnsi="宋体"/>
          <w:color w:val="000000"/>
          <w:szCs w:val="21"/>
        </w:rPr>
        <w:t xml:space="preserve">             或委托代理人：</w:t>
      </w:r>
    </w:p>
    <w:p>
      <w:pPr>
        <w:adjustRightInd w:val="0"/>
        <w:snapToGrid w:val="0"/>
        <w:spacing w:line="400" w:lineRule="exact"/>
        <w:ind w:firstLine="1260" w:firstLineChars="600"/>
        <w:rPr>
          <w:rFonts w:ascii="宋体" w:hAnsi="宋体"/>
          <w:color w:val="000000"/>
          <w:szCs w:val="21"/>
        </w:rPr>
      </w:pPr>
      <w:r>
        <w:rPr>
          <w:rFonts w:hint="eastAsia" w:ascii="宋体" w:hAnsi="宋体"/>
          <w:color w:val="000000"/>
          <w:szCs w:val="21"/>
        </w:rPr>
        <w:t>年    月   日                           年    月   日</w:t>
      </w:r>
    </w:p>
    <w:p>
      <w:pPr>
        <w:pStyle w:val="3"/>
        <w:rPr>
          <w:rFonts w:ascii="宋体" w:hAnsi="宋体"/>
          <w:color w:val="000000"/>
        </w:rPr>
      </w:pPr>
    </w:p>
    <w:p>
      <w:pPr>
        <w:pStyle w:val="67"/>
        <w:ind w:left="1038" w:hanging="618"/>
        <w:jc w:val="center"/>
        <w:rPr>
          <w:rFonts w:ascii="宋体" w:hAnsi="宋体" w:cs="仿宋_GB2312"/>
          <w:b/>
          <w:bCs/>
          <w:color w:val="000000"/>
          <w:kern w:val="0"/>
          <w:szCs w:val="30"/>
        </w:rPr>
      </w:pPr>
      <w:r>
        <w:rPr>
          <w:rFonts w:hint="eastAsia" w:ascii="宋体" w:hAnsi="宋体" w:cs="仿宋_GB2312"/>
          <w:b/>
          <w:bCs/>
          <w:color w:val="000000"/>
          <w:kern w:val="0"/>
          <w:szCs w:val="30"/>
        </w:rPr>
        <w:t>保密承诺书</w:t>
      </w:r>
    </w:p>
    <w:p>
      <w:pPr>
        <w:pStyle w:val="65"/>
        <w:spacing w:line="400" w:lineRule="exact"/>
        <w:rPr>
          <w:rFonts w:hAnsi="宋体" w:cs="仿宋_GB2312"/>
          <w:color w:val="000000"/>
          <w:sz w:val="24"/>
          <w:szCs w:val="24"/>
          <w:u w:val="single"/>
        </w:rPr>
      </w:pPr>
    </w:p>
    <w:p>
      <w:pPr>
        <w:pStyle w:val="65"/>
        <w:spacing w:line="400" w:lineRule="exact"/>
        <w:rPr>
          <w:rFonts w:hAnsi="宋体" w:cs="仿宋_GB2312"/>
          <w:color w:val="000000"/>
          <w:sz w:val="24"/>
          <w:szCs w:val="24"/>
          <w:u w:val="single"/>
        </w:rPr>
      </w:pPr>
      <w:r>
        <w:rPr>
          <w:rFonts w:hint="eastAsia" w:hAnsi="宋体" w:cs="仿宋_GB2312"/>
          <w:color w:val="000000"/>
          <w:sz w:val="24"/>
          <w:szCs w:val="24"/>
          <w:u w:val="single"/>
        </w:rPr>
        <w:t>浙江省第四监狱：</w:t>
      </w:r>
    </w:p>
    <w:p>
      <w:pPr>
        <w:pStyle w:val="67"/>
        <w:spacing w:line="400" w:lineRule="exact"/>
        <w:ind w:left="0" w:leftChars="0" w:firstLine="456" w:firstLineChars="200"/>
        <w:rPr>
          <w:rFonts w:ascii="宋体" w:hAnsi="宋体" w:cs="仿宋_GB2312"/>
          <w:color w:val="000000"/>
          <w:sz w:val="24"/>
        </w:rPr>
      </w:pPr>
      <w:r>
        <w:rPr>
          <w:rFonts w:hint="eastAsia" w:ascii="宋体" w:hAnsi="宋体" w:cs="仿宋_GB2312"/>
          <w:color w:val="000000"/>
          <w:sz w:val="24"/>
        </w:rPr>
        <w:t>我方响应你方项目采购要求并参加响应。在这次响应过程中和成交后，我们将严格遵守国家法律法规相关保密要求，并郑重承诺：</w:t>
      </w:r>
    </w:p>
    <w:p>
      <w:pPr>
        <w:pStyle w:val="67"/>
        <w:spacing w:line="400" w:lineRule="exact"/>
        <w:ind w:left="0" w:leftChars="0" w:firstLine="456" w:firstLineChars="200"/>
        <w:rPr>
          <w:rFonts w:ascii="宋体" w:hAnsi="宋体" w:cs="仿宋_GB2312"/>
          <w:color w:val="000000"/>
          <w:sz w:val="24"/>
        </w:rPr>
      </w:pPr>
      <w:r>
        <w:rPr>
          <w:rFonts w:hint="eastAsia" w:ascii="宋体" w:hAnsi="宋体" w:cs="仿宋_GB2312"/>
          <w:color w:val="000000"/>
          <w:sz w:val="24"/>
        </w:rPr>
        <w:t>一、保密内容：由于</w:t>
      </w:r>
      <w:r>
        <w:rPr>
          <w:rFonts w:hint="eastAsia" w:ascii="宋体" w:hAnsi="宋体" w:cs="仿宋_GB2312"/>
          <w:color w:val="000000"/>
          <w:sz w:val="24"/>
          <w:u w:val="single"/>
        </w:rPr>
        <w:t>浙江省第四监狱</w:t>
      </w:r>
      <w:r>
        <w:rPr>
          <w:rFonts w:hint="eastAsia" w:ascii="宋体" w:hAnsi="宋体" w:cs="仿宋_GB2312"/>
          <w:color w:val="000000"/>
          <w:sz w:val="24"/>
        </w:rPr>
        <w:t>为国家涉密单位，凡涉及</w:t>
      </w:r>
      <w:r>
        <w:rPr>
          <w:rFonts w:hint="eastAsia" w:ascii="宋体" w:hAnsi="宋体" w:cs="仿宋_GB2312"/>
          <w:color w:val="000000"/>
          <w:sz w:val="24"/>
          <w:u w:val="single"/>
        </w:rPr>
        <w:t>浙江省第四监狱</w:t>
      </w:r>
      <w:r>
        <w:rPr>
          <w:rFonts w:hint="eastAsia" w:ascii="宋体" w:hAnsi="宋体" w:cs="仿宋_GB2312"/>
          <w:color w:val="000000"/>
          <w:sz w:val="24"/>
        </w:rPr>
        <w:t>单位相关的图纸、数据以及其他相关的信息资料等内容，我方及我方相关人员都有予以保密的义务，并承诺做到：</w:t>
      </w:r>
    </w:p>
    <w:p>
      <w:pPr>
        <w:pStyle w:val="67"/>
        <w:spacing w:line="400" w:lineRule="exact"/>
        <w:ind w:left="876" w:hanging="456"/>
        <w:rPr>
          <w:rFonts w:ascii="宋体" w:hAnsi="宋体" w:cs="仿宋_GB2312"/>
          <w:color w:val="000000"/>
          <w:sz w:val="24"/>
        </w:rPr>
      </w:pPr>
      <w:r>
        <w:rPr>
          <w:rFonts w:hint="eastAsia" w:ascii="宋体" w:hAnsi="宋体" w:cs="仿宋_GB2312"/>
          <w:color w:val="000000"/>
          <w:sz w:val="24"/>
        </w:rPr>
        <w:t xml:space="preserve"> 1.认真遵守国家保密法律、法规和规章制度，履行保密义务；</w:t>
      </w:r>
    </w:p>
    <w:p>
      <w:pPr>
        <w:pStyle w:val="67"/>
        <w:spacing w:line="400" w:lineRule="exact"/>
        <w:ind w:left="876" w:hanging="456"/>
        <w:rPr>
          <w:rFonts w:ascii="宋体" w:hAnsi="宋体" w:cs="仿宋_GB2312"/>
          <w:color w:val="000000"/>
          <w:sz w:val="24"/>
        </w:rPr>
      </w:pPr>
      <w:r>
        <w:rPr>
          <w:rFonts w:hint="eastAsia" w:ascii="宋体" w:hAnsi="宋体" w:cs="仿宋_GB2312"/>
          <w:color w:val="000000"/>
          <w:sz w:val="24"/>
        </w:rPr>
        <w:t xml:space="preserve"> 2.不提供虚假信息，自愿接受保密审查；</w:t>
      </w:r>
    </w:p>
    <w:p>
      <w:pPr>
        <w:pStyle w:val="67"/>
        <w:spacing w:line="400" w:lineRule="exact"/>
        <w:ind w:left="0" w:leftChars="0" w:firstLine="684" w:firstLineChars="300"/>
        <w:rPr>
          <w:rFonts w:ascii="宋体" w:hAnsi="宋体" w:cs="仿宋_GB2312"/>
          <w:color w:val="000000"/>
          <w:sz w:val="24"/>
        </w:rPr>
      </w:pPr>
      <w:r>
        <w:rPr>
          <w:rFonts w:hint="eastAsia" w:ascii="宋体" w:hAnsi="宋体" w:cs="仿宋_GB2312"/>
          <w:color w:val="000000"/>
          <w:sz w:val="24"/>
        </w:rPr>
        <w:t>3.不录音、拍照、摄像涉及</w:t>
      </w:r>
      <w:r>
        <w:rPr>
          <w:rFonts w:hint="eastAsia" w:ascii="宋体" w:hAnsi="宋体" w:cs="仿宋_GB2312"/>
          <w:color w:val="000000"/>
          <w:sz w:val="24"/>
          <w:u w:val="single"/>
        </w:rPr>
        <w:t>浙江省第四监狱</w:t>
      </w:r>
      <w:r>
        <w:rPr>
          <w:rFonts w:hint="eastAsia" w:ascii="宋体" w:hAnsi="宋体" w:cs="仿宋_GB2312"/>
          <w:color w:val="000000"/>
          <w:sz w:val="24"/>
        </w:rPr>
        <w:t>秘密信息，不记录、存储、复制国家秘密信息，不留存国家秘密载体；</w:t>
      </w:r>
    </w:p>
    <w:p>
      <w:pPr>
        <w:pStyle w:val="67"/>
        <w:spacing w:line="400" w:lineRule="exact"/>
        <w:ind w:left="858" w:leftChars="300" w:hanging="228" w:hangingChars="100"/>
        <w:rPr>
          <w:rFonts w:ascii="宋体" w:hAnsi="宋体" w:cs="仿宋_GB2312"/>
          <w:color w:val="000000"/>
          <w:sz w:val="24"/>
        </w:rPr>
      </w:pPr>
      <w:r>
        <w:rPr>
          <w:rFonts w:hint="eastAsia" w:ascii="宋体" w:hAnsi="宋体" w:cs="仿宋_GB2312"/>
          <w:color w:val="000000"/>
          <w:sz w:val="24"/>
        </w:rPr>
        <w:t>4.不以任何方式泄露所接触和知悉的国家秘密；</w:t>
      </w:r>
    </w:p>
    <w:p>
      <w:pPr>
        <w:pStyle w:val="67"/>
        <w:spacing w:line="400" w:lineRule="exact"/>
        <w:ind w:left="0" w:leftChars="0" w:firstLine="684" w:firstLineChars="300"/>
        <w:rPr>
          <w:rFonts w:ascii="宋体" w:hAnsi="宋体" w:cs="仿宋_GB2312"/>
          <w:color w:val="000000"/>
          <w:sz w:val="24"/>
        </w:rPr>
      </w:pPr>
      <w:r>
        <w:rPr>
          <w:rFonts w:hint="eastAsia" w:ascii="宋体" w:hAnsi="宋体" w:cs="仿宋_GB2312"/>
          <w:color w:val="000000"/>
          <w:sz w:val="24"/>
        </w:rPr>
        <w:t>5.不带任何具备录音、录像、拍摄、存储功能的数码设备进入</w:t>
      </w:r>
      <w:r>
        <w:rPr>
          <w:rFonts w:hint="eastAsia" w:ascii="宋体" w:hAnsi="宋体" w:cs="仿宋_GB2312"/>
          <w:color w:val="000000"/>
          <w:sz w:val="24"/>
          <w:u w:val="single"/>
        </w:rPr>
        <w:t>浙江省第四监狱</w:t>
      </w:r>
      <w:r>
        <w:rPr>
          <w:rFonts w:hint="eastAsia" w:ascii="宋体" w:hAnsi="宋体" w:cs="仿宋_GB2312"/>
          <w:color w:val="000000"/>
          <w:sz w:val="24"/>
        </w:rPr>
        <w:t>规定不允许带入的相关区域。</w:t>
      </w:r>
    </w:p>
    <w:p>
      <w:pPr>
        <w:pStyle w:val="67"/>
        <w:spacing w:line="400" w:lineRule="exact"/>
        <w:ind w:left="0" w:leftChars="0" w:firstLine="456" w:firstLineChars="200"/>
        <w:rPr>
          <w:rFonts w:ascii="宋体" w:hAnsi="宋体" w:cs="仿宋_GB2312"/>
          <w:color w:val="000000"/>
          <w:sz w:val="24"/>
        </w:rPr>
      </w:pPr>
      <w:r>
        <w:rPr>
          <w:rFonts w:hint="eastAsia" w:ascii="宋体" w:hAnsi="宋体" w:cs="仿宋_GB2312"/>
          <w:color w:val="000000"/>
          <w:sz w:val="24"/>
        </w:rPr>
        <w:t>若确因我方的原因造成泄密，由我方及相关责任人承担相应的法律责任。</w:t>
      </w:r>
    </w:p>
    <w:p>
      <w:pPr>
        <w:pStyle w:val="67"/>
        <w:spacing w:line="400" w:lineRule="exact"/>
        <w:ind w:left="0" w:leftChars="0" w:firstLine="456" w:firstLineChars="200"/>
        <w:rPr>
          <w:rFonts w:ascii="宋体" w:hAnsi="宋体" w:cs="仿宋_GB2312"/>
          <w:color w:val="000000"/>
          <w:sz w:val="24"/>
        </w:rPr>
      </w:pPr>
      <w:r>
        <w:rPr>
          <w:rFonts w:hint="eastAsia" w:ascii="宋体" w:hAnsi="宋体" w:cs="仿宋_GB2312"/>
          <w:color w:val="000000"/>
          <w:sz w:val="24"/>
        </w:rPr>
        <w:t>二、保密期限：针对</w:t>
      </w:r>
      <w:r>
        <w:rPr>
          <w:rFonts w:hint="eastAsia" w:ascii="宋体" w:hAnsi="宋体" w:cs="仿宋_GB2312"/>
          <w:color w:val="000000"/>
          <w:sz w:val="24"/>
          <w:u w:val="single"/>
        </w:rPr>
        <w:t>浙江省第四监狱</w:t>
      </w:r>
      <w:r>
        <w:rPr>
          <w:rFonts w:hint="eastAsia" w:ascii="宋体" w:hAnsi="宋体" w:cs="仿宋_GB2312"/>
          <w:color w:val="000000"/>
          <w:sz w:val="24"/>
        </w:rPr>
        <w:t>的单位特殊性，自收到该项目采购资料起，我方有义务在20年内对相关的图纸、数据以及涉及采购人作为刑罚执行机关和浙江省第四监狱相关的信息资料予以保密；除非</w:t>
      </w:r>
      <w:r>
        <w:rPr>
          <w:rFonts w:hint="eastAsia" w:ascii="宋体" w:hAnsi="宋体" w:cs="仿宋_GB2312"/>
          <w:color w:val="000000"/>
          <w:sz w:val="24"/>
          <w:u w:val="single"/>
        </w:rPr>
        <w:t>浙江省第四监狱</w:t>
      </w:r>
      <w:r>
        <w:rPr>
          <w:rFonts w:hint="eastAsia" w:ascii="宋体" w:hAnsi="宋体" w:cs="仿宋_GB2312"/>
          <w:color w:val="000000"/>
          <w:sz w:val="24"/>
        </w:rPr>
        <w:t>主动向社会公开相关的数据，我方在任何情况下不得予以泄露，不得向任何第三方透露本项目涉及的内容及商业秘密。</w:t>
      </w:r>
    </w:p>
    <w:p>
      <w:pPr>
        <w:pStyle w:val="67"/>
        <w:spacing w:line="400" w:lineRule="exact"/>
        <w:ind w:left="0" w:leftChars="0" w:firstLine="456" w:firstLineChars="200"/>
        <w:rPr>
          <w:rFonts w:ascii="宋体" w:hAnsi="宋体" w:cs="仿宋_GB2312"/>
          <w:color w:val="000000"/>
          <w:sz w:val="24"/>
        </w:rPr>
      </w:pPr>
      <w:r>
        <w:rPr>
          <w:rFonts w:hint="eastAsia" w:ascii="宋体" w:hAnsi="宋体" w:cs="仿宋_GB2312"/>
          <w:color w:val="000000"/>
          <w:sz w:val="24"/>
        </w:rPr>
        <w:t>三、保密责任：由于我方及相关人员有意或者无意的行为造成</w:t>
      </w:r>
      <w:r>
        <w:rPr>
          <w:rFonts w:hint="eastAsia" w:ascii="宋体" w:hAnsi="宋体" w:cs="仿宋_GB2312"/>
          <w:color w:val="000000"/>
          <w:sz w:val="24"/>
          <w:u w:val="single"/>
        </w:rPr>
        <w:t>浙江省第四监狱</w:t>
      </w:r>
      <w:r>
        <w:rPr>
          <w:rFonts w:hint="eastAsia" w:ascii="宋体" w:hAnsi="宋体" w:cs="仿宋_GB2312"/>
          <w:color w:val="000000"/>
          <w:sz w:val="24"/>
        </w:rPr>
        <w:t>的保密资料或者机密泄露的，我方对本次泄密造成的损失进行相应的赔偿，并承担相应的民事责任和刑事责任。在项目实施过程中因我方泄密行为造成</w:t>
      </w:r>
      <w:r>
        <w:rPr>
          <w:rFonts w:hint="eastAsia" w:ascii="宋体" w:hAnsi="宋体" w:cs="仿宋_GB2312"/>
          <w:color w:val="000000"/>
          <w:sz w:val="24"/>
          <w:u w:val="single"/>
        </w:rPr>
        <w:t>浙江省第四监狱</w:t>
      </w:r>
      <w:r>
        <w:rPr>
          <w:rFonts w:hint="eastAsia" w:ascii="宋体" w:hAnsi="宋体" w:cs="仿宋_GB2312"/>
          <w:color w:val="000000"/>
          <w:sz w:val="24"/>
        </w:rPr>
        <w:t>单位损失的，被泄密方有权立即单方面终止与本项目相关合同，因此造成的一切损失由泄密方承担。</w:t>
      </w:r>
    </w:p>
    <w:p>
      <w:pPr>
        <w:rPr>
          <w:rFonts w:ascii="宋体" w:hAnsi="宋体" w:cs="仿宋_GB2312"/>
          <w:color w:val="000000"/>
          <w:sz w:val="24"/>
        </w:rPr>
      </w:pPr>
    </w:p>
    <w:p>
      <w:pPr>
        <w:rPr>
          <w:rFonts w:ascii="宋体" w:hAnsi="宋体" w:cs="仿宋_GB2312"/>
          <w:color w:val="000000"/>
          <w:sz w:val="24"/>
        </w:rPr>
      </w:pPr>
    </w:p>
    <w:p>
      <w:pPr>
        <w:rPr>
          <w:rFonts w:ascii="宋体" w:hAnsi="宋体" w:cs="仿宋_GB2312"/>
          <w:color w:val="000000"/>
          <w:spacing w:val="20"/>
          <w:sz w:val="24"/>
          <w:u w:val="single"/>
        </w:rPr>
      </w:pPr>
      <w:r>
        <w:rPr>
          <w:rFonts w:hint="eastAsia" w:ascii="宋体" w:hAnsi="宋体" w:cs="仿宋_GB2312"/>
          <w:color w:val="000000"/>
          <w:sz w:val="24"/>
        </w:rPr>
        <w:t>投标人全称（盖单位公章）：</w:t>
      </w:r>
      <w:r>
        <w:rPr>
          <w:rFonts w:hint="eastAsia" w:ascii="宋体" w:hAnsi="宋体" w:cs="仿宋_GB2312"/>
          <w:color w:val="000000"/>
          <w:sz w:val="24"/>
          <w:u w:val="single"/>
        </w:rPr>
        <w:t xml:space="preserve">   </w:t>
      </w:r>
      <w:r>
        <w:rPr>
          <w:rFonts w:ascii="宋体" w:hAnsi="宋体" w:cs="仿宋_GB2312"/>
          <w:color w:val="000000"/>
          <w:sz w:val="24"/>
          <w:u w:val="single"/>
        </w:rPr>
        <w:t xml:space="preserve">          </w:t>
      </w:r>
      <w:r>
        <w:rPr>
          <w:rFonts w:hint="eastAsia" w:ascii="宋体" w:hAnsi="宋体" w:cs="仿宋_GB2312"/>
          <w:color w:val="000000"/>
          <w:sz w:val="24"/>
          <w:u w:val="single"/>
        </w:rPr>
        <w:t xml:space="preserve">      </w:t>
      </w:r>
    </w:p>
    <w:p>
      <w:pPr>
        <w:rPr>
          <w:rFonts w:ascii="宋体" w:hAnsi="宋体" w:cs="仿宋_GB2312"/>
          <w:color w:val="000000"/>
          <w:sz w:val="24"/>
          <w:u w:val="single"/>
        </w:rPr>
      </w:pPr>
      <w:r>
        <w:rPr>
          <w:rFonts w:hint="eastAsia" w:ascii="宋体" w:hAnsi="宋体" w:cs="仿宋_GB2312"/>
          <w:color w:val="000000"/>
          <w:sz w:val="24"/>
        </w:rPr>
        <w:t>投标人法定代表人或委托代理人（签字或盖章）：</w:t>
      </w:r>
      <w:r>
        <w:rPr>
          <w:rFonts w:hint="eastAsia" w:ascii="宋体" w:hAnsi="宋体" w:cs="仿宋_GB2312"/>
          <w:color w:val="000000"/>
          <w:sz w:val="24"/>
          <w:u w:val="single"/>
        </w:rPr>
        <w:t xml:space="preserve">   </w:t>
      </w:r>
      <w:r>
        <w:rPr>
          <w:rFonts w:ascii="宋体" w:hAnsi="宋体" w:cs="仿宋_GB2312"/>
          <w:color w:val="000000"/>
          <w:sz w:val="24"/>
          <w:u w:val="single"/>
        </w:rPr>
        <w:t xml:space="preserve">          </w:t>
      </w:r>
      <w:r>
        <w:rPr>
          <w:rFonts w:hint="eastAsia" w:ascii="宋体" w:hAnsi="宋体" w:cs="仿宋_GB2312"/>
          <w:color w:val="000000"/>
          <w:sz w:val="24"/>
          <w:u w:val="single"/>
        </w:rPr>
        <w:t xml:space="preserve">      </w:t>
      </w:r>
    </w:p>
    <w:p>
      <w:pPr>
        <w:pStyle w:val="3"/>
        <w:rPr>
          <w:rFonts w:hint="eastAsia" w:ascii="宋体" w:hAnsi="宋体"/>
          <w:color w:val="000000"/>
        </w:rPr>
      </w:pPr>
      <w:r>
        <w:rPr>
          <w:rFonts w:hint="eastAsia" w:ascii="宋体" w:hAnsi="宋体" w:cs="仿宋_GB2312"/>
          <w:color w:val="000000"/>
          <w:sz w:val="24"/>
        </w:rPr>
        <w:t>日期：   年  月  日</w:t>
      </w:r>
    </w:p>
    <w:p>
      <w:pPr>
        <w:pageBreakBefore/>
        <w:snapToGrid w:val="0"/>
        <w:spacing w:before="120" w:beforeLines="50" w:after="120" w:afterLines="50" w:line="360" w:lineRule="auto"/>
        <w:ind w:firstLine="600" w:firstLineChars="200"/>
        <w:jc w:val="center"/>
        <w:outlineLvl w:val="0"/>
        <w:rPr>
          <w:rFonts w:hint="eastAsia" w:ascii="宋体" w:hAnsi="宋体"/>
          <w:color w:val="000000"/>
          <w:sz w:val="30"/>
          <w:szCs w:val="30"/>
        </w:rPr>
      </w:pPr>
      <w:bookmarkStart w:id="206" w:name="_Toc44755899"/>
      <w:r>
        <w:rPr>
          <w:rFonts w:hint="eastAsia" w:ascii="宋体" w:hAnsi="宋体"/>
          <w:color w:val="000000"/>
          <w:sz w:val="30"/>
          <w:szCs w:val="30"/>
        </w:rPr>
        <w:t>第六章　投标文件格式</w:t>
      </w:r>
      <w:bookmarkEnd w:id="206"/>
    </w:p>
    <w:p>
      <w:pPr>
        <w:pStyle w:val="16"/>
        <w:spacing w:before="120" w:after="120" w:line="360" w:lineRule="auto"/>
        <w:ind w:firstLine="480" w:firstLineChars="200"/>
        <w:rPr>
          <w:rFonts w:hint="eastAsia" w:hAnsi="宋体" w:cs="宋体"/>
          <w:color w:val="000000"/>
        </w:rPr>
      </w:pPr>
      <w:r>
        <w:rPr>
          <w:rFonts w:hint="eastAsia" w:hAnsi="宋体" w:cs="宋体"/>
          <w:color w:val="000000"/>
        </w:rPr>
        <w:t>说明：</w:t>
      </w:r>
    </w:p>
    <w:p>
      <w:pPr>
        <w:pStyle w:val="16"/>
        <w:spacing w:before="120" w:after="120" w:line="360" w:lineRule="auto"/>
        <w:ind w:firstLine="480" w:firstLineChars="200"/>
        <w:rPr>
          <w:rFonts w:hint="eastAsia" w:hAnsi="宋体" w:cs="宋体"/>
          <w:color w:val="000000"/>
        </w:rPr>
      </w:pPr>
      <w:r>
        <w:rPr>
          <w:rFonts w:hint="eastAsia" w:hAnsi="宋体" w:cs="宋体"/>
          <w:color w:val="000000"/>
        </w:rPr>
        <w:t>1．投标人提供的文件应排列整齐、内容完整清晰，方便评审委员会评审，如混乱的编排导致投标文件被误读或评审委员会查找不到有效文件是投标人的风险。</w:t>
      </w:r>
    </w:p>
    <w:p>
      <w:pPr>
        <w:pStyle w:val="16"/>
        <w:spacing w:before="120" w:after="120" w:line="360" w:lineRule="auto"/>
        <w:ind w:firstLine="480" w:firstLineChars="200"/>
        <w:rPr>
          <w:rFonts w:hint="eastAsia" w:hAnsi="宋体" w:cs="宋体"/>
          <w:color w:val="000000"/>
        </w:rPr>
      </w:pPr>
      <w:r>
        <w:rPr>
          <w:rFonts w:hint="eastAsia" w:hAnsi="宋体" w:cs="宋体"/>
          <w:color w:val="000000"/>
        </w:rPr>
        <w:t>2．所附表格中要求回答的全部问题和/或信息都必须正面回答。</w:t>
      </w:r>
    </w:p>
    <w:p>
      <w:pPr>
        <w:pStyle w:val="16"/>
        <w:spacing w:before="120" w:after="120" w:line="360" w:lineRule="auto"/>
        <w:ind w:firstLine="480" w:firstLineChars="200"/>
        <w:rPr>
          <w:rFonts w:hint="eastAsia" w:hAnsi="宋体" w:cs="宋体"/>
          <w:color w:val="000000"/>
        </w:rPr>
      </w:pPr>
      <w:r>
        <w:rPr>
          <w:rFonts w:hint="eastAsia" w:hAnsi="宋体" w:cs="宋体"/>
          <w:color w:val="000000"/>
        </w:rPr>
        <w:t>3.本声明书的签字人应保证全部声明和问题的回答是真实的和准确的。</w:t>
      </w:r>
    </w:p>
    <w:p>
      <w:pPr>
        <w:pStyle w:val="16"/>
        <w:spacing w:before="120" w:after="120" w:line="360" w:lineRule="auto"/>
        <w:ind w:firstLine="480" w:firstLineChars="200"/>
        <w:rPr>
          <w:rFonts w:hint="eastAsia" w:hAnsi="宋体" w:cs="宋体"/>
          <w:color w:val="000000"/>
        </w:rPr>
      </w:pPr>
      <w:r>
        <w:rPr>
          <w:rFonts w:hint="eastAsia" w:hAnsi="宋体" w:cs="宋体"/>
          <w:color w:val="000000"/>
        </w:rPr>
        <w:t>4.招标文件中没有参考格式的，投标人自行编制。</w:t>
      </w:r>
    </w:p>
    <w:p>
      <w:pPr>
        <w:snapToGrid w:val="0"/>
        <w:spacing w:before="120" w:beforeLines="50" w:after="50" w:line="360" w:lineRule="auto"/>
        <w:rPr>
          <w:rFonts w:hint="eastAsia" w:ascii="宋体" w:hAnsi="宋体"/>
          <w:b/>
          <w:color w:val="000000"/>
          <w:sz w:val="24"/>
        </w:rPr>
      </w:pPr>
    </w:p>
    <w:p>
      <w:pPr>
        <w:snapToGrid w:val="0"/>
        <w:spacing w:before="120" w:beforeLines="50" w:after="50" w:line="360" w:lineRule="auto"/>
        <w:rPr>
          <w:rFonts w:ascii="宋体" w:hAnsi="宋体"/>
          <w:b/>
          <w:bCs/>
          <w:color w:val="000000"/>
          <w:sz w:val="24"/>
          <w:szCs w:val="20"/>
        </w:rPr>
      </w:pPr>
      <w:r>
        <w:rPr>
          <w:rFonts w:hint="eastAsia" w:ascii="宋体" w:hAnsi="宋体"/>
          <w:b/>
          <w:color w:val="000000"/>
          <w:sz w:val="24"/>
        </w:rPr>
        <w:br w:type="page"/>
      </w:r>
      <w:r>
        <w:rPr>
          <w:rFonts w:hint="eastAsia" w:ascii="宋体" w:hAnsi="宋体"/>
          <w:b/>
          <w:color w:val="000000"/>
          <w:sz w:val="24"/>
        </w:rPr>
        <w:t>1. 电子</w:t>
      </w:r>
      <w:r>
        <w:rPr>
          <w:rFonts w:hint="eastAsia" w:ascii="宋体" w:hAnsi="宋体" w:cs="宋体"/>
          <w:b/>
          <w:color w:val="000000"/>
          <w:sz w:val="24"/>
        </w:rPr>
        <w:t>备份投标文件</w:t>
      </w:r>
      <w:r>
        <w:rPr>
          <w:rFonts w:hint="eastAsia" w:ascii="宋体" w:hAnsi="宋体"/>
          <w:b/>
          <w:bCs/>
          <w:color w:val="000000"/>
          <w:sz w:val="24"/>
        </w:rPr>
        <w:t>的外包装封面格式</w:t>
      </w:r>
    </w:p>
    <w:p>
      <w:pPr>
        <w:snapToGrid w:val="0"/>
        <w:spacing w:before="120" w:beforeLines="50" w:after="50" w:line="360" w:lineRule="auto"/>
        <w:rPr>
          <w:rFonts w:ascii="宋体" w:hAnsi="宋体"/>
          <w:bCs/>
          <w:color w:val="000000"/>
          <w:sz w:val="24"/>
          <w:szCs w:val="20"/>
        </w:rPr>
      </w:pPr>
    </w:p>
    <w:p>
      <w:pPr>
        <w:snapToGrid w:val="0"/>
        <w:spacing w:before="120" w:beforeLines="50" w:after="50" w:line="360" w:lineRule="auto"/>
        <w:jc w:val="center"/>
        <w:rPr>
          <w:rFonts w:ascii="宋体" w:hAnsi="宋体"/>
          <w:b/>
          <w:bCs/>
          <w:color w:val="000000"/>
          <w:sz w:val="52"/>
          <w:szCs w:val="52"/>
        </w:rPr>
      </w:pPr>
      <w:r>
        <w:rPr>
          <w:rFonts w:hint="eastAsia" w:ascii="宋体" w:hAnsi="宋体"/>
          <w:b/>
          <w:bCs/>
          <w:color w:val="000000"/>
          <w:sz w:val="52"/>
          <w:szCs w:val="52"/>
        </w:rPr>
        <w:t>电子备份投标文件</w:t>
      </w:r>
    </w:p>
    <w:p>
      <w:pPr>
        <w:snapToGrid w:val="0"/>
        <w:spacing w:before="120" w:beforeLines="50" w:after="50" w:line="360" w:lineRule="auto"/>
        <w:rPr>
          <w:rFonts w:ascii="宋体" w:hAnsi="宋体"/>
          <w:bCs/>
          <w:color w:val="000000"/>
          <w:sz w:val="24"/>
          <w:szCs w:val="20"/>
        </w:rPr>
      </w:pPr>
    </w:p>
    <w:p>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r>
        <w:rPr>
          <w:rFonts w:ascii="宋体" w:hAnsi="宋体"/>
          <w:bCs/>
          <w:color w:val="000000"/>
          <w:sz w:val="28"/>
          <w:szCs w:val="28"/>
        </w:rPr>
        <w:t xml:space="preserve"> </w:t>
      </w:r>
    </w:p>
    <w:p>
      <w:pPr>
        <w:snapToGrid w:val="0"/>
        <w:spacing w:before="120" w:beforeLines="50" w:after="50" w:line="360" w:lineRule="auto"/>
        <w:ind w:firstLine="560" w:firstLineChars="200"/>
        <w:rPr>
          <w:rFonts w:hint="eastAsia" w:ascii="宋体" w:hAnsi="宋体"/>
          <w:bCs/>
          <w:color w:val="000000"/>
          <w:sz w:val="28"/>
          <w:szCs w:val="28"/>
        </w:rPr>
      </w:pPr>
      <w:r>
        <w:rPr>
          <w:rFonts w:ascii="宋体" w:hAnsi="宋体"/>
          <w:bCs/>
          <w:color w:val="000000"/>
          <w:sz w:val="28"/>
          <w:szCs w:val="28"/>
        </w:rPr>
        <w:t xml:space="preserve">     </w:t>
      </w:r>
      <w:r>
        <w:rPr>
          <w:rFonts w:hint="eastAsia" w:ascii="宋体" w:hAnsi="宋体"/>
          <w:bCs/>
          <w:color w:val="000000"/>
          <w:sz w:val="28"/>
          <w:szCs w:val="28"/>
        </w:rPr>
        <w:t>项目编号：</w:t>
      </w:r>
      <w:r>
        <w:rPr>
          <w:rFonts w:ascii="宋体" w:hAnsi="宋体"/>
          <w:bCs/>
          <w:color w:val="000000"/>
          <w:sz w:val="28"/>
          <w:szCs w:val="28"/>
        </w:rPr>
        <w:t xml:space="preserve"> </w:t>
      </w:r>
    </w:p>
    <w:p>
      <w:pPr>
        <w:snapToGrid w:val="0"/>
        <w:spacing w:before="120" w:beforeLines="50" w:after="50" w:line="360" w:lineRule="auto"/>
        <w:ind w:firstLine="560" w:firstLineChars="200"/>
        <w:rPr>
          <w:rFonts w:hint="eastAsia" w:ascii="宋体" w:hAnsi="宋体"/>
          <w:bCs/>
          <w:color w:val="000000"/>
          <w:sz w:val="28"/>
          <w:szCs w:val="28"/>
        </w:rPr>
      </w:pPr>
      <w:r>
        <w:rPr>
          <w:rFonts w:hint="eastAsia" w:ascii="宋体" w:hAnsi="宋体"/>
          <w:bCs/>
          <w:color w:val="000000"/>
          <w:sz w:val="28"/>
          <w:szCs w:val="28"/>
        </w:rPr>
        <w:t xml:space="preserve">     招标内容：</w:t>
      </w: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ascii="宋体" w:hAnsi="宋体"/>
          <w:bCs/>
          <w:color w:val="000000"/>
          <w:sz w:val="28"/>
          <w:szCs w:val="28"/>
        </w:rPr>
      </w:pPr>
      <w:r>
        <w:rPr>
          <w:rFonts w:hint="eastAsia" w:ascii="宋体" w:hAnsi="宋体"/>
          <w:bCs/>
          <w:color w:val="000000"/>
          <w:sz w:val="28"/>
          <w:szCs w:val="28"/>
        </w:rPr>
        <w:t>投标人名称：（盖章）</w:t>
      </w:r>
    </w:p>
    <w:p>
      <w:pPr>
        <w:pStyle w:val="9"/>
        <w:snapToGrid w:val="0"/>
        <w:spacing w:before="50" w:after="50" w:line="360" w:lineRule="auto"/>
        <w:ind w:firstLine="1260" w:firstLineChars="450"/>
        <w:rPr>
          <w:rFonts w:ascii="宋体" w:hAnsi="宋体"/>
          <w:bCs/>
          <w:color w:val="000000"/>
          <w:sz w:val="28"/>
          <w:szCs w:val="28"/>
        </w:rPr>
      </w:pPr>
      <w:r>
        <w:rPr>
          <w:rFonts w:hint="eastAsia" w:ascii="宋体" w:hAnsi="宋体"/>
          <w:bCs/>
          <w:color w:val="000000"/>
          <w:sz w:val="28"/>
          <w:szCs w:val="28"/>
        </w:rPr>
        <w:t>投标人地址：</w:t>
      </w:r>
    </w:p>
    <w:p>
      <w:pPr>
        <w:pStyle w:val="9"/>
        <w:snapToGrid w:val="0"/>
        <w:spacing w:before="50" w:after="50" w:line="360" w:lineRule="auto"/>
        <w:ind w:firstLine="1260" w:firstLineChars="450"/>
        <w:rPr>
          <w:rFonts w:ascii="宋体" w:hAnsi="宋体"/>
          <w:bCs/>
          <w:color w:val="000000"/>
          <w:sz w:val="28"/>
          <w:szCs w:val="28"/>
        </w:rPr>
      </w:pPr>
      <w:r>
        <w:rPr>
          <w:rFonts w:hint="eastAsia" w:ascii="宋体" w:hAnsi="宋体"/>
          <w:bCs/>
          <w:color w:val="000000"/>
          <w:sz w:val="28"/>
          <w:szCs w:val="28"/>
        </w:rPr>
        <w:t>在</w:t>
      </w:r>
      <w:r>
        <w:rPr>
          <w:rFonts w:ascii="宋体" w:hAnsi="宋体"/>
          <w:bCs/>
          <w:color w:val="000000"/>
          <w:sz w:val="28"/>
          <w:szCs w:val="28"/>
        </w:rPr>
        <w:t xml:space="preserve">  </w:t>
      </w:r>
      <w:r>
        <w:rPr>
          <w:rFonts w:hint="eastAsia" w:ascii="宋体" w:hAnsi="宋体"/>
          <w:bCs/>
          <w:color w:val="000000"/>
          <w:sz w:val="28"/>
          <w:szCs w:val="28"/>
        </w:rPr>
        <w:t>年</w:t>
      </w:r>
      <w:r>
        <w:rPr>
          <w:rFonts w:ascii="宋体" w:hAnsi="宋体"/>
          <w:bCs/>
          <w:color w:val="000000"/>
          <w:sz w:val="28"/>
          <w:szCs w:val="28"/>
        </w:rPr>
        <w:t xml:space="preserve">  </w:t>
      </w:r>
      <w:r>
        <w:rPr>
          <w:rFonts w:hint="eastAsia" w:ascii="宋体" w:hAnsi="宋体"/>
          <w:bCs/>
          <w:color w:val="000000"/>
          <w:sz w:val="28"/>
          <w:szCs w:val="28"/>
        </w:rPr>
        <w:t>月</w:t>
      </w:r>
      <w:r>
        <w:rPr>
          <w:rFonts w:ascii="宋体" w:hAnsi="宋体"/>
          <w:bCs/>
          <w:color w:val="000000"/>
          <w:sz w:val="28"/>
          <w:szCs w:val="28"/>
        </w:rPr>
        <w:t xml:space="preserve">  </w:t>
      </w:r>
      <w:r>
        <w:rPr>
          <w:rFonts w:hint="eastAsia" w:ascii="宋体" w:hAnsi="宋体"/>
          <w:bCs/>
          <w:color w:val="000000"/>
          <w:sz w:val="28"/>
          <w:szCs w:val="28"/>
        </w:rPr>
        <w:t>日</w:t>
      </w:r>
      <w:r>
        <w:rPr>
          <w:rFonts w:ascii="宋体" w:hAnsi="宋体"/>
          <w:bCs/>
          <w:color w:val="000000"/>
          <w:sz w:val="28"/>
          <w:szCs w:val="28"/>
        </w:rPr>
        <w:t xml:space="preserve">  </w:t>
      </w:r>
      <w:r>
        <w:rPr>
          <w:rFonts w:hint="eastAsia" w:ascii="宋体" w:hAnsi="宋体"/>
          <w:bCs/>
          <w:color w:val="000000"/>
          <w:sz w:val="28"/>
          <w:szCs w:val="28"/>
        </w:rPr>
        <w:t>时</w:t>
      </w:r>
      <w:r>
        <w:rPr>
          <w:rFonts w:ascii="宋体" w:hAnsi="宋体"/>
          <w:bCs/>
          <w:color w:val="000000"/>
          <w:sz w:val="28"/>
          <w:szCs w:val="28"/>
        </w:rPr>
        <w:t xml:space="preserve">  </w:t>
      </w:r>
      <w:r>
        <w:rPr>
          <w:rFonts w:hint="eastAsia" w:ascii="宋体" w:hAnsi="宋体"/>
          <w:bCs/>
          <w:color w:val="000000"/>
          <w:sz w:val="28"/>
          <w:szCs w:val="28"/>
        </w:rPr>
        <w:t>分之前不得启封</w:t>
      </w:r>
    </w:p>
    <w:p>
      <w:pPr>
        <w:pStyle w:val="9"/>
        <w:snapToGrid w:val="0"/>
        <w:spacing w:before="50" w:after="50" w:line="360" w:lineRule="auto"/>
        <w:ind w:firstLine="1164" w:firstLineChars="416"/>
        <w:rPr>
          <w:rFonts w:ascii="宋体" w:hAnsi="宋体"/>
          <w:color w:val="000000"/>
          <w:sz w:val="28"/>
          <w:szCs w:val="28"/>
        </w:rPr>
      </w:pPr>
    </w:p>
    <w:p>
      <w:pPr>
        <w:snapToGrid w:val="0"/>
        <w:spacing w:before="120" w:beforeLines="50" w:after="50" w:line="360" w:lineRule="auto"/>
        <w:ind w:firstLine="645"/>
        <w:rPr>
          <w:rFonts w:ascii="宋体" w:hAnsi="宋体"/>
          <w:color w:val="000000"/>
          <w:sz w:val="24"/>
          <w:szCs w:val="20"/>
        </w:rPr>
      </w:pPr>
      <w:r>
        <w:rPr>
          <w:rFonts w:ascii="宋体" w:hAnsi="宋体"/>
          <w:color w:val="000000"/>
          <w:sz w:val="28"/>
          <w:szCs w:val="28"/>
        </w:rPr>
        <w:t xml:space="preserve">                        </w:t>
      </w: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p>
      <w:pPr>
        <w:snapToGrid w:val="0"/>
        <w:spacing w:before="120" w:beforeLines="50" w:after="50" w:line="360" w:lineRule="auto"/>
        <w:rPr>
          <w:rFonts w:ascii="宋体" w:hAnsi="宋体"/>
          <w:b/>
          <w:color w:val="000000"/>
          <w:sz w:val="24"/>
          <w:szCs w:val="20"/>
        </w:rPr>
      </w:pPr>
      <w:r>
        <w:rPr>
          <w:rFonts w:hint="eastAsia" w:ascii="宋体" w:hAnsi="宋体"/>
          <w:b/>
          <w:color w:val="000000"/>
          <w:sz w:val="24"/>
        </w:rPr>
        <w:br w:type="page"/>
      </w:r>
      <w:r>
        <w:rPr>
          <w:rFonts w:hint="eastAsia" w:ascii="宋体" w:hAnsi="宋体"/>
          <w:b/>
          <w:color w:val="000000"/>
          <w:sz w:val="24"/>
        </w:rPr>
        <w:t>2. 资格证明/商务技术/报价</w:t>
      </w:r>
      <w:r>
        <w:rPr>
          <w:rFonts w:hint="eastAsia" w:ascii="宋体" w:hAnsi="宋体"/>
          <w:b/>
          <w:bCs/>
          <w:color w:val="000000"/>
          <w:sz w:val="24"/>
        </w:rPr>
        <w:t>文件</w:t>
      </w:r>
      <w:r>
        <w:rPr>
          <w:rFonts w:hint="eastAsia" w:ascii="宋体" w:hAnsi="宋体"/>
          <w:b/>
          <w:color w:val="000000"/>
          <w:sz w:val="24"/>
        </w:rPr>
        <w:t>封面格式</w:t>
      </w:r>
      <w:r>
        <w:rPr>
          <w:rFonts w:ascii="宋体" w:hAnsi="宋体"/>
          <w:b/>
          <w:color w:val="000000"/>
          <w:sz w:val="24"/>
        </w:rPr>
        <w:t xml:space="preserve"> </w:t>
      </w:r>
    </w:p>
    <w:p>
      <w:pPr>
        <w:snapToGrid w:val="0"/>
        <w:spacing w:before="120" w:beforeLines="50" w:after="50" w:line="360" w:lineRule="auto"/>
        <w:rPr>
          <w:rFonts w:ascii="宋体" w:hAnsi="宋体"/>
          <w:b/>
          <w:bCs/>
          <w:color w:val="000000"/>
          <w:sz w:val="32"/>
          <w:szCs w:val="20"/>
        </w:rPr>
      </w:pPr>
      <w:r>
        <w:rPr>
          <w:rFonts w:ascii="宋体" w:hAnsi="宋体"/>
          <w:color w:val="000000"/>
          <w:sz w:val="24"/>
        </w:rPr>
        <w:t xml:space="preserve">                                                    </w:t>
      </w:r>
      <w:r>
        <w:rPr>
          <w:rFonts w:hint="eastAsia" w:ascii="宋体" w:hAnsi="宋体"/>
          <w:b/>
          <w:bCs/>
          <w:color w:val="000000"/>
        </w:rPr>
        <w:t>正本</w:t>
      </w:r>
      <w:r>
        <w:rPr>
          <w:rFonts w:ascii="宋体" w:hAnsi="宋体"/>
          <w:b/>
          <w:bCs/>
          <w:color w:val="000000"/>
        </w:rPr>
        <w:t>/</w:t>
      </w:r>
      <w:r>
        <w:rPr>
          <w:rFonts w:hint="eastAsia" w:ascii="宋体" w:hAnsi="宋体"/>
          <w:b/>
          <w:bCs/>
          <w:color w:val="000000"/>
        </w:rPr>
        <w:t>副本</w:t>
      </w:r>
    </w:p>
    <w:p>
      <w:pPr>
        <w:snapToGrid w:val="0"/>
        <w:spacing w:before="120" w:beforeLines="50" w:after="50" w:line="360" w:lineRule="auto"/>
        <w:jc w:val="center"/>
        <w:rPr>
          <w:rFonts w:ascii="宋体" w:hAnsi="宋体"/>
          <w:bCs/>
          <w:color w:val="000000"/>
          <w:sz w:val="24"/>
          <w:szCs w:val="20"/>
        </w:rPr>
      </w:pPr>
    </w:p>
    <w:p>
      <w:pPr>
        <w:snapToGrid w:val="0"/>
        <w:spacing w:before="120" w:beforeLines="50" w:after="50" w:line="360" w:lineRule="auto"/>
        <w:jc w:val="center"/>
        <w:rPr>
          <w:rFonts w:ascii="宋体" w:hAnsi="宋体"/>
          <w:b/>
          <w:bCs/>
          <w:color w:val="000000"/>
          <w:sz w:val="52"/>
          <w:szCs w:val="52"/>
        </w:rPr>
      </w:pPr>
      <w:r>
        <w:rPr>
          <w:rFonts w:hint="eastAsia" w:ascii="宋体" w:hAnsi="宋体"/>
          <w:b/>
          <w:bCs/>
          <w:color w:val="000000"/>
          <w:sz w:val="52"/>
          <w:szCs w:val="52"/>
        </w:rPr>
        <w:t>资格证明/商务技术/报价文件</w:t>
      </w:r>
    </w:p>
    <w:p>
      <w:pPr>
        <w:snapToGrid w:val="0"/>
        <w:spacing w:before="120" w:beforeLines="50" w:after="50" w:line="360" w:lineRule="auto"/>
        <w:rPr>
          <w:rFonts w:ascii="宋体" w:hAnsi="宋体"/>
          <w:bCs/>
          <w:color w:val="000000"/>
          <w:sz w:val="24"/>
          <w:szCs w:val="20"/>
        </w:rPr>
      </w:pPr>
    </w:p>
    <w:p>
      <w:pPr>
        <w:snapToGrid w:val="0"/>
        <w:spacing w:before="120" w:beforeLines="50" w:after="50" w:line="360" w:lineRule="auto"/>
        <w:ind w:firstLine="1246" w:firstLineChars="445"/>
        <w:rPr>
          <w:rFonts w:ascii="宋体" w:hAnsi="宋体"/>
          <w:bCs/>
          <w:color w:val="000000"/>
          <w:sz w:val="28"/>
          <w:szCs w:val="28"/>
        </w:rPr>
      </w:pPr>
      <w:r>
        <w:rPr>
          <w:rFonts w:hint="eastAsia" w:ascii="宋体" w:hAnsi="宋体"/>
          <w:bCs/>
          <w:color w:val="000000"/>
          <w:sz w:val="28"/>
          <w:szCs w:val="28"/>
        </w:rPr>
        <w:t>项目名称：</w:t>
      </w:r>
    </w:p>
    <w:p>
      <w:pPr>
        <w:snapToGrid w:val="0"/>
        <w:spacing w:before="120" w:beforeLines="50" w:after="50" w:line="360" w:lineRule="auto"/>
        <w:ind w:firstLine="560" w:firstLineChars="200"/>
        <w:rPr>
          <w:rFonts w:hint="eastAsia" w:ascii="宋体" w:hAnsi="宋体"/>
          <w:bCs/>
          <w:color w:val="000000"/>
          <w:sz w:val="28"/>
          <w:szCs w:val="28"/>
        </w:rPr>
      </w:pPr>
      <w:r>
        <w:rPr>
          <w:rFonts w:ascii="宋体" w:hAnsi="宋体"/>
          <w:bCs/>
          <w:color w:val="000000"/>
          <w:sz w:val="28"/>
          <w:szCs w:val="28"/>
        </w:rPr>
        <w:t xml:space="preserve">     </w:t>
      </w:r>
      <w:r>
        <w:rPr>
          <w:rFonts w:hint="eastAsia" w:ascii="宋体" w:hAnsi="宋体"/>
          <w:bCs/>
          <w:color w:val="000000"/>
          <w:sz w:val="28"/>
          <w:szCs w:val="28"/>
        </w:rPr>
        <w:t>项目编号：</w:t>
      </w:r>
    </w:p>
    <w:p>
      <w:pPr>
        <w:snapToGrid w:val="0"/>
        <w:spacing w:before="120" w:beforeLines="50" w:after="50" w:line="360" w:lineRule="auto"/>
        <w:ind w:firstLine="560" w:firstLineChars="200"/>
        <w:rPr>
          <w:rFonts w:hint="eastAsia" w:ascii="宋体" w:hAnsi="宋体"/>
          <w:bCs/>
          <w:color w:val="000000"/>
          <w:sz w:val="28"/>
          <w:szCs w:val="28"/>
        </w:rPr>
      </w:pPr>
      <w:r>
        <w:rPr>
          <w:rFonts w:ascii="宋体" w:hAnsi="宋体"/>
          <w:bCs/>
          <w:color w:val="000000"/>
          <w:sz w:val="28"/>
          <w:szCs w:val="28"/>
        </w:rPr>
        <w:t xml:space="preserve">     </w:t>
      </w:r>
      <w:r>
        <w:rPr>
          <w:rFonts w:hint="eastAsia" w:ascii="宋体" w:hAnsi="宋体"/>
          <w:bCs/>
          <w:color w:val="000000"/>
          <w:sz w:val="28"/>
          <w:szCs w:val="28"/>
        </w:rPr>
        <w:t>招标内容：</w:t>
      </w: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hint="eastAsia" w:ascii="宋体" w:hAnsi="宋体"/>
          <w:bCs/>
          <w:color w:val="000000"/>
          <w:sz w:val="28"/>
          <w:szCs w:val="28"/>
        </w:rPr>
      </w:pPr>
    </w:p>
    <w:p>
      <w:pPr>
        <w:pStyle w:val="9"/>
        <w:snapToGrid w:val="0"/>
        <w:spacing w:before="50" w:after="50" w:line="360" w:lineRule="auto"/>
        <w:ind w:firstLine="1260" w:firstLineChars="450"/>
        <w:rPr>
          <w:rFonts w:ascii="宋体" w:hAnsi="宋体"/>
          <w:bCs/>
          <w:color w:val="000000"/>
          <w:sz w:val="28"/>
          <w:szCs w:val="28"/>
        </w:rPr>
      </w:pPr>
      <w:r>
        <w:rPr>
          <w:rFonts w:hint="eastAsia" w:ascii="宋体" w:hAnsi="宋体"/>
          <w:bCs/>
          <w:color w:val="000000"/>
          <w:sz w:val="28"/>
          <w:szCs w:val="28"/>
        </w:rPr>
        <w:t>投标人名称：（盖章）</w:t>
      </w:r>
    </w:p>
    <w:p>
      <w:pPr>
        <w:pStyle w:val="9"/>
        <w:snapToGrid w:val="0"/>
        <w:spacing w:before="50" w:after="50" w:line="360" w:lineRule="auto"/>
        <w:ind w:firstLine="1260" w:firstLineChars="450"/>
        <w:rPr>
          <w:rFonts w:ascii="宋体" w:hAnsi="宋体"/>
          <w:bCs/>
          <w:color w:val="000000"/>
          <w:sz w:val="28"/>
          <w:szCs w:val="28"/>
        </w:rPr>
      </w:pPr>
      <w:r>
        <w:rPr>
          <w:rFonts w:hint="eastAsia" w:ascii="宋体" w:hAnsi="宋体"/>
          <w:bCs/>
          <w:color w:val="000000"/>
          <w:sz w:val="28"/>
          <w:szCs w:val="28"/>
        </w:rPr>
        <w:t>投标人地址：</w:t>
      </w:r>
    </w:p>
    <w:p>
      <w:pPr>
        <w:snapToGrid w:val="0"/>
        <w:spacing w:before="120" w:beforeLines="50" w:after="50" w:line="360" w:lineRule="auto"/>
        <w:ind w:firstLine="645"/>
        <w:jc w:val="center"/>
        <w:rPr>
          <w:rFonts w:hint="eastAsia" w:ascii="宋体" w:hAnsi="宋体"/>
          <w:color w:val="000000"/>
          <w:sz w:val="28"/>
          <w:szCs w:val="28"/>
        </w:rPr>
      </w:pPr>
      <w:r>
        <w:rPr>
          <w:rFonts w:ascii="宋体" w:hAnsi="宋体"/>
          <w:color w:val="000000"/>
          <w:sz w:val="28"/>
          <w:szCs w:val="28"/>
        </w:rPr>
        <w:t xml:space="preserve">                        </w:t>
      </w:r>
    </w:p>
    <w:p>
      <w:pPr>
        <w:snapToGrid w:val="0"/>
        <w:spacing w:before="120" w:beforeLines="50" w:after="50" w:line="360" w:lineRule="auto"/>
        <w:ind w:firstLine="645"/>
        <w:jc w:val="center"/>
        <w:rPr>
          <w:rFonts w:ascii="宋体" w:hAnsi="宋体"/>
          <w:color w:val="000000"/>
          <w:sz w:val="24"/>
          <w:szCs w:val="20"/>
        </w:rPr>
      </w:pPr>
      <w:r>
        <w:rPr>
          <w:rFonts w:hint="eastAsia" w:ascii="宋体" w:hAnsi="宋体"/>
          <w:color w:val="000000"/>
          <w:sz w:val="28"/>
          <w:szCs w:val="28"/>
        </w:rPr>
        <w:t>年</w:t>
      </w:r>
      <w:r>
        <w:rPr>
          <w:rFonts w:ascii="宋体" w:hAnsi="宋体"/>
          <w:color w:val="000000"/>
          <w:sz w:val="28"/>
          <w:szCs w:val="28"/>
        </w:rPr>
        <w:t xml:space="preserve">  </w:t>
      </w:r>
      <w:r>
        <w:rPr>
          <w:rFonts w:hint="eastAsia" w:ascii="宋体" w:hAnsi="宋体"/>
          <w:color w:val="000000"/>
          <w:sz w:val="28"/>
          <w:szCs w:val="28"/>
        </w:rPr>
        <w:t>月</w:t>
      </w:r>
      <w:r>
        <w:rPr>
          <w:rFonts w:ascii="宋体" w:hAnsi="宋体"/>
          <w:color w:val="000000"/>
          <w:sz w:val="28"/>
          <w:szCs w:val="28"/>
        </w:rPr>
        <w:t xml:space="preserve">  </w:t>
      </w:r>
      <w:r>
        <w:rPr>
          <w:rFonts w:hint="eastAsia" w:ascii="宋体" w:hAnsi="宋体"/>
          <w:color w:val="000000"/>
          <w:sz w:val="28"/>
          <w:szCs w:val="28"/>
        </w:rPr>
        <w:t>日</w:t>
      </w:r>
    </w:p>
    <w:p>
      <w:pPr>
        <w:snapToGrid w:val="0"/>
        <w:spacing w:before="120" w:beforeLines="50" w:line="360" w:lineRule="auto"/>
        <w:jc w:val="left"/>
        <w:rPr>
          <w:rFonts w:ascii="宋体" w:hAnsi="宋体"/>
          <w:color w:val="000000"/>
        </w:rPr>
      </w:pPr>
      <w:r>
        <w:rPr>
          <w:rFonts w:ascii="宋体" w:hAnsi="宋体"/>
          <w:color w:val="000000"/>
        </w:rPr>
        <w:br w:type="page"/>
      </w:r>
    </w:p>
    <w:p>
      <w:pPr>
        <w:autoSpaceDE w:val="0"/>
        <w:autoSpaceDN w:val="0"/>
        <w:adjustRightInd w:val="0"/>
        <w:spacing w:line="360" w:lineRule="auto"/>
        <w:rPr>
          <w:rFonts w:hint="eastAsia" w:ascii="宋体" w:hAnsi="宋体" w:cs="宋体"/>
          <w:b/>
          <w:color w:val="000000"/>
          <w:szCs w:val="21"/>
        </w:rPr>
      </w:pPr>
      <w:r>
        <w:rPr>
          <w:rFonts w:hint="eastAsia" w:ascii="宋体" w:hAnsi="宋体" w:cs="宋体"/>
          <w:b/>
          <w:color w:val="000000"/>
          <w:szCs w:val="21"/>
        </w:rPr>
        <w:t>（顺序不做强制要求；未提供各式的，可自行提供）</w:t>
      </w:r>
    </w:p>
    <w:p>
      <w:pPr>
        <w:pStyle w:val="16"/>
        <w:snapToGrid w:val="0"/>
        <w:spacing w:before="120" w:after="120" w:line="360" w:lineRule="auto"/>
        <w:jc w:val="center"/>
        <w:rPr>
          <w:rFonts w:hint="eastAsia" w:hAnsi="宋体" w:cs="宋体"/>
          <w:b/>
          <w:snapToGrid w:val="0"/>
          <w:color w:val="000000"/>
          <w:sz w:val="28"/>
          <w:szCs w:val="28"/>
        </w:rPr>
      </w:pPr>
      <w:r>
        <w:rPr>
          <w:rFonts w:hint="eastAsia" w:hAnsi="宋体" w:cs="宋体"/>
          <w:b/>
          <w:snapToGrid w:val="0"/>
          <w:color w:val="000000"/>
          <w:sz w:val="28"/>
          <w:szCs w:val="28"/>
        </w:rPr>
        <w:t>评分索引表</w:t>
      </w:r>
    </w:p>
    <w:tbl>
      <w:tblPr>
        <w:tblStyle w:val="2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5"/>
        <w:gridCol w:w="4236"/>
        <w:gridCol w:w="1667"/>
        <w:gridCol w:w="1346"/>
        <w:gridCol w:w="10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r>
              <w:rPr>
                <w:rFonts w:hint="eastAsia" w:ascii="宋体" w:hAnsi="宋体" w:eastAsia="宋体" w:cs="宋体"/>
                <w:b/>
                <w:snapToGrid w:val="0"/>
                <w:color w:val="000000"/>
                <w:kern w:val="0"/>
                <w:szCs w:val="21"/>
              </w:rPr>
              <w:t>序号</w:t>
            </w:r>
          </w:p>
        </w:tc>
        <w:tc>
          <w:tcPr>
            <w:tcW w:w="423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r>
              <w:rPr>
                <w:rFonts w:hint="eastAsia" w:ascii="宋体" w:hAnsi="宋体" w:eastAsia="宋体" w:cs="宋体"/>
                <w:b/>
                <w:snapToGrid w:val="0"/>
                <w:color w:val="000000"/>
                <w:kern w:val="0"/>
                <w:szCs w:val="21"/>
              </w:rPr>
              <w:t>评分细则内容</w:t>
            </w: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r>
              <w:rPr>
                <w:rFonts w:hint="eastAsia" w:ascii="宋体" w:hAnsi="宋体" w:eastAsia="宋体" w:cs="宋体"/>
                <w:b/>
                <w:snapToGrid w:val="0"/>
                <w:color w:val="000000"/>
                <w:kern w:val="0"/>
                <w:szCs w:val="21"/>
              </w:rPr>
              <w:t>投标响应情况</w:t>
            </w: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r>
              <w:rPr>
                <w:rFonts w:hint="eastAsia" w:ascii="宋体" w:hAnsi="宋体" w:eastAsia="宋体" w:cs="宋体"/>
                <w:b/>
                <w:snapToGrid w:val="0"/>
                <w:color w:val="000000"/>
                <w:kern w:val="0"/>
                <w:szCs w:val="21"/>
              </w:rPr>
              <w:t>证明材料所在页码</w:t>
            </w: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r>
              <w:rPr>
                <w:rFonts w:hint="eastAsia" w:ascii="宋体" w:hAnsi="宋体" w:eastAsia="宋体" w:cs="宋体"/>
                <w:b/>
                <w:snapToGrid w:val="0"/>
                <w:color w:val="000000"/>
                <w:kern w:val="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snapToGrid w:val="0"/>
                <w:color w:val="000000"/>
                <w:kern w:val="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45" w:type="dxa"/>
            <w:noWrap w:val="0"/>
            <w:vAlign w:val="center"/>
          </w:tcPr>
          <w:p>
            <w:pPr>
              <w:adjustRightInd w:val="0"/>
              <w:snapToGrid w:val="0"/>
              <w:spacing w:line="360" w:lineRule="auto"/>
              <w:jc w:val="center"/>
              <w:rPr>
                <w:rFonts w:hint="eastAsia" w:ascii="宋体" w:hAnsi="宋体" w:eastAsia="宋体" w:cs="宋体"/>
                <w:snapToGrid w:val="0"/>
                <w:color w:val="000000"/>
                <w:kern w:val="0"/>
                <w:szCs w:val="21"/>
              </w:rPr>
            </w:pPr>
          </w:p>
        </w:tc>
        <w:tc>
          <w:tcPr>
            <w:tcW w:w="4236" w:type="dxa"/>
            <w:noWrap w:val="0"/>
            <w:vAlign w:val="center"/>
          </w:tcPr>
          <w:p>
            <w:pPr>
              <w:adjustRightInd w:val="0"/>
              <w:snapToGrid w:val="0"/>
              <w:spacing w:line="360" w:lineRule="auto"/>
              <w:rPr>
                <w:rFonts w:hint="eastAsia" w:ascii="宋体" w:hAnsi="宋体" w:eastAsia="宋体" w:cs="宋体"/>
                <w:color w:val="000000"/>
                <w:szCs w:val="21"/>
              </w:rPr>
            </w:pPr>
          </w:p>
        </w:tc>
        <w:tc>
          <w:tcPr>
            <w:tcW w:w="1667"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346"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c>
          <w:tcPr>
            <w:tcW w:w="1044" w:type="dxa"/>
            <w:noWrap w:val="0"/>
            <w:vAlign w:val="center"/>
          </w:tcPr>
          <w:p>
            <w:pPr>
              <w:adjustRightInd w:val="0"/>
              <w:snapToGrid w:val="0"/>
              <w:spacing w:line="360" w:lineRule="auto"/>
              <w:jc w:val="center"/>
              <w:rPr>
                <w:rFonts w:hint="eastAsia" w:ascii="宋体" w:hAnsi="宋体" w:eastAsia="宋体" w:cs="宋体"/>
                <w:b/>
                <w:snapToGrid w:val="0"/>
                <w:color w:val="000000"/>
                <w:kern w:val="0"/>
                <w:szCs w:val="21"/>
              </w:rPr>
            </w:pPr>
          </w:p>
        </w:tc>
      </w:tr>
    </w:tbl>
    <w:p>
      <w:pPr>
        <w:autoSpaceDE w:val="0"/>
        <w:autoSpaceDN w:val="0"/>
        <w:adjustRightInd w:val="0"/>
        <w:spacing w:line="360" w:lineRule="auto"/>
        <w:rPr>
          <w:rFonts w:hint="eastAsia" w:ascii="宋体" w:hAnsi="宋体" w:cs="宋体"/>
          <w:b/>
          <w:color w:val="000000"/>
          <w:szCs w:val="21"/>
        </w:rPr>
        <w:sectPr>
          <w:pgSz w:w="11906" w:h="16838"/>
          <w:pgMar w:top="1247" w:right="1276" w:bottom="1089" w:left="1418" w:header="851" w:footer="992" w:gutter="0"/>
          <w:cols w:space="720" w:num="1"/>
          <w:docGrid w:linePitch="312" w:charSpace="0"/>
        </w:sectPr>
      </w:pPr>
    </w:p>
    <w:p>
      <w:pPr>
        <w:snapToGrid w:val="0"/>
        <w:spacing w:before="120" w:beforeLines="50" w:line="360" w:lineRule="auto"/>
        <w:jc w:val="left"/>
        <w:rPr>
          <w:rFonts w:hint="eastAsia" w:ascii="宋体" w:hAnsi="宋体"/>
          <w:b/>
          <w:color w:val="000000"/>
          <w:sz w:val="24"/>
        </w:rPr>
      </w:pPr>
      <w:r>
        <w:rPr>
          <w:rFonts w:hint="eastAsia" w:ascii="宋体" w:hAnsi="宋体"/>
          <w:b/>
          <w:color w:val="000000"/>
          <w:sz w:val="24"/>
        </w:rPr>
        <w:t>3.资格证明</w:t>
      </w:r>
      <w:r>
        <w:rPr>
          <w:rFonts w:ascii="宋体" w:hAnsi="宋体"/>
          <w:b/>
          <w:color w:val="000000"/>
          <w:sz w:val="24"/>
        </w:rPr>
        <w:t>文件：</w:t>
      </w:r>
    </w:p>
    <w:p>
      <w:pPr>
        <w:autoSpaceDE w:val="0"/>
        <w:autoSpaceDN w:val="0"/>
        <w:adjustRightInd w:val="0"/>
        <w:spacing w:line="360" w:lineRule="auto"/>
        <w:rPr>
          <w:rFonts w:hint="eastAsia" w:ascii="宋体" w:hAnsi="宋体" w:cs="宋体"/>
          <w:b/>
          <w:bCs/>
          <w:color w:val="000000"/>
          <w:szCs w:val="21"/>
        </w:rPr>
      </w:pPr>
      <w:r>
        <w:rPr>
          <w:rFonts w:hint="eastAsia" w:ascii="宋体" w:hAnsi="宋体" w:cs="宋体"/>
          <w:b/>
          <w:bCs/>
          <w:color w:val="000000"/>
          <w:szCs w:val="21"/>
        </w:rPr>
        <w:t>详见投标人须知。</w:t>
      </w:r>
    </w:p>
    <w:p>
      <w:pPr>
        <w:snapToGrid w:val="0"/>
        <w:spacing w:before="50" w:after="50" w:line="360" w:lineRule="auto"/>
        <w:rPr>
          <w:rFonts w:hint="eastAsia" w:ascii="宋体" w:hAnsi="宋体"/>
          <w:b/>
          <w:color w:val="000000"/>
          <w:sz w:val="24"/>
        </w:rPr>
      </w:pPr>
    </w:p>
    <w:p>
      <w:pPr>
        <w:snapToGrid w:val="0"/>
        <w:spacing w:before="50" w:after="50" w:line="360" w:lineRule="auto"/>
        <w:rPr>
          <w:rFonts w:hint="eastAsia" w:ascii="宋体" w:hAnsi="宋体"/>
          <w:b/>
          <w:bCs/>
          <w:color w:val="000000"/>
          <w:sz w:val="24"/>
        </w:rPr>
      </w:pPr>
      <w:r>
        <w:rPr>
          <w:rFonts w:hint="eastAsia" w:ascii="宋体" w:hAnsi="宋体"/>
          <w:b/>
          <w:color w:val="000000"/>
          <w:sz w:val="24"/>
        </w:rPr>
        <w:t>4.</w:t>
      </w:r>
      <w:r>
        <w:rPr>
          <w:rFonts w:hint="eastAsia" w:ascii="宋体" w:hAnsi="宋体"/>
          <w:b/>
          <w:bCs/>
          <w:color w:val="000000"/>
          <w:sz w:val="24"/>
        </w:rPr>
        <w:t>商务技术文件目录</w:t>
      </w:r>
    </w:p>
    <w:p>
      <w:pPr>
        <w:autoSpaceDE w:val="0"/>
        <w:autoSpaceDN w:val="0"/>
        <w:adjustRightInd w:val="0"/>
        <w:spacing w:line="360" w:lineRule="auto"/>
        <w:rPr>
          <w:rFonts w:hint="eastAsia" w:ascii="宋体" w:hAnsi="宋体" w:cs="宋体"/>
          <w:b/>
          <w:bCs/>
          <w:color w:val="000000"/>
          <w:szCs w:val="21"/>
        </w:rPr>
      </w:pPr>
      <w:r>
        <w:rPr>
          <w:rFonts w:hint="eastAsia" w:ascii="宋体" w:hAnsi="宋体" w:cs="宋体"/>
          <w:b/>
          <w:bCs/>
          <w:color w:val="000000"/>
          <w:szCs w:val="21"/>
        </w:rPr>
        <w:t>详见投标人须知。</w:t>
      </w:r>
    </w:p>
    <w:p>
      <w:pPr>
        <w:snapToGrid w:val="0"/>
        <w:spacing w:before="50" w:after="120" w:afterLines="50" w:line="360" w:lineRule="auto"/>
        <w:jc w:val="left"/>
        <w:rPr>
          <w:rFonts w:ascii="宋体" w:hAnsi="宋体"/>
          <w:b/>
          <w:color w:val="000000"/>
          <w:sz w:val="24"/>
          <w:szCs w:val="20"/>
        </w:rPr>
      </w:pPr>
      <w:r>
        <w:rPr>
          <w:rFonts w:ascii="宋体" w:hAnsi="宋体"/>
          <w:i/>
          <w:color w:val="000000"/>
          <w:sz w:val="24"/>
        </w:rPr>
        <w:br w:type="page"/>
      </w:r>
      <w:r>
        <w:rPr>
          <w:rFonts w:hint="eastAsia" w:ascii="宋体" w:hAnsi="宋体"/>
          <w:b/>
          <w:color w:val="000000"/>
          <w:sz w:val="24"/>
        </w:rPr>
        <w:t>5.投标声明书格式</w:t>
      </w:r>
    </w:p>
    <w:p>
      <w:pPr>
        <w:snapToGrid w:val="0"/>
        <w:spacing w:before="120" w:beforeLines="50" w:after="50" w:line="360" w:lineRule="auto"/>
        <w:jc w:val="center"/>
        <w:rPr>
          <w:rFonts w:ascii="宋体" w:hAnsi="宋体"/>
          <w:b/>
          <w:color w:val="000000"/>
          <w:sz w:val="24"/>
          <w:szCs w:val="20"/>
        </w:rPr>
      </w:pPr>
      <w:r>
        <w:rPr>
          <w:rFonts w:hint="eastAsia" w:ascii="宋体" w:hAnsi="宋体"/>
          <w:b/>
          <w:color w:val="000000"/>
          <w:sz w:val="30"/>
        </w:rPr>
        <w:t>投标声明书</w:t>
      </w:r>
    </w:p>
    <w:p>
      <w:pPr>
        <w:snapToGrid w:val="0"/>
        <w:spacing w:before="120" w:beforeLines="50" w:after="50" w:line="400" w:lineRule="exact"/>
        <w:rPr>
          <w:rFonts w:ascii="宋体" w:hAnsi="宋体"/>
          <w:color w:val="000000"/>
          <w:sz w:val="24"/>
          <w:szCs w:val="20"/>
        </w:rPr>
      </w:pPr>
      <w:r>
        <w:rPr>
          <w:rFonts w:hint="eastAsia" w:ascii="宋体" w:hAnsi="宋体"/>
          <w:color w:val="000000"/>
          <w:sz w:val="24"/>
        </w:rPr>
        <w:t>致：</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w:t>
      </w:r>
    </w:p>
    <w:p>
      <w:pPr>
        <w:snapToGrid w:val="0"/>
        <w:spacing w:before="120" w:beforeLines="50" w:after="50" w:line="400" w:lineRule="exact"/>
        <w:ind w:firstLine="720" w:firstLineChars="300"/>
        <w:rPr>
          <w:rFonts w:ascii="宋体" w:hAnsi="宋体"/>
          <w:color w:val="000000"/>
          <w:sz w:val="24"/>
          <w:szCs w:val="20"/>
        </w:rPr>
      </w:pP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（投标人名称）系中华人民共和国合法企业，经营地址</w:t>
      </w:r>
      <w:r>
        <w:rPr>
          <w:rFonts w:ascii="宋体" w:hAnsi="宋体"/>
          <w:color w:val="000000"/>
          <w:sz w:val="24"/>
          <w:u w:val="single"/>
        </w:rPr>
        <w:t xml:space="preserve">                               </w:t>
      </w:r>
      <w:r>
        <w:rPr>
          <w:rFonts w:hint="eastAsia" w:ascii="宋体" w:hAnsi="宋体"/>
          <w:color w:val="000000"/>
          <w:sz w:val="24"/>
        </w:rPr>
        <w:t>。</w:t>
      </w:r>
    </w:p>
    <w:p>
      <w:pPr>
        <w:snapToGrid w:val="0"/>
        <w:spacing w:before="120" w:beforeLines="50" w:after="50" w:line="400" w:lineRule="exact"/>
        <w:ind w:firstLine="480" w:firstLineChars="200"/>
        <w:rPr>
          <w:rFonts w:ascii="宋体" w:hAnsi="宋体"/>
          <w:color w:val="000000"/>
          <w:sz w:val="24"/>
          <w:szCs w:val="20"/>
        </w:rPr>
      </w:pPr>
      <w:r>
        <w:rPr>
          <w:rFonts w:hint="eastAsia" w:ascii="宋体" w:hAnsi="宋体"/>
          <w:color w:val="000000"/>
          <w:sz w:val="24"/>
        </w:rPr>
        <w:t>我</w:t>
      </w:r>
      <w:r>
        <w:rPr>
          <w:rFonts w:ascii="宋体" w:hAnsi="宋体"/>
          <w:color w:val="000000"/>
          <w:sz w:val="24"/>
        </w:rPr>
        <w:t>___</w:t>
      </w:r>
      <w:r>
        <w:rPr>
          <w:rFonts w:ascii="宋体" w:hAnsi="宋体"/>
          <w:color w:val="000000"/>
          <w:sz w:val="24"/>
          <w:u w:val="single"/>
        </w:rPr>
        <w:t xml:space="preserve">    _</w:t>
      </w:r>
      <w:r>
        <w:rPr>
          <w:rFonts w:ascii="宋体" w:hAnsi="宋体"/>
          <w:color w:val="000000"/>
          <w:sz w:val="24"/>
        </w:rPr>
        <w:t>_</w:t>
      </w:r>
      <w:r>
        <w:rPr>
          <w:rFonts w:hint="eastAsia" w:ascii="宋体" w:hAnsi="宋体"/>
          <w:color w:val="000000"/>
          <w:sz w:val="24"/>
        </w:rPr>
        <w:t>（姓名）系</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（投标人名称）的法定代表人，我方愿意参加贵方组织的</w:t>
      </w:r>
      <w:r>
        <w:rPr>
          <w:rFonts w:ascii="宋体" w:hAnsi="宋体"/>
          <w:color w:val="000000"/>
          <w:sz w:val="24"/>
        </w:rPr>
        <w:t>_____</w:t>
      </w:r>
      <w:r>
        <w:rPr>
          <w:rFonts w:ascii="宋体" w:hAnsi="宋体"/>
          <w:color w:val="000000"/>
          <w:sz w:val="24"/>
          <w:u w:val="single"/>
        </w:rPr>
        <w:t>_              _     _</w:t>
      </w:r>
      <w:r>
        <w:rPr>
          <w:rFonts w:ascii="宋体" w:hAnsi="宋体"/>
          <w:color w:val="000000"/>
          <w:sz w:val="24"/>
        </w:rPr>
        <w:t>_</w:t>
      </w:r>
      <w:r>
        <w:rPr>
          <w:rFonts w:hint="eastAsia" w:ascii="宋体" w:hAnsi="宋体"/>
          <w:color w:val="000000"/>
          <w:sz w:val="24"/>
        </w:rPr>
        <w:t>项目的投标，为便于贵方公正、择优地确定中标人及其投标产品和服务，我方就参加本次投标有关事项郑重声明如下：</w:t>
      </w:r>
    </w:p>
    <w:p>
      <w:pPr>
        <w:snapToGrid w:val="0"/>
        <w:spacing w:line="400" w:lineRule="exact"/>
        <w:ind w:firstLine="480" w:firstLineChars="200"/>
        <w:rPr>
          <w:rFonts w:ascii="宋体" w:hAnsi="宋体"/>
          <w:color w:val="000000"/>
          <w:sz w:val="24"/>
          <w:szCs w:val="20"/>
        </w:rPr>
      </w:pPr>
      <w:r>
        <w:rPr>
          <w:rFonts w:ascii="宋体" w:hAnsi="宋体"/>
          <w:color w:val="000000"/>
          <w:sz w:val="24"/>
        </w:rPr>
        <w:t>1</w:t>
      </w:r>
      <w:r>
        <w:rPr>
          <w:rFonts w:hint="eastAsia" w:ascii="宋体" w:hAnsi="宋体"/>
          <w:color w:val="000000"/>
          <w:sz w:val="24"/>
        </w:rPr>
        <w:t>.本投标有效期自开标日起</w:t>
      </w:r>
      <w:r>
        <w:rPr>
          <w:rFonts w:ascii="宋体" w:hAnsi="宋体"/>
          <w:color w:val="000000"/>
          <w:sz w:val="24"/>
        </w:rPr>
        <w:t xml:space="preserve"> ______</w:t>
      </w:r>
      <w:r>
        <w:rPr>
          <w:rFonts w:hint="eastAsia" w:ascii="宋体" w:hAnsi="宋体"/>
          <w:color w:val="000000"/>
          <w:sz w:val="24"/>
        </w:rPr>
        <w:t>日。</w:t>
      </w:r>
    </w:p>
    <w:p>
      <w:pPr>
        <w:snapToGrid w:val="0"/>
        <w:spacing w:line="400" w:lineRule="exact"/>
        <w:ind w:firstLine="480" w:firstLineChars="200"/>
        <w:rPr>
          <w:rFonts w:hint="eastAsia" w:ascii="宋体" w:hAnsi="宋体"/>
          <w:color w:val="000000"/>
          <w:sz w:val="24"/>
          <w:szCs w:val="20"/>
        </w:rPr>
      </w:pPr>
      <w:r>
        <w:rPr>
          <w:rFonts w:hint="eastAsia" w:ascii="宋体" w:hAnsi="宋体"/>
          <w:color w:val="000000"/>
          <w:sz w:val="24"/>
        </w:rPr>
        <w:t>2.</w:t>
      </w:r>
      <w:r>
        <w:rPr>
          <w:rFonts w:ascii="宋体" w:hAnsi="宋体"/>
          <w:color w:val="000000"/>
          <w:sz w:val="24"/>
        </w:rPr>
        <w:t>我方向贵方提交的所有投标文件、资料都是准确的和真实的</w:t>
      </w:r>
      <w:r>
        <w:rPr>
          <w:rFonts w:hint="eastAsia" w:ascii="宋体" w:hAnsi="宋体"/>
          <w:color w:val="000000"/>
          <w:sz w:val="24"/>
        </w:rPr>
        <w:t>。</w:t>
      </w:r>
    </w:p>
    <w:p>
      <w:pPr>
        <w:snapToGrid w:val="0"/>
        <w:spacing w:before="120" w:beforeLines="50" w:line="400" w:lineRule="exact"/>
        <w:ind w:firstLine="480" w:firstLineChars="200"/>
        <w:rPr>
          <w:rFonts w:hint="eastAsia" w:ascii="宋体" w:hAnsi="宋体"/>
          <w:color w:val="000000"/>
          <w:sz w:val="24"/>
        </w:rPr>
      </w:pPr>
      <w:r>
        <w:rPr>
          <w:rFonts w:hint="eastAsia" w:ascii="宋体" w:hAnsi="宋体"/>
          <w:color w:val="000000"/>
          <w:sz w:val="24"/>
        </w:rPr>
        <w:t>3.</w:t>
      </w:r>
      <w:r>
        <w:rPr>
          <w:rFonts w:ascii="宋体" w:hAnsi="宋体"/>
          <w:color w:val="000000"/>
          <w:sz w:val="24"/>
        </w:rPr>
        <w:t>我方不是采购人的附属机构；</w:t>
      </w:r>
    </w:p>
    <w:p>
      <w:pPr>
        <w:snapToGrid w:val="0"/>
        <w:spacing w:before="120" w:beforeLines="50" w:line="400" w:lineRule="exact"/>
        <w:ind w:firstLine="480" w:firstLineChars="200"/>
        <w:rPr>
          <w:rFonts w:hint="eastAsia" w:ascii="宋体" w:hAnsi="宋体"/>
          <w:color w:val="000000"/>
          <w:sz w:val="24"/>
        </w:rPr>
      </w:pPr>
      <w:r>
        <w:rPr>
          <w:rFonts w:hint="eastAsia" w:ascii="宋体" w:hAnsi="宋体"/>
          <w:color w:val="000000"/>
          <w:sz w:val="24"/>
        </w:rPr>
        <w:t>4.</w:t>
      </w:r>
      <w:r>
        <w:rPr>
          <w:rFonts w:ascii="宋体" w:hAnsi="宋体"/>
          <w:color w:val="000000"/>
          <w:sz w:val="24"/>
        </w:rPr>
        <w:t xml:space="preserve"> 我方</w:t>
      </w:r>
      <w:r>
        <w:rPr>
          <w:rFonts w:hint="eastAsia" w:ascii="宋体" w:hAnsi="宋体"/>
          <w:color w:val="000000"/>
          <w:sz w:val="24"/>
        </w:rPr>
        <w:t>参加本采购项目的整体设计、规范编制或者项目管理、监理、检测等服务情况：</w:t>
      </w:r>
      <w:r>
        <w:rPr>
          <w:rFonts w:hint="eastAsia" w:ascii="宋体" w:hAnsi="宋体"/>
          <w:color w:val="000000"/>
          <w:sz w:val="24"/>
          <w:u w:val="single"/>
        </w:rPr>
        <w:t>　　　　　　　　　　　　　　　　　　　　　　　　　　　</w:t>
      </w:r>
    </w:p>
    <w:p>
      <w:pPr>
        <w:snapToGrid w:val="0"/>
        <w:spacing w:before="120" w:beforeLines="50" w:line="400" w:lineRule="exact"/>
        <w:ind w:firstLine="480" w:firstLineChars="200"/>
        <w:rPr>
          <w:rFonts w:hint="eastAsia" w:ascii="宋体" w:hAnsi="宋体"/>
          <w:color w:val="000000"/>
          <w:sz w:val="24"/>
        </w:rPr>
      </w:pPr>
      <w:r>
        <w:rPr>
          <w:rFonts w:hint="eastAsia" w:ascii="宋体" w:hAnsi="宋体"/>
          <w:color w:val="000000"/>
          <w:sz w:val="24"/>
        </w:rPr>
        <w:t>5.我</w:t>
      </w:r>
      <w:r>
        <w:rPr>
          <w:rFonts w:hint="eastAsia" w:ascii="宋体" w:hAnsi="宋体" w:cs="宋体"/>
          <w:color w:val="000000"/>
          <w:kern w:val="0"/>
          <w:sz w:val="24"/>
        </w:rPr>
        <w:t>方</w:t>
      </w:r>
      <w:r>
        <w:rPr>
          <w:rFonts w:hint="eastAsia" w:ascii="宋体" w:hAnsi="宋体"/>
          <w:color w:val="000000"/>
          <w:sz w:val="24"/>
        </w:rPr>
        <w:t>单位</w:t>
      </w:r>
      <w:r>
        <w:rPr>
          <w:rFonts w:hint="eastAsia" w:ascii="宋体" w:hAnsi="宋体" w:cs="宋体"/>
          <w:color w:val="000000"/>
          <w:kern w:val="0"/>
          <w:sz w:val="24"/>
        </w:rPr>
        <w:t>负责人同时为下列单位的负责人：</w:t>
      </w:r>
      <w:r>
        <w:rPr>
          <w:rFonts w:hint="eastAsia" w:ascii="宋体" w:hAnsi="宋体"/>
          <w:color w:val="000000"/>
          <w:sz w:val="24"/>
        </w:rPr>
        <w:t xml:space="preserve"> </w:t>
      </w:r>
    </w:p>
    <w:p>
      <w:pPr>
        <w:snapToGrid w:val="0"/>
        <w:spacing w:before="120" w:beforeLines="50" w:line="400" w:lineRule="exact"/>
        <w:ind w:firstLine="480" w:firstLineChars="200"/>
        <w:rPr>
          <w:rFonts w:ascii="宋体" w:hAnsi="宋体"/>
          <w:color w:val="000000"/>
          <w:sz w:val="24"/>
          <w:szCs w:val="20"/>
          <w:u w:val="single"/>
        </w:rPr>
      </w:pPr>
      <w:r>
        <w:rPr>
          <w:rFonts w:hint="eastAsia" w:ascii="宋体" w:hAnsi="宋体"/>
          <w:color w:val="000000"/>
          <w:sz w:val="24"/>
          <w:u w:val="single"/>
        </w:rPr>
        <w:t>　　　　　　　　　　　　　　　　　　　　　　　　　　　</w:t>
      </w:r>
    </w:p>
    <w:p>
      <w:pPr>
        <w:snapToGrid w:val="0"/>
        <w:spacing w:before="120" w:beforeLines="50" w:line="400" w:lineRule="exact"/>
        <w:ind w:firstLine="480" w:firstLineChars="200"/>
        <w:rPr>
          <w:rFonts w:hint="eastAsia" w:ascii="宋体" w:hAnsi="宋体"/>
          <w:color w:val="000000"/>
          <w:sz w:val="24"/>
        </w:rPr>
      </w:pPr>
      <w:r>
        <w:rPr>
          <w:rFonts w:hint="eastAsia" w:ascii="宋体" w:hAnsi="宋体" w:cs="宋体"/>
          <w:color w:val="000000"/>
          <w:kern w:val="0"/>
          <w:sz w:val="24"/>
        </w:rPr>
        <w:t>6</w:t>
      </w:r>
      <w:r>
        <w:rPr>
          <w:rFonts w:hint="eastAsia" w:ascii="宋体" w:hAnsi="宋体"/>
          <w:color w:val="000000"/>
          <w:sz w:val="24"/>
        </w:rPr>
        <w:t>.</w:t>
      </w:r>
      <w:r>
        <w:rPr>
          <w:rFonts w:hint="eastAsia" w:ascii="宋体" w:hAnsi="宋体" w:cs="宋体"/>
          <w:color w:val="000000"/>
          <w:kern w:val="0"/>
          <w:sz w:val="24"/>
        </w:rPr>
        <w:t>我方直接控股的单位、由我方管理的单位，没有同时参加本</w:t>
      </w:r>
      <w:r>
        <w:rPr>
          <w:rFonts w:hint="eastAsia" w:ascii="宋体" w:hAnsi="宋体"/>
          <w:color w:val="000000"/>
          <w:sz w:val="24"/>
        </w:rPr>
        <w:t>合同项下</w:t>
      </w:r>
      <w:r>
        <w:rPr>
          <w:rFonts w:hint="eastAsia" w:ascii="宋体" w:hAnsi="宋体" w:cs="宋体"/>
          <w:color w:val="000000"/>
          <w:kern w:val="0"/>
          <w:sz w:val="24"/>
        </w:rPr>
        <w:t>的投标。</w:t>
      </w:r>
    </w:p>
    <w:p>
      <w:pPr>
        <w:snapToGrid w:val="0"/>
        <w:spacing w:before="120" w:beforeLines="50" w:line="400" w:lineRule="exact"/>
        <w:ind w:firstLine="480" w:firstLineChars="200"/>
        <w:rPr>
          <w:rFonts w:ascii="宋体" w:hAnsi="宋体"/>
          <w:color w:val="000000"/>
          <w:sz w:val="24"/>
          <w:szCs w:val="20"/>
        </w:rPr>
      </w:pPr>
      <w:r>
        <w:rPr>
          <w:rFonts w:hint="eastAsia" w:ascii="宋体" w:hAnsi="宋体"/>
          <w:color w:val="000000"/>
          <w:sz w:val="24"/>
        </w:rPr>
        <w:t>7.我方委托授权人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（姓名）为我单位的正式在职职工，以我方的名义参加</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项目的投标活动，</w:t>
      </w:r>
    </w:p>
    <w:p>
      <w:pPr>
        <w:snapToGrid w:val="0"/>
        <w:spacing w:before="120" w:beforeLines="50" w:line="400" w:lineRule="exact"/>
        <w:ind w:firstLine="480" w:firstLineChars="200"/>
        <w:rPr>
          <w:rFonts w:ascii="宋体" w:hAnsi="宋体"/>
          <w:color w:val="000000"/>
          <w:sz w:val="24"/>
          <w:szCs w:val="20"/>
        </w:rPr>
      </w:pPr>
      <w:r>
        <w:rPr>
          <w:rFonts w:hint="eastAsia" w:ascii="宋体" w:hAnsi="宋体"/>
          <w:color w:val="000000"/>
          <w:sz w:val="24"/>
        </w:rPr>
        <w:t>8.</w:t>
      </w:r>
      <w:r>
        <w:rPr>
          <w:rFonts w:ascii="宋体" w:hAnsi="宋体"/>
          <w:color w:val="000000"/>
          <w:sz w:val="24"/>
        </w:rPr>
        <w:t>我方此次向贵方提供的产品名称为：</w:t>
      </w:r>
      <w:r>
        <w:rPr>
          <w:rFonts w:ascii="宋体" w:hAnsi="宋体"/>
          <w:color w:val="000000"/>
          <w:sz w:val="24"/>
          <w:u w:val="single"/>
        </w:rPr>
        <w:t xml:space="preserve">                              </w:t>
      </w:r>
      <w:r>
        <w:rPr>
          <w:rFonts w:hint="eastAsia" w:ascii="宋体" w:hAnsi="宋体"/>
          <w:color w:val="000000"/>
          <w:sz w:val="24"/>
        </w:rPr>
        <w:t>；规格型号：</w:t>
      </w:r>
      <w:r>
        <w:rPr>
          <w:rFonts w:ascii="宋体" w:hAnsi="宋体"/>
          <w:color w:val="000000"/>
          <w:sz w:val="24"/>
          <w:u w:val="single"/>
        </w:rPr>
        <w:t xml:space="preserve">                           </w:t>
      </w:r>
      <w:r>
        <w:rPr>
          <w:rFonts w:hint="eastAsia" w:ascii="宋体" w:hAnsi="宋体"/>
          <w:color w:val="000000"/>
          <w:sz w:val="24"/>
        </w:rPr>
        <w:t>。</w:t>
      </w:r>
    </w:p>
    <w:p>
      <w:pPr>
        <w:snapToGrid w:val="0"/>
        <w:spacing w:before="120" w:beforeLines="50" w:line="400" w:lineRule="exact"/>
        <w:ind w:firstLine="480" w:firstLineChars="200"/>
        <w:rPr>
          <w:rFonts w:ascii="宋体" w:hAnsi="宋体"/>
          <w:color w:val="000000"/>
          <w:sz w:val="24"/>
          <w:szCs w:val="20"/>
        </w:rPr>
      </w:pPr>
      <w:r>
        <w:rPr>
          <w:rFonts w:hint="eastAsia" w:ascii="宋体" w:hAnsi="宋体"/>
          <w:color w:val="000000"/>
          <w:sz w:val="24"/>
        </w:rPr>
        <w:t>9.</w:t>
      </w:r>
      <w:r>
        <w:rPr>
          <w:rFonts w:ascii="宋体" w:hAnsi="宋体"/>
          <w:color w:val="000000"/>
          <w:sz w:val="24"/>
        </w:rPr>
        <w:t>我方</w:t>
      </w:r>
      <w:r>
        <w:rPr>
          <w:rFonts w:ascii="宋体" w:hAnsi="宋体" w:cs="宋体"/>
          <w:color w:val="000000"/>
          <w:kern w:val="0"/>
          <w:sz w:val="24"/>
        </w:rPr>
        <w:t>参加</w:t>
      </w:r>
      <w:r>
        <w:rPr>
          <w:rFonts w:hint="eastAsia" w:ascii="宋体" w:hAnsi="宋体" w:cs="宋体"/>
          <w:color w:val="000000"/>
          <w:kern w:val="0"/>
          <w:sz w:val="24"/>
        </w:rPr>
        <w:t>本次</w:t>
      </w:r>
      <w:r>
        <w:rPr>
          <w:rFonts w:ascii="宋体" w:hAnsi="宋体" w:cs="宋体"/>
          <w:color w:val="000000"/>
          <w:kern w:val="0"/>
          <w:sz w:val="24"/>
        </w:rPr>
        <w:t>政府采购活动前三年内，在经营活动中</w:t>
      </w:r>
      <w:r>
        <w:rPr>
          <w:rFonts w:hint="eastAsia" w:ascii="宋体" w:hAnsi="宋体" w:cs="宋体"/>
          <w:color w:val="000000"/>
          <w:kern w:val="0"/>
          <w:sz w:val="24"/>
        </w:rPr>
        <w:t>的</w:t>
      </w:r>
      <w:r>
        <w:rPr>
          <w:rFonts w:ascii="宋体" w:hAnsi="宋体" w:cs="宋体"/>
          <w:color w:val="000000"/>
          <w:kern w:val="0"/>
          <w:sz w:val="24"/>
        </w:rPr>
        <w:t>重大违法记录</w:t>
      </w:r>
      <w:r>
        <w:rPr>
          <w:rFonts w:hint="eastAsia" w:ascii="宋体" w:hAnsi="宋体"/>
          <w:color w:val="000000"/>
          <w:sz w:val="24"/>
        </w:rPr>
        <w:t>有：</w:t>
      </w:r>
    </w:p>
    <w:p>
      <w:pPr>
        <w:snapToGrid w:val="0"/>
        <w:spacing w:before="120" w:beforeLines="50" w:line="400" w:lineRule="exact"/>
        <w:ind w:firstLine="480" w:firstLineChars="200"/>
        <w:rPr>
          <w:rFonts w:ascii="宋体" w:hAnsi="宋体"/>
          <w:color w:val="000000"/>
          <w:sz w:val="24"/>
          <w:szCs w:val="20"/>
          <w:u w:val="single"/>
        </w:rPr>
      </w:pPr>
      <w:r>
        <w:rPr>
          <w:rFonts w:hint="eastAsia" w:ascii="宋体" w:hAnsi="宋体"/>
          <w:color w:val="000000"/>
          <w:sz w:val="24"/>
          <w:u w:val="single"/>
        </w:rPr>
        <w:t>　　　　　　　　　　　　　　　　　　　　　　　　　　　</w:t>
      </w:r>
    </w:p>
    <w:p>
      <w:pPr>
        <w:snapToGrid w:val="0"/>
        <w:spacing w:line="400" w:lineRule="exact"/>
        <w:ind w:firstLine="480" w:firstLineChars="200"/>
        <w:rPr>
          <w:rFonts w:hint="eastAsia" w:ascii="宋体" w:hAnsi="宋体"/>
          <w:color w:val="000000"/>
          <w:sz w:val="24"/>
          <w:szCs w:val="20"/>
        </w:rPr>
      </w:pPr>
      <w:r>
        <w:rPr>
          <w:rFonts w:hint="eastAsia" w:ascii="宋体" w:hAnsi="宋体"/>
          <w:color w:val="000000"/>
          <w:sz w:val="24"/>
        </w:rPr>
        <w:t>10.以上事项如有虚假或隐瞒，我方愿意承担一切后果，并不再寻求任何旨在减轻或免除法律责任的辩解。</w:t>
      </w:r>
    </w:p>
    <w:p>
      <w:pPr>
        <w:pStyle w:val="14"/>
        <w:tabs>
          <w:tab w:val="left" w:pos="939"/>
        </w:tabs>
        <w:snapToGrid w:val="0"/>
        <w:spacing w:line="360" w:lineRule="auto"/>
        <w:ind w:left="773" w:leftChars="150" w:hanging="458" w:hangingChars="191"/>
        <w:rPr>
          <w:rFonts w:ascii="宋体" w:hAnsi="宋体"/>
          <w:color w:val="000000"/>
          <w:sz w:val="24"/>
        </w:rPr>
      </w:pPr>
    </w:p>
    <w:p>
      <w:pPr>
        <w:snapToGrid w:val="0"/>
        <w:spacing w:before="50" w:after="50" w:line="360" w:lineRule="auto"/>
        <w:ind w:firstLine="240" w:firstLineChars="100"/>
        <w:rPr>
          <w:rFonts w:ascii="宋体" w:hAnsi="宋体"/>
          <w:color w:val="000000"/>
          <w:sz w:val="24"/>
        </w:rPr>
      </w:pPr>
      <w:r>
        <w:rPr>
          <w:rFonts w:hint="eastAsia" w:ascii="宋体" w:hAnsi="宋体"/>
          <w:color w:val="000000"/>
          <w:sz w:val="24"/>
        </w:rPr>
        <w:t>投标人：</w:t>
      </w:r>
      <w:r>
        <w:rPr>
          <w:rFonts w:ascii="宋体" w:hAnsi="宋体"/>
          <w:color w:val="000000"/>
          <w:sz w:val="24"/>
          <w:u w:val="single"/>
        </w:rPr>
        <w:t xml:space="preserve">       </w:t>
      </w:r>
      <w:r>
        <w:rPr>
          <w:rFonts w:hint="eastAsia" w:ascii="宋体" w:hAnsi="宋体"/>
          <w:color w:val="000000"/>
          <w:sz w:val="24"/>
          <w:u w:val="single"/>
        </w:rPr>
        <w:t>（盖章）</w:t>
      </w:r>
      <w:r>
        <w:rPr>
          <w:rFonts w:ascii="宋体" w:hAnsi="宋体"/>
          <w:color w:val="000000"/>
          <w:sz w:val="24"/>
          <w:u w:val="single"/>
        </w:rPr>
        <w:t xml:space="preserve">        </w:t>
      </w:r>
      <w:r>
        <w:rPr>
          <w:rFonts w:ascii="宋体" w:hAnsi="宋体"/>
          <w:color w:val="000000"/>
          <w:sz w:val="24"/>
        </w:rPr>
        <w:t xml:space="preserve">                      年    月    日</w:t>
      </w:r>
    </w:p>
    <w:p>
      <w:pPr>
        <w:snapToGrid w:val="0"/>
        <w:spacing w:before="50" w:after="50" w:line="360" w:lineRule="auto"/>
        <w:rPr>
          <w:rFonts w:ascii="宋体" w:hAnsi="宋体"/>
          <w:color w:val="000000"/>
          <w:sz w:val="24"/>
        </w:rPr>
      </w:pPr>
      <w:r>
        <w:rPr>
          <w:rFonts w:ascii="宋体" w:hAnsi="宋体"/>
          <w:color w:val="000000"/>
          <w:sz w:val="24"/>
        </w:rPr>
        <w:br w:type="page"/>
      </w:r>
    </w:p>
    <w:p>
      <w:pPr>
        <w:snapToGrid w:val="0"/>
        <w:spacing w:before="50" w:after="50" w:line="360" w:lineRule="auto"/>
        <w:rPr>
          <w:rFonts w:ascii="宋体" w:hAnsi="宋体"/>
          <w:b/>
          <w:color w:val="000000"/>
          <w:sz w:val="24"/>
          <w:szCs w:val="20"/>
        </w:rPr>
      </w:pPr>
      <w:r>
        <w:rPr>
          <w:rFonts w:hint="eastAsia" w:ascii="宋体" w:hAnsi="宋体"/>
          <w:b/>
          <w:color w:val="000000"/>
          <w:sz w:val="24"/>
        </w:rPr>
        <w:t>6.法定代表人授权委托书格式</w:t>
      </w:r>
    </w:p>
    <w:p>
      <w:pPr>
        <w:snapToGrid w:val="0"/>
        <w:spacing w:before="120" w:beforeLines="50" w:after="50" w:line="360" w:lineRule="auto"/>
        <w:jc w:val="center"/>
        <w:rPr>
          <w:rFonts w:ascii="宋体" w:hAnsi="宋体"/>
          <w:color w:val="000000"/>
          <w:sz w:val="30"/>
          <w:szCs w:val="20"/>
        </w:rPr>
      </w:pPr>
    </w:p>
    <w:p>
      <w:pPr>
        <w:snapToGrid w:val="0"/>
        <w:spacing w:before="120" w:beforeLines="50" w:after="50" w:line="360" w:lineRule="auto"/>
        <w:jc w:val="center"/>
        <w:rPr>
          <w:rFonts w:ascii="宋体" w:hAnsi="宋体"/>
          <w:b/>
          <w:color w:val="000000"/>
          <w:sz w:val="30"/>
          <w:szCs w:val="30"/>
        </w:rPr>
      </w:pPr>
      <w:r>
        <w:rPr>
          <w:rFonts w:hint="eastAsia" w:ascii="宋体" w:hAnsi="宋体"/>
          <w:b/>
          <w:color w:val="000000"/>
          <w:sz w:val="30"/>
          <w:szCs w:val="30"/>
        </w:rPr>
        <w:t>法定代表人授权委托书</w:t>
      </w:r>
    </w:p>
    <w:p>
      <w:pPr>
        <w:snapToGrid w:val="0"/>
        <w:spacing w:before="120" w:beforeLines="50" w:after="50" w:line="360" w:lineRule="auto"/>
        <w:rPr>
          <w:rFonts w:ascii="宋体" w:hAnsi="宋体"/>
          <w:b/>
          <w:bCs/>
          <w:color w:val="000000"/>
          <w:sz w:val="24"/>
          <w:szCs w:val="20"/>
        </w:rPr>
      </w:pPr>
      <w:r>
        <w:rPr>
          <w:rFonts w:hint="eastAsia" w:ascii="宋体" w:hAnsi="宋体"/>
          <w:bCs/>
          <w:color w:val="000000"/>
          <w:sz w:val="24"/>
        </w:rPr>
        <w:t>致：</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ascii="宋体" w:hAnsi="宋体"/>
          <w:b/>
          <w:bCs/>
          <w:color w:val="000000"/>
          <w:sz w:val="24"/>
        </w:rPr>
        <w:t xml:space="preserve"> </w:t>
      </w:r>
      <w:r>
        <w:rPr>
          <w:rFonts w:hint="eastAsia" w:ascii="宋体" w:hAnsi="宋体"/>
          <w:color w:val="000000"/>
          <w:sz w:val="24"/>
        </w:rPr>
        <w:t>：</w:t>
      </w:r>
    </w:p>
    <w:p>
      <w:pPr>
        <w:snapToGrid w:val="0"/>
        <w:spacing w:before="120" w:beforeLines="50" w:after="50" w:line="360" w:lineRule="auto"/>
        <w:ind w:firstLine="480" w:firstLineChars="200"/>
        <w:rPr>
          <w:rFonts w:ascii="宋体" w:hAnsi="宋体"/>
          <w:color w:val="000000"/>
          <w:sz w:val="24"/>
          <w:u w:val="single"/>
        </w:rPr>
      </w:pPr>
      <w:r>
        <w:rPr>
          <w:rFonts w:hint="eastAsia" w:ascii="宋体" w:hAnsi="宋体"/>
          <w:color w:val="000000"/>
          <w:sz w:val="24"/>
        </w:rPr>
        <w:t>我</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（姓名）系</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（投标人名称）的法定代表人，现授权委托本单位在职职工</w:t>
      </w:r>
      <w:r>
        <w:rPr>
          <w:rFonts w:ascii="宋体" w:hAnsi="宋体"/>
          <w:color w:val="000000"/>
          <w:sz w:val="24"/>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（姓名）以我方的名义参加</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u w:val="single"/>
        </w:rPr>
        <w:t xml:space="preserve">    </w:t>
      </w:r>
      <w:r>
        <w:rPr>
          <w:rFonts w:hint="eastAsia" w:ascii="宋体" w:hAnsi="宋体"/>
          <w:color w:val="000000"/>
          <w:sz w:val="24"/>
        </w:rPr>
        <w:t>项目的投标活动，并代表我方全权办理针对上述项目的投标、开标、评标、签约等具体事务和签署相关文件。</w:t>
      </w:r>
    </w:p>
    <w:p>
      <w:pPr>
        <w:snapToGrid w:val="0"/>
        <w:spacing w:before="120" w:beforeLines="50" w:after="50" w:line="360" w:lineRule="auto"/>
        <w:rPr>
          <w:rFonts w:ascii="宋体" w:hAnsi="宋体"/>
          <w:color w:val="000000"/>
          <w:sz w:val="24"/>
          <w:szCs w:val="20"/>
        </w:rPr>
      </w:pPr>
      <w:r>
        <w:rPr>
          <w:rFonts w:ascii="宋体" w:hAnsi="宋体"/>
          <w:color w:val="000000"/>
          <w:sz w:val="24"/>
        </w:rPr>
        <w:t xml:space="preserve">    </w:t>
      </w:r>
      <w:r>
        <w:rPr>
          <w:rFonts w:hint="eastAsia" w:ascii="宋体" w:hAnsi="宋体"/>
          <w:color w:val="000000"/>
          <w:sz w:val="24"/>
        </w:rPr>
        <w:t>我方对被授权人的签名事项负全部责任。</w:t>
      </w:r>
    </w:p>
    <w:p>
      <w:pPr>
        <w:snapToGrid w:val="0"/>
        <w:spacing w:before="120" w:beforeLines="50" w:after="50" w:line="360" w:lineRule="auto"/>
        <w:ind w:firstLine="480"/>
        <w:rPr>
          <w:rFonts w:ascii="宋体" w:hAnsi="宋体"/>
          <w:color w:val="000000"/>
          <w:sz w:val="24"/>
          <w:szCs w:val="20"/>
        </w:rPr>
      </w:pPr>
      <w:r>
        <w:rPr>
          <w:rFonts w:hint="eastAsia" w:ascii="宋体" w:hAnsi="宋体"/>
          <w:color w:val="000000"/>
          <w:sz w:val="24"/>
          <w:u w:val="single"/>
        </w:rPr>
        <w:t>在撤销授权的书面通知以前，本授权书一直有效。</w:t>
      </w:r>
      <w:r>
        <w:rPr>
          <w:rFonts w:hint="eastAsia" w:ascii="宋体" w:hAnsi="宋体"/>
          <w:color w:val="000000"/>
          <w:sz w:val="24"/>
        </w:rPr>
        <w:t>被授权人在授权书有效期内签署的所有文件不因授权的撤销而失效。</w:t>
      </w:r>
    </w:p>
    <w:p>
      <w:pPr>
        <w:snapToGrid w:val="0"/>
        <w:spacing w:before="120" w:beforeLines="50" w:after="50" w:line="360" w:lineRule="auto"/>
        <w:ind w:firstLine="480"/>
        <w:rPr>
          <w:rFonts w:ascii="宋体" w:hAnsi="宋体"/>
          <w:color w:val="000000"/>
          <w:sz w:val="24"/>
          <w:szCs w:val="20"/>
        </w:rPr>
      </w:pPr>
      <w:r>
        <w:rPr>
          <w:rFonts w:hint="eastAsia" w:ascii="宋体" w:hAnsi="宋体"/>
          <w:color w:val="000000"/>
          <w:sz w:val="24"/>
        </w:rPr>
        <w:t>被授权人无转委托权，特此委托。</w:t>
      </w:r>
    </w:p>
    <w:p>
      <w:pPr>
        <w:snapToGrid w:val="0"/>
        <w:spacing w:before="120" w:beforeLines="50" w:after="50" w:line="360" w:lineRule="auto"/>
        <w:rPr>
          <w:rFonts w:ascii="宋体" w:hAnsi="宋体"/>
          <w:color w:val="000000"/>
          <w:sz w:val="24"/>
          <w:szCs w:val="20"/>
        </w:rPr>
      </w:pPr>
    </w:p>
    <w:p>
      <w:pPr>
        <w:snapToGrid w:val="0"/>
        <w:spacing w:before="120" w:beforeLines="50" w:after="50" w:line="360" w:lineRule="auto"/>
        <w:rPr>
          <w:rFonts w:ascii="宋体" w:hAnsi="宋体"/>
          <w:color w:val="000000"/>
          <w:sz w:val="24"/>
          <w:szCs w:val="20"/>
          <w:u w:val="single"/>
        </w:rPr>
      </w:pPr>
      <w:r>
        <w:rPr>
          <w:rFonts w:hint="eastAsia" w:ascii="宋体" w:hAnsi="宋体"/>
          <w:color w:val="000000"/>
          <w:sz w:val="24"/>
        </w:rPr>
        <w:t>被授权人：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法定代表人：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p>
    <w:p>
      <w:pPr>
        <w:snapToGrid w:val="0"/>
        <w:spacing w:before="120" w:beforeLines="50" w:after="50" w:line="360" w:lineRule="auto"/>
        <w:rPr>
          <w:rFonts w:ascii="宋体" w:hAnsi="宋体"/>
          <w:color w:val="000000"/>
          <w:sz w:val="24"/>
          <w:szCs w:val="20"/>
        </w:rPr>
      </w:pPr>
      <w:r>
        <w:rPr>
          <w:rFonts w:hint="eastAsia" w:ascii="宋体" w:hAnsi="宋体"/>
          <w:color w:val="000000"/>
          <w:sz w:val="24"/>
        </w:rPr>
        <w:t>职务：</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职务：</w:t>
      </w:r>
      <w:r>
        <w:rPr>
          <w:rFonts w:ascii="宋体" w:hAnsi="宋体"/>
          <w:color w:val="000000"/>
          <w:sz w:val="24"/>
          <w:u w:val="single"/>
        </w:rPr>
        <w:t xml:space="preserve">           </w:t>
      </w:r>
    </w:p>
    <w:p>
      <w:pPr>
        <w:snapToGrid w:val="0"/>
        <w:spacing w:before="120" w:beforeLines="50" w:after="50" w:line="360" w:lineRule="auto"/>
        <w:rPr>
          <w:rFonts w:hint="eastAsia" w:ascii="宋体" w:hAnsi="宋体"/>
          <w:color w:val="000000"/>
          <w:sz w:val="24"/>
        </w:rPr>
      </w:pPr>
      <w:r>
        <w:rPr>
          <w:rFonts w:hint="eastAsia" w:ascii="宋体" w:hAnsi="宋体"/>
          <w:color w:val="000000"/>
          <w:sz w:val="24"/>
        </w:rPr>
        <w:t>被授权人身份证号码：</w:t>
      </w:r>
      <w:r>
        <w:rPr>
          <w:rFonts w:ascii="宋体" w:hAnsi="宋体"/>
          <w:color w:val="000000"/>
          <w:sz w:val="24"/>
          <w:u w:val="single"/>
        </w:rPr>
        <w:t xml:space="preserve">                             </w:t>
      </w:r>
      <w:r>
        <w:rPr>
          <w:rFonts w:ascii="宋体" w:hAnsi="宋体"/>
          <w:color w:val="000000"/>
          <w:sz w:val="24"/>
        </w:rPr>
        <w:t xml:space="preserve"> </w:t>
      </w:r>
    </w:p>
    <w:p>
      <w:pPr>
        <w:snapToGrid w:val="0"/>
        <w:spacing w:before="120" w:beforeLines="50" w:after="50" w:line="360" w:lineRule="auto"/>
        <w:rPr>
          <w:rFonts w:hint="eastAsia" w:ascii="宋体" w:hAnsi="宋体"/>
          <w:color w:val="000000"/>
          <w:sz w:val="24"/>
          <w:szCs w:val="20"/>
        </w:rPr>
      </w:pPr>
      <w:r>
        <w:rPr>
          <w:rFonts w:hint="eastAsia" w:ascii="宋体" w:hAnsi="宋体"/>
          <w:color w:val="000000"/>
          <w:sz w:val="24"/>
        </w:rPr>
        <w:t>（附被授权人身份证正反双面复印件）</w:t>
      </w:r>
    </w:p>
    <w:p>
      <w:pPr>
        <w:snapToGrid w:val="0"/>
        <w:spacing w:before="120" w:beforeLines="50" w:after="50" w:line="360" w:lineRule="auto"/>
        <w:rPr>
          <w:rFonts w:ascii="宋体" w:hAnsi="宋体"/>
          <w:color w:val="000000"/>
          <w:sz w:val="24"/>
          <w:szCs w:val="20"/>
        </w:rPr>
      </w:pPr>
      <w:r>
        <w:rPr>
          <w:rFonts w:ascii="宋体" w:hAnsi="宋体"/>
          <w:color w:val="000000"/>
          <w:sz w:val="24"/>
        </w:rPr>
        <w:t xml:space="preserve">                                     </w:t>
      </w:r>
      <w:r>
        <w:rPr>
          <w:rFonts w:hint="eastAsia" w:ascii="宋体" w:hAnsi="宋体"/>
          <w:color w:val="000000"/>
          <w:sz w:val="24"/>
        </w:rPr>
        <w:t>投标人：</w:t>
      </w:r>
      <w:r>
        <w:rPr>
          <w:rFonts w:hint="eastAsia" w:ascii="宋体" w:hAnsi="宋体"/>
          <w:color w:val="000000"/>
          <w:sz w:val="24"/>
          <w:u w:val="single"/>
        </w:rPr>
        <w:t xml:space="preserve">       （盖章）       </w:t>
      </w:r>
    </w:p>
    <w:p>
      <w:pPr>
        <w:snapToGrid w:val="0"/>
        <w:spacing w:before="120" w:beforeLines="50" w:after="50" w:line="360" w:lineRule="auto"/>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napToGrid w:val="0"/>
        <w:spacing w:before="50" w:after="50" w:line="360" w:lineRule="auto"/>
        <w:rPr>
          <w:rFonts w:ascii="宋体" w:hAnsi="宋体"/>
          <w:b/>
          <w:color w:val="000000"/>
          <w:sz w:val="24"/>
        </w:rPr>
      </w:pPr>
      <w:r>
        <w:rPr>
          <w:rFonts w:ascii="宋体" w:hAnsi="宋体"/>
          <w:color w:val="000000"/>
        </w:rPr>
        <w:br w:type="page"/>
      </w:r>
      <w:r>
        <w:rPr>
          <w:rFonts w:ascii="宋体" w:hAnsi="宋体"/>
          <w:color w:val="000000"/>
          <w:sz w:val="24"/>
          <w:szCs w:val="20"/>
        </w:rPr>
        <w:t xml:space="preserve"> </w:t>
      </w:r>
      <w:r>
        <w:rPr>
          <w:rFonts w:hint="eastAsia" w:ascii="宋体" w:hAnsi="宋体"/>
          <w:b/>
          <w:color w:val="000000"/>
          <w:spacing w:val="20"/>
          <w:sz w:val="24"/>
        </w:rPr>
        <w:t>7.</w:t>
      </w:r>
      <w:r>
        <w:rPr>
          <w:rFonts w:ascii="宋体" w:hAnsi="宋体"/>
          <w:b/>
          <w:color w:val="000000"/>
          <w:sz w:val="24"/>
        </w:rPr>
        <w:t>中小企业声明函</w:t>
      </w:r>
    </w:p>
    <w:p>
      <w:pPr>
        <w:snapToGrid w:val="0"/>
        <w:spacing w:before="50" w:after="50" w:line="360" w:lineRule="auto"/>
        <w:jc w:val="center"/>
        <w:rPr>
          <w:rFonts w:hint="eastAsia" w:ascii="宋体" w:hAnsi="宋体"/>
          <w:b/>
          <w:color w:val="000000"/>
          <w:sz w:val="30"/>
          <w:szCs w:val="30"/>
        </w:rPr>
      </w:pPr>
      <w:r>
        <w:rPr>
          <w:rFonts w:ascii="宋体" w:hAnsi="宋体"/>
          <w:b/>
          <w:color w:val="000000"/>
          <w:sz w:val="30"/>
          <w:szCs w:val="30"/>
        </w:rPr>
        <w:t>中小企业声明函</w:t>
      </w:r>
    </w:p>
    <w:p>
      <w:pPr>
        <w:snapToGrid w:val="0"/>
        <w:spacing w:before="50" w:after="50" w:line="400" w:lineRule="exact"/>
        <w:ind w:firstLine="480" w:firstLineChars="200"/>
        <w:rPr>
          <w:rFonts w:hint="eastAsia" w:ascii="宋体" w:hAnsi="宋体"/>
          <w:color w:val="000000"/>
          <w:sz w:val="24"/>
        </w:rPr>
      </w:pPr>
      <w:r>
        <w:rPr>
          <w:rFonts w:ascii="宋体" w:hAnsi="宋体"/>
          <w:color w:val="000000"/>
          <w:sz w:val="24"/>
        </w:rPr>
        <w:t>本公司郑重声明，根据《政府采购促进中小企业发展暂行办法》（财库[2011]181号）的规定，本公司为______（请填写：中型、小型、微型）企业。即，本公司同时满足以下条件：</w:t>
      </w:r>
      <w:r>
        <w:rPr>
          <w:rFonts w:ascii="宋体" w:hAnsi="宋体"/>
          <w:color w:val="000000"/>
          <w:sz w:val="24"/>
        </w:rPr>
        <w:br w:type="textWrapping"/>
      </w:r>
      <w:r>
        <w:rPr>
          <w:rFonts w:ascii="宋体" w:hAnsi="宋体"/>
          <w:color w:val="000000"/>
          <w:sz w:val="24"/>
        </w:rPr>
        <w:t>  1.根据《工业和信息化部、国家统计局、国家发展和改革委员会、财政部关于印发中小企业划型标准规定的通知》（工信部联企业[2011]300号）规定的划分标准，本公司为______（请填写：中型、小型、微型）企业。</w:t>
      </w:r>
      <w:r>
        <w:rPr>
          <w:rFonts w:ascii="宋体" w:hAnsi="宋体"/>
          <w:color w:val="000000"/>
          <w:sz w:val="24"/>
        </w:rPr>
        <w:br w:type="textWrapping"/>
      </w:r>
      <w:r>
        <w:rPr>
          <w:rFonts w:ascii="宋体" w:hAnsi="宋体"/>
          <w:color w:val="000000"/>
          <w:sz w:val="24"/>
        </w:rPr>
        <w:t> </w:t>
      </w:r>
      <w:r>
        <w:rPr>
          <w:rFonts w:hint="eastAsia" w:ascii="宋体" w:hAnsi="宋体"/>
          <w:color w:val="000000"/>
          <w:sz w:val="24"/>
        </w:rPr>
        <w:t xml:space="preserve"> </w:t>
      </w:r>
      <w:r>
        <w:rPr>
          <w:rFonts w:ascii="宋体" w:hAnsi="宋体"/>
          <w:color w:val="000000"/>
          <w:sz w:val="24"/>
        </w:rPr>
        <w:t xml:space="preserve"> 2.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ascii="宋体" w:hAnsi="宋体"/>
          <w:color w:val="000000"/>
          <w:sz w:val="24"/>
        </w:rPr>
        <w:br w:type="textWrapping"/>
      </w:r>
      <w:r>
        <w:rPr>
          <w:rFonts w:ascii="宋体" w:hAnsi="宋体"/>
          <w:color w:val="000000"/>
          <w:sz w:val="24"/>
        </w:rPr>
        <w:t>  </w:t>
      </w:r>
    </w:p>
    <w:p>
      <w:pPr>
        <w:snapToGrid w:val="0"/>
        <w:spacing w:before="50" w:after="50" w:line="360" w:lineRule="auto"/>
        <w:ind w:firstLine="480" w:firstLineChars="200"/>
        <w:rPr>
          <w:rFonts w:ascii="宋体" w:hAnsi="宋体"/>
          <w:color w:val="000000"/>
          <w:sz w:val="24"/>
        </w:rPr>
      </w:pPr>
      <w:r>
        <w:rPr>
          <w:rFonts w:ascii="宋体" w:hAnsi="宋体"/>
          <w:color w:val="000000"/>
          <w:sz w:val="24"/>
        </w:rPr>
        <w:t>本公司对上述声明的真实性负责。如有虚假，将依法承担相应责任。</w:t>
      </w:r>
    </w:p>
    <w:p>
      <w:pPr>
        <w:snapToGrid w:val="0"/>
        <w:spacing w:before="50" w:after="50" w:line="360" w:lineRule="auto"/>
        <w:rPr>
          <w:rFonts w:hint="eastAsia" w:ascii="宋体" w:hAnsi="宋体"/>
          <w:color w:val="000000"/>
          <w:spacing w:val="20"/>
          <w:sz w:val="24"/>
        </w:rPr>
      </w:pPr>
    </w:p>
    <w:p>
      <w:pPr>
        <w:snapToGrid w:val="0"/>
        <w:spacing w:before="50" w:after="50" w:line="360" w:lineRule="auto"/>
        <w:rPr>
          <w:rFonts w:ascii="宋体" w:hAnsi="宋体"/>
          <w:color w:val="000000"/>
          <w:spacing w:val="20"/>
          <w:sz w:val="24"/>
          <w:u w:val="single"/>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50" w:line="360" w:lineRule="auto"/>
        <w:rPr>
          <w:rFonts w:ascii="宋体" w:hAnsi="宋体"/>
          <w:b/>
          <w:color w:val="000000"/>
          <w:spacing w:val="20"/>
          <w:sz w:val="24"/>
        </w:rPr>
      </w:pPr>
    </w:p>
    <w:p>
      <w:pPr>
        <w:snapToGrid w:val="0"/>
        <w:spacing w:before="50" w:after="50" w:line="360" w:lineRule="auto"/>
        <w:rPr>
          <w:rFonts w:ascii="宋体" w:hAnsi="宋体"/>
          <w:b/>
          <w:color w:val="000000"/>
          <w:spacing w:val="20"/>
          <w:sz w:val="24"/>
        </w:rPr>
      </w:pPr>
    </w:p>
    <w:p>
      <w:pPr>
        <w:pStyle w:val="3"/>
        <w:rPr>
          <w:rFonts w:hint="eastAsia" w:ascii="宋体" w:hAnsi="宋体"/>
          <w:color w:val="000000"/>
        </w:rPr>
      </w:pPr>
    </w:p>
    <w:p>
      <w:pPr>
        <w:snapToGrid w:val="0"/>
        <w:spacing w:before="50" w:after="50" w:line="360" w:lineRule="auto"/>
        <w:rPr>
          <w:rFonts w:hint="eastAsia" w:ascii="宋体" w:hAnsi="宋体"/>
          <w:b/>
          <w:color w:val="000000"/>
          <w:sz w:val="24"/>
        </w:rPr>
      </w:pPr>
      <w:r>
        <w:rPr>
          <w:rFonts w:hint="eastAsia" w:ascii="宋体" w:hAnsi="宋体"/>
          <w:b/>
          <w:color w:val="000000"/>
          <w:spacing w:val="20"/>
          <w:sz w:val="24"/>
        </w:rPr>
        <w:t>8.</w:t>
      </w:r>
      <w:r>
        <w:rPr>
          <w:rFonts w:hint="eastAsia" w:ascii="宋体" w:hAnsi="宋体"/>
          <w:b/>
          <w:color w:val="000000"/>
          <w:spacing w:val="6"/>
          <w:sz w:val="30"/>
          <w:szCs w:val="30"/>
        </w:rPr>
        <w:t xml:space="preserve"> </w:t>
      </w:r>
      <w:r>
        <w:rPr>
          <w:rFonts w:hint="eastAsia" w:ascii="宋体" w:hAnsi="宋体"/>
          <w:b/>
          <w:color w:val="000000"/>
          <w:spacing w:val="20"/>
          <w:sz w:val="24"/>
        </w:rPr>
        <w:t>残疾人福利性单位声明函</w:t>
      </w:r>
    </w:p>
    <w:p>
      <w:pPr>
        <w:spacing w:line="588" w:lineRule="exact"/>
        <w:jc w:val="center"/>
        <w:rPr>
          <w:rFonts w:hint="eastAsia" w:ascii="宋体" w:hAnsi="宋体"/>
          <w:b/>
          <w:color w:val="000000"/>
          <w:spacing w:val="6"/>
          <w:sz w:val="30"/>
          <w:szCs w:val="30"/>
        </w:rPr>
      </w:pPr>
      <w:r>
        <w:rPr>
          <w:rFonts w:hint="eastAsia" w:ascii="宋体" w:hAnsi="宋体"/>
          <w:b/>
          <w:color w:val="000000"/>
          <w:spacing w:val="6"/>
          <w:sz w:val="30"/>
          <w:szCs w:val="30"/>
        </w:rPr>
        <w:t>残疾人福利性单位声明函</w:t>
      </w:r>
    </w:p>
    <w:p>
      <w:pPr>
        <w:spacing w:line="400" w:lineRule="exact"/>
        <w:ind w:firstLine="504" w:firstLineChars="200"/>
        <w:rPr>
          <w:rFonts w:ascii="宋体" w:hAnsi="宋体"/>
          <w:color w:val="000000"/>
          <w:spacing w:val="6"/>
          <w:sz w:val="24"/>
        </w:rPr>
      </w:pPr>
      <w:r>
        <w:rPr>
          <w:rFonts w:hint="eastAsia" w:ascii="宋体" w:hAnsi="宋体"/>
          <w:color w:val="000000"/>
          <w:spacing w:val="6"/>
          <w:sz w:val="24"/>
        </w:rPr>
        <w:t>本单位郑重声明，根据《财政部</w:t>
      </w:r>
      <w:r>
        <w:rPr>
          <w:rFonts w:ascii="宋体" w:hAnsi="宋体"/>
          <w:color w:val="000000"/>
          <w:spacing w:val="6"/>
          <w:sz w:val="24"/>
        </w:rPr>
        <w:t xml:space="preserve"> </w:t>
      </w:r>
      <w:r>
        <w:rPr>
          <w:rFonts w:hint="eastAsia" w:ascii="宋体" w:hAnsi="宋体"/>
          <w:color w:val="000000"/>
          <w:spacing w:val="6"/>
          <w:sz w:val="24"/>
        </w:rPr>
        <w:t>民政部</w:t>
      </w:r>
      <w:r>
        <w:rPr>
          <w:rFonts w:ascii="宋体" w:hAnsi="宋体"/>
          <w:color w:val="000000"/>
          <w:spacing w:val="6"/>
          <w:sz w:val="24"/>
        </w:rPr>
        <w:t xml:space="preserve"> </w:t>
      </w:r>
      <w:r>
        <w:rPr>
          <w:rFonts w:hint="eastAsia" w:ascii="宋体" w:hAnsi="宋体"/>
          <w:color w:val="000000"/>
          <w:spacing w:val="6"/>
          <w:sz w:val="24"/>
        </w:rPr>
        <w:t>中国残疾人联合会关于促进残疾人就业政府采购政策的通知》（财库</w:t>
      </w:r>
      <w:r>
        <w:rPr>
          <w:rFonts w:hint="eastAsia" w:ascii="宋体" w:hAnsi="宋体"/>
          <w:color w:val="000000"/>
          <w:sz w:val="24"/>
        </w:rPr>
        <w:t>〔</w:t>
      </w:r>
      <w:r>
        <w:rPr>
          <w:rFonts w:ascii="宋体" w:hAnsi="宋体"/>
          <w:color w:val="000000"/>
          <w:sz w:val="24"/>
        </w:rPr>
        <w:t>2017</w:t>
      </w:r>
      <w:r>
        <w:rPr>
          <w:rFonts w:hint="eastAsia" w:ascii="宋体" w:hAnsi="宋体"/>
          <w:color w:val="000000"/>
          <w:sz w:val="24"/>
        </w:rPr>
        <w:t>〕</w:t>
      </w:r>
      <w:r>
        <w:rPr>
          <w:rFonts w:ascii="宋体" w:hAnsi="宋体"/>
          <w:color w:val="000000"/>
          <w:sz w:val="24"/>
        </w:rPr>
        <w:t xml:space="preserve"> 141</w:t>
      </w:r>
      <w:r>
        <w:rPr>
          <w:rFonts w:hint="eastAsia" w:ascii="宋体" w:hAnsi="宋体"/>
          <w:color w:val="000000"/>
          <w:spacing w:val="6"/>
          <w:sz w:val="24"/>
        </w:rPr>
        <w:t>号）的规定，本单位为符合条件的残疾人福利性单位，且本单位参加</w:t>
      </w:r>
      <w:r>
        <w:rPr>
          <w:rFonts w:ascii="宋体" w:hAnsi="宋体"/>
          <w:color w:val="000000"/>
          <w:spacing w:val="6"/>
          <w:sz w:val="24"/>
        </w:rPr>
        <w:t>______</w:t>
      </w:r>
      <w:r>
        <w:rPr>
          <w:rFonts w:hint="eastAsia" w:ascii="宋体" w:hAnsi="宋体"/>
          <w:color w:val="000000"/>
          <w:spacing w:val="6"/>
          <w:sz w:val="24"/>
        </w:rPr>
        <w:t>单位的</w:t>
      </w:r>
      <w:r>
        <w:rPr>
          <w:rFonts w:ascii="宋体" w:hAnsi="宋体"/>
          <w:color w:val="000000"/>
          <w:spacing w:val="6"/>
          <w:sz w:val="24"/>
        </w:rPr>
        <w:t>______</w:t>
      </w:r>
      <w:r>
        <w:rPr>
          <w:rFonts w:hint="eastAsia" w:ascii="宋体" w:hAnsi="宋体"/>
          <w:color w:val="000000"/>
          <w:spacing w:val="6"/>
          <w:sz w:val="24"/>
        </w:rPr>
        <w:t>项目采购活动提供本单位制造的货物（由本单位承担工程</w:t>
      </w:r>
      <w:r>
        <w:rPr>
          <w:rFonts w:ascii="宋体" w:hAnsi="宋体"/>
          <w:color w:val="000000"/>
          <w:spacing w:val="6"/>
          <w:sz w:val="24"/>
        </w:rPr>
        <w:t>/</w:t>
      </w:r>
      <w:r>
        <w:rPr>
          <w:rFonts w:hint="eastAsia" w:ascii="宋体" w:hAnsi="宋体"/>
          <w:color w:val="000000"/>
          <w:spacing w:val="6"/>
          <w:sz w:val="24"/>
        </w:rPr>
        <w:t>提供服务），或者提供其他残疾人福利性单位制造的货物（不包括使用非残疾人福利性单位注册商标的货物）。</w:t>
      </w:r>
    </w:p>
    <w:p>
      <w:pPr>
        <w:spacing w:line="400" w:lineRule="exact"/>
        <w:ind w:firstLine="504" w:firstLineChars="200"/>
        <w:rPr>
          <w:rFonts w:hint="eastAsia" w:ascii="宋体" w:hAnsi="宋体"/>
          <w:color w:val="000000"/>
          <w:spacing w:val="6"/>
          <w:sz w:val="24"/>
        </w:rPr>
      </w:pPr>
      <w:r>
        <w:rPr>
          <w:rFonts w:hint="eastAsia" w:ascii="宋体" w:hAnsi="宋体"/>
          <w:color w:val="000000"/>
          <w:spacing w:val="6"/>
          <w:sz w:val="24"/>
        </w:rPr>
        <w:t>本单位对上述声明的真实性负责。如有虚假，将依法承担相应责任。</w:t>
      </w:r>
    </w:p>
    <w:p>
      <w:pPr>
        <w:snapToGrid w:val="0"/>
        <w:spacing w:before="50" w:after="50" w:line="360" w:lineRule="auto"/>
        <w:rPr>
          <w:rFonts w:hint="eastAsia" w:ascii="宋体" w:hAnsi="宋体"/>
          <w:color w:val="000000"/>
          <w:spacing w:val="20"/>
          <w:sz w:val="24"/>
        </w:rPr>
      </w:pPr>
    </w:p>
    <w:p>
      <w:pPr>
        <w:snapToGrid w:val="0"/>
        <w:spacing w:before="50" w:after="50" w:line="360" w:lineRule="auto"/>
        <w:rPr>
          <w:rFonts w:hint="eastAsia" w:ascii="宋体" w:hAnsi="宋体"/>
          <w:color w:val="000000"/>
          <w:spacing w:val="20"/>
          <w:sz w:val="24"/>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50" w:line="360" w:lineRule="auto"/>
        <w:rPr>
          <w:rFonts w:hint="eastAsia" w:ascii="宋体" w:hAnsi="宋体"/>
          <w:color w:val="000000"/>
          <w:spacing w:val="20"/>
          <w:sz w:val="24"/>
        </w:rPr>
      </w:pPr>
    </w:p>
    <w:p>
      <w:pPr>
        <w:snapToGrid w:val="0"/>
        <w:spacing w:before="50" w:after="50" w:line="360" w:lineRule="auto"/>
        <w:rPr>
          <w:rFonts w:hint="eastAsia" w:ascii="宋体" w:hAnsi="宋体"/>
          <w:color w:val="000000"/>
          <w:sz w:val="24"/>
        </w:rPr>
      </w:pPr>
    </w:p>
    <w:p>
      <w:pPr>
        <w:snapToGrid w:val="0"/>
        <w:spacing w:before="50" w:line="360" w:lineRule="auto"/>
        <w:jc w:val="left"/>
        <w:rPr>
          <w:rFonts w:hint="eastAsia" w:ascii="宋体" w:hAnsi="宋体"/>
          <w:b/>
          <w:color w:val="000000"/>
          <w:sz w:val="24"/>
          <w:szCs w:val="20"/>
        </w:rPr>
      </w:pPr>
      <w:r>
        <w:rPr>
          <w:rFonts w:ascii="宋体" w:hAnsi="宋体"/>
          <w:b/>
          <w:color w:val="000000"/>
          <w:sz w:val="30"/>
          <w:szCs w:val="30"/>
        </w:rPr>
        <w:br w:type="page"/>
      </w:r>
      <w:r>
        <w:rPr>
          <w:rFonts w:hint="eastAsia" w:ascii="宋体" w:hAnsi="宋体"/>
          <w:b/>
          <w:color w:val="000000"/>
          <w:sz w:val="24"/>
        </w:rPr>
        <w:t>9.商务响应表格式</w:t>
      </w:r>
    </w:p>
    <w:p>
      <w:pPr>
        <w:snapToGrid w:val="0"/>
        <w:spacing w:before="50" w:line="360" w:lineRule="auto"/>
        <w:jc w:val="center"/>
        <w:rPr>
          <w:rFonts w:hint="eastAsia" w:ascii="宋体" w:hAnsi="宋体"/>
          <w:b/>
          <w:color w:val="000000"/>
          <w:sz w:val="30"/>
          <w:szCs w:val="30"/>
        </w:rPr>
      </w:pPr>
      <w:r>
        <w:rPr>
          <w:rFonts w:hint="eastAsia" w:ascii="宋体" w:hAnsi="宋体"/>
          <w:b/>
          <w:color w:val="000000"/>
          <w:sz w:val="30"/>
          <w:szCs w:val="30"/>
        </w:rPr>
        <w:t>商务响应表</w:t>
      </w:r>
    </w:p>
    <w:p>
      <w:pPr>
        <w:snapToGrid w:val="0"/>
        <w:spacing w:before="50" w:line="360" w:lineRule="auto"/>
        <w:jc w:val="left"/>
        <w:rPr>
          <w:rFonts w:ascii="宋体" w:hAnsi="宋体"/>
          <w:color w:val="000000"/>
          <w:sz w:val="24"/>
          <w:szCs w:val="20"/>
          <w:u w:val="single"/>
        </w:rPr>
      </w:pPr>
      <w:r>
        <w:rPr>
          <w:rFonts w:hint="eastAsia" w:ascii="宋体" w:hAnsi="宋体"/>
          <w:color w:val="000000"/>
          <w:sz w:val="24"/>
        </w:rPr>
        <w:t>项目编号：</w:t>
      </w:r>
      <w:r>
        <w:rPr>
          <w:rFonts w:ascii="宋体" w:hAnsi="宋体"/>
          <w:color w:val="000000"/>
          <w:sz w:val="24"/>
          <w:u w:val="singl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78"/>
        <w:gridCol w:w="1842"/>
        <w:gridCol w:w="1260"/>
        <w:gridCol w:w="24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项目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招标文件要求</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是否响应</w:t>
            </w: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质保期</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售后技术服务要求</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交货时间及地点</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ind w:left="43"/>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ind w:left="43"/>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付款条件</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备品备件及耗材等要求</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54" w:hRule="exact"/>
          <w:jc w:val="center"/>
        </w:trPr>
        <w:tc>
          <w:tcPr>
            <w:tcW w:w="277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r>
              <w:rPr>
                <w:rFonts w:hint="eastAsia" w:ascii="宋体" w:hAnsi="宋体" w:eastAsia="宋体"/>
                <w:color w:val="000000"/>
                <w:sz w:val="24"/>
              </w:rPr>
              <w:t>…</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c>
          <w:tcPr>
            <w:tcW w:w="2426" w:type="dxa"/>
            <w:tcBorders>
              <w:top w:val="single" w:color="auto" w:sz="4" w:space="0"/>
              <w:left w:val="single" w:color="auto" w:sz="4" w:space="0"/>
              <w:bottom w:val="single" w:color="auto" w:sz="4" w:space="0"/>
              <w:right w:val="single" w:color="auto" w:sz="4" w:space="0"/>
            </w:tcBorders>
            <w:noWrap w:val="0"/>
            <w:vAlign w:val="center"/>
          </w:tcPr>
          <w:p>
            <w:pPr>
              <w:snapToGrid w:val="0"/>
              <w:spacing w:before="120" w:beforeLines="50"/>
              <w:jc w:val="center"/>
              <w:rPr>
                <w:rFonts w:ascii="宋体" w:hAnsi="宋体" w:eastAsia="宋体"/>
                <w:color w:val="000000"/>
                <w:sz w:val="24"/>
                <w:szCs w:val="20"/>
              </w:rPr>
            </w:pPr>
          </w:p>
        </w:tc>
      </w:tr>
    </w:tbl>
    <w:p>
      <w:pPr>
        <w:snapToGrid w:val="0"/>
        <w:spacing w:before="50" w:after="50" w:line="360" w:lineRule="auto"/>
        <w:rPr>
          <w:rFonts w:hint="eastAsia" w:ascii="宋体" w:hAnsi="宋体"/>
          <w:color w:val="000000"/>
          <w:spacing w:val="20"/>
          <w:sz w:val="24"/>
          <w:szCs w:val="20"/>
          <w:u w:val="single"/>
        </w:rPr>
      </w:pPr>
    </w:p>
    <w:p>
      <w:pPr>
        <w:snapToGrid w:val="0"/>
        <w:spacing w:before="50" w:after="50" w:line="360" w:lineRule="auto"/>
        <w:rPr>
          <w:rFonts w:ascii="宋体" w:hAnsi="宋体"/>
          <w:color w:val="000000"/>
          <w:sz w:val="24"/>
          <w:szCs w:val="20"/>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120" w:afterLines="50" w:line="360" w:lineRule="auto"/>
        <w:jc w:val="left"/>
        <w:rPr>
          <w:rFonts w:ascii="宋体" w:hAnsi="宋体"/>
          <w:b/>
          <w:color w:val="000000"/>
          <w:sz w:val="24"/>
        </w:rPr>
      </w:pPr>
    </w:p>
    <w:p>
      <w:pPr>
        <w:snapToGrid w:val="0"/>
        <w:spacing w:before="50" w:after="120" w:afterLines="50" w:line="360" w:lineRule="auto"/>
        <w:jc w:val="left"/>
        <w:rPr>
          <w:rFonts w:ascii="宋体" w:hAnsi="宋体"/>
          <w:b/>
          <w:color w:val="000000"/>
          <w:sz w:val="24"/>
        </w:rPr>
      </w:pPr>
    </w:p>
    <w:p>
      <w:pPr>
        <w:snapToGrid w:val="0"/>
        <w:spacing w:before="50" w:after="120" w:afterLines="50" w:line="360" w:lineRule="auto"/>
        <w:jc w:val="left"/>
        <w:rPr>
          <w:rFonts w:ascii="宋体" w:hAnsi="宋体"/>
          <w:b/>
          <w:color w:val="000000"/>
          <w:sz w:val="24"/>
          <w:szCs w:val="20"/>
        </w:rPr>
      </w:pPr>
      <w:r>
        <w:rPr>
          <w:rFonts w:hint="eastAsia" w:ascii="宋体" w:hAnsi="宋体"/>
          <w:b/>
          <w:color w:val="000000"/>
          <w:sz w:val="24"/>
        </w:rPr>
        <w:t>10.技术响应表格式</w:t>
      </w:r>
    </w:p>
    <w:p>
      <w:pPr>
        <w:snapToGrid w:val="0"/>
        <w:spacing w:before="50" w:after="120" w:afterLines="50" w:line="360" w:lineRule="auto"/>
        <w:jc w:val="center"/>
        <w:rPr>
          <w:rFonts w:hint="eastAsia" w:ascii="宋体" w:hAnsi="宋体"/>
          <w:b/>
          <w:color w:val="000000"/>
          <w:sz w:val="30"/>
          <w:szCs w:val="30"/>
        </w:rPr>
      </w:pPr>
      <w:r>
        <w:rPr>
          <w:rFonts w:hint="eastAsia" w:ascii="宋体" w:hAnsi="宋体"/>
          <w:b/>
          <w:color w:val="000000"/>
          <w:sz w:val="30"/>
          <w:szCs w:val="30"/>
        </w:rPr>
        <w:t>技术响应表</w:t>
      </w:r>
    </w:p>
    <w:p>
      <w:pPr>
        <w:snapToGrid w:val="0"/>
        <w:spacing w:before="50" w:after="120" w:afterLines="50" w:line="360" w:lineRule="auto"/>
        <w:jc w:val="left"/>
        <w:rPr>
          <w:rFonts w:ascii="宋体" w:hAnsi="宋体"/>
          <w:color w:val="000000"/>
          <w:sz w:val="24"/>
          <w:szCs w:val="20"/>
        </w:rPr>
      </w:pPr>
      <w:r>
        <w:rPr>
          <w:rFonts w:hint="eastAsia" w:ascii="宋体" w:hAnsi="宋体"/>
          <w:color w:val="000000"/>
          <w:sz w:val="24"/>
        </w:rPr>
        <w:t>项目编号</w:t>
      </w:r>
      <w:r>
        <w:rPr>
          <w:rFonts w:hint="eastAsia" w:ascii="宋体" w:hAnsi="宋体"/>
          <w:color w:val="000000"/>
        </w:rPr>
        <w:t>：</w:t>
      </w:r>
      <w:r>
        <w:rPr>
          <w:rFonts w:ascii="宋体" w:hAnsi="宋体"/>
          <w:color w:val="000000"/>
          <w:u w:val="single"/>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0"/>
        <w:gridCol w:w="2528"/>
        <w:gridCol w:w="3960"/>
        <w:gridCol w:w="12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color w:val="000000"/>
                <w:sz w:val="24"/>
              </w:rPr>
            </w:pPr>
            <w:r>
              <w:rPr>
                <w:rFonts w:hint="eastAsia" w:ascii="宋体" w:hAnsi="宋体" w:eastAsia="宋体"/>
                <w:color w:val="000000"/>
                <w:sz w:val="24"/>
              </w:rPr>
              <w:t>序号</w:t>
            </w:r>
          </w:p>
        </w:tc>
        <w:tc>
          <w:tcPr>
            <w:tcW w:w="2528"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olor w:val="000000"/>
                <w:sz w:val="24"/>
              </w:rPr>
            </w:pPr>
            <w:r>
              <w:rPr>
                <w:rFonts w:ascii="宋体" w:hAnsi="宋体" w:eastAsia="宋体"/>
                <w:color w:val="000000"/>
                <w:sz w:val="24"/>
              </w:rPr>
              <w:t>招标文件要求</w:t>
            </w:r>
          </w:p>
        </w:tc>
        <w:tc>
          <w:tcPr>
            <w:tcW w:w="396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olor w:val="000000"/>
                <w:sz w:val="24"/>
              </w:rPr>
            </w:pPr>
            <w:r>
              <w:rPr>
                <w:rFonts w:ascii="宋体" w:hAnsi="宋体" w:eastAsia="宋体"/>
                <w:color w:val="000000"/>
                <w:sz w:val="24"/>
              </w:rPr>
              <w:t>投标文件响应</w:t>
            </w:r>
          </w:p>
        </w:tc>
        <w:tc>
          <w:tcPr>
            <w:tcW w:w="1220"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eastAsia="宋体"/>
                <w:color w:val="000000"/>
                <w:sz w:val="24"/>
              </w:rPr>
            </w:pPr>
            <w:r>
              <w:rPr>
                <w:rFonts w:ascii="宋体" w:hAnsi="宋体" w:eastAsia="宋体"/>
                <w:color w:val="000000"/>
                <w:sz w:val="24"/>
              </w:rPr>
              <w:t>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olor w:val="000000"/>
              </w:rPr>
            </w:pPr>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olor w:val="000000"/>
              </w:rPr>
            </w:pPr>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9"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cantSplit/>
          <w:trHeight w:val="368" w:hRule="atLeast"/>
        </w:trPr>
        <w:tc>
          <w:tcPr>
            <w:tcW w:w="8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2528"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bookmarkStart w:id="207" w:name="_Toc27465"/>
            <w:r>
              <w:rPr>
                <w:rFonts w:ascii="宋体" w:hAnsi="宋体" w:eastAsia="宋体"/>
                <w:color w:val="000000"/>
                <w:szCs w:val="21"/>
              </w:rPr>
              <w:t>...</w:t>
            </w:r>
            <w:bookmarkEnd w:id="207"/>
          </w:p>
        </w:tc>
        <w:tc>
          <w:tcPr>
            <w:tcW w:w="396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c>
          <w:tcPr>
            <w:tcW w:w="122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eastAsia="宋体"/>
                <w:color w:val="000000"/>
              </w:rPr>
            </w:pPr>
          </w:p>
        </w:tc>
      </w:tr>
    </w:tbl>
    <w:p>
      <w:pPr>
        <w:pStyle w:val="11"/>
        <w:spacing w:line="360" w:lineRule="auto"/>
        <w:rPr>
          <w:rFonts w:hint="eastAsia" w:ascii="宋体" w:eastAsia="宋体"/>
          <w:color w:val="000000"/>
        </w:rPr>
      </w:pPr>
      <w:r>
        <w:rPr>
          <w:rFonts w:hint="eastAsia" w:ascii="宋体" w:eastAsia="宋体"/>
          <w:color w:val="000000"/>
        </w:rPr>
        <w:t>注：投标人应根据投标设备的性能指标、对照招标文件要求一一对应如实填写技术响应表，在“偏离情况”栏注明“正偏离”、“负偏离”或“无偏离”。未按要求填写的，有可能作负偏离处理。</w:t>
      </w:r>
    </w:p>
    <w:p>
      <w:pPr>
        <w:snapToGrid w:val="0"/>
        <w:spacing w:before="50" w:after="120" w:afterLines="50" w:line="360" w:lineRule="auto"/>
        <w:ind w:firstLine="420" w:firstLineChars="150"/>
        <w:jc w:val="left"/>
        <w:rPr>
          <w:rFonts w:ascii="宋体" w:hAnsi="宋体"/>
          <w:color w:val="000000"/>
          <w:sz w:val="24"/>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120" w:afterLines="50" w:line="360" w:lineRule="auto"/>
        <w:jc w:val="left"/>
        <w:rPr>
          <w:rFonts w:ascii="宋体" w:hAnsi="宋体"/>
          <w:b/>
          <w:color w:val="000000"/>
          <w:sz w:val="24"/>
          <w:szCs w:val="20"/>
        </w:rPr>
      </w:pPr>
      <w:r>
        <w:rPr>
          <w:rFonts w:ascii="宋体" w:hAnsi="宋体"/>
          <w:color w:val="000000"/>
        </w:rPr>
        <w:br w:type="page"/>
      </w:r>
      <w:r>
        <w:rPr>
          <w:rFonts w:hint="eastAsia" w:ascii="宋体" w:hAnsi="宋体"/>
          <w:b/>
          <w:color w:val="000000"/>
          <w:sz w:val="24"/>
        </w:rPr>
        <w:t>11.设备配置清单格式</w:t>
      </w:r>
    </w:p>
    <w:p>
      <w:pPr>
        <w:tabs>
          <w:tab w:val="left" w:pos="1418"/>
        </w:tabs>
        <w:snapToGrid w:val="0"/>
        <w:spacing w:before="50" w:after="50" w:line="360" w:lineRule="auto"/>
        <w:jc w:val="center"/>
        <w:rPr>
          <w:rFonts w:hint="eastAsia" w:ascii="宋体" w:hAnsi="宋体"/>
          <w:b/>
          <w:color w:val="000000"/>
          <w:sz w:val="30"/>
          <w:szCs w:val="30"/>
        </w:rPr>
      </w:pPr>
      <w:r>
        <w:rPr>
          <w:rFonts w:hint="eastAsia" w:ascii="宋体" w:hAnsi="宋体"/>
          <w:b/>
          <w:color w:val="000000"/>
          <w:sz w:val="30"/>
          <w:szCs w:val="30"/>
        </w:rPr>
        <w:t>设备配置清单格</w:t>
      </w:r>
    </w:p>
    <w:p>
      <w:pPr>
        <w:tabs>
          <w:tab w:val="left" w:pos="1418"/>
        </w:tabs>
        <w:snapToGrid w:val="0"/>
        <w:spacing w:before="50" w:after="50" w:line="360" w:lineRule="auto"/>
        <w:rPr>
          <w:rFonts w:ascii="宋体" w:hAnsi="宋体"/>
          <w:color w:val="000000"/>
          <w:sz w:val="24"/>
          <w:szCs w:val="28"/>
        </w:rPr>
      </w:pPr>
      <w:r>
        <w:rPr>
          <w:rFonts w:hint="eastAsia" w:ascii="宋体" w:hAnsi="宋体"/>
          <w:color w:val="000000"/>
          <w:sz w:val="24"/>
        </w:rPr>
        <w:t>项目编号</w:t>
      </w:r>
      <w:r>
        <w:rPr>
          <w:rFonts w:hint="eastAsia" w:ascii="宋体" w:hAnsi="宋体"/>
          <w:color w:val="000000"/>
        </w:rPr>
        <w:t>：</w:t>
      </w:r>
      <w:r>
        <w:rPr>
          <w:rFonts w:ascii="宋体" w:hAnsi="宋体"/>
          <w:color w:val="000000"/>
          <w:u w:val="single"/>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27"/>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67" w:hRule="exact"/>
          <w:jc w:val="center"/>
        </w:trPr>
        <w:tc>
          <w:tcPr>
            <w:tcW w:w="10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序号</w:t>
            </w: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设备名称</w:t>
            </w: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品牌</w:t>
            </w: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规格型号</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单位及数量</w:t>
            </w: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r>
              <w:rPr>
                <w:rFonts w:hint="eastAsia" w:ascii="宋体" w:hAnsi="宋体" w:eastAsia="宋体"/>
                <w:color w:val="000000"/>
                <w:sz w:val="24"/>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67" w:hRule="exact"/>
          <w:jc w:val="center"/>
        </w:trPr>
        <w:tc>
          <w:tcPr>
            <w:tcW w:w="10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eastAsia="宋体"/>
                <w:color w:val="000000"/>
                <w:sz w:val="24"/>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67" w:hRule="exact"/>
          <w:jc w:val="center"/>
        </w:trPr>
        <w:tc>
          <w:tcPr>
            <w:tcW w:w="10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67" w:hRule="exact"/>
          <w:jc w:val="center"/>
        </w:trPr>
        <w:tc>
          <w:tcPr>
            <w:tcW w:w="10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6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83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28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41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2227"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eastAsia="宋体"/>
                <w:color w:val="000000"/>
                <w:sz w:val="24"/>
                <w:szCs w:val="20"/>
              </w:rPr>
            </w:pPr>
          </w:p>
        </w:tc>
      </w:tr>
    </w:tbl>
    <w:p>
      <w:pPr>
        <w:snapToGrid w:val="0"/>
        <w:spacing w:before="50" w:after="50" w:line="360" w:lineRule="auto"/>
        <w:rPr>
          <w:rFonts w:ascii="宋体" w:hAnsi="宋体"/>
          <w:color w:val="000000"/>
          <w:spacing w:val="20"/>
          <w:sz w:val="24"/>
          <w:szCs w:val="20"/>
          <w:u w:val="single"/>
        </w:rPr>
      </w:pPr>
    </w:p>
    <w:p>
      <w:pPr>
        <w:snapToGrid w:val="0"/>
        <w:spacing w:before="50" w:after="50" w:line="360" w:lineRule="auto"/>
        <w:rPr>
          <w:rFonts w:ascii="宋体" w:hAnsi="宋体"/>
          <w:color w:val="000000"/>
          <w:sz w:val="24"/>
          <w:szCs w:val="20"/>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120" w:afterLines="50" w:line="360" w:lineRule="auto"/>
        <w:jc w:val="left"/>
        <w:rPr>
          <w:rFonts w:ascii="宋体" w:hAnsi="宋体"/>
          <w:color w:val="000000"/>
          <w:sz w:val="24"/>
          <w:szCs w:val="20"/>
        </w:rPr>
      </w:pPr>
    </w:p>
    <w:p>
      <w:pPr>
        <w:snapToGrid w:val="0"/>
        <w:spacing w:before="50" w:after="120" w:afterLines="50" w:line="360" w:lineRule="auto"/>
        <w:jc w:val="left"/>
        <w:rPr>
          <w:rFonts w:ascii="宋体" w:hAnsi="宋体"/>
          <w:b/>
          <w:color w:val="000000"/>
          <w:sz w:val="24"/>
          <w:szCs w:val="20"/>
        </w:rPr>
      </w:pPr>
      <w:r>
        <w:rPr>
          <w:rFonts w:hint="eastAsia" w:ascii="宋体" w:hAnsi="宋体"/>
          <w:b/>
          <w:color w:val="000000"/>
          <w:sz w:val="24"/>
        </w:rPr>
        <w:t>12.项目实施人员一览表格式</w:t>
      </w:r>
    </w:p>
    <w:p>
      <w:pPr>
        <w:snapToGrid w:val="0"/>
        <w:spacing w:before="120" w:beforeLines="50" w:after="50" w:line="360" w:lineRule="auto"/>
        <w:jc w:val="center"/>
        <w:rPr>
          <w:rFonts w:ascii="宋体" w:hAnsi="宋体"/>
          <w:b/>
          <w:color w:val="000000"/>
          <w:sz w:val="30"/>
          <w:szCs w:val="30"/>
        </w:rPr>
      </w:pPr>
      <w:r>
        <w:rPr>
          <w:rFonts w:hint="eastAsia" w:ascii="宋体" w:hAnsi="宋体"/>
          <w:b/>
          <w:color w:val="000000"/>
          <w:sz w:val="30"/>
          <w:szCs w:val="30"/>
        </w:rPr>
        <w:t>项目实施人员一览表</w:t>
      </w:r>
    </w:p>
    <w:p>
      <w:pPr>
        <w:snapToGrid w:val="0"/>
        <w:spacing w:before="120" w:beforeLines="50" w:after="50" w:line="360" w:lineRule="auto"/>
        <w:rPr>
          <w:rFonts w:ascii="宋体" w:hAnsi="宋体"/>
          <w:color w:val="000000"/>
          <w:sz w:val="24"/>
          <w:szCs w:val="20"/>
        </w:rPr>
      </w:pPr>
      <w:r>
        <w:rPr>
          <w:rFonts w:hint="eastAsia" w:ascii="宋体" w:hAnsi="宋体"/>
          <w:color w:val="000000"/>
          <w:sz w:val="24"/>
        </w:rPr>
        <w:t>项目编号</w:t>
      </w:r>
      <w:r>
        <w:rPr>
          <w:rFonts w:hint="eastAsia" w:ascii="宋体" w:hAnsi="宋体"/>
          <w:color w:val="000000"/>
        </w:rPr>
        <w:t>：</w:t>
      </w:r>
      <w:r>
        <w:rPr>
          <w:rFonts w:ascii="宋体" w:hAnsi="宋体"/>
          <w:color w:val="000000"/>
          <w:u w:val="single"/>
        </w:rPr>
        <w:t xml:space="preserve">              </w:t>
      </w:r>
    </w:p>
    <w:tbl>
      <w:tblPr>
        <w:tblStyle w:val="25"/>
        <w:tblW w:w="0" w:type="auto"/>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4"/>
        <w:gridCol w:w="1004"/>
        <w:gridCol w:w="1663"/>
        <w:gridCol w:w="1260"/>
        <w:gridCol w:w="1620"/>
        <w:gridCol w:w="19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bottom"/>
          </w:tcPr>
          <w:p>
            <w:pPr>
              <w:snapToGrid w:val="0"/>
              <w:spacing w:before="50" w:after="50"/>
              <w:jc w:val="center"/>
              <w:rPr>
                <w:rFonts w:ascii="宋体" w:hAnsi="宋体" w:eastAsia="宋体"/>
                <w:color w:val="000000"/>
                <w:sz w:val="24"/>
              </w:rPr>
            </w:pPr>
            <w:r>
              <w:rPr>
                <w:rFonts w:hint="eastAsia" w:ascii="宋体" w:hAnsi="宋体" w:eastAsia="宋体"/>
                <w:color w:val="000000"/>
                <w:sz w:val="24"/>
              </w:rPr>
              <w:t>姓名</w:t>
            </w:r>
          </w:p>
        </w:tc>
        <w:tc>
          <w:tcPr>
            <w:tcW w:w="1004" w:type="dxa"/>
            <w:tcBorders>
              <w:top w:val="single" w:color="auto" w:sz="4" w:space="0"/>
              <w:left w:val="single" w:color="auto" w:sz="4" w:space="0"/>
              <w:bottom w:val="single" w:color="auto" w:sz="4" w:space="0"/>
              <w:right w:val="single" w:color="auto" w:sz="4" w:space="0"/>
            </w:tcBorders>
            <w:noWrap w:val="0"/>
            <w:vAlign w:val="bottom"/>
          </w:tcPr>
          <w:p>
            <w:pPr>
              <w:snapToGrid w:val="0"/>
              <w:spacing w:before="50" w:after="50"/>
              <w:jc w:val="center"/>
              <w:rPr>
                <w:rFonts w:ascii="宋体" w:hAnsi="宋体" w:eastAsia="宋体"/>
                <w:color w:val="000000"/>
                <w:sz w:val="24"/>
              </w:rPr>
            </w:pPr>
            <w:r>
              <w:rPr>
                <w:rFonts w:hint="eastAsia" w:ascii="宋体" w:hAnsi="宋体" w:eastAsia="宋体"/>
                <w:color w:val="000000"/>
                <w:sz w:val="24"/>
              </w:rPr>
              <w:t>职务</w:t>
            </w:r>
          </w:p>
        </w:tc>
        <w:tc>
          <w:tcPr>
            <w:tcW w:w="1663" w:type="dxa"/>
            <w:tcBorders>
              <w:top w:val="single" w:color="auto" w:sz="4" w:space="0"/>
              <w:left w:val="single" w:color="auto" w:sz="4" w:space="0"/>
              <w:bottom w:val="single" w:color="auto" w:sz="4" w:space="0"/>
              <w:right w:val="single" w:color="auto" w:sz="4" w:space="0"/>
            </w:tcBorders>
            <w:noWrap w:val="0"/>
            <w:vAlign w:val="bottom"/>
          </w:tcPr>
          <w:p>
            <w:pPr>
              <w:snapToGrid w:val="0"/>
              <w:spacing w:before="50" w:after="50"/>
              <w:jc w:val="center"/>
              <w:rPr>
                <w:rFonts w:ascii="宋体" w:hAnsi="宋体" w:eastAsia="宋体"/>
                <w:color w:val="000000"/>
                <w:sz w:val="24"/>
              </w:rPr>
            </w:pPr>
            <w:r>
              <w:rPr>
                <w:rFonts w:hint="eastAsia" w:ascii="宋体" w:hAnsi="宋体" w:eastAsia="宋体"/>
                <w:color w:val="000000"/>
                <w:sz w:val="24"/>
              </w:rPr>
              <w:t>专业技术资格</w:t>
            </w:r>
          </w:p>
        </w:tc>
        <w:tc>
          <w:tcPr>
            <w:tcW w:w="1260" w:type="dxa"/>
            <w:tcBorders>
              <w:top w:val="single" w:color="auto" w:sz="4" w:space="0"/>
              <w:left w:val="single" w:color="auto" w:sz="4" w:space="0"/>
              <w:bottom w:val="single" w:color="auto" w:sz="4" w:space="0"/>
              <w:right w:val="single" w:color="auto" w:sz="4" w:space="0"/>
            </w:tcBorders>
            <w:noWrap w:val="0"/>
            <w:vAlign w:val="bottom"/>
          </w:tcPr>
          <w:p>
            <w:pPr>
              <w:snapToGrid w:val="0"/>
              <w:spacing w:before="50" w:after="50"/>
              <w:jc w:val="center"/>
              <w:rPr>
                <w:rFonts w:ascii="宋体" w:hAnsi="宋体" w:eastAsia="宋体"/>
                <w:color w:val="000000"/>
                <w:sz w:val="24"/>
              </w:rPr>
            </w:pPr>
            <w:r>
              <w:rPr>
                <w:rFonts w:hint="eastAsia" w:ascii="宋体" w:hAnsi="宋体" w:eastAsia="宋体"/>
                <w:color w:val="000000"/>
                <w:sz w:val="24"/>
              </w:rPr>
              <w:t>证书编号</w:t>
            </w:r>
          </w:p>
        </w:tc>
        <w:tc>
          <w:tcPr>
            <w:tcW w:w="1620" w:type="dxa"/>
            <w:tcBorders>
              <w:top w:val="single" w:color="auto" w:sz="4" w:space="0"/>
              <w:left w:val="single" w:color="auto" w:sz="4" w:space="0"/>
              <w:bottom w:val="single" w:color="auto" w:sz="4" w:space="0"/>
              <w:right w:val="single" w:color="auto" w:sz="4" w:space="0"/>
            </w:tcBorders>
            <w:noWrap w:val="0"/>
            <w:vAlign w:val="bottom"/>
          </w:tcPr>
          <w:p>
            <w:pPr>
              <w:snapToGrid w:val="0"/>
              <w:spacing w:before="50" w:after="50"/>
              <w:jc w:val="center"/>
              <w:rPr>
                <w:rFonts w:ascii="宋体" w:hAnsi="宋体" w:eastAsia="宋体"/>
                <w:color w:val="000000"/>
                <w:sz w:val="24"/>
              </w:rPr>
            </w:pPr>
            <w:r>
              <w:rPr>
                <w:rFonts w:hint="eastAsia" w:ascii="宋体" w:hAnsi="宋体" w:eastAsia="宋体"/>
                <w:color w:val="000000"/>
                <w:sz w:val="24"/>
              </w:rPr>
              <w:t>参加本单位工作时间</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color w:val="000000"/>
                <w:sz w:val="24"/>
              </w:rPr>
            </w:pPr>
            <w:r>
              <w:rPr>
                <w:rFonts w:hint="eastAsia" w:ascii="宋体" w:hAnsi="宋体" w:eastAsia="宋体"/>
                <w:color w:val="000000"/>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004"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63"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c>
          <w:tcPr>
            <w:tcW w:w="1980" w:type="dxa"/>
            <w:tcBorders>
              <w:top w:val="single" w:color="auto" w:sz="4" w:space="0"/>
              <w:left w:val="single" w:color="auto" w:sz="4" w:space="0"/>
              <w:bottom w:val="single" w:color="auto" w:sz="4" w:space="0"/>
              <w:right w:val="single" w:color="auto" w:sz="4" w:space="0"/>
            </w:tcBorders>
            <w:noWrap w:val="0"/>
            <w:vAlign w:val="top"/>
          </w:tcPr>
          <w:p>
            <w:pPr>
              <w:snapToGrid w:val="0"/>
              <w:spacing w:before="50" w:after="50"/>
              <w:jc w:val="center"/>
              <w:rPr>
                <w:rFonts w:ascii="宋体" w:hAnsi="宋体" w:eastAsia="宋体"/>
                <w:color w:val="000000"/>
                <w:sz w:val="24"/>
              </w:rPr>
            </w:pPr>
          </w:p>
        </w:tc>
      </w:tr>
    </w:tbl>
    <w:p>
      <w:pPr>
        <w:snapToGrid w:val="0"/>
        <w:spacing w:before="50" w:after="120" w:afterLines="50" w:line="360" w:lineRule="auto"/>
        <w:jc w:val="left"/>
        <w:rPr>
          <w:rFonts w:ascii="宋体" w:hAnsi="宋体"/>
          <w:color w:val="000000"/>
          <w:sz w:val="24"/>
        </w:rPr>
      </w:pPr>
      <w:r>
        <w:rPr>
          <w:rFonts w:hint="eastAsia" w:ascii="宋体" w:hAnsi="宋体"/>
          <w:color w:val="000000"/>
          <w:sz w:val="24"/>
        </w:rPr>
        <w:t>注：在填写时，如本表格不适合投标单位的实际情况，可根据本表格式自行划表填写。</w:t>
      </w:r>
    </w:p>
    <w:p>
      <w:pPr>
        <w:pStyle w:val="3"/>
        <w:rPr>
          <w:rFonts w:hint="eastAsia" w:ascii="宋体" w:hAnsi="宋体"/>
          <w:color w:val="000000"/>
        </w:rPr>
      </w:pPr>
    </w:p>
    <w:p>
      <w:pPr>
        <w:snapToGrid w:val="0"/>
        <w:spacing w:before="50" w:after="120" w:afterLines="50" w:line="360" w:lineRule="auto"/>
        <w:jc w:val="left"/>
        <w:rPr>
          <w:rFonts w:ascii="宋体" w:hAnsi="宋体"/>
          <w:color w:val="000000"/>
          <w:spacing w:val="20"/>
          <w:sz w:val="24"/>
          <w:u w:val="single"/>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snapToGrid w:val="0"/>
        <w:spacing w:before="50" w:after="120" w:afterLines="50" w:line="360" w:lineRule="auto"/>
        <w:jc w:val="left"/>
        <w:rPr>
          <w:rFonts w:ascii="宋体" w:hAnsi="宋体"/>
          <w:b/>
          <w:color w:val="000000"/>
          <w:sz w:val="24"/>
          <w:szCs w:val="20"/>
        </w:rPr>
      </w:pPr>
      <w:r>
        <w:rPr>
          <w:rFonts w:ascii="宋体" w:hAnsi="宋体"/>
          <w:color w:val="000000"/>
          <w:spacing w:val="20"/>
          <w:sz w:val="24"/>
          <w:u w:val="single"/>
        </w:rPr>
        <w:br w:type="page"/>
      </w:r>
      <w:r>
        <w:rPr>
          <w:rFonts w:hint="eastAsia" w:ascii="宋体" w:hAnsi="宋体"/>
          <w:b/>
          <w:color w:val="000000"/>
          <w:sz w:val="24"/>
        </w:rPr>
        <w:t>13.选配件、专用耗材、售后服务优惠表格式</w:t>
      </w:r>
    </w:p>
    <w:p>
      <w:pPr>
        <w:tabs>
          <w:tab w:val="left" w:pos="315"/>
        </w:tabs>
        <w:snapToGrid w:val="0"/>
        <w:spacing w:before="50" w:after="50" w:line="360" w:lineRule="auto"/>
        <w:jc w:val="center"/>
        <w:rPr>
          <w:rFonts w:hint="eastAsia" w:ascii="宋体" w:hAnsi="宋体"/>
          <w:b/>
          <w:color w:val="000000"/>
          <w:sz w:val="30"/>
          <w:szCs w:val="30"/>
        </w:rPr>
      </w:pPr>
      <w:r>
        <w:rPr>
          <w:rFonts w:hint="eastAsia" w:ascii="宋体" w:hAnsi="宋体"/>
          <w:b/>
          <w:color w:val="000000"/>
          <w:sz w:val="30"/>
          <w:szCs w:val="30"/>
        </w:rPr>
        <w:t>选配件、专用耗材、售后服务优惠表</w:t>
      </w:r>
    </w:p>
    <w:p>
      <w:pPr>
        <w:tabs>
          <w:tab w:val="left" w:pos="315"/>
        </w:tabs>
        <w:snapToGrid w:val="0"/>
        <w:spacing w:before="50" w:after="50" w:line="360" w:lineRule="auto"/>
        <w:rPr>
          <w:rFonts w:ascii="宋体" w:hAnsi="宋体"/>
          <w:color w:val="000000"/>
          <w:spacing w:val="20"/>
          <w:sz w:val="24"/>
          <w:szCs w:val="20"/>
        </w:rPr>
      </w:pPr>
      <w:r>
        <w:rPr>
          <w:rFonts w:hint="eastAsia" w:ascii="宋体" w:hAnsi="宋体"/>
          <w:color w:val="000000"/>
          <w:sz w:val="24"/>
        </w:rPr>
        <w:t>项目编号：</w:t>
      </w:r>
      <w:r>
        <w:rPr>
          <w:rFonts w:ascii="宋体" w:hAnsi="宋体"/>
          <w:color w:val="000000"/>
          <w:sz w:val="24"/>
          <w:u w:val="single"/>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比投标报价优惠率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 w:val="3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4</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5</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rPr>
              <w:t>6</w:t>
            </w: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700" w:type="dxa"/>
            <w:tcBorders>
              <w:top w:val="single" w:color="auto" w:sz="6" w:space="0"/>
              <w:left w:val="single" w:color="auto" w:sz="2" w:space="0"/>
              <w:bottom w:val="single" w:color="auto" w:sz="6"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5"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700" w:type="dxa"/>
            <w:tcBorders>
              <w:top w:val="single" w:color="auto" w:sz="6" w:space="0"/>
              <w:left w:val="single" w:color="auto" w:sz="2" w:space="0"/>
              <w:bottom w:val="single" w:color="auto" w:sz="2" w:space="0"/>
              <w:right w:val="single" w:color="auto" w:sz="4"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4" w:space="0"/>
              <w:bottom w:val="single" w:color="auto" w:sz="2" w:space="0"/>
              <w:right w:val="single" w:color="auto" w:sz="6" w:space="0"/>
            </w:tcBorders>
            <w:noWrap w:val="0"/>
            <w:vAlign w:val="center"/>
          </w:tcPr>
          <w:p>
            <w:pPr>
              <w:pStyle w:val="16"/>
              <w:snapToGrid w:val="0"/>
              <w:spacing w:beforeLines="0" w:afterLines="0" w:line="360" w:lineRule="auto"/>
              <w:jc w:val="center"/>
              <w:rPr>
                <w:rFonts w:hAnsi="宋体" w:eastAsia="宋体"/>
                <w:color w:val="000000"/>
                <w:kern w:val="2"/>
                <w:szCs w:val="21"/>
              </w:rPr>
            </w:pPr>
          </w:p>
        </w:tc>
        <w:tc>
          <w:tcPr>
            <w:tcW w:w="1440" w:type="dxa"/>
            <w:tcBorders>
              <w:top w:val="single" w:color="auto" w:sz="6" w:space="0"/>
              <w:left w:val="single" w:color="auto" w:sz="6" w:space="0"/>
              <w:bottom w:val="single" w:color="auto" w:sz="2" w:space="0"/>
              <w:right w:val="single" w:color="auto" w:sz="6" w:space="0"/>
            </w:tcBorders>
            <w:noWrap w:val="0"/>
            <w:tcMar>
              <w:top w:w="15" w:type="dxa"/>
              <w:left w:w="15" w:type="dxa"/>
              <w:bottom w:w="0" w:type="dxa"/>
              <w:right w:w="15" w:type="dxa"/>
            </w:tcMar>
            <w:vAlign w:val="center"/>
          </w:tcPr>
          <w:p>
            <w:pPr>
              <w:pStyle w:val="16"/>
              <w:snapToGrid w:val="0"/>
              <w:spacing w:beforeLines="0" w:afterLines="0" w:line="360" w:lineRule="auto"/>
              <w:jc w:val="center"/>
              <w:rPr>
                <w:rFonts w:hAnsi="宋体" w:eastAsia="宋体"/>
                <w:color w:val="000000"/>
                <w:kern w:val="2"/>
                <w:szCs w:val="21"/>
              </w:rPr>
            </w:pPr>
          </w:p>
        </w:tc>
        <w:tc>
          <w:tcPr>
            <w:tcW w:w="2340" w:type="dxa"/>
            <w:tcBorders>
              <w:top w:val="single" w:color="auto" w:sz="6" w:space="0"/>
              <w:left w:val="single" w:color="auto" w:sz="6" w:space="0"/>
              <w:bottom w:val="single" w:color="auto" w:sz="2" w:space="0"/>
              <w:right w:val="single" w:color="auto" w:sz="2" w:space="0"/>
            </w:tcBorders>
            <w:noWrap w:val="0"/>
            <w:vAlign w:val="center"/>
          </w:tcPr>
          <w:p>
            <w:pPr>
              <w:pStyle w:val="16"/>
              <w:snapToGrid w:val="0"/>
              <w:spacing w:beforeLines="0" w:afterLines="0" w:line="360" w:lineRule="auto"/>
              <w:jc w:val="center"/>
              <w:rPr>
                <w:rFonts w:hAnsi="宋体" w:eastAsia="宋体"/>
                <w:color w:val="000000"/>
                <w:kern w:val="2"/>
                <w:szCs w:val="21"/>
              </w:rPr>
            </w:pPr>
            <w:r>
              <w:rPr>
                <w:rFonts w:hAnsi="宋体" w:eastAsia="宋体"/>
                <w:color w:val="000000"/>
                <w:kern w:val="2"/>
                <w:szCs w:val="21"/>
                <w:u w:val="single"/>
              </w:rPr>
              <w:t xml:space="preserve">            </w:t>
            </w:r>
            <w:r>
              <w:rPr>
                <w:rFonts w:hAnsi="宋体" w:eastAsia="宋体"/>
                <w:color w:val="000000"/>
                <w:kern w:val="2"/>
                <w:sz w:val="32"/>
                <w:szCs w:val="21"/>
              </w:rPr>
              <w:t>%</w:t>
            </w:r>
          </w:p>
        </w:tc>
      </w:tr>
    </w:tbl>
    <w:p>
      <w:pPr>
        <w:snapToGrid w:val="0"/>
        <w:spacing w:before="50" w:after="50" w:line="360" w:lineRule="auto"/>
        <w:rPr>
          <w:rFonts w:ascii="宋体" w:hAnsi="宋体"/>
          <w:color w:val="000000"/>
          <w:spacing w:val="20"/>
          <w:sz w:val="24"/>
          <w:szCs w:val="20"/>
          <w:u w:val="single"/>
        </w:rPr>
      </w:pPr>
    </w:p>
    <w:p>
      <w:pPr>
        <w:snapToGrid w:val="0"/>
        <w:spacing w:before="50" w:after="50" w:line="360" w:lineRule="auto"/>
        <w:rPr>
          <w:rFonts w:ascii="宋体" w:hAnsi="宋体"/>
          <w:color w:val="000000"/>
          <w:spacing w:val="20"/>
          <w:sz w:val="24"/>
          <w:u w:val="single"/>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pStyle w:val="3"/>
        <w:rPr>
          <w:color w:val="000000"/>
        </w:rPr>
      </w:pPr>
    </w:p>
    <w:p>
      <w:pPr>
        <w:pageBreakBefore/>
        <w:tabs>
          <w:tab w:val="center" w:pos="4422"/>
        </w:tabs>
        <w:rPr>
          <w:rFonts w:hAnsi="仿宋_GB2312" w:cs="仿宋_GB2312"/>
          <w:b/>
          <w:bCs/>
          <w:color w:val="000000"/>
        </w:rPr>
      </w:pPr>
      <w:r>
        <w:rPr>
          <w:rFonts w:hint="eastAsia" w:ascii="宋体" w:hAnsi="宋体"/>
          <w:b/>
          <w:color w:val="000000"/>
          <w:sz w:val="24"/>
        </w:rPr>
        <w:t>1</w:t>
      </w:r>
      <w:r>
        <w:rPr>
          <w:rFonts w:ascii="宋体" w:hAnsi="宋体"/>
          <w:b/>
          <w:color w:val="000000"/>
          <w:sz w:val="24"/>
        </w:rPr>
        <w:t>4</w:t>
      </w:r>
      <w:r>
        <w:rPr>
          <w:rFonts w:hint="eastAsia" w:ascii="宋体" w:hAnsi="宋体"/>
          <w:b/>
          <w:color w:val="000000"/>
          <w:sz w:val="24"/>
        </w:rPr>
        <w:t>.现场踏勘确认函</w:t>
      </w:r>
      <w:r>
        <w:rPr>
          <w:rFonts w:hAnsi="仿宋_GB2312" w:cs="仿宋_GB2312"/>
          <w:b/>
          <w:bCs/>
          <w:color w:val="000000"/>
        </w:rPr>
        <w:tab/>
      </w:r>
    </w:p>
    <w:p>
      <w:pPr>
        <w:pStyle w:val="65"/>
        <w:spacing w:line="440" w:lineRule="exact"/>
        <w:rPr>
          <w:rFonts w:ascii="仿宋_GB2312" w:hAnsi="仿宋_GB2312" w:eastAsia="仿宋_GB2312" w:cs="仿宋_GB2312"/>
          <w:color w:val="000000"/>
          <w:sz w:val="28"/>
          <w:szCs w:val="24"/>
        </w:rPr>
      </w:pPr>
    </w:p>
    <w:p>
      <w:pPr>
        <w:pStyle w:val="65"/>
        <w:spacing w:line="440" w:lineRule="exact"/>
        <w:rPr>
          <w:rFonts w:ascii="仿宋_GB2312" w:hAnsi="仿宋_GB2312" w:eastAsia="仿宋_GB2312" w:cs="仿宋_GB2312"/>
          <w:color w:val="000000"/>
          <w:sz w:val="28"/>
          <w:szCs w:val="24"/>
        </w:rPr>
      </w:pPr>
    </w:p>
    <w:p>
      <w:pPr>
        <w:tabs>
          <w:tab w:val="left" w:pos="315"/>
        </w:tabs>
        <w:snapToGrid w:val="0"/>
        <w:spacing w:before="50" w:after="50" w:line="360" w:lineRule="auto"/>
        <w:jc w:val="center"/>
        <w:rPr>
          <w:rFonts w:ascii="宋体" w:hAnsi="宋体"/>
          <w:b/>
          <w:color w:val="000000"/>
          <w:sz w:val="30"/>
          <w:szCs w:val="30"/>
        </w:rPr>
      </w:pPr>
      <w:r>
        <w:rPr>
          <w:rFonts w:hint="eastAsia" w:ascii="宋体" w:hAnsi="宋体"/>
          <w:b/>
          <w:color w:val="000000"/>
          <w:sz w:val="30"/>
          <w:szCs w:val="30"/>
        </w:rPr>
        <w:t>现场踏勘确认函</w:t>
      </w:r>
    </w:p>
    <w:p>
      <w:pPr>
        <w:pStyle w:val="65"/>
        <w:spacing w:line="440" w:lineRule="exact"/>
        <w:rPr>
          <w:rFonts w:ascii="仿宋_GB2312" w:hAnsi="仿宋_GB2312" w:eastAsia="仿宋_GB2312" w:cs="仿宋_GB2312"/>
          <w:color w:val="000000"/>
          <w:sz w:val="28"/>
          <w:szCs w:val="24"/>
        </w:rPr>
      </w:pPr>
    </w:p>
    <w:p>
      <w:pPr>
        <w:pStyle w:val="65"/>
        <w:spacing w:line="360" w:lineRule="auto"/>
        <w:rPr>
          <w:rFonts w:hAnsi="宋体" w:cs="仿宋_GB2312"/>
          <w:color w:val="000000"/>
          <w:sz w:val="28"/>
          <w:szCs w:val="28"/>
        </w:rPr>
      </w:pPr>
      <w:r>
        <w:rPr>
          <w:rFonts w:hint="eastAsia" w:hAnsi="宋体" w:cs="仿宋_GB2312"/>
          <w:color w:val="000000"/>
          <w:sz w:val="28"/>
          <w:szCs w:val="28"/>
        </w:rPr>
        <w:t>致：浙江省第四监狱：</w:t>
      </w:r>
    </w:p>
    <w:p>
      <w:pPr>
        <w:pStyle w:val="65"/>
        <w:spacing w:line="360" w:lineRule="auto"/>
        <w:ind w:firstLine="482"/>
        <w:rPr>
          <w:rFonts w:hAnsi="宋体" w:cs="仿宋_GB2312"/>
          <w:color w:val="000000"/>
          <w:sz w:val="28"/>
          <w:szCs w:val="28"/>
        </w:rPr>
      </w:pPr>
      <w:r>
        <w:rPr>
          <w:rFonts w:hint="eastAsia" w:hAnsi="宋体" w:cs="仿宋_GB2312"/>
          <w:color w:val="000000"/>
          <w:sz w:val="28"/>
          <w:szCs w:val="28"/>
        </w:rPr>
        <w:t>我公司已对</w:t>
      </w:r>
      <w:r>
        <w:rPr>
          <w:rFonts w:hint="eastAsia" w:hAnsi="宋体" w:cs="仿宋_GB2312"/>
          <w:b/>
          <w:color w:val="000000"/>
          <w:sz w:val="28"/>
          <w:szCs w:val="28"/>
          <w:u w:val="single"/>
        </w:rPr>
        <w:t xml:space="preserve">  </w:t>
      </w:r>
      <w:r>
        <w:rPr>
          <w:rFonts w:hAnsi="宋体" w:cs="仿宋_GB2312"/>
          <w:b/>
          <w:color w:val="000000"/>
          <w:sz w:val="28"/>
          <w:szCs w:val="28"/>
          <w:u w:val="single"/>
        </w:rPr>
        <w:t xml:space="preserve">               </w:t>
      </w:r>
      <w:r>
        <w:rPr>
          <w:rFonts w:hint="eastAsia" w:hAnsi="宋体" w:cs="仿宋_GB2312"/>
          <w:b/>
          <w:color w:val="000000"/>
          <w:sz w:val="28"/>
          <w:szCs w:val="28"/>
          <w:u w:val="single"/>
        </w:rPr>
        <w:t xml:space="preserve"> </w:t>
      </w:r>
      <w:r>
        <w:rPr>
          <w:rFonts w:hint="eastAsia" w:hAnsi="宋体" w:cs="仿宋_GB2312"/>
          <w:color w:val="000000"/>
          <w:sz w:val="28"/>
          <w:szCs w:val="28"/>
        </w:rPr>
        <w:t>项目进行了现场踏勘，确认贵方使用部门提出的采购需求及要求和前期场地各项处理及注意事项，了解各项设备、服务和现场实际情况的匹配情况，没有其他需要增减的设备和配件、附件及辅材。本公司完全可以提供所有设备、货物和服务，能满足使用部门的管理要求，并做到安全施工。贵方使用部门已经回答了我公司关于现场情况的一切疑问，我公司不再对现场情况提出任何疑问，我方的报价将会包含所有本项目费用，无需增加任何费用，直至完全满足使用部门的验收要求。</w:t>
      </w:r>
    </w:p>
    <w:p>
      <w:pPr>
        <w:pStyle w:val="65"/>
        <w:spacing w:line="360" w:lineRule="auto"/>
        <w:ind w:firstLine="536" w:firstLineChars="200"/>
        <w:rPr>
          <w:rFonts w:hint="eastAsia" w:hAnsi="宋体" w:cs="仿宋_GB2312"/>
          <w:color w:val="000000"/>
          <w:sz w:val="28"/>
          <w:szCs w:val="28"/>
        </w:rPr>
      </w:pPr>
      <w:r>
        <w:rPr>
          <w:rFonts w:hint="eastAsia" w:hAnsi="宋体" w:cs="仿宋_GB2312"/>
          <w:color w:val="000000"/>
          <w:sz w:val="28"/>
          <w:szCs w:val="28"/>
        </w:rPr>
        <w:t>特此证明！</w:t>
      </w:r>
    </w:p>
    <w:p>
      <w:pPr>
        <w:pStyle w:val="65"/>
        <w:spacing w:line="360" w:lineRule="auto"/>
        <w:ind w:firstLine="4432" w:firstLineChars="1654"/>
        <w:rPr>
          <w:rFonts w:hAnsi="宋体" w:cs="仿宋_GB2312"/>
          <w:color w:val="000000"/>
          <w:sz w:val="28"/>
          <w:szCs w:val="28"/>
        </w:rPr>
      </w:pPr>
    </w:p>
    <w:p>
      <w:pPr>
        <w:pStyle w:val="65"/>
        <w:spacing w:line="360" w:lineRule="auto"/>
        <w:ind w:firstLine="4432" w:firstLineChars="1654"/>
        <w:rPr>
          <w:rFonts w:hAnsi="宋体" w:cs="仿宋_GB2312"/>
          <w:color w:val="000000"/>
          <w:sz w:val="28"/>
          <w:szCs w:val="28"/>
        </w:rPr>
      </w:pPr>
      <w:r>
        <w:rPr>
          <w:rFonts w:hint="eastAsia" w:hAnsi="宋体" w:cs="仿宋_GB2312"/>
          <w:color w:val="000000"/>
          <w:sz w:val="28"/>
          <w:szCs w:val="28"/>
        </w:rPr>
        <w:t xml:space="preserve">投标人名称（填写并盖章）： </w:t>
      </w:r>
    </w:p>
    <w:p>
      <w:pPr>
        <w:pStyle w:val="65"/>
        <w:spacing w:line="360" w:lineRule="auto"/>
        <w:ind w:firstLine="482"/>
        <w:jc w:val="center"/>
        <w:rPr>
          <w:rFonts w:hAnsi="宋体" w:cs="仿宋_GB2312"/>
          <w:color w:val="000000"/>
          <w:sz w:val="28"/>
          <w:szCs w:val="28"/>
        </w:rPr>
      </w:pPr>
      <w:r>
        <w:rPr>
          <w:rFonts w:hint="eastAsia" w:hAnsi="宋体" w:cs="仿宋_GB2312"/>
          <w:color w:val="000000"/>
          <w:sz w:val="28"/>
          <w:szCs w:val="28"/>
        </w:rPr>
        <w:t xml:space="preserve">                   </w:t>
      </w:r>
      <w:r>
        <w:rPr>
          <w:rFonts w:hAnsi="宋体" w:cs="仿宋_GB2312"/>
          <w:color w:val="000000"/>
          <w:sz w:val="28"/>
          <w:szCs w:val="28"/>
        </w:rPr>
        <w:t xml:space="preserve">      </w:t>
      </w:r>
      <w:r>
        <w:rPr>
          <w:rFonts w:hint="eastAsia" w:hAnsi="宋体" w:cs="仿宋_GB2312"/>
          <w:color w:val="000000"/>
          <w:sz w:val="28"/>
          <w:szCs w:val="28"/>
        </w:rPr>
        <w:t>采购人授权确认人（签名）：</w:t>
      </w:r>
    </w:p>
    <w:p>
      <w:pPr>
        <w:tabs>
          <w:tab w:val="center" w:pos="4422"/>
        </w:tabs>
        <w:spacing w:line="360" w:lineRule="auto"/>
        <w:ind w:firstLine="560" w:firstLineChars="200"/>
        <w:jc w:val="center"/>
        <w:rPr>
          <w:rFonts w:ascii="宋体" w:hAnsi="宋体" w:cs="仿宋_GB2312"/>
          <w:b/>
          <w:bCs/>
          <w:color w:val="000000"/>
          <w:sz w:val="28"/>
          <w:szCs w:val="28"/>
        </w:rPr>
      </w:pPr>
      <w:r>
        <w:rPr>
          <w:rFonts w:hint="eastAsia" w:ascii="宋体" w:hAnsi="宋体" w:cs="仿宋_GB2312"/>
          <w:color w:val="000000"/>
          <w:sz w:val="28"/>
          <w:szCs w:val="28"/>
        </w:rPr>
        <w:t xml:space="preserve">                 202</w:t>
      </w:r>
      <w:r>
        <w:rPr>
          <w:rFonts w:ascii="宋体" w:hAnsi="宋体" w:cs="仿宋_GB2312"/>
          <w:color w:val="000000"/>
          <w:sz w:val="28"/>
          <w:szCs w:val="28"/>
        </w:rPr>
        <w:t>1</w:t>
      </w:r>
      <w:r>
        <w:rPr>
          <w:rFonts w:hint="eastAsia" w:ascii="宋体" w:hAnsi="宋体" w:cs="仿宋_GB2312"/>
          <w:color w:val="000000"/>
          <w:sz w:val="28"/>
          <w:szCs w:val="28"/>
        </w:rPr>
        <w:t>年    月</w:t>
      </w:r>
      <w:r>
        <w:rPr>
          <w:rFonts w:ascii="宋体" w:hAnsi="宋体" w:cs="Calibri"/>
          <w:color w:val="000000"/>
          <w:sz w:val="28"/>
          <w:szCs w:val="28"/>
        </w:rPr>
        <w:t>  </w:t>
      </w:r>
      <w:r>
        <w:rPr>
          <w:rFonts w:hint="eastAsia" w:ascii="宋体" w:hAnsi="宋体" w:cs="仿宋_GB2312"/>
          <w:color w:val="000000"/>
          <w:sz w:val="28"/>
          <w:szCs w:val="28"/>
        </w:rPr>
        <w:t xml:space="preserve"> 日</w:t>
      </w:r>
    </w:p>
    <w:p>
      <w:pPr>
        <w:pStyle w:val="3"/>
        <w:rPr>
          <w:rFonts w:hint="eastAsia" w:ascii="宋体" w:hAnsi="宋体"/>
          <w:color w:val="000000"/>
          <w:sz w:val="28"/>
          <w:szCs w:val="28"/>
        </w:rPr>
      </w:pPr>
    </w:p>
    <w:p>
      <w:pPr>
        <w:snapToGrid w:val="0"/>
        <w:spacing w:line="360" w:lineRule="auto"/>
        <w:jc w:val="left"/>
        <w:rPr>
          <w:rFonts w:ascii="宋体" w:hAnsi="宋体"/>
          <w:color w:val="000000"/>
        </w:rPr>
      </w:pPr>
      <w:r>
        <w:rPr>
          <w:rFonts w:ascii="宋体" w:hAnsi="宋体"/>
          <w:color w:val="000000"/>
        </w:rPr>
        <w:br w:type="page"/>
      </w:r>
    </w:p>
    <w:p>
      <w:pPr>
        <w:snapToGrid w:val="0"/>
        <w:spacing w:line="360" w:lineRule="auto"/>
        <w:jc w:val="left"/>
        <w:rPr>
          <w:rFonts w:hint="eastAsia" w:ascii="宋体" w:hAnsi="宋体"/>
          <w:b/>
          <w:color w:val="000000"/>
          <w:sz w:val="24"/>
          <w:szCs w:val="20"/>
        </w:rPr>
      </w:pPr>
      <w:r>
        <w:rPr>
          <w:rFonts w:hint="eastAsia" w:ascii="宋体" w:hAnsi="宋体"/>
          <w:b/>
          <w:color w:val="000000"/>
          <w:sz w:val="24"/>
        </w:rPr>
        <w:t>1</w:t>
      </w:r>
      <w:r>
        <w:rPr>
          <w:rFonts w:ascii="宋体" w:hAnsi="宋体"/>
          <w:b/>
          <w:color w:val="000000"/>
          <w:sz w:val="24"/>
        </w:rPr>
        <w:t>5</w:t>
      </w:r>
      <w:r>
        <w:rPr>
          <w:rFonts w:hint="eastAsia" w:ascii="宋体" w:hAnsi="宋体"/>
          <w:b/>
          <w:color w:val="000000"/>
          <w:sz w:val="24"/>
        </w:rPr>
        <w:t>.</w:t>
      </w:r>
      <w:r>
        <w:rPr>
          <w:rFonts w:ascii="宋体" w:hAnsi="宋体"/>
          <w:b/>
          <w:color w:val="000000"/>
          <w:sz w:val="24"/>
        </w:rPr>
        <w:t>报价文件</w:t>
      </w:r>
      <w:r>
        <w:rPr>
          <w:rFonts w:hint="eastAsia" w:ascii="宋体" w:hAnsi="宋体"/>
          <w:b/>
          <w:color w:val="000000"/>
          <w:sz w:val="24"/>
        </w:rPr>
        <w:t>目录</w:t>
      </w:r>
    </w:p>
    <w:p>
      <w:pPr>
        <w:autoSpaceDE w:val="0"/>
        <w:autoSpaceDN w:val="0"/>
        <w:adjustRightInd w:val="0"/>
        <w:spacing w:line="360" w:lineRule="auto"/>
        <w:rPr>
          <w:rFonts w:hint="eastAsia" w:ascii="宋体" w:hAnsi="宋体" w:cs="宋体"/>
          <w:b/>
          <w:bCs/>
          <w:color w:val="000000"/>
          <w:szCs w:val="21"/>
        </w:rPr>
      </w:pPr>
      <w:r>
        <w:rPr>
          <w:rFonts w:hint="eastAsia" w:ascii="宋体" w:hAnsi="宋体" w:cs="宋体"/>
          <w:b/>
          <w:bCs/>
          <w:color w:val="000000"/>
          <w:szCs w:val="21"/>
        </w:rPr>
        <w:t>详见投标人须知。</w:t>
      </w:r>
    </w:p>
    <w:p>
      <w:pPr>
        <w:snapToGrid w:val="0"/>
        <w:spacing w:before="120" w:beforeLines="50" w:after="50" w:line="360" w:lineRule="auto"/>
        <w:rPr>
          <w:rFonts w:ascii="宋体" w:hAnsi="宋体"/>
          <w:b/>
          <w:color w:val="000000"/>
          <w:sz w:val="24"/>
          <w:szCs w:val="20"/>
        </w:rPr>
      </w:pPr>
      <w:r>
        <w:rPr>
          <w:rFonts w:ascii="宋体" w:hAnsi="宋体"/>
          <w:color w:val="000000"/>
          <w:sz w:val="24"/>
        </w:rPr>
        <w:br w:type="page"/>
      </w:r>
      <w:r>
        <w:rPr>
          <w:rFonts w:hint="eastAsia" w:ascii="宋体" w:hAnsi="宋体"/>
          <w:b/>
          <w:color w:val="000000"/>
          <w:sz w:val="24"/>
        </w:rPr>
        <w:t>1</w:t>
      </w:r>
      <w:r>
        <w:rPr>
          <w:rFonts w:ascii="宋体" w:hAnsi="宋体"/>
          <w:b/>
          <w:color w:val="000000"/>
          <w:sz w:val="24"/>
        </w:rPr>
        <w:t>6</w:t>
      </w:r>
      <w:r>
        <w:rPr>
          <w:rFonts w:hint="eastAsia" w:ascii="宋体" w:hAnsi="宋体"/>
          <w:b/>
          <w:color w:val="000000"/>
          <w:sz w:val="24"/>
        </w:rPr>
        <w:t>.投标函格式</w:t>
      </w:r>
    </w:p>
    <w:p>
      <w:pPr>
        <w:snapToGrid w:val="0"/>
        <w:spacing w:before="120" w:beforeLines="50" w:after="50" w:line="360" w:lineRule="auto"/>
        <w:jc w:val="center"/>
        <w:rPr>
          <w:rFonts w:ascii="宋体" w:hAnsi="宋体"/>
          <w:b/>
          <w:color w:val="000000"/>
          <w:sz w:val="30"/>
          <w:szCs w:val="30"/>
        </w:rPr>
      </w:pPr>
      <w:r>
        <w:rPr>
          <w:rFonts w:hint="eastAsia" w:ascii="宋体" w:hAnsi="宋体"/>
          <w:b/>
          <w:color w:val="000000"/>
          <w:sz w:val="30"/>
          <w:szCs w:val="30"/>
        </w:rPr>
        <w:t>投</w:t>
      </w:r>
      <w:r>
        <w:rPr>
          <w:rFonts w:ascii="宋体" w:hAnsi="宋体"/>
          <w:b/>
          <w:color w:val="000000"/>
          <w:sz w:val="30"/>
          <w:szCs w:val="30"/>
        </w:rPr>
        <w:t xml:space="preserve"> </w:t>
      </w:r>
      <w:r>
        <w:rPr>
          <w:rFonts w:hint="eastAsia" w:ascii="宋体" w:hAnsi="宋体"/>
          <w:b/>
          <w:color w:val="000000"/>
          <w:sz w:val="30"/>
          <w:szCs w:val="30"/>
        </w:rPr>
        <w:t>标</w:t>
      </w:r>
      <w:r>
        <w:rPr>
          <w:rFonts w:ascii="宋体" w:hAnsi="宋体"/>
          <w:b/>
          <w:color w:val="000000"/>
          <w:sz w:val="30"/>
          <w:szCs w:val="30"/>
        </w:rPr>
        <w:t xml:space="preserve"> </w:t>
      </w:r>
      <w:r>
        <w:rPr>
          <w:rFonts w:hint="eastAsia" w:ascii="宋体" w:hAnsi="宋体"/>
          <w:b/>
          <w:color w:val="000000"/>
          <w:sz w:val="30"/>
          <w:szCs w:val="30"/>
        </w:rPr>
        <w:t>函</w:t>
      </w:r>
    </w:p>
    <w:p>
      <w:pPr>
        <w:snapToGrid w:val="0"/>
        <w:spacing w:line="360" w:lineRule="auto"/>
        <w:rPr>
          <w:rFonts w:ascii="宋体" w:hAnsi="宋体"/>
          <w:color w:val="000000"/>
          <w:sz w:val="24"/>
          <w:szCs w:val="20"/>
        </w:rPr>
      </w:pPr>
      <w:r>
        <w:rPr>
          <w:rFonts w:hint="eastAsia" w:ascii="宋体" w:hAnsi="宋体"/>
          <w:color w:val="000000"/>
          <w:sz w:val="24"/>
        </w:rPr>
        <w:t>致：</w:t>
      </w:r>
      <w:r>
        <w:rPr>
          <w:rFonts w:ascii="宋体" w:hAnsi="宋体"/>
          <w:color w:val="000000"/>
          <w:sz w:val="24"/>
        </w:rPr>
        <w:t>______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w:t>
      </w:r>
    </w:p>
    <w:p>
      <w:pPr>
        <w:snapToGrid w:val="0"/>
        <w:spacing w:line="360" w:lineRule="auto"/>
        <w:ind w:firstLine="480"/>
        <w:rPr>
          <w:rFonts w:ascii="宋体" w:hAnsi="宋体"/>
          <w:color w:val="000000"/>
          <w:sz w:val="24"/>
          <w:szCs w:val="20"/>
        </w:rPr>
      </w:pPr>
      <w:r>
        <w:rPr>
          <w:rFonts w:hint="eastAsia" w:ascii="宋体" w:hAnsi="宋体"/>
          <w:color w:val="000000"/>
          <w:sz w:val="24"/>
        </w:rPr>
        <w:t>根据贵方为</w:t>
      </w:r>
      <w:r>
        <w:rPr>
          <w:rFonts w:ascii="宋体" w:hAnsi="宋体"/>
          <w:color w:val="000000"/>
          <w:sz w:val="24"/>
          <w:u w:val="single"/>
        </w:rPr>
        <w:t xml:space="preserve">                             </w:t>
      </w:r>
      <w:r>
        <w:rPr>
          <w:rFonts w:hint="eastAsia" w:ascii="宋体" w:hAnsi="宋体"/>
          <w:color w:val="000000"/>
          <w:sz w:val="24"/>
        </w:rPr>
        <w:t>项目的招标公告</w:t>
      </w:r>
      <w:r>
        <w:rPr>
          <w:rFonts w:ascii="宋体" w:hAnsi="宋体"/>
          <w:color w:val="000000"/>
          <w:sz w:val="24"/>
        </w:rPr>
        <w:t>/</w:t>
      </w:r>
      <w:r>
        <w:rPr>
          <w:rFonts w:hint="eastAsia" w:ascii="宋体" w:hAnsi="宋体"/>
          <w:color w:val="000000"/>
          <w:sz w:val="24"/>
        </w:rPr>
        <w:t>投标邀请书</w:t>
      </w:r>
    </w:p>
    <w:p>
      <w:pPr>
        <w:snapToGrid w:val="0"/>
        <w:spacing w:line="360" w:lineRule="auto"/>
        <w:rPr>
          <w:rFonts w:hint="eastAsia" w:ascii="宋体" w:hAnsi="宋体"/>
          <w:color w:val="000000"/>
          <w:sz w:val="24"/>
          <w:szCs w:val="20"/>
        </w:rPr>
      </w:pPr>
      <w:r>
        <w:rPr>
          <w:rFonts w:hint="eastAsia" w:ascii="宋体" w:hAnsi="宋体"/>
          <w:color w:val="000000"/>
          <w:sz w:val="24"/>
        </w:rPr>
        <w:t>（项目编号：</w:t>
      </w:r>
      <w:r>
        <w:rPr>
          <w:rFonts w:ascii="宋体" w:hAnsi="宋体"/>
          <w:color w:val="000000"/>
          <w:sz w:val="24"/>
        </w:rPr>
        <w:t>____</w:t>
      </w:r>
      <w:r>
        <w:rPr>
          <w:rFonts w:ascii="宋体" w:hAnsi="宋体"/>
          <w:color w:val="000000"/>
          <w:sz w:val="24"/>
          <w:u w:val="single"/>
        </w:rPr>
        <w:t>_     _</w:t>
      </w:r>
      <w:r>
        <w:rPr>
          <w:rFonts w:ascii="宋体" w:hAnsi="宋体"/>
          <w:color w:val="000000"/>
          <w:sz w:val="24"/>
        </w:rPr>
        <w:t>_</w:t>
      </w:r>
      <w:r>
        <w:rPr>
          <w:rFonts w:hint="eastAsia" w:ascii="宋体" w:hAnsi="宋体"/>
          <w:color w:val="000000"/>
          <w:sz w:val="24"/>
        </w:rPr>
        <w:t>），</w:t>
      </w:r>
      <w:r>
        <w:rPr>
          <w:rFonts w:ascii="宋体" w:hAnsi="宋体"/>
          <w:color w:val="000000"/>
          <w:sz w:val="24"/>
        </w:rPr>
        <w:t>_____</w:t>
      </w:r>
      <w:r>
        <w:rPr>
          <w:rFonts w:ascii="宋体" w:hAnsi="宋体"/>
          <w:color w:val="000000"/>
          <w:sz w:val="24"/>
          <w:u w:val="single"/>
        </w:rPr>
        <w:t>__                    __</w:t>
      </w:r>
      <w:r>
        <w:rPr>
          <w:rFonts w:hint="eastAsia" w:ascii="宋体" w:hAnsi="宋体"/>
          <w:color w:val="000000"/>
          <w:sz w:val="24"/>
        </w:rPr>
        <w:t>（投标人名称）在线提交资格证明文件、商务技术文件、报价文件各一份。投标总价为</w:t>
      </w:r>
      <w:r>
        <w:rPr>
          <w:rFonts w:ascii="宋体" w:hAnsi="宋体"/>
          <w:color w:val="000000"/>
          <w:sz w:val="24"/>
          <w:u w:val="single"/>
        </w:rPr>
        <w:t xml:space="preserve">    </w:t>
      </w:r>
      <w:r>
        <w:rPr>
          <w:rFonts w:hint="eastAsia" w:ascii="宋体" w:hAnsi="宋体"/>
          <w:color w:val="000000"/>
          <w:sz w:val="24"/>
          <w:u w:val="single"/>
        </w:rPr>
        <w:t xml:space="preserve">     </w:t>
      </w:r>
      <w:r>
        <w:rPr>
          <w:rFonts w:ascii="宋体" w:hAnsi="宋体"/>
          <w:color w:val="000000"/>
          <w:sz w:val="24"/>
          <w:u w:val="single"/>
        </w:rPr>
        <w:t xml:space="preserve">  </w:t>
      </w:r>
      <w:r>
        <w:rPr>
          <w:rFonts w:hint="eastAsia" w:ascii="宋体" w:hAnsi="宋体"/>
          <w:color w:val="000000"/>
          <w:sz w:val="24"/>
        </w:rPr>
        <w:t>。</w:t>
      </w:r>
    </w:p>
    <w:p>
      <w:pPr>
        <w:snapToGrid w:val="0"/>
        <w:spacing w:line="360" w:lineRule="auto"/>
        <w:ind w:firstLine="480" w:firstLineChars="200"/>
        <w:rPr>
          <w:rFonts w:ascii="宋体" w:hAnsi="宋体"/>
          <w:color w:val="000000"/>
          <w:sz w:val="24"/>
          <w:szCs w:val="20"/>
        </w:rPr>
      </w:pPr>
      <w:r>
        <w:rPr>
          <w:rFonts w:hint="eastAsia" w:ascii="宋体" w:hAnsi="宋体"/>
          <w:color w:val="000000"/>
          <w:sz w:val="24"/>
        </w:rPr>
        <w:t>据此函，签字代表宣布同意如下：</w:t>
      </w:r>
    </w:p>
    <w:p>
      <w:pPr>
        <w:snapToGrid w:val="0"/>
        <w:spacing w:line="360" w:lineRule="auto"/>
        <w:ind w:firstLine="480" w:firstLineChars="200"/>
        <w:rPr>
          <w:rFonts w:ascii="宋体" w:hAnsi="宋体"/>
          <w:color w:val="000000"/>
          <w:sz w:val="24"/>
          <w:szCs w:val="20"/>
        </w:rPr>
      </w:pPr>
      <w:r>
        <w:rPr>
          <w:rFonts w:ascii="宋体" w:hAnsi="宋体"/>
          <w:color w:val="000000"/>
          <w:sz w:val="24"/>
        </w:rPr>
        <w:t>1</w:t>
      </w:r>
      <w:r>
        <w:rPr>
          <w:rFonts w:hint="eastAsia" w:ascii="宋体" w:hAnsi="宋体"/>
          <w:color w:val="000000"/>
          <w:sz w:val="24"/>
        </w:rPr>
        <w:t>.投标人已详细审查全部“招标文件”，包括修改、澄清文件（如有）以及全部参考资料和有关附件，已经了解我方对于招标文件、采购过程、采购结果有依法进行询问、质疑、投诉的权利及相关渠道和要求。</w:t>
      </w:r>
    </w:p>
    <w:p>
      <w:pPr>
        <w:snapToGrid w:val="0"/>
        <w:spacing w:line="360" w:lineRule="auto"/>
        <w:ind w:firstLine="480" w:firstLineChars="200"/>
        <w:rPr>
          <w:rFonts w:ascii="宋体" w:hAnsi="宋体"/>
          <w:color w:val="000000"/>
          <w:sz w:val="24"/>
          <w:szCs w:val="20"/>
        </w:rPr>
      </w:pPr>
      <w:r>
        <w:rPr>
          <w:rFonts w:ascii="宋体" w:hAnsi="宋体"/>
          <w:color w:val="000000"/>
          <w:sz w:val="24"/>
        </w:rPr>
        <w:t>2</w:t>
      </w:r>
      <w:r>
        <w:rPr>
          <w:rFonts w:hint="eastAsia" w:ascii="宋体" w:hAnsi="宋体"/>
          <w:color w:val="000000"/>
          <w:sz w:val="24"/>
        </w:rPr>
        <w:t>.投标人在投标之前已经与贵方进行了充分的沟通，完全理解并接受招标文件的各项规定和要求，对招标文件的合理性、合法性不再有异议。</w:t>
      </w:r>
    </w:p>
    <w:p>
      <w:pPr>
        <w:snapToGrid w:val="0"/>
        <w:spacing w:line="360" w:lineRule="auto"/>
        <w:ind w:firstLine="480" w:firstLineChars="200"/>
        <w:rPr>
          <w:rFonts w:ascii="宋体" w:hAnsi="宋体"/>
          <w:color w:val="000000"/>
          <w:sz w:val="24"/>
          <w:szCs w:val="20"/>
        </w:rPr>
      </w:pPr>
      <w:r>
        <w:rPr>
          <w:rFonts w:ascii="宋体" w:hAnsi="宋体"/>
          <w:color w:val="000000"/>
          <w:sz w:val="24"/>
        </w:rPr>
        <w:t>3</w:t>
      </w:r>
      <w:r>
        <w:rPr>
          <w:rFonts w:hint="eastAsia" w:ascii="宋体" w:hAnsi="宋体"/>
          <w:color w:val="000000"/>
          <w:sz w:val="24"/>
        </w:rPr>
        <w:t>.投标有效期自开标日起</w:t>
      </w:r>
      <w:r>
        <w:rPr>
          <w:rFonts w:ascii="宋体" w:hAnsi="宋体"/>
          <w:color w:val="000000"/>
          <w:sz w:val="24"/>
        </w:rPr>
        <w:t xml:space="preserve"> ______</w:t>
      </w:r>
      <w:r>
        <w:rPr>
          <w:rFonts w:hint="eastAsia" w:ascii="宋体" w:hAnsi="宋体"/>
          <w:color w:val="000000"/>
          <w:sz w:val="24"/>
        </w:rPr>
        <w:t>个日。</w:t>
      </w:r>
    </w:p>
    <w:p>
      <w:pPr>
        <w:snapToGrid w:val="0"/>
        <w:spacing w:line="360" w:lineRule="auto"/>
        <w:ind w:firstLine="480" w:firstLineChars="200"/>
        <w:rPr>
          <w:rFonts w:hint="eastAsia" w:ascii="宋体" w:hAnsi="宋体"/>
          <w:color w:val="000000"/>
          <w:sz w:val="24"/>
        </w:rPr>
      </w:pPr>
      <w:r>
        <w:rPr>
          <w:rFonts w:ascii="宋体" w:hAnsi="宋体"/>
          <w:color w:val="000000"/>
          <w:sz w:val="24"/>
        </w:rPr>
        <w:t>4</w:t>
      </w:r>
      <w:r>
        <w:rPr>
          <w:rFonts w:hint="eastAsia" w:ascii="宋体" w:hAnsi="宋体"/>
          <w:color w:val="000000"/>
          <w:sz w:val="24"/>
        </w:rPr>
        <w:t>.如中标，本投标文件至本项目合同履行完毕止均保持有效，本投标人将按“招标文件”及政府采购法律、法规的规定履行合同责任和义务。</w:t>
      </w:r>
    </w:p>
    <w:p>
      <w:pPr>
        <w:snapToGrid w:val="0"/>
        <w:spacing w:line="360" w:lineRule="auto"/>
        <w:ind w:firstLine="480" w:firstLineChars="200"/>
        <w:rPr>
          <w:rFonts w:ascii="宋体" w:hAnsi="宋体"/>
          <w:color w:val="000000"/>
          <w:sz w:val="24"/>
          <w:szCs w:val="20"/>
        </w:rPr>
      </w:pPr>
      <w:r>
        <w:rPr>
          <w:rFonts w:hint="eastAsia" w:ascii="宋体" w:hAnsi="宋体"/>
          <w:color w:val="000000"/>
          <w:sz w:val="24"/>
        </w:rPr>
        <w:t>5.如中标，我公司将自中标公告发布之日起5个工作日内按招标文件规定的标准（金额）一次性向采购代理机构支付代理服务费。</w:t>
      </w:r>
    </w:p>
    <w:p>
      <w:pPr>
        <w:snapToGrid w:val="0"/>
        <w:spacing w:line="360" w:lineRule="auto"/>
        <w:ind w:firstLine="480" w:firstLineChars="200"/>
        <w:rPr>
          <w:rFonts w:ascii="宋体" w:hAnsi="宋体"/>
          <w:color w:val="000000"/>
          <w:sz w:val="24"/>
          <w:szCs w:val="20"/>
        </w:rPr>
      </w:pPr>
      <w:r>
        <w:rPr>
          <w:rFonts w:hint="eastAsia" w:ascii="宋体" w:hAnsi="宋体"/>
          <w:color w:val="000000"/>
          <w:sz w:val="24"/>
        </w:rPr>
        <w:t>6.投标人同意按照贵方要求提供与投标有关的一切数据或资料。</w:t>
      </w:r>
    </w:p>
    <w:p>
      <w:pPr>
        <w:snapToGrid w:val="0"/>
        <w:spacing w:line="360" w:lineRule="auto"/>
        <w:ind w:firstLine="480" w:firstLineChars="200"/>
        <w:rPr>
          <w:rFonts w:ascii="宋体" w:hAnsi="宋体"/>
          <w:color w:val="000000"/>
          <w:sz w:val="24"/>
          <w:szCs w:val="20"/>
        </w:rPr>
      </w:pPr>
      <w:r>
        <w:rPr>
          <w:rFonts w:hint="eastAsia" w:ascii="宋体" w:hAnsi="宋体"/>
          <w:color w:val="000000"/>
          <w:sz w:val="24"/>
        </w:rPr>
        <w:t>7.与本投标有关的一切正式往来信函请寄：</w:t>
      </w:r>
    </w:p>
    <w:p>
      <w:pPr>
        <w:snapToGrid w:val="0"/>
        <w:spacing w:line="360" w:lineRule="auto"/>
        <w:rPr>
          <w:rFonts w:hint="eastAsia" w:ascii="宋体" w:hAnsi="宋体"/>
          <w:color w:val="000000"/>
          <w:sz w:val="24"/>
        </w:rPr>
      </w:pPr>
    </w:p>
    <w:p>
      <w:pPr>
        <w:snapToGrid w:val="0"/>
        <w:spacing w:line="360" w:lineRule="auto"/>
        <w:rPr>
          <w:rFonts w:hint="eastAsia" w:ascii="宋体" w:hAnsi="宋体"/>
          <w:color w:val="000000"/>
          <w:sz w:val="24"/>
        </w:rPr>
      </w:pPr>
    </w:p>
    <w:p>
      <w:pPr>
        <w:snapToGrid w:val="0"/>
        <w:spacing w:line="360" w:lineRule="auto"/>
        <w:rPr>
          <w:rFonts w:ascii="宋体" w:hAnsi="宋体"/>
          <w:color w:val="000000"/>
          <w:sz w:val="24"/>
          <w:szCs w:val="20"/>
        </w:rPr>
      </w:pPr>
      <w:r>
        <w:rPr>
          <w:rFonts w:hint="eastAsia" w:ascii="宋体" w:hAnsi="宋体"/>
          <w:color w:val="000000"/>
          <w:sz w:val="24"/>
        </w:rPr>
        <w:t>地址：</w:t>
      </w:r>
      <w:r>
        <w:rPr>
          <w:rFonts w:ascii="宋体" w:hAnsi="宋体"/>
          <w:color w:val="000000"/>
          <w:sz w:val="24"/>
        </w:rPr>
        <w:t>__________</w:t>
      </w:r>
      <w:r>
        <w:rPr>
          <w:rFonts w:ascii="宋体" w:hAnsi="宋体"/>
          <w:color w:val="000000"/>
          <w:sz w:val="24"/>
          <w:u w:val="single"/>
        </w:rPr>
        <w:t xml:space="preserve">        _</w:t>
      </w:r>
      <w:r>
        <w:rPr>
          <w:rFonts w:ascii="宋体" w:hAnsi="宋体"/>
          <w:color w:val="000000"/>
          <w:sz w:val="24"/>
        </w:rPr>
        <w:t>____</w:t>
      </w:r>
      <w:r>
        <w:rPr>
          <w:rFonts w:hint="eastAsia" w:ascii="宋体" w:hAnsi="宋体"/>
          <w:color w:val="000000"/>
          <w:sz w:val="24"/>
        </w:rPr>
        <w:t xml:space="preserve">        邮编：</w:t>
      </w:r>
      <w:r>
        <w:rPr>
          <w:rFonts w:ascii="宋体" w:hAnsi="宋体"/>
          <w:color w:val="000000"/>
          <w:sz w:val="24"/>
        </w:rPr>
        <w:t xml:space="preserve">__________   </w:t>
      </w:r>
    </w:p>
    <w:p>
      <w:pPr>
        <w:snapToGrid w:val="0"/>
        <w:spacing w:line="360" w:lineRule="auto"/>
        <w:rPr>
          <w:rFonts w:ascii="宋体" w:hAnsi="宋体"/>
          <w:color w:val="000000"/>
          <w:sz w:val="24"/>
          <w:szCs w:val="20"/>
        </w:rPr>
      </w:pPr>
      <w:r>
        <w:rPr>
          <w:rFonts w:hint="eastAsia" w:ascii="宋体" w:hAnsi="宋体"/>
          <w:color w:val="000000"/>
          <w:sz w:val="24"/>
        </w:rPr>
        <w:t>电话：</w:t>
      </w:r>
      <w:r>
        <w:rPr>
          <w:rFonts w:ascii="宋体" w:hAnsi="宋体"/>
          <w:color w:val="000000"/>
          <w:sz w:val="24"/>
        </w:rPr>
        <w:t>______________</w:t>
      </w:r>
      <w:r>
        <w:rPr>
          <w:rFonts w:hint="eastAsia" w:ascii="宋体" w:hAnsi="宋体"/>
          <w:color w:val="000000"/>
          <w:sz w:val="24"/>
        </w:rPr>
        <w:t xml:space="preserve">                 传真：</w:t>
      </w:r>
      <w:r>
        <w:rPr>
          <w:rFonts w:ascii="宋体" w:hAnsi="宋体"/>
          <w:color w:val="000000"/>
          <w:sz w:val="24"/>
        </w:rPr>
        <w:t>______________</w:t>
      </w:r>
    </w:p>
    <w:p>
      <w:pPr>
        <w:snapToGrid w:val="0"/>
        <w:spacing w:line="360" w:lineRule="auto"/>
        <w:rPr>
          <w:rFonts w:ascii="宋体" w:hAnsi="宋体"/>
          <w:color w:val="000000"/>
          <w:sz w:val="24"/>
          <w:szCs w:val="20"/>
        </w:rPr>
      </w:pPr>
      <w:r>
        <w:rPr>
          <w:rFonts w:hint="eastAsia" w:ascii="宋体" w:hAnsi="宋体"/>
          <w:color w:val="000000"/>
          <w:sz w:val="24"/>
        </w:rPr>
        <w:t>投标人名称</w:t>
      </w:r>
      <w:r>
        <w:rPr>
          <w:rFonts w:ascii="宋体" w:hAnsi="宋体"/>
          <w:color w:val="000000"/>
          <w:sz w:val="24"/>
        </w:rPr>
        <w:t>:__________</w:t>
      </w:r>
      <w:r>
        <w:rPr>
          <w:rFonts w:hint="eastAsia" w:ascii="宋体" w:hAnsi="宋体"/>
          <w:color w:val="000000"/>
          <w:sz w:val="24"/>
          <w:u w:val="single"/>
        </w:rPr>
        <w:t>（盖章）</w:t>
      </w:r>
      <w:r>
        <w:rPr>
          <w:rFonts w:ascii="宋体" w:hAnsi="宋体"/>
          <w:color w:val="000000"/>
          <w:sz w:val="24"/>
        </w:rPr>
        <w:t>_________</w:t>
      </w:r>
    </w:p>
    <w:p>
      <w:pPr>
        <w:snapToGrid w:val="0"/>
        <w:spacing w:line="360" w:lineRule="auto"/>
        <w:rPr>
          <w:rFonts w:ascii="宋体" w:hAnsi="宋体"/>
          <w:color w:val="000000"/>
          <w:sz w:val="24"/>
          <w:szCs w:val="20"/>
        </w:rPr>
      </w:pPr>
      <w:r>
        <w:rPr>
          <w:rFonts w:hint="eastAsia" w:ascii="宋体" w:hAnsi="宋体"/>
          <w:color w:val="000000"/>
          <w:sz w:val="24"/>
        </w:rPr>
        <w:t>开户银行：</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银行帐号：</w:t>
      </w:r>
      <w:r>
        <w:rPr>
          <w:rFonts w:ascii="宋体" w:hAnsi="宋体"/>
          <w:color w:val="000000"/>
          <w:sz w:val="24"/>
          <w:u w:val="single"/>
        </w:rPr>
        <w:t xml:space="preserve">                    </w:t>
      </w:r>
      <w:r>
        <w:rPr>
          <w:rFonts w:ascii="宋体" w:hAnsi="宋体"/>
          <w:color w:val="000000"/>
          <w:sz w:val="24"/>
        </w:rPr>
        <w:t xml:space="preserve"> </w:t>
      </w:r>
    </w:p>
    <w:p>
      <w:pPr>
        <w:snapToGrid w:val="0"/>
        <w:spacing w:line="360" w:lineRule="auto"/>
        <w:rPr>
          <w:rFonts w:hint="eastAsia" w:ascii="宋体" w:hAnsi="宋体"/>
          <w:color w:val="000000"/>
          <w:sz w:val="24"/>
        </w:rPr>
      </w:pPr>
      <w:r>
        <w:rPr>
          <w:rFonts w:ascii="宋体" w:hAnsi="宋体"/>
          <w:color w:val="000000"/>
          <w:sz w:val="24"/>
        </w:rPr>
        <w:t xml:space="preserve">                     </w:t>
      </w:r>
    </w:p>
    <w:p>
      <w:pPr>
        <w:snapToGrid w:val="0"/>
        <w:spacing w:line="360" w:lineRule="auto"/>
        <w:rPr>
          <w:rFonts w:ascii="宋体" w:hAnsi="宋体"/>
          <w:color w:val="000000"/>
          <w:sz w:val="24"/>
        </w:rPr>
        <w:sectPr>
          <w:headerReference r:id="rId8" w:type="default"/>
          <w:footerReference r:id="rId9" w:type="default"/>
          <w:footerReference r:id="rId10" w:type="even"/>
          <w:pgSz w:w="11906" w:h="16838"/>
          <w:pgMar w:top="1247" w:right="1276" w:bottom="1089" w:left="1418" w:header="851" w:footer="992" w:gutter="0"/>
          <w:cols w:space="720" w:num="1"/>
          <w:docGrid w:linePitch="312" w:charSpace="0"/>
        </w:sectPr>
      </w:pPr>
      <w:r>
        <w:rPr>
          <w:rFonts w:hint="eastAsia" w:ascii="宋体" w:hAnsi="宋体"/>
          <w:color w:val="000000"/>
          <w:sz w:val="24"/>
        </w:rPr>
        <w:t>日期</w:t>
      </w:r>
      <w:r>
        <w:rPr>
          <w:rFonts w:ascii="宋体" w:hAnsi="宋体"/>
          <w:color w:val="000000"/>
          <w:sz w:val="24"/>
        </w:rPr>
        <w:t>:_____</w:t>
      </w:r>
      <w:r>
        <w:rPr>
          <w:rFonts w:hint="eastAsia" w:ascii="宋体" w:hAnsi="宋体"/>
          <w:color w:val="000000"/>
          <w:sz w:val="24"/>
        </w:rPr>
        <w:t>年</w:t>
      </w:r>
      <w:r>
        <w:rPr>
          <w:rFonts w:ascii="宋体" w:hAnsi="宋体"/>
          <w:color w:val="000000"/>
          <w:sz w:val="24"/>
        </w:rPr>
        <w:t>___</w:t>
      </w:r>
      <w:r>
        <w:rPr>
          <w:rFonts w:hint="eastAsia" w:ascii="宋体" w:hAnsi="宋体"/>
          <w:color w:val="000000"/>
          <w:sz w:val="24"/>
        </w:rPr>
        <w:t>月</w:t>
      </w:r>
      <w:r>
        <w:rPr>
          <w:rFonts w:ascii="宋体" w:hAnsi="宋体"/>
          <w:color w:val="000000"/>
          <w:sz w:val="24"/>
        </w:rPr>
        <w:t>___</w:t>
      </w:r>
      <w:r>
        <w:rPr>
          <w:rFonts w:hint="eastAsia" w:ascii="宋体" w:hAnsi="宋体"/>
          <w:color w:val="000000"/>
          <w:sz w:val="24"/>
        </w:rPr>
        <w:t>日</w:t>
      </w:r>
    </w:p>
    <w:p>
      <w:pPr>
        <w:snapToGrid w:val="0"/>
        <w:spacing w:before="50" w:after="50" w:line="360" w:lineRule="auto"/>
        <w:rPr>
          <w:rFonts w:ascii="宋体" w:hAnsi="宋体"/>
          <w:b/>
          <w:color w:val="000000"/>
          <w:sz w:val="24"/>
          <w:szCs w:val="20"/>
        </w:rPr>
      </w:pPr>
      <w:r>
        <w:rPr>
          <w:rFonts w:hint="eastAsia" w:ascii="宋体" w:hAnsi="宋体"/>
          <w:b/>
          <w:color w:val="000000"/>
          <w:sz w:val="24"/>
        </w:rPr>
        <w:t>1</w:t>
      </w:r>
      <w:r>
        <w:rPr>
          <w:rFonts w:ascii="宋体" w:hAnsi="宋体"/>
          <w:b/>
          <w:color w:val="000000"/>
          <w:sz w:val="24"/>
        </w:rPr>
        <w:t>7</w:t>
      </w:r>
      <w:r>
        <w:rPr>
          <w:rFonts w:hint="eastAsia" w:ascii="宋体" w:hAnsi="宋体"/>
          <w:b/>
          <w:color w:val="000000"/>
          <w:sz w:val="24"/>
        </w:rPr>
        <w:t>.开标一览表</w:t>
      </w:r>
    </w:p>
    <w:p>
      <w:pPr>
        <w:snapToGrid w:val="0"/>
        <w:spacing w:before="50" w:after="50" w:line="360" w:lineRule="auto"/>
        <w:jc w:val="center"/>
        <w:rPr>
          <w:rFonts w:ascii="宋体" w:hAnsi="宋体"/>
          <w:b/>
          <w:color w:val="000000"/>
          <w:sz w:val="30"/>
          <w:szCs w:val="20"/>
        </w:rPr>
      </w:pPr>
      <w:r>
        <w:rPr>
          <w:rFonts w:hint="eastAsia" w:ascii="宋体" w:hAnsi="宋体"/>
          <w:b/>
          <w:color w:val="000000"/>
          <w:sz w:val="30"/>
        </w:rPr>
        <w:t>开标一览表</w:t>
      </w:r>
    </w:p>
    <w:p>
      <w:pPr>
        <w:snapToGrid w:val="0"/>
        <w:spacing w:before="50" w:after="50" w:line="360" w:lineRule="auto"/>
        <w:ind w:firstLine="360" w:firstLineChars="150"/>
        <w:rPr>
          <w:rFonts w:hint="eastAsia" w:ascii="宋体" w:hAnsi="宋体"/>
          <w:color w:val="000000"/>
          <w:sz w:val="24"/>
          <w:szCs w:val="20"/>
        </w:rPr>
      </w:pPr>
      <w:r>
        <w:rPr>
          <w:rFonts w:hint="eastAsia" w:ascii="宋体" w:hAnsi="宋体"/>
          <w:color w:val="000000"/>
          <w:sz w:val="24"/>
        </w:rPr>
        <w:t>项目编号：</w:t>
      </w:r>
      <w:r>
        <w:rPr>
          <w:rFonts w:ascii="宋体" w:hAnsi="宋体"/>
          <w:color w:val="000000"/>
          <w:sz w:val="24"/>
          <w:u w:val="single"/>
        </w:rPr>
        <w:t xml:space="preserve">       </w:t>
      </w: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单位：元</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8"/>
        <w:gridCol w:w="2101"/>
        <w:gridCol w:w="1149"/>
        <w:gridCol w:w="1441"/>
        <w:gridCol w:w="1665"/>
        <w:gridCol w:w="1215"/>
        <w:gridCol w:w="1241"/>
        <w:gridCol w:w="1354"/>
        <w:gridCol w:w="18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158"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标项</w:t>
            </w:r>
          </w:p>
        </w:tc>
        <w:tc>
          <w:tcPr>
            <w:tcW w:w="21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货物名称</w:t>
            </w:r>
          </w:p>
        </w:tc>
        <w:tc>
          <w:tcPr>
            <w:tcW w:w="11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b/>
                <w:color w:val="000000"/>
                <w:szCs w:val="30"/>
              </w:rPr>
            </w:pPr>
            <w:r>
              <w:rPr>
                <w:rFonts w:hint="eastAsia" w:ascii="宋体" w:hAnsi="宋体" w:eastAsia="宋体"/>
                <w:b/>
                <w:color w:val="000000"/>
                <w:szCs w:val="30"/>
              </w:rPr>
              <w:t>制造商</w:t>
            </w:r>
          </w:p>
        </w:tc>
        <w:tc>
          <w:tcPr>
            <w:tcW w:w="14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数量</w:t>
            </w:r>
          </w:p>
        </w:tc>
        <w:tc>
          <w:tcPr>
            <w:tcW w:w="166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产地</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单价</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b/>
                <w:color w:val="000000"/>
                <w:szCs w:val="30"/>
              </w:rPr>
            </w:pPr>
            <w:r>
              <w:rPr>
                <w:rFonts w:hint="eastAsia" w:ascii="宋体" w:hAnsi="宋体" w:eastAsia="宋体"/>
                <w:b/>
                <w:color w:val="000000"/>
                <w:szCs w:val="30"/>
              </w:rPr>
              <w:t>投标报价</w:t>
            </w: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b/>
                <w:color w:val="000000"/>
                <w:szCs w:val="30"/>
              </w:rPr>
            </w:pPr>
            <w:r>
              <w:rPr>
                <w:rFonts w:hint="eastAsia" w:ascii="宋体" w:hAnsi="宋体" w:eastAsia="宋体"/>
                <w:b/>
                <w:color w:val="000000"/>
                <w:szCs w:val="30"/>
              </w:rPr>
              <w:t>交货期</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hint="eastAsia" w:ascii="宋体" w:hAnsi="宋体" w:eastAsia="宋体"/>
                <w:b/>
                <w:color w:val="000000"/>
                <w:szCs w:val="30"/>
              </w:rPr>
            </w:pPr>
            <w:r>
              <w:rPr>
                <w:rFonts w:hint="eastAsia" w:ascii="宋体" w:hAnsi="宋体" w:eastAsia="宋体"/>
                <w:b/>
                <w:color w:val="000000"/>
                <w:szCs w:val="30"/>
              </w:rPr>
              <w:t>投标声明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1158" w:type="dxa"/>
            <w:tcBorders>
              <w:top w:val="single" w:color="auto" w:sz="4" w:space="0"/>
              <w:left w:val="single" w:color="auto" w:sz="4" w:space="0"/>
              <w:right w:val="single" w:color="auto" w:sz="4" w:space="0"/>
            </w:tcBorders>
            <w:noWrap w:val="0"/>
            <w:vAlign w:val="center"/>
          </w:tcPr>
          <w:p>
            <w:pPr>
              <w:widowControl/>
              <w:spacing w:line="360" w:lineRule="auto"/>
              <w:jc w:val="left"/>
              <w:rPr>
                <w:rFonts w:ascii="宋体" w:hAnsi="宋体" w:eastAsia="宋体"/>
                <w:color w:val="000000"/>
                <w:sz w:val="32"/>
              </w:rPr>
            </w:pPr>
          </w:p>
        </w:tc>
        <w:tc>
          <w:tcPr>
            <w:tcW w:w="21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32"/>
                <w:szCs w:val="20"/>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32"/>
                <w:szCs w:val="20"/>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32"/>
                <w:szCs w:val="21"/>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32"/>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8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9" w:hRule="atLeast"/>
          <w:jc w:val="center"/>
        </w:trPr>
        <w:tc>
          <w:tcPr>
            <w:tcW w:w="1158" w:type="dxa"/>
            <w:tcBorders>
              <w:left w:val="single" w:color="auto" w:sz="4" w:space="0"/>
              <w:bottom w:val="single" w:color="auto" w:sz="4" w:space="0"/>
              <w:right w:val="single" w:color="auto" w:sz="4" w:space="0"/>
            </w:tcBorders>
            <w:noWrap w:val="0"/>
            <w:vAlign w:val="center"/>
          </w:tcPr>
          <w:p>
            <w:pPr>
              <w:widowControl/>
              <w:spacing w:line="360" w:lineRule="auto"/>
              <w:jc w:val="left"/>
              <w:rPr>
                <w:rFonts w:ascii="宋体" w:hAnsi="宋体" w:eastAsia="宋体"/>
                <w:color w:val="000000"/>
                <w:sz w:val="32"/>
              </w:rPr>
            </w:pPr>
          </w:p>
        </w:tc>
        <w:tc>
          <w:tcPr>
            <w:tcW w:w="21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32"/>
                <w:szCs w:val="20"/>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32"/>
                <w:szCs w:val="20"/>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32"/>
                <w:szCs w:val="21"/>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32"/>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c>
          <w:tcPr>
            <w:tcW w:w="18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32"/>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3" w:hRule="atLeast"/>
          <w:jc w:val="center"/>
        </w:trPr>
        <w:tc>
          <w:tcPr>
            <w:tcW w:w="1158" w:type="dxa"/>
            <w:tcBorders>
              <w:top w:val="single" w:color="auto" w:sz="4" w:space="0"/>
              <w:left w:val="single" w:color="auto" w:sz="4" w:space="0"/>
              <w:right w:val="single" w:color="auto" w:sz="4" w:space="0"/>
            </w:tcBorders>
            <w:noWrap w:val="0"/>
            <w:vAlign w:val="center"/>
          </w:tcPr>
          <w:p>
            <w:pPr>
              <w:pStyle w:val="66"/>
              <w:tabs>
                <w:tab w:val="left" w:pos="420"/>
              </w:tabs>
              <w:snapToGrid w:val="0"/>
              <w:spacing w:before="50" w:after="50"/>
              <w:rPr>
                <w:rFonts w:ascii="宋体" w:hAnsi="宋体" w:eastAsia="宋体"/>
                <w:color w:val="000000"/>
                <w:spacing w:val="0"/>
                <w:kern w:val="2"/>
                <w:szCs w:val="20"/>
              </w:rPr>
            </w:pPr>
          </w:p>
        </w:tc>
        <w:tc>
          <w:tcPr>
            <w:tcW w:w="21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24"/>
                <w:szCs w:val="20"/>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24"/>
                <w:szCs w:val="20"/>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24"/>
                <w:szCs w:val="21"/>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24"/>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8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3" w:hRule="atLeast"/>
          <w:jc w:val="center"/>
        </w:trPr>
        <w:tc>
          <w:tcPr>
            <w:tcW w:w="1158" w:type="dxa"/>
            <w:tcBorders>
              <w:left w:val="single" w:color="auto" w:sz="4" w:space="0"/>
              <w:bottom w:val="single" w:color="auto" w:sz="4" w:space="0"/>
              <w:right w:val="single" w:color="auto" w:sz="4" w:space="0"/>
            </w:tcBorders>
            <w:noWrap w:val="0"/>
            <w:vAlign w:val="center"/>
          </w:tcPr>
          <w:p>
            <w:pPr>
              <w:widowControl/>
              <w:spacing w:line="360" w:lineRule="auto"/>
              <w:jc w:val="left"/>
              <w:rPr>
                <w:rFonts w:ascii="宋体" w:hAnsi="宋体" w:eastAsia="宋体"/>
                <w:color w:val="000000"/>
                <w:sz w:val="24"/>
              </w:rPr>
            </w:pPr>
          </w:p>
        </w:tc>
        <w:tc>
          <w:tcPr>
            <w:tcW w:w="210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24"/>
                <w:szCs w:val="20"/>
              </w:rPr>
            </w:pPr>
          </w:p>
        </w:tc>
        <w:tc>
          <w:tcPr>
            <w:tcW w:w="1149"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left"/>
              <w:rPr>
                <w:rFonts w:ascii="宋体" w:hAnsi="宋体" w:eastAsia="宋体"/>
                <w:bCs/>
                <w:color w:val="000000"/>
                <w:sz w:val="24"/>
                <w:szCs w:val="20"/>
              </w:rPr>
            </w:pPr>
          </w:p>
        </w:tc>
        <w:tc>
          <w:tcPr>
            <w:tcW w:w="14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24"/>
                <w:szCs w:val="21"/>
              </w:rPr>
            </w:pPr>
          </w:p>
        </w:tc>
        <w:tc>
          <w:tcPr>
            <w:tcW w:w="166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jc w:val="center"/>
              <w:rPr>
                <w:rFonts w:ascii="宋体" w:hAnsi="宋体" w:eastAsia="宋体"/>
                <w:color w:val="000000"/>
                <w:sz w:val="24"/>
                <w:szCs w:val="21"/>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241"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c>
          <w:tcPr>
            <w:tcW w:w="18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3149" w:type="dxa"/>
            <w:gridSpan w:val="9"/>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line="360" w:lineRule="auto"/>
              <w:rPr>
                <w:rFonts w:ascii="宋体" w:hAnsi="宋体" w:eastAsia="宋体"/>
                <w:color w:val="000000"/>
                <w:sz w:val="24"/>
                <w:szCs w:val="21"/>
                <w:u w:val="single"/>
              </w:rPr>
            </w:pPr>
            <w:r>
              <w:rPr>
                <w:rFonts w:hint="eastAsia" w:ascii="宋体" w:hAnsi="宋体" w:eastAsia="宋体"/>
                <w:color w:val="000000"/>
                <w:sz w:val="24"/>
                <w:szCs w:val="21"/>
              </w:rPr>
              <w:t>合计金额大写：</w:t>
            </w:r>
            <w:r>
              <w:rPr>
                <w:rFonts w:ascii="宋体" w:hAnsi="宋体" w:eastAsia="宋体"/>
                <w:color w:val="000000"/>
                <w:sz w:val="24"/>
                <w:szCs w:val="21"/>
              </w:rPr>
              <w:t xml:space="preserve">                                   </w:t>
            </w:r>
            <w:r>
              <w:rPr>
                <w:rFonts w:hint="eastAsia" w:ascii="宋体" w:hAnsi="宋体" w:eastAsia="宋体"/>
                <w:color w:val="000000"/>
                <w:sz w:val="24"/>
                <w:szCs w:val="21"/>
              </w:rPr>
              <w:t xml:space="preserve">          </w:t>
            </w:r>
            <w:r>
              <w:rPr>
                <w:rFonts w:ascii="宋体" w:hAnsi="宋体" w:eastAsia="宋体"/>
                <w:color w:val="000000"/>
                <w:sz w:val="24"/>
                <w:szCs w:val="21"/>
              </w:rPr>
              <w:t xml:space="preserve"> </w:t>
            </w:r>
            <w:r>
              <w:rPr>
                <w:rFonts w:hint="eastAsia" w:ascii="宋体" w:hAnsi="宋体" w:eastAsia="宋体"/>
                <w:color w:val="000000"/>
                <w:sz w:val="24"/>
                <w:szCs w:val="21"/>
              </w:rPr>
              <w:t xml:space="preserve">                     </w:t>
            </w:r>
            <w:r>
              <w:rPr>
                <w:rFonts w:ascii="宋体" w:hAnsi="宋体" w:eastAsia="宋体"/>
                <w:color w:val="000000"/>
                <w:sz w:val="24"/>
                <w:szCs w:val="21"/>
              </w:rPr>
              <w:t xml:space="preserve">      </w:t>
            </w:r>
            <w:r>
              <w:rPr>
                <w:rFonts w:hint="eastAsia" w:ascii="宋体" w:hAnsi="宋体" w:eastAsia="宋体"/>
                <w:color w:val="000000"/>
                <w:sz w:val="24"/>
                <w:szCs w:val="21"/>
              </w:rPr>
              <w:t>￥</w:t>
            </w:r>
            <w:r>
              <w:rPr>
                <w:rFonts w:ascii="宋体" w:hAnsi="宋体" w:eastAsia="宋体"/>
                <w:color w:val="000000"/>
                <w:sz w:val="24"/>
                <w:szCs w:val="21"/>
                <w:u w:val="single"/>
              </w:rPr>
              <w:t xml:space="preserve">            </w:t>
            </w:r>
          </w:p>
        </w:tc>
      </w:tr>
    </w:tbl>
    <w:p>
      <w:pPr>
        <w:snapToGrid w:val="0"/>
        <w:spacing w:before="50" w:after="50" w:line="360" w:lineRule="auto"/>
        <w:jc w:val="left"/>
        <w:rPr>
          <w:rFonts w:ascii="宋体" w:hAnsi="宋体"/>
          <w:color w:val="000000"/>
          <w:sz w:val="24"/>
          <w:szCs w:val="20"/>
        </w:rPr>
      </w:pPr>
      <w:r>
        <w:rPr>
          <w:rFonts w:hint="eastAsia" w:ascii="宋体" w:hAnsi="宋体"/>
          <w:color w:val="000000"/>
          <w:sz w:val="24"/>
        </w:rPr>
        <w:t>注</w:t>
      </w:r>
      <w:r>
        <w:rPr>
          <w:rFonts w:ascii="宋体" w:hAnsi="宋体"/>
          <w:color w:val="000000"/>
          <w:sz w:val="24"/>
        </w:rPr>
        <w:t>: 1</w:t>
      </w:r>
      <w:r>
        <w:rPr>
          <w:rFonts w:hint="eastAsia" w:ascii="宋体" w:hAnsi="宋体"/>
          <w:color w:val="000000"/>
          <w:sz w:val="24"/>
        </w:rPr>
        <w:t>、报价一经涂改，应在涂改处加盖单位公章，否则其投标作无效标处理。</w:t>
      </w:r>
    </w:p>
    <w:p>
      <w:pPr>
        <w:snapToGrid w:val="0"/>
        <w:spacing w:before="50" w:after="50" w:line="360" w:lineRule="auto"/>
        <w:ind w:firstLine="480" w:firstLineChars="200"/>
        <w:rPr>
          <w:rFonts w:ascii="宋体" w:hAnsi="宋体"/>
          <w:color w:val="000000"/>
          <w:sz w:val="24"/>
          <w:szCs w:val="20"/>
        </w:rPr>
      </w:pPr>
      <w:r>
        <w:rPr>
          <w:rFonts w:hint="eastAsia" w:ascii="宋体" w:hAnsi="宋体"/>
          <w:color w:val="000000"/>
          <w:sz w:val="24"/>
        </w:rPr>
        <w:t>2、</w:t>
      </w:r>
      <w:r>
        <w:rPr>
          <w:rFonts w:hint="eastAsia" w:ascii="宋体" w:hAnsi="宋体"/>
          <w:b/>
          <w:color w:val="000000"/>
          <w:sz w:val="24"/>
        </w:rPr>
        <w:t>报价文件应包括开标一览表。</w:t>
      </w:r>
      <w:r>
        <w:rPr>
          <w:rFonts w:hint="eastAsia" w:ascii="宋体" w:hAnsi="宋体"/>
          <w:color w:val="000000"/>
          <w:sz w:val="24"/>
        </w:rPr>
        <w:t>为方便开标时唱标，投标人还应再单独制作一份开标一览表和投标文件一起提交。信封封面请注明招标编号、标项、投标人名称及“开标一览表”字样。</w:t>
      </w:r>
    </w:p>
    <w:p>
      <w:pPr>
        <w:snapToGrid w:val="0"/>
        <w:spacing w:before="50" w:after="50" w:line="360" w:lineRule="auto"/>
        <w:ind w:left="-3" w:leftChars="-72" w:right="-817" w:rightChars="-389" w:hanging="148" w:hangingChars="62"/>
        <w:rPr>
          <w:rFonts w:hint="eastAsia" w:ascii="宋体" w:hAnsi="宋体"/>
          <w:color w:val="000000"/>
          <w:sz w:val="24"/>
        </w:rPr>
      </w:pPr>
    </w:p>
    <w:p>
      <w:pPr>
        <w:snapToGrid w:val="0"/>
        <w:spacing w:before="50" w:after="50" w:line="360" w:lineRule="auto"/>
        <w:rPr>
          <w:rFonts w:ascii="宋体" w:hAnsi="宋体"/>
          <w:color w:val="000000"/>
          <w:spacing w:val="20"/>
          <w:sz w:val="24"/>
          <w:szCs w:val="20"/>
          <w:u w:val="single"/>
        </w:rPr>
      </w:pPr>
    </w:p>
    <w:p>
      <w:pPr>
        <w:snapToGrid w:val="0"/>
        <w:spacing w:before="50" w:after="50" w:line="360" w:lineRule="auto"/>
        <w:ind w:left="23" w:leftChars="-5" w:right="-817" w:rightChars="-389" w:hanging="33" w:hangingChars="12"/>
        <w:rPr>
          <w:rFonts w:ascii="宋体" w:hAnsi="宋体"/>
          <w:color w:val="000000"/>
          <w:sz w:val="24"/>
        </w:rPr>
        <w:sectPr>
          <w:footerReference r:id="rId11" w:type="default"/>
          <w:footerReference r:id="rId12" w:type="even"/>
          <w:pgSz w:w="16838" w:h="11906" w:orient="landscape"/>
          <w:pgMar w:top="1276" w:right="1089" w:bottom="1418" w:left="1247" w:header="851" w:footer="992" w:gutter="0"/>
          <w:cols w:space="720" w:num="1"/>
          <w:docGrid w:linePitch="602" w:charSpace="-1675"/>
        </w:sect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 xml:space="preserve">                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pStyle w:val="16"/>
        <w:snapToGrid w:val="0"/>
        <w:spacing w:beforeLines="0" w:afterLines="0" w:line="360" w:lineRule="auto"/>
        <w:rPr>
          <w:rFonts w:hAnsi="宋体"/>
          <w:color w:val="000000"/>
        </w:rPr>
      </w:pPr>
      <w:r>
        <w:rPr>
          <w:rFonts w:hint="eastAsia" w:hAnsi="宋体"/>
          <w:b/>
          <w:color w:val="000000"/>
        </w:rPr>
        <w:t>1</w:t>
      </w:r>
      <w:r>
        <w:rPr>
          <w:rFonts w:hAnsi="宋体"/>
          <w:b/>
          <w:color w:val="000000"/>
        </w:rPr>
        <w:t>8</w:t>
      </w:r>
      <w:r>
        <w:rPr>
          <w:rFonts w:hint="eastAsia" w:hAnsi="宋体"/>
          <w:b/>
          <w:color w:val="000000"/>
        </w:rPr>
        <w:t>.</w:t>
      </w:r>
      <w:r>
        <w:rPr>
          <w:rFonts w:hAnsi="宋体"/>
          <w:b/>
          <w:color w:val="000000"/>
        </w:rPr>
        <w:t>投标报价明细表格式（适用于货物类项目）</w:t>
      </w:r>
      <w:r>
        <w:rPr>
          <w:rFonts w:hAnsi="宋体"/>
          <w:color w:val="000000"/>
        </w:rPr>
        <w:t xml:space="preserve">      </w:t>
      </w:r>
    </w:p>
    <w:p>
      <w:pPr>
        <w:pStyle w:val="16"/>
        <w:snapToGrid w:val="0"/>
        <w:spacing w:beforeLines="0" w:afterLines="0" w:line="360" w:lineRule="auto"/>
        <w:jc w:val="center"/>
        <w:rPr>
          <w:rFonts w:hAnsi="宋体"/>
          <w:b/>
          <w:color w:val="000000"/>
          <w:sz w:val="30"/>
          <w:szCs w:val="30"/>
        </w:rPr>
      </w:pPr>
      <w:r>
        <w:rPr>
          <w:rFonts w:hAnsi="宋体"/>
          <w:b/>
          <w:color w:val="000000"/>
          <w:sz w:val="30"/>
          <w:szCs w:val="30"/>
        </w:rPr>
        <w:t>投标报价明细表</w:t>
      </w:r>
    </w:p>
    <w:p>
      <w:pPr>
        <w:pStyle w:val="16"/>
        <w:snapToGrid w:val="0"/>
        <w:spacing w:beforeLines="0" w:afterLines="0" w:line="360" w:lineRule="auto"/>
        <w:rPr>
          <w:rFonts w:hAnsi="宋体"/>
          <w:color w:val="000000"/>
          <w:sz w:val="30"/>
        </w:rPr>
      </w:pPr>
      <w:r>
        <w:rPr>
          <w:rFonts w:hint="eastAsia" w:hAnsi="宋体"/>
          <w:color w:val="000000"/>
        </w:rPr>
        <w:t>项目编号</w:t>
      </w:r>
      <w:r>
        <w:rPr>
          <w:rFonts w:hAnsi="宋体"/>
          <w:color w:val="000000"/>
        </w:rPr>
        <w:t>：</w:t>
      </w:r>
      <w:r>
        <w:rPr>
          <w:rFonts w:hAnsi="宋体"/>
          <w:color w:val="000000"/>
          <w:u w:val="single"/>
        </w:rPr>
        <w:t xml:space="preserve">              </w:t>
      </w:r>
      <w:r>
        <w:rPr>
          <w:rFonts w:hAnsi="宋体"/>
          <w:color w:val="000000"/>
          <w:sz w:val="30"/>
        </w:rPr>
        <w:t xml:space="preserve">                   </w:t>
      </w:r>
      <w:r>
        <w:rPr>
          <w:rFonts w:hAnsi="宋体"/>
          <w:color w:val="000000"/>
          <w:szCs w:val="21"/>
        </w:rPr>
        <w:t>金额单位：人民币（元）</w:t>
      </w:r>
    </w:p>
    <w:tbl>
      <w:tblPr>
        <w:tblStyle w:val="25"/>
        <w:tblW w:w="0" w:type="auto"/>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序号</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设备名称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pStyle w:val="66"/>
              <w:snapToGrid w:val="0"/>
              <w:spacing w:before="50" w:after="50"/>
              <w:rPr>
                <w:rFonts w:ascii="宋体" w:hAnsi="宋体" w:eastAsia="宋体"/>
                <w:color w:val="000000"/>
              </w:rPr>
            </w:pPr>
            <w:r>
              <w:rPr>
                <w:rFonts w:ascii="宋体" w:hAnsi="宋体" w:eastAsia="宋体"/>
                <w:color w:val="000000"/>
              </w:rPr>
              <w:t>品牌</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规格型号</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单位及数量</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单价</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z w:val="24"/>
              </w:rPr>
              <w:t>金额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Cs w:val="20"/>
              </w:rPr>
            </w:pPr>
            <w:r>
              <w:rPr>
                <w:rFonts w:ascii="宋体" w:hAnsi="宋体" w:eastAsia="宋体"/>
                <w:color w:val="000000"/>
                <w:spacing w:val="20"/>
              </w:rPr>
              <w:t>……</w:t>
            </w: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pacing w:val="20"/>
                <w:sz w:val="24"/>
              </w:rPr>
              <w:t>专用耗材</w:t>
            </w:r>
          </w:p>
        </w:tc>
        <w:tc>
          <w:tcPr>
            <w:tcW w:w="108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4140" w:type="dxa"/>
            <w:gridSpan w:val="3"/>
            <w:tcBorders>
              <w:top w:val="single" w:color="auto" w:sz="4" w:space="0"/>
              <w:left w:val="single" w:color="auto" w:sz="4" w:space="0"/>
              <w:bottom w:val="single" w:color="auto" w:sz="4" w:space="0"/>
              <w:right w:val="single" w:color="auto" w:sz="4" w:space="0"/>
            </w:tcBorders>
            <w:noWrap w:val="0"/>
            <w:vAlign w:val="top"/>
          </w:tcPr>
          <w:p>
            <w:pPr>
              <w:pStyle w:val="64"/>
              <w:tabs>
                <w:tab w:val="left" w:pos="1418"/>
              </w:tabs>
              <w:snapToGrid w:val="0"/>
              <w:spacing w:before="50" w:after="50" w:line="360" w:lineRule="auto"/>
              <w:rPr>
                <w:rFonts w:ascii="宋体" w:hAnsi="宋体" w:eastAsia="宋体"/>
                <w:color w:val="000000"/>
                <w:spacing w:val="20"/>
                <w:szCs w:val="24"/>
              </w:rPr>
            </w:pPr>
            <w:r>
              <w:rPr>
                <w:rFonts w:hint="eastAsia" w:ascii="宋体" w:hAnsi="宋体" w:eastAsia="宋体"/>
                <w:color w:val="000000"/>
                <w:spacing w:val="20"/>
                <w:szCs w:val="24"/>
              </w:rPr>
              <w:t>运输费、安装调试费</w:t>
            </w: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4140" w:type="dxa"/>
            <w:gridSpan w:val="3"/>
            <w:tcBorders>
              <w:top w:val="single" w:color="auto" w:sz="4" w:space="0"/>
              <w:left w:val="single" w:color="auto" w:sz="4" w:space="0"/>
              <w:bottom w:val="single" w:color="auto" w:sz="4" w:space="0"/>
              <w:right w:val="single" w:color="auto" w:sz="4" w:space="0"/>
            </w:tcBorders>
            <w:noWrap w:val="0"/>
            <w:vAlign w:val="top"/>
          </w:tcPr>
          <w:p>
            <w:pPr>
              <w:pStyle w:val="64"/>
              <w:tabs>
                <w:tab w:val="left" w:pos="1418"/>
              </w:tabs>
              <w:snapToGrid w:val="0"/>
              <w:spacing w:before="50" w:after="50" w:line="360" w:lineRule="auto"/>
              <w:rPr>
                <w:rFonts w:ascii="宋体" w:hAnsi="宋体" w:eastAsia="宋体"/>
                <w:color w:val="000000"/>
                <w:spacing w:val="20"/>
                <w:szCs w:val="24"/>
              </w:rPr>
            </w:pPr>
            <w:r>
              <w:rPr>
                <w:rFonts w:hint="eastAsia" w:ascii="宋体" w:hAnsi="宋体" w:eastAsia="宋体"/>
                <w:color w:val="000000"/>
                <w:spacing w:val="20"/>
                <w:szCs w:val="24"/>
              </w:rPr>
              <w:t>其他：</w:t>
            </w:r>
          </w:p>
        </w:tc>
        <w:tc>
          <w:tcPr>
            <w:tcW w:w="162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560" w:type="dxa"/>
            <w:gridSpan w:val="6"/>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r>
              <w:rPr>
                <w:rFonts w:hint="eastAsia" w:ascii="宋体" w:hAnsi="宋体" w:eastAsia="宋体"/>
                <w:color w:val="000000"/>
                <w:spacing w:val="20"/>
                <w:sz w:val="24"/>
              </w:rPr>
              <w:t>投 标 总</w:t>
            </w:r>
            <w:r>
              <w:rPr>
                <w:rFonts w:ascii="宋体" w:hAnsi="宋体" w:eastAsia="宋体"/>
                <w:color w:val="000000"/>
                <w:spacing w:val="20"/>
                <w:sz w:val="24"/>
              </w:rPr>
              <w:t xml:space="preserve">  </w:t>
            </w:r>
            <w:r>
              <w:rPr>
                <w:rFonts w:hint="eastAsia" w:ascii="宋体" w:hAnsi="宋体" w:eastAsia="宋体"/>
                <w:color w:val="000000"/>
                <w:spacing w:val="20"/>
                <w:sz w:val="24"/>
              </w:rPr>
              <w:t>价</w:t>
            </w:r>
          </w:p>
        </w:tc>
        <w:tc>
          <w:tcPr>
            <w:tcW w:w="1440" w:type="dxa"/>
            <w:tcBorders>
              <w:top w:val="single" w:color="auto" w:sz="4" w:space="0"/>
              <w:left w:val="single" w:color="auto" w:sz="4" w:space="0"/>
              <w:bottom w:val="single" w:color="auto" w:sz="4" w:space="0"/>
              <w:right w:val="single" w:color="auto" w:sz="4" w:space="0"/>
            </w:tcBorders>
            <w:noWrap w:val="0"/>
            <w:vAlign w:val="top"/>
          </w:tcPr>
          <w:p>
            <w:pPr>
              <w:tabs>
                <w:tab w:val="left" w:pos="1418"/>
              </w:tabs>
              <w:snapToGrid w:val="0"/>
              <w:spacing w:before="50" w:after="50" w:line="360" w:lineRule="auto"/>
              <w:jc w:val="center"/>
              <w:rPr>
                <w:rFonts w:ascii="宋体" w:hAnsi="宋体" w:eastAsia="宋体"/>
                <w:color w:val="000000"/>
                <w:spacing w:val="20"/>
                <w:sz w:val="24"/>
                <w:szCs w:val="20"/>
              </w:rPr>
            </w:pPr>
          </w:p>
        </w:tc>
      </w:tr>
    </w:tbl>
    <w:p>
      <w:pPr>
        <w:tabs>
          <w:tab w:val="left" w:pos="1418"/>
        </w:tabs>
        <w:snapToGrid w:val="0"/>
        <w:spacing w:before="50" w:after="50" w:line="360" w:lineRule="auto"/>
        <w:ind w:left="1418" w:hanging="567"/>
        <w:jc w:val="center"/>
        <w:rPr>
          <w:rFonts w:ascii="宋体" w:hAnsi="宋体"/>
          <w:color w:val="000000"/>
          <w:spacing w:val="20"/>
          <w:sz w:val="24"/>
          <w:szCs w:val="20"/>
          <w:u w:val="single"/>
        </w:rPr>
      </w:pPr>
    </w:p>
    <w:p>
      <w:pPr>
        <w:snapToGrid w:val="0"/>
        <w:spacing w:before="50" w:after="50" w:line="360" w:lineRule="auto"/>
        <w:rPr>
          <w:rFonts w:ascii="宋体" w:hAnsi="宋体"/>
          <w:color w:val="000000"/>
          <w:spacing w:val="20"/>
          <w:sz w:val="24"/>
          <w:szCs w:val="20"/>
          <w:u w:val="single"/>
        </w:rPr>
      </w:pPr>
    </w:p>
    <w:p>
      <w:pPr>
        <w:snapToGrid w:val="0"/>
        <w:spacing w:before="50" w:after="50" w:line="360" w:lineRule="auto"/>
        <w:rPr>
          <w:rFonts w:ascii="宋体" w:hAnsi="宋体"/>
          <w:color w:val="000000"/>
          <w:spacing w:val="20"/>
          <w:sz w:val="24"/>
          <w:u w:val="single"/>
        </w:rPr>
      </w:pPr>
      <w:r>
        <w:rPr>
          <w:rFonts w:hint="eastAsia" w:ascii="宋体" w:hAnsi="宋体"/>
          <w:color w:val="000000"/>
          <w:spacing w:val="20"/>
          <w:sz w:val="24"/>
        </w:rPr>
        <w:t>投标人：</w:t>
      </w:r>
      <w:r>
        <w:rPr>
          <w:rFonts w:ascii="宋体" w:hAnsi="宋体"/>
          <w:color w:val="000000"/>
          <w:spacing w:val="20"/>
          <w:sz w:val="24"/>
          <w:u w:val="single"/>
        </w:rPr>
        <w:t xml:space="preserve">      </w:t>
      </w:r>
      <w:r>
        <w:rPr>
          <w:rFonts w:hint="eastAsia" w:ascii="宋体" w:hAnsi="宋体"/>
          <w:color w:val="000000"/>
          <w:spacing w:val="20"/>
          <w:sz w:val="24"/>
          <w:u w:val="single"/>
        </w:rPr>
        <w:t>（盖章）</w:t>
      </w:r>
      <w:r>
        <w:rPr>
          <w:rFonts w:ascii="宋体" w:hAnsi="宋体"/>
          <w:color w:val="000000"/>
          <w:spacing w:val="20"/>
          <w:sz w:val="24"/>
          <w:u w:val="single"/>
        </w:rPr>
        <w:t xml:space="preserve">      </w:t>
      </w:r>
      <w:r>
        <w:rPr>
          <w:rFonts w:ascii="宋体" w:hAnsi="宋体"/>
          <w:color w:val="000000"/>
          <w:spacing w:val="20"/>
          <w:sz w:val="24"/>
        </w:rPr>
        <w:t xml:space="preserve">     </w:t>
      </w:r>
      <w:r>
        <w:rPr>
          <w:rFonts w:hint="eastAsia" w:ascii="宋体" w:hAnsi="宋体"/>
          <w:color w:val="000000"/>
          <w:spacing w:val="20"/>
          <w:sz w:val="24"/>
        </w:rPr>
        <w:t>日</w:t>
      </w:r>
      <w:r>
        <w:rPr>
          <w:rFonts w:ascii="宋体" w:hAnsi="宋体"/>
          <w:color w:val="000000"/>
          <w:spacing w:val="20"/>
          <w:sz w:val="24"/>
        </w:rPr>
        <w:t xml:space="preserve">  </w:t>
      </w:r>
      <w:r>
        <w:rPr>
          <w:rFonts w:hint="eastAsia" w:ascii="宋体" w:hAnsi="宋体"/>
          <w:color w:val="000000"/>
          <w:spacing w:val="20"/>
          <w:sz w:val="24"/>
        </w:rPr>
        <w:t>期：</w:t>
      </w:r>
      <w:r>
        <w:rPr>
          <w:rFonts w:ascii="宋体" w:hAnsi="宋体"/>
          <w:color w:val="000000"/>
          <w:spacing w:val="20"/>
          <w:sz w:val="24"/>
          <w:u w:val="single"/>
        </w:rPr>
        <w:t xml:space="preserve">          </w:t>
      </w:r>
    </w:p>
    <w:p>
      <w:pPr>
        <w:pStyle w:val="16"/>
        <w:spacing w:before="120" w:after="120" w:line="360" w:lineRule="auto"/>
        <w:rPr>
          <w:rFonts w:hint="eastAsia" w:hAnsi="宋体"/>
          <w:color w:val="000000"/>
          <w:spacing w:val="20"/>
          <w:u w:val="single"/>
        </w:rPr>
      </w:pPr>
      <w:r>
        <w:rPr>
          <w:rFonts w:hAnsi="宋体"/>
          <w:color w:val="000000"/>
          <w:spacing w:val="20"/>
          <w:u w:val="single"/>
        </w:rPr>
        <w:br w:type="page"/>
      </w:r>
      <w:r>
        <w:rPr>
          <w:rFonts w:hint="eastAsia" w:hAnsi="宋体"/>
          <w:b/>
          <w:color w:val="000000"/>
        </w:rPr>
        <w:t>1</w:t>
      </w:r>
      <w:r>
        <w:rPr>
          <w:rFonts w:hAnsi="宋体"/>
          <w:b/>
          <w:color w:val="000000"/>
        </w:rPr>
        <w:t>9</w:t>
      </w:r>
      <w:r>
        <w:rPr>
          <w:rFonts w:hint="eastAsia" w:hAnsi="宋体"/>
          <w:b/>
          <w:color w:val="000000"/>
        </w:rPr>
        <w:t>.</w:t>
      </w:r>
      <w:r>
        <w:rPr>
          <w:rFonts w:hAnsi="宋体"/>
          <w:b/>
          <w:bCs/>
          <w:color w:val="000000"/>
        </w:rPr>
        <w:t>政府采购政策情况表</w:t>
      </w:r>
    </w:p>
    <w:p>
      <w:pPr>
        <w:pStyle w:val="16"/>
        <w:spacing w:before="120" w:after="120" w:line="360" w:lineRule="auto"/>
        <w:jc w:val="center"/>
        <w:rPr>
          <w:rFonts w:hAnsi="宋体"/>
          <w:b/>
          <w:bCs/>
          <w:color w:val="000000"/>
          <w:sz w:val="30"/>
          <w:szCs w:val="30"/>
        </w:rPr>
      </w:pPr>
      <w:r>
        <w:rPr>
          <w:rFonts w:hAnsi="宋体"/>
          <w:b/>
          <w:bCs/>
          <w:color w:val="000000"/>
          <w:sz w:val="30"/>
          <w:szCs w:val="30"/>
        </w:rPr>
        <w:t>政府采购政策情况表</w:t>
      </w:r>
    </w:p>
    <w:p>
      <w:pPr>
        <w:pStyle w:val="16"/>
        <w:spacing w:before="120" w:after="120" w:line="360" w:lineRule="auto"/>
        <w:rPr>
          <w:rFonts w:hAnsi="宋体"/>
          <w:b/>
          <w:color w:val="000000"/>
          <w:sz w:val="28"/>
          <w:szCs w:val="28"/>
        </w:rPr>
      </w:pPr>
      <w:r>
        <w:rPr>
          <w:rFonts w:hAnsi="宋体"/>
          <w:b/>
          <w:bCs/>
          <w:color w:val="000000"/>
          <w:szCs w:val="21"/>
        </w:rPr>
        <w:t>项目</w:t>
      </w:r>
      <w:r>
        <w:rPr>
          <w:rFonts w:hint="eastAsia" w:hAnsi="宋体"/>
          <w:b/>
          <w:bCs/>
          <w:color w:val="000000"/>
          <w:szCs w:val="21"/>
        </w:rPr>
        <w:t>编号</w:t>
      </w:r>
      <w:r>
        <w:rPr>
          <w:rFonts w:hAnsi="宋体"/>
          <w:b/>
          <w:bCs/>
          <w:color w:val="000000"/>
          <w:szCs w:val="21"/>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238"/>
        <w:gridCol w:w="69"/>
        <w:gridCol w:w="196"/>
        <w:gridCol w:w="1332"/>
        <w:gridCol w:w="44"/>
        <w:gridCol w:w="23"/>
        <w:gridCol w:w="104"/>
        <w:gridCol w:w="1247"/>
        <w:gridCol w:w="11"/>
        <w:gridCol w:w="57"/>
        <w:gridCol w:w="1609"/>
        <w:gridCol w:w="28"/>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3" w:type="dxa"/>
            <w:vMerge w:val="restart"/>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rPr>
              <w:t>小型、微型企业产品</w:t>
            </w: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产品名称</w:t>
            </w: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品牌型号</w:t>
            </w: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制造商</w:t>
            </w:r>
          </w:p>
        </w:tc>
        <w:tc>
          <w:tcPr>
            <w:tcW w:w="1677" w:type="dxa"/>
            <w:gridSpan w:val="3"/>
            <w:noWrap w:val="0"/>
            <w:vAlign w:val="center"/>
          </w:tcPr>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rPr>
              <w:t>小型</w:t>
            </w:r>
            <w:r>
              <w:rPr>
                <w:rFonts w:hint="eastAsia" w:ascii="宋体" w:hAnsi="宋体" w:eastAsia="宋体"/>
                <w:color w:val="000000"/>
                <w:szCs w:val="21"/>
              </w:rPr>
              <w:t>/</w:t>
            </w:r>
            <w:r>
              <w:rPr>
                <w:rFonts w:ascii="宋体" w:hAnsi="宋体" w:eastAsia="宋体"/>
                <w:color w:val="000000"/>
                <w:szCs w:val="21"/>
              </w:rPr>
              <w:t>微型企业</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rPr>
              <w:t>小型、微型企业产品</w:t>
            </w:r>
            <w:r>
              <w:rPr>
                <w:rFonts w:ascii="宋体" w:hAnsi="宋体" w:eastAsia="宋体"/>
                <w:color w:val="000000"/>
                <w:szCs w:val="21"/>
                <w:lang w:val="en-GB"/>
              </w:rPr>
              <w:t>金额合计</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比重（</w:t>
            </w:r>
            <w:r>
              <w:rPr>
                <w:rFonts w:ascii="宋体" w:hAnsi="宋体" w:eastAsia="宋体"/>
                <w:color w:val="000000"/>
                <w:szCs w:val="21"/>
              </w:rPr>
              <w:t>小型、微型企业产品</w:t>
            </w:r>
            <w:r>
              <w:rPr>
                <w:rFonts w:ascii="宋体" w:hAnsi="宋体" w:eastAsia="宋体"/>
                <w:color w:val="000000"/>
                <w:szCs w:val="21"/>
                <w:lang w:val="en-GB"/>
              </w:rPr>
              <w:t>金额/投标总价）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7520" w:type="dxa"/>
            <w:gridSpan w:val="1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rPr>
              <w:t>小型、微型企业证明材料见投标文件第</w:t>
            </w:r>
            <w:r>
              <w:rPr>
                <w:rFonts w:ascii="宋体" w:hAnsi="宋体" w:eastAsia="宋体"/>
                <w:color w:val="000000"/>
                <w:szCs w:val="21"/>
                <w:u w:val="single"/>
              </w:rPr>
              <w:t xml:space="preserve">   </w:t>
            </w:r>
            <w:r>
              <w:rPr>
                <w:rFonts w:ascii="宋体" w:hAnsi="宋体" w:eastAsia="宋体"/>
                <w:color w:val="000000"/>
                <w:szCs w:val="21"/>
              </w:rPr>
              <w:t>至</w:t>
            </w:r>
            <w:r>
              <w:rPr>
                <w:rFonts w:ascii="宋体" w:hAnsi="宋体" w:eastAsia="宋体"/>
                <w:color w:val="000000"/>
                <w:szCs w:val="21"/>
                <w:u w:val="single"/>
              </w:rPr>
              <w:t xml:space="preserve">   </w:t>
            </w:r>
            <w:r>
              <w:rPr>
                <w:rFonts w:ascii="宋体" w:hAnsi="宋体" w:eastAsia="宋体"/>
                <w:color w:val="000000"/>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13" w:type="dxa"/>
            <w:vMerge w:val="restart"/>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r>
              <w:rPr>
                <w:rFonts w:hint="eastAsia" w:ascii="宋体" w:hAnsi="宋体" w:eastAsia="宋体"/>
                <w:color w:val="000000"/>
                <w:szCs w:val="21"/>
                <w:lang w:val="en-GB"/>
              </w:rPr>
              <w:t>监狱企</w:t>
            </w:r>
          </w:p>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业产品</w:t>
            </w:r>
          </w:p>
        </w:tc>
        <w:tc>
          <w:tcPr>
            <w:tcW w:w="1307"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产品名称</w:t>
            </w:r>
          </w:p>
        </w:tc>
        <w:tc>
          <w:tcPr>
            <w:tcW w:w="1595"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品牌型号</w:t>
            </w:r>
          </w:p>
        </w:tc>
        <w:tc>
          <w:tcPr>
            <w:tcW w:w="1419"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制造商</w:t>
            </w:r>
          </w:p>
        </w:tc>
        <w:tc>
          <w:tcPr>
            <w:tcW w:w="1609" w:type="dxa"/>
            <w:noWrap w:val="0"/>
            <w:vAlign w:val="center"/>
          </w:tcPr>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制造商</w:t>
            </w:r>
          </w:p>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企业类型</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p>
        </w:tc>
        <w:tc>
          <w:tcPr>
            <w:tcW w:w="1307"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95"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419"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609" w:type="dxa"/>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p>
        </w:tc>
        <w:tc>
          <w:tcPr>
            <w:tcW w:w="1307"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95"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419"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609" w:type="dxa"/>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监狱企</w:t>
            </w:r>
            <w:r>
              <w:rPr>
                <w:rFonts w:ascii="宋体" w:hAnsi="宋体" w:eastAsia="宋体"/>
                <w:color w:val="000000"/>
                <w:szCs w:val="21"/>
              </w:rPr>
              <w:t>业产品</w:t>
            </w:r>
            <w:r>
              <w:rPr>
                <w:rFonts w:ascii="宋体" w:hAnsi="宋体" w:eastAsia="宋体"/>
                <w:color w:val="000000"/>
                <w:szCs w:val="21"/>
                <w:lang w:val="en-GB"/>
              </w:rPr>
              <w:t>金额合计</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比重（</w:t>
            </w:r>
            <w:r>
              <w:rPr>
                <w:rFonts w:hint="eastAsia" w:ascii="宋体" w:hAnsi="宋体" w:eastAsia="宋体"/>
                <w:color w:val="000000"/>
                <w:szCs w:val="21"/>
                <w:lang w:val="en-GB"/>
              </w:rPr>
              <w:t>监狱企</w:t>
            </w:r>
            <w:r>
              <w:rPr>
                <w:rFonts w:ascii="宋体" w:hAnsi="宋体" w:eastAsia="宋体"/>
                <w:color w:val="000000"/>
                <w:szCs w:val="21"/>
              </w:rPr>
              <w:t>业产品</w:t>
            </w:r>
            <w:r>
              <w:rPr>
                <w:rFonts w:ascii="宋体" w:hAnsi="宋体" w:eastAsia="宋体"/>
                <w:color w:val="000000"/>
                <w:szCs w:val="21"/>
                <w:lang w:val="en-GB"/>
              </w:rPr>
              <w:t>金额/投标总价）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7520" w:type="dxa"/>
            <w:gridSpan w:val="1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监狱企</w:t>
            </w:r>
            <w:r>
              <w:rPr>
                <w:rFonts w:ascii="宋体" w:hAnsi="宋体" w:eastAsia="宋体"/>
                <w:color w:val="000000"/>
                <w:szCs w:val="21"/>
              </w:rPr>
              <w:t>业证明材料见投标文件第</w:t>
            </w:r>
            <w:r>
              <w:rPr>
                <w:rFonts w:ascii="宋体" w:hAnsi="宋体" w:eastAsia="宋体"/>
                <w:color w:val="000000"/>
                <w:szCs w:val="21"/>
                <w:u w:val="single"/>
              </w:rPr>
              <w:t xml:space="preserve">   </w:t>
            </w:r>
            <w:r>
              <w:rPr>
                <w:rFonts w:ascii="宋体" w:hAnsi="宋体" w:eastAsia="宋体"/>
                <w:color w:val="000000"/>
                <w:szCs w:val="21"/>
              </w:rPr>
              <w:t>至</w:t>
            </w:r>
            <w:r>
              <w:rPr>
                <w:rFonts w:ascii="宋体" w:hAnsi="宋体" w:eastAsia="宋体"/>
                <w:color w:val="000000"/>
                <w:szCs w:val="21"/>
                <w:u w:val="single"/>
              </w:rPr>
              <w:t xml:space="preserve">   </w:t>
            </w:r>
            <w:r>
              <w:rPr>
                <w:rFonts w:ascii="宋体" w:hAnsi="宋体" w:eastAsia="宋体"/>
                <w:color w:val="000000"/>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313" w:type="dxa"/>
            <w:vMerge w:val="restart"/>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残疾人福利性单位产品</w:t>
            </w:r>
          </w:p>
        </w:tc>
        <w:tc>
          <w:tcPr>
            <w:tcW w:w="1503"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产品名称</w:t>
            </w:r>
          </w:p>
        </w:tc>
        <w:tc>
          <w:tcPr>
            <w:tcW w:w="1503"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品牌型号</w:t>
            </w:r>
          </w:p>
        </w:tc>
        <w:tc>
          <w:tcPr>
            <w:tcW w:w="1258"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制造商</w:t>
            </w:r>
          </w:p>
        </w:tc>
        <w:tc>
          <w:tcPr>
            <w:tcW w:w="1694" w:type="dxa"/>
            <w:gridSpan w:val="3"/>
            <w:noWrap w:val="0"/>
            <w:vAlign w:val="center"/>
          </w:tcPr>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制造商</w:t>
            </w:r>
          </w:p>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企业类型</w:t>
            </w:r>
          </w:p>
        </w:tc>
        <w:tc>
          <w:tcPr>
            <w:tcW w:w="1562"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p>
        </w:tc>
        <w:tc>
          <w:tcPr>
            <w:tcW w:w="1503" w:type="dxa"/>
            <w:gridSpan w:val="3"/>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03"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258"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694" w:type="dxa"/>
            <w:gridSpan w:val="3"/>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62" w:type="dxa"/>
            <w:noWrap w:val="0"/>
            <w:vAlign w:val="center"/>
          </w:tcPr>
          <w:p>
            <w:pPr>
              <w:pStyle w:val="55"/>
              <w:tabs>
                <w:tab w:val="left" w:pos="1260"/>
              </w:tabs>
              <w:snapToGrid w:val="0"/>
              <w:spacing w:line="360" w:lineRule="auto"/>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313" w:type="dxa"/>
            <w:vMerge w:val="continue"/>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p>
        </w:tc>
        <w:tc>
          <w:tcPr>
            <w:tcW w:w="1503" w:type="dxa"/>
            <w:gridSpan w:val="3"/>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03" w:type="dxa"/>
            <w:gridSpan w:val="4"/>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258" w:type="dxa"/>
            <w:gridSpan w:val="2"/>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694" w:type="dxa"/>
            <w:gridSpan w:val="3"/>
            <w:noWrap w:val="0"/>
            <w:vAlign w:val="center"/>
          </w:tcPr>
          <w:p>
            <w:pPr>
              <w:pStyle w:val="55"/>
              <w:tabs>
                <w:tab w:val="left" w:pos="1260"/>
              </w:tabs>
              <w:snapToGrid w:val="0"/>
              <w:spacing w:line="360" w:lineRule="auto"/>
              <w:jc w:val="center"/>
              <w:rPr>
                <w:rFonts w:ascii="宋体" w:hAnsi="宋体" w:eastAsia="宋体"/>
                <w:color w:val="000000"/>
                <w:szCs w:val="21"/>
              </w:rPr>
            </w:pPr>
          </w:p>
        </w:tc>
        <w:tc>
          <w:tcPr>
            <w:tcW w:w="1562" w:type="dxa"/>
            <w:noWrap w:val="0"/>
            <w:vAlign w:val="center"/>
          </w:tcPr>
          <w:p>
            <w:pPr>
              <w:pStyle w:val="55"/>
              <w:tabs>
                <w:tab w:val="left" w:pos="1260"/>
              </w:tabs>
              <w:snapToGrid w:val="0"/>
              <w:spacing w:line="360" w:lineRule="auto"/>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58" w:type="dxa"/>
            <w:gridSpan w:val="1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残疾人福利性单位</w:t>
            </w:r>
            <w:r>
              <w:rPr>
                <w:rFonts w:ascii="宋体" w:hAnsi="宋体" w:eastAsia="宋体"/>
                <w:color w:val="000000"/>
                <w:szCs w:val="21"/>
              </w:rPr>
              <w:t>产品</w:t>
            </w:r>
            <w:r>
              <w:rPr>
                <w:rFonts w:ascii="宋体" w:hAnsi="宋体" w:eastAsia="宋体"/>
                <w:color w:val="000000"/>
                <w:szCs w:val="21"/>
                <w:lang w:val="en-GB"/>
              </w:rPr>
              <w:t>金额合计</w:t>
            </w:r>
          </w:p>
        </w:tc>
        <w:tc>
          <w:tcPr>
            <w:tcW w:w="1562"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58" w:type="dxa"/>
            <w:gridSpan w:val="1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比重（</w:t>
            </w:r>
            <w:r>
              <w:rPr>
                <w:rFonts w:hint="eastAsia" w:ascii="宋体" w:hAnsi="宋体" w:eastAsia="宋体"/>
                <w:color w:val="000000"/>
                <w:szCs w:val="21"/>
                <w:lang w:val="en-GB"/>
              </w:rPr>
              <w:t>残疾人福利性单位</w:t>
            </w:r>
            <w:r>
              <w:rPr>
                <w:rFonts w:ascii="宋体" w:hAnsi="宋体" w:eastAsia="宋体"/>
                <w:color w:val="000000"/>
                <w:szCs w:val="21"/>
              </w:rPr>
              <w:t>产品</w:t>
            </w:r>
            <w:r>
              <w:rPr>
                <w:rFonts w:ascii="宋体" w:hAnsi="宋体" w:eastAsia="宋体"/>
                <w:color w:val="000000"/>
                <w:szCs w:val="21"/>
                <w:lang w:val="en-GB"/>
              </w:rPr>
              <w:t>金额/投标总价）</w:t>
            </w:r>
          </w:p>
        </w:tc>
        <w:tc>
          <w:tcPr>
            <w:tcW w:w="1562"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7520" w:type="dxa"/>
            <w:gridSpan w:val="1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hint="eastAsia" w:ascii="宋体" w:hAnsi="宋体" w:eastAsia="宋体"/>
                <w:color w:val="000000"/>
                <w:szCs w:val="21"/>
                <w:lang w:val="en-GB"/>
              </w:rPr>
              <w:t>残疾人福利性单位</w:t>
            </w:r>
            <w:r>
              <w:rPr>
                <w:rFonts w:ascii="宋体" w:hAnsi="宋体" w:eastAsia="宋体"/>
                <w:color w:val="000000"/>
                <w:szCs w:val="21"/>
              </w:rPr>
              <w:t>证明材料见投标文件</w:t>
            </w:r>
            <w:r>
              <w:rPr>
                <w:rFonts w:hint="eastAsia" w:ascii="宋体" w:hAnsi="宋体" w:eastAsia="宋体"/>
                <w:color w:val="000000"/>
                <w:szCs w:val="21"/>
                <w:u w:val="single"/>
              </w:rPr>
              <w:t xml:space="preserve">          </w:t>
            </w:r>
            <w:r>
              <w:rPr>
                <w:rFonts w:hint="eastAsia" w:ascii="宋体" w:hAnsi="宋体" w:eastAsia="宋体"/>
                <w:color w:val="000000"/>
                <w:szCs w:val="21"/>
              </w:rPr>
              <w:t>部分</w:t>
            </w:r>
            <w:r>
              <w:rPr>
                <w:rFonts w:ascii="宋体" w:hAnsi="宋体" w:eastAsia="宋体"/>
                <w:color w:val="000000"/>
                <w:szCs w:val="21"/>
              </w:rPr>
              <w:t>第</w:t>
            </w:r>
            <w:r>
              <w:rPr>
                <w:rFonts w:ascii="宋体" w:hAnsi="宋体" w:eastAsia="宋体"/>
                <w:color w:val="000000"/>
                <w:szCs w:val="21"/>
                <w:u w:val="single"/>
              </w:rPr>
              <w:t xml:space="preserve">   </w:t>
            </w:r>
            <w:r>
              <w:rPr>
                <w:rFonts w:ascii="宋体" w:hAnsi="宋体" w:eastAsia="宋体"/>
                <w:color w:val="000000"/>
                <w:szCs w:val="21"/>
              </w:rPr>
              <w:t>至</w:t>
            </w:r>
            <w:r>
              <w:rPr>
                <w:rFonts w:ascii="宋体" w:hAnsi="宋体" w:eastAsia="宋体"/>
                <w:color w:val="000000"/>
                <w:szCs w:val="21"/>
                <w:u w:val="single"/>
              </w:rPr>
              <w:t xml:space="preserve">   </w:t>
            </w:r>
            <w:r>
              <w:rPr>
                <w:rFonts w:ascii="宋体" w:hAnsi="宋体" w:eastAsia="宋体"/>
                <w:color w:val="000000"/>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3" w:type="dxa"/>
            <w:vMerge w:val="restart"/>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节能产品</w:t>
            </w: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产品名称</w:t>
            </w: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品牌型号</w:t>
            </w: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制造商</w:t>
            </w:r>
          </w:p>
        </w:tc>
        <w:tc>
          <w:tcPr>
            <w:tcW w:w="1677" w:type="dxa"/>
            <w:gridSpan w:val="3"/>
            <w:noWrap w:val="0"/>
            <w:vAlign w:val="center"/>
          </w:tcPr>
          <w:p>
            <w:pPr>
              <w:pStyle w:val="55"/>
              <w:tabs>
                <w:tab w:val="left" w:pos="1260"/>
              </w:tabs>
              <w:snapToGrid w:val="0"/>
              <w:jc w:val="center"/>
              <w:rPr>
                <w:rFonts w:hint="eastAsia" w:ascii="宋体" w:hAnsi="宋体" w:eastAsia="宋体"/>
                <w:color w:val="000000"/>
                <w:szCs w:val="21"/>
                <w:lang w:val="en-GB"/>
              </w:rPr>
            </w:pPr>
            <w:r>
              <w:rPr>
                <w:rFonts w:ascii="宋体" w:hAnsi="宋体" w:eastAsia="宋体"/>
                <w:color w:val="000000"/>
                <w:szCs w:val="21"/>
                <w:lang w:val="en-GB"/>
              </w:rPr>
              <w:t>节能认证</w:t>
            </w:r>
          </w:p>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证书编号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41"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374"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节能产品（不包括强制节能产品）金额合计</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比重（节能产品金额/投标总价）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7520" w:type="dxa"/>
            <w:gridSpan w:val="1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节能产品</w:t>
            </w:r>
            <w:r>
              <w:rPr>
                <w:rFonts w:ascii="宋体" w:hAnsi="宋体" w:eastAsia="宋体"/>
                <w:color w:val="000000"/>
                <w:szCs w:val="21"/>
              </w:rPr>
              <w:t>证明材料见投标文件第</w:t>
            </w:r>
            <w:r>
              <w:rPr>
                <w:rFonts w:ascii="宋体" w:hAnsi="宋体" w:eastAsia="宋体"/>
                <w:color w:val="000000"/>
                <w:szCs w:val="21"/>
                <w:u w:val="single"/>
              </w:rPr>
              <w:t xml:space="preserve">   </w:t>
            </w:r>
            <w:r>
              <w:rPr>
                <w:rFonts w:ascii="宋体" w:hAnsi="宋体" w:eastAsia="宋体"/>
                <w:color w:val="000000"/>
                <w:szCs w:val="21"/>
              </w:rPr>
              <w:t>至</w:t>
            </w:r>
            <w:r>
              <w:rPr>
                <w:rFonts w:ascii="宋体" w:hAnsi="宋体" w:eastAsia="宋体"/>
                <w:color w:val="000000"/>
                <w:szCs w:val="21"/>
                <w:u w:val="single"/>
              </w:rPr>
              <w:t xml:space="preserve">   </w:t>
            </w:r>
            <w:r>
              <w:rPr>
                <w:rFonts w:ascii="宋体" w:hAnsi="宋体" w:eastAsia="宋体"/>
                <w:color w:val="000000"/>
                <w:szCs w:val="21"/>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13" w:type="dxa"/>
            <w:vMerge w:val="restart"/>
            <w:noWrap w:val="0"/>
            <w:vAlign w:val="center"/>
          </w:tcPr>
          <w:p>
            <w:pPr>
              <w:pStyle w:val="55"/>
              <w:tabs>
                <w:tab w:val="left" w:pos="1260"/>
              </w:tabs>
              <w:snapToGrid w:val="0"/>
              <w:spacing w:line="360" w:lineRule="auto"/>
              <w:jc w:val="center"/>
              <w:rPr>
                <w:rFonts w:hint="eastAsia" w:ascii="宋体" w:hAnsi="宋体" w:eastAsia="宋体"/>
                <w:color w:val="000000"/>
                <w:szCs w:val="21"/>
                <w:lang w:val="en-GB"/>
              </w:rPr>
            </w:pPr>
            <w:r>
              <w:rPr>
                <w:rFonts w:ascii="宋体" w:hAnsi="宋体" w:eastAsia="宋体"/>
                <w:color w:val="000000"/>
                <w:szCs w:val="21"/>
                <w:lang w:val="en-GB"/>
              </w:rPr>
              <w:t>环境标</w:t>
            </w:r>
          </w:p>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志产品</w:t>
            </w: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产品名称</w:t>
            </w:r>
          </w:p>
        </w:tc>
        <w:tc>
          <w:tcPr>
            <w:tcW w:w="159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品牌型号</w:t>
            </w:r>
          </w:p>
        </w:tc>
        <w:tc>
          <w:tcPr>
            <w:tcW w:w="1418"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制造商</w:t>
            </w:r>
          </w:p>
        </w:tc>
        <w:tc>
          <w:tcPr>
            <w:tcW w:w="1677" w:type="dxa"/>
            <w:gridSpan w:val="3"/>
            <w:noWrap w:val="0"/>
            <w:vAlign w:val="center"/>
          </w:tcPr>
          <w:p>
            <w:pPr>
              <w:pStyle w:val="55"/>
              <w:tabs>
                <w:tab w:val="left" w:pos="1260"/>
              </w:tabs>
              <w:snapToGrid w:val="0"/>
              <w:jc w:val="center"/>
              <w:rPr>
                <w:rFonts w:hint="eastAsia" w:ascii="宋体" w:hAnsi="宋体" w:eastAsia="宋体"/>
                <w:color w:val="000000"/>
                <w:szCs w:val="21"/>
                <w:lang w:val="en-GB"/>
              </w:rPr>
            </w:pPr>
            <w:r>
              <w:rPr>
                <w:rFonts w:ascii="宋体" w:hAnsi="宋体" w:eastAsia="宋体"/>
                <w:color w:val="000000"/>
                <w:szCs w:val="21"/>
                <w:lang w:val="en-GB"/>
              </w:rPr>
              <w:t>环境标志认</w:t>
            </w:r>
          </w:p>
          <w:p>
            <w:pPr>
              <w:pStyle w:val="55"/>
              <w:tabs>
                <w:tab w:val="left" w:pos="1260"/>
              </w:tabs>
              <w:snapToGrid w:val="0"/>
              <w:jc w:val="center"/>
              <w:rPr>
                <w:rFonts w:ascii="宋体" w:hAnsi="宋体" w:eastAsia="宋体"/>
                <w:color w:val="000000"/>
                <w:szCs w:val="21"/>
                <w:lang w:val="en-GB"/>
              </w:rPr>
            </w:pPr>
            <w:r>
              <w:rPr>
                <w:rFonts w:ascii="宋体" w:hAnsi="宋体" w:eastAsia="宋体"/>
                <w:color w:val="000000"/>
                <w:szCs w:val="21"/>
                <w:lang w:val="en-GB"/>
              </w:rPr>
              <w:t>证证书编号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418"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238" w:type="dxa"/>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418" w:type="dxa"/>
            <w:gridSpan w:val="4"/>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677" w:type="dxa"/>
            <w:gridSpan w:val="3"/>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环境标志产品金额合计</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5930" w:type="dxa"/>
            <w:gridSpan w:val="11"/>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比重（环境标志产品金额/投标总价）</w:t>
            </w:r>
          </w:p>
        </w:tc>
        <w:tc>
          <w:tcPr>
            <w:tcW w:w="1590" w:type="dxa"/>
            <w:gridSpan w:val="2"/>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313" w:type="dxa"/>
            <w:vMerge w:val="continue"/>
            <w:noWrap w:val="0"/>
            <w:vAlign w:val="center"/>
          </w:tcPr>
          <w:p>
            <w:pPr>
              <w:pStyle w:val="55"/>
              <w:tabs>
                <w:tab w:val="left" w:pos="1260"/>
              </w:tabs>
              <w:snapToGrid w:val="0"/>
              <w:spacing w:line="360" w:lineRule="auto"/>
              <w:jc w:val="center"/>
              <w:rPr>
                <w:rFonts w:ascii="宋体" w:hAnsi="宋体" w:eastAsia="宋体"/>
                <w:color w:val="000000"/>
                <w:szCs w:val="21"/>
                <w:lang w:val="en-GB"/>
              </w:rPr>
            </w:pPr>
          </w:p>
        </w:tc>
        <w:tc>
          <w:tcPr>
            <w:tcW w:w="7520" w:type="dxa"/>
            <w:gridSpan w:val="13"/>
            <w:noWrap w:val="0"/>
            <w:vAlign w:val="center"/>
          </w:tcPr>
          <w:p>
            <w:pPr>
              <w:pStyle w:val="55"/>
              <w:tabs>
                <w:tab w:val="left" w:pos="1260"/>
              </w:tabs>
              <w:snapToGrid w:val="0"/>
              <w:spacing w:line="360" w:lineRule="auto"/>
              <w:jc w:val="center"/>
              <w:rPr>
                <w:rFonts w:ascii="宋体" w:hAnsi="宋体" w:eastAsia="宋体"/>
                <w:color w:val="000000"/>
                <w:szCs w:val="21"/>
                <w:lang w:val="en-GB"/>
              </w:rPr>
            </w:pPr>
            <w:r>
              <w:rPr>
                <w:rFonts w:ascii="宋体" w:hAnsi="宋体" w:eastAsia="宋体"/>
                <w:color w:val="000000"/>
                <w:szCs w:val="21"/>
                <w:lang w:val="en-GB"/>
              </w:rPr>
              <w:t>环境标志产品</w:t>
            </w:r>
            <w:r>
              <w:rPr>
                <w:rFonts w:ascii="宋体" w:hAnsi="宋体" w:eastAsia="宋体"/>
                <w:color w:val="000000"/>
                <w:szCs w:val="21"/>
              </w:rPr>
              <w:t>证明材料见投标文件第</w:t>
            </w:r>
            <w:r>
              <w:rPr>
                <w:rFonts w:ascii="宋体" w:hAnsi="宋体" w:eastAsia="宋体"/>
                <w:color w:val="000000"/>
                <w:szCs w:val="21"/>
                <w:u w:val="single"/>
              </w:rPr>
              <w:t xml:space="preserve">   </w:t>
            </w:r>
            <w:r>
              <w:rPr>
                <w:rFonts w:ascii="宋体" w:hAnsi="宋体" w:eastAsia="宋体"/>
                <w:color w:val="000000"/>
                <w:szCs w:val="21"/>
              </w:rPr>
              <w:t>至</w:t>
            </w:r>
            <w:r>
              <w:rPr>
                <w:rFonts w:ascii="宋体" w:hAnsi="宋体" w:eastAsia="宋体"/>
                <w:color w:val="000000"/>
                <w:szCs w:val="21"/>
                <w:u w:val="single"/>
              </w:rPr>
              <w:t xml:space="preserve">   </w:t>
            </w:r>
            <w:r>
              <w:rPr>
                <w:rFonts w:ascii="宋体" w:hAnsi="宋体" w:eastAsia="宋体"/>
                <w:color w:val="000000"/>
                <w:szCs w:val="21"/>
              </w:rPr>
              <w:t>页。</w:t>
            </w:r>
          </w:p>
        </w:tc>
      </w:tr>
    </w:tbl>
    <w:p>
      <w:pPr>
        <w:spacing w:line="360" w:lineRule="auto"/>
        <w:ind w:firstLine="420" w:firstLineChars="200"/>
        <w:rPr>
          <w:rFonts w:ascii="宋体" w:hAnsi="宋体"/>
          <w:color w:val="000000"/>
          <w:szCs w:val="21"/>
        </w:rPr>
      </w:pPr>
      <w:bookmarkStart w:id="208" w:name="_Toc470007449"/>
      <w:bookmarkStart w:id="209" w:name="_Toc32151"/>
      <w:r>
        <w:rPr>
          <w:rFonts w:ascii="宋体" w:hAnsi="宋体"/>
          <w:color w:val="000000"/>
          <w:szCs w:val="21"/>
        </w:rPr>
        <w:t>填报要求：</w:t>
      </w:r>
      <w:bookmarkEnd w:id="208"/>
      <w:bookmarkEnd w:id="209"/>
    </w:p>
    <w:p>
      <w:pPr>
        <w:spacing w:line="360" w:lineRule="auto"/>
        <w:ind w:firstLine="420" w:firstLineChars="200"/>
        <w:rPr>
          <w:rFonts w:ascii="宋体" w:hAnsi="宋体"/>
          <w:color w:val="000000"/>
          <w:szCs w:val="21"/>
        </w:rPr>
      </w:pPr>
      <w:bookmarkStart w:id="210" w:name="_Toc22849"/>
      <w:bookmarkStart w:id="211" w:name="_Toc470007450"/>
      <w:r>
        <w:rPr>
          <w:rFonts w:ascii="宋体" w:hAnsi="宋体"/>
          <w:color w:val="000000"/>
          <w:szCs w:val="21"/>
        </w:rPr>
        <w:t>1. 本表的产品名称、品牌型号、金额应与《</w:t>
      </w:r>
      <w:r>
        <w:rPr>
          <w:rFonts w:hint="eastAsia" w:ascii="宋体" w:hAnsi="宋体"/>
          <w:color w:val="000000"/>
          <w:szCs w:val="21"/>
        </w:rPr>
        <w:t>投标报价明细表</w:t>
      </w:r>
      <w:r>
        <w:rPr>
          <w:rFonts w:ascii="宋体" w:hAnsi="宋体"/>
          <w:color w:val="000000"/>
          <w:szCs w:val="21"/>
        </w:rPr>
        <w:t>》一致。</w:t>
      </w:r>
      <w:bookmarkEnd w:id="210"/>
      <w:bookmarkEnd w:id="211"/>
    </w:p>
    <w:p>
      <w:pPr>
        <w:spacing w:line="360" w:lineRule="auto"/>
        <w:ind w:firstLine="420" w:firstLineChars="200"/>
        <w:rPr>
          <w:rFonts w:hint="eastAsia" w:ascii="宋体" w:hAnsi="宋体"/>
          <w:color w:val="000000"/>
          <w:szCs w:val="21"/>
        </w:rPr>
      </w:pPr>
      <w:bookmarkStart w:id="212" w:name="_Toc29558"/>
      <w:bookmarkStart w:id="213" w:name="_Toc470007451"/>
      <w:r>
        <w:rPr>
          <w:rFonts w:ascii="宋体" w:hAnsi="宋体"/>
          <w:color w:val="000000"/>
          <w:szCs w:val="21"/>
        </w:rPr>
        <w:t>2. 制造商为小型或微型企业时才需要填“制造商企业类型”栏，填写内容为“小型”或“微型”。</w:t>
      </w:r>
      <w:bookmarkEnd w:id="212"/>
      <w:bookmarkEnd w:id="213"/>
    </w:p>
    <w:p>
      <w:pPr>
        <w:spacing w:line="360" w:lineRule="auto"/>
        <w:ind w:firstLine="420" w:firstLineChars="200"/>
        <w:rPr>
          <w:rFonts w:hint="eastAsia" w:ascii="宋体" w:hAnsi="宋体"/>
          <w:color w:val="000000"/>
          <w:szCs w:val="21"/>
        </w:rPr>
      </w:pPr>
      <w:bookmarkStart w:id="214" w:name="_Toc11886"/>
      <w:r>
        <w:rPr>
          <w:rFonts w:hint="eastAsia" w:ascii="宋体" w:hAnsi="宋体"/>
          <w:color w:val="000000"/>
          <w:szCs w:val="21"/>
        </w:rPr>
        <w:t>3.</w:t>
      </w:r>
      <w:r>
        <w:rPr>
          <w:rFonts w:ascii="宋体" w:hAnsi="宋体"/>
          <w:color w:val="000000"/>
          <w:szCs w:val="21"/>
        </w:rPr>
        <w:t xml:space="preserve"> 制造商为</w:t>
      </w:r>
      <w:r>
        <w:rPr>
          <w:rFonts w:hint="eastAsia" w:ascii="宋体" w:hAnsi="宋体"/>
          <w:color w:val="000000"/>
          <w:szCs w:val="21"/>
        </w:rPr>
        <w:t>监狱</w:t>
      </w:r>
      <w:r>
        <w:rPr>
          <w:rFonts w:ascii="宋体" w:hAnsi="宋体"/>
          <w:color w:val="000000"/>
          <w:szCs w:val="21"/>
        </w:rPr>
        <w:t>企业时才需要填“制造商企业类型”栏。</w:t>
      </w:r>
      <w:bookmarkEnd w:id="214"/>
      <w:bookmarkStart w:id="215" w:name="_Toc470007452"/>
    </w:p>
    <w:p>
      <w:pPr>
        <w:spacing w:line="360" w:lineRule="auto"/>
        <w:ind w:firstLine="420" w:firstLineChars="200"/>
        <w:rPr>
          <w:rFonts w:hint="eastAsia" w:ascii="宋体" w:hAnsi="宋体"/>
          <w:color w:val="000000"/>
          <w:szCs w:val="21"/>
        </w:rPr>
      </w:pPr>
      <w:bookmarkStart w:id="216" w:name="_Toc27949"/>
      <w:r>
        <w:rPr>
          <w:rFonts w:hint="eastAsia" w:ascii="宋体" w:hAnsi="宋体"/>
          <w:color w:val="000000"/>
          <w:szCs w:val="21"/>
        </w:rPr>
        <w:t>4</w:t>
      </w:r>
      <w:r>
        <w:rPr>
          <w:rFonts w:ascii="宋体" w:hAnsi="宋体"/>
          <w:color w:val="000000"/>
          <w:szCs w:val="21"/>
        </w:rPr>
        <w:t>.节能产品是指</w:t>
      </w:r>
      <w:r>
        <w:rPr>
          <w:rFonts w:hint="eastAsia" w:ascii="宋体" w:hAnsi="宋体"/>
          <w:color w:val="000000"/>
          <w:szCs w:val="21"/>
        </w:rPr>
        <w:t>被列入财政部、发展改革委发布的节能产品品目清单的产品。</w:t>
      </w:r>
      <w:r>
        <w:rPr>
          <w:rFonts w:ascii="宋体" w:hAnsi="宋体"/>
          <w:color w:val="000000"/>
          <w:szCs w:val="21"/>
        </w:rPr>
        <w:t>提供</w:t>
      </w:r>
      <w:r>
        <w:rPr>
          <w:rFonts w:hint="eastAsia" w:ascii="宋体" w:hAnsi="宋体"/>
          <w:color w:val="000000"/>
          <w:szCs w:val="21"/>
        </w:rPr>
        <w:t>国家市场监督管理总局公布的《参与实施政府采购节能产品认证机构名录》内的认证机构出具的、处于有效期之内的节能标志产品认证证书</w:t>
      </w:r>
      <w:r>
        <w:rPr>
          <w:rFonts w:ascii="宋体" w:hAnsi="宋体"/>
          <w:color w:val="000000"/>
          <w:szCs w:val="21"/>
        </w:rPr>
        <w:t>。</w:t>
      </w:r>
      <w:bookmarkEnd w:id="216"/>
    </w:p>
    <w:p>
      <w:pPr>
        <w:spacing w:line="360" w:lineRule="auto"/>
        <w:ind w:firstLine="420" w:firstLineChars="200"/>
        <w:rPr>
          <w:rFonts w:ascii="宋体" w:hAnsi="宋体"/>
          <w:color w:val="000000"/>
          <w:szCs w:val="21"/>
        </w:rPr>
      </w:pPr>
      <w:bookmarkStart w:id="217" w:name="_Toc31916"/>
      <w:r>
        <w:rPr>
          <w:rFonts w:ascii="宋体" w:hAnsi="宋体"/>
          <w:color w:val="000000"/>
          <w:szCs w:val="21"/>
        </w:rPr>
        <w:t>环境标志</w:t>
      </w:r>
      <w:r>
        <w:rPr>
          <w:rFonts w:hint="eastAsia" w:ascii="宋体" w:hAnsi="宋体"/>
          <w:color w:val="000000"/>
          <w:szCs w:val="21"/>
        </w:rPr>
        <w:t>产品是指被列入财政部、生态环境部发布的环境标志产品品目清单的产品</w:t>
      </w:r>
      <w:r>
        <w:rPr>
          <w:rFonts w:ascii="宋体" w:hAnsi="宋体"/>
          <w:color w:val="000000"/>
          <w:szCs w:val="21"/>
        </w:rPr>
        <w:t>。</w:t>
      </w:r>
      <w:bookmarkEnd w:id="215"/>
      <w:r>
        <w:rPr>
          <w:rFonts w:hint="eastAsia" w:ascii="宋体" w:hAnsi="宋体"/>
          <w:color w:val="000000"/>
          <w:szCs w:val="21"/>
        </w:rPr>
        <w:t>提供国家市场监督管理总局公布的《参与实施政府采购环境标志产品认证机构名录》内的认证机构出具的、处于有效期之内的环境标志产品认证证书</w:t>
      </w:r>
      <w:r>
        <w:rPr>
          <w:rFonts w:ascii="宋体" w:hAnsi="宋体"/>
          <w:color w:val="000000"/>
          <w:szCs w:val="21"/>
        </w:rPr>
        <w:t>。</w:t>
      </w:r>
      <w:bookmarkEnd w:id="217"/>
    </w:p>
    <w:p>
      <w:pPr>
        <w:pStyle w:val="16"/>
        <w:spacing w:before="120" w:after="120" w:line="360" w:lineRule="auto"/>
        <w:ind w:firstLine="420" w:firstLineChars="200"/>
        <w:rPr>
          <w:rFonts w:hAnsi="宋体"/>
          <w:b/>
          <w:color w:val="000000"/>
          <w:sz w:val="21"/>
          <w:szCs w:val="21"/>
        </w:rPr>
      </w:pPr>
      <w:bookmarkStart w:id="218" w:name="_Toc470007453"/>
      <w:r>
        <w:rPr>
          <w:rFonts w:hint="eastAsia" w:hAnsi="宋体"/>
          <w:color w:val="000000"/>
          <w:sz w:val="21"/>
          <w:szCs w:val="21"/>
        </w:rPr>
        <w:t>5</w:t>
      </w:r>
      <w:r>
        <w:rPr>
          <w:rFonts w:hAnsi="宋体"/>
          <w:color w:val="000000"/>
          <w:sz w:val="21"/>
          <w:szCs w:val="21"/>
        </w:rPr>
        <w:t>. 请投标</w:t>
      </w:r>
      <w:r>
        <w:rPr>
          <w:rFonts w:hint="eastAsia" w:hAnsi="宋体"/>
          <w:color w:val="000000"/>
          <w:sz w:val="21"/>
          <w:szCs w:val="21"/>
        </w:rPr>
        <w:t>人</w:t>
      </w:r>
      <w:r>
        <w:rPr>
          <w:rFonts w:hAnsi="宋体"/>
          <w:color w:val="000000"/>
          <w:sz w:val="21"/>
          <w:szCs w:val="21"/>
        </w:rPr>
        <w:t>正确填写本表，所填内容将作为评分的依据。其内容或数据应与对应的证明资料相符，如果填写不完整或有误，不再享受上述政策优惠。</w:t>
      </w:r>
      <w:bookmarkEnd w:id="218"/>
    </w:p>
    <w:p>
      <w:pPr>
        <w:pStyle w:val="16"/>
        <w:spacing w:before="120" w:after="120" w:line="360" w:lineRule="auto"/>
        <w:rPr>
          <w:rFonts w:hAnsi="宋体"/>
          <w:b/>
          <w:color w:val="000000"/>
          <w:sz w:val="21"/>
          <w:szCs w:val="21"/>
        </w:rPr>
      </w:pPr>
    </w:p>
    <w:p>
      <w:pPr>
        <w:snapToGrid w:val="0"/>
        <w:spacing w:before="50" w:after="50" w:line="360" w:lineRule="auto"/>
        <w:rPr>
          <w:rFonts w:ascii="宋体" w:hAnsi="宋体"/>
          <w:color w:val="000000"/>
          <w:spacing w:val="20"/>
          <w:szCs w:val="21"/>
          <w:u w:val="single"/>
        </w:rPr>
      </w:pPr>
    </w:p>
    <w:p>
      <w:pPr>
        <w:rPr>
          <w:rFonts w:ascii="宋体" w:hAnsi="宋体"/>
          <w:color w:val="000000"/>
          <w:spacing w:val="20"/>
          <w:szCs w:val="21"/>
          <w:u w:val="single"/>
        </w:rPr>
      </w:pPr>
      <w:r>
        <w:rPr>
          <w:rFonts w:hint="eastAsia" w:ascii="宋体" w:hAnsi="宋体"/>
          <w:color w:val="000000"/>
          <w:spacing w:val="20"/>
          <w:szCs w:val="21"/>
        </w:rPr>
        <w:t>投标人：</w:t>
      </w:r>
      <w:r>
        <w:rPr>
          <w:rFonts w:ascii="宋体" w:hAnsi="宋体"/>
          <w:color w:val="000000"/>
          <w:spacing w:val="20"/>
          <w:szCs w:val="21"/>
          <w:u w:val="single"/>
        </w:rPr>
        <w:t xml:space="preserve">      </w:t>
      </w:r>
      <w:r>
        <w:rPr>
          <w:rFonts w:hint="eastAsia" w:ascii="宋体" w:hAnsi="宋体"/>
          <w:color w:val="000000"/>
          <w:spacing w:val="20"/>
          <w:szCs w:val="21"/>
          <w:u w:val="single"/>
        </w:rPr>
        <w:t>（盖章）</w:t>
      </w:r>
      <w:r>
        <w:rPr>
          <w:rFonts w:ascii="宋体" w:hAnsi="宋体"/>
          <w:color w:val="000000"/>
          <w:spacing w:val="20"/>
          <w:szCs w:val="21"/>
          <w:u w:val="single"/>
        </w:rPr>
        <w:t xml:space="preserve">      </w:t>
      </w:r>
      <w:r>
        <w:rPr>
          <w:rFonts w:ascii="宋体" w:hAnsi="宋体"/>
          <w:color w:val="000000"/>
          <w:spacing w:val="20"/>
          <w:szCs w:val="21"/>
        </w:rPr>
        <w:t xml:space="preserve">     </w:t>
      </w:r>
      <w:r>
        <w:rPr>
          <w:rFonts w:hint="eastAsia" w:ascii="宋体" w:hAnsi="宋体"/>
          <w:color w:val="000000"/>
          <w:spacing w:val="20"/>
          <w:szCs w:val="21"/>
        </w:rPr>
        <w:t>日</w:t>
      </w:r>
      <w:r>
        <w:rPr>
          <w:rFonts w:ascii="宋体" w:hAnsi="宋体"/>
          <w:color w:val="000000"/>
          <w:spacing w:val="20"/>
          <w:szCs w:val="21"/>
        </w:rPr>
        <w:t xml:space="preserve">  </w:t>
      </w:r>
      <w:r>
        <w:rPr>
          <w:rFonts w:hint="eastAsia" w:ascii="宋体" w:hAnsi="宋体"/>
          <w:color w:val="000000"/>
          <w:spacing w:val="20"/>
          <w:szCs w:val="21"/>
        </w:rPr>
        <w:t>期：</w:t>
      </w:r>
      <w:r>
        <w:rPr>
          <w:rFonts w:ascii="宋体" w:hAnsi="宋体"/>
          <w:color w:val="000000"/>
          <w:spacing w:val="20"/>
          <w:szCs w:val="21"/>
          <w:u w:val="single"/>
        </w:rPr>
        <w:t xml:space="preserve">          </w:t>
      </w:r>
    </w:p>
    <w:p>
      <w:pPr>
        <w:pStyle w:val="16"/>
        <w:spacing w:before="120" w:after="120" w:line="360" w:lineRule="auto"/>
        <w:rPr>
          <w:rFonts w:hint="eastAsia" w:hAnsi="宋体"/>
          <w:b/>
          <w:color w:val="000000"/>
        </w:rPr>
      </w:pPr>
      <w:r>
        <w:rPr>
          <w:rFonts w:hAnsi="宋体"/>
          <w:color w:val="000000"/>
          <w:spacing w:val="20"/>
          <w:szCs w:val="21"/>
          <w:u w:val="single"/>
        </w:rPr>
        <w:br w:type="page"/>
      </w:r>
      <w:r>
        <w:rPr>
          <w:rFonts w:hAnsi="宋体"/>
          <w:b/>
          <w:color w:val="000000"/>
        </w:rPr>
        <w:t>20</w:t>
      </w:r>
      <w:r>
        <w:rPr>
          <w:rFonts w:hint="eastAsia" w:hAnsi="宋体"/>
          <w:b/>
          <w:color w:val="000000"/>
        </w:rPr>
        <w:t>.代理服务费支付承诺书</w:t>
      </w:r>
    </w:p>
    <w:p>
      <w:pPr>
        <w:jc w:val="center"/>
        <w:rPr>
          <w:rFonts w:ascii="宋体" w:hAnsi="宋体"/>
          <w:color w:val="000000"/>
          <w:szCs w:val="21"/>
        </w:rPr>
      </w:pPr>
      <w:r>
        <w:rPr>
          <w:rFonts w:hint="eastAsia" w:ascii="宋体" w:hAnsi="宋体"/>
          <w:b/>
          <w:bCs/>
          <w:color w:val="000000"/>
          <w:sz w:val="30"/>
          <w:szCs w:val="30"/>
        </w:rPr>
        <w:t>代理服务费支付承诺书</w:t>
      </w:r>
    </w:p>
    <w:p>
      <w:pPr>
        <w:snapToGrid w:val="0"/>
        <w:spacing w:before="50" w:after="50" w:line="360" w:lineRule="auto"/>
        <w:rPr>
          <w:rFonts w:hint="eastAsia" w:ascii="宋体" w:hAnsi="宋体"/>
          <w:color w:val="000000"/>
          <w:spacing w:val="20"/>
          <w:sz w:val="24"/>
          <w:u w:val="single"/>
        </w:rPr>
      </w:pPr>
    </w:p>
    <w:p>
      <w:pPr>
        <w:spacing w:line="400" w:lineRule="exact"/>
        <w:rPr>
          <w:rFonts w:hAnsi="仿宋_GB2312" w:cs="仿宋_GB2312"/>
          <w:color w:val="000000"/>
          <w:sz w:val="24"/>
        </w:rPr>
      </w:pPr>
      <w:r>
        <w:rPr>
          <w:rFonts w:hint="eastAsia" w:hAnsi="仿宋_GB2312" w:cs="仿宋_GB2312"/>
          <w:color w:val="000000"/>
          <w:sz w:val="24"/>
          <w:u w:val="single"/>
        </w:rPr>
        <w:t>浙江中际工程项目管理有限公司</w:t>
      </w:r>
      <w:r>
        <w:rPr>
          <w:rFonts w:hint="eastAsia" w:hAnsi="仿宋_GB2312" w:cs="仿宋_GB2312"/>
          <w:color w:val="000000"/>
          <w:sz w:val="24"/>
        </w:rPr>
        <w:t>：</w:t>
      </w:r>
    </w:p>
    <w:p>
      <w:pPr>
        <w:spacing w:line="400" w:lineRule="exact"/>
        <w:ind w:firstLine="480"/>
        <w:rPr>
          <w:rFonts w:hAnsi="仿宋_GB2312" w:cs="仿宋_GB2312"/>
          <w:color w:val="000000"/>
          <w:sz w:val="24"/>
        </w:rPr>
      </w:pPr>
      <w:r>
        <w:rPr>
          <w:rFonts w:hint="eastAsia" w:hAnsi="仿宋_GB2312" w:cs="仿宋_GB2312"/>
          <w:color w:val="000000"/>
          <w:sz w:val="24"/>
        </w:rPr>
        <w:t>我方在你公司组织的</w:t>
      </w:r>
      <w:r>
        <w:rPr>
          <w:rFonts w:hint="eastAsia" w:hAnsi="仿宋_GB2312" w:cs="仿宋_GB2312"/>
          <w:color w:val="000000"/>
          <w:sz w:val="24"/>
          <w:u w:val="single"/>
        </w:rPr>
        <w:t xml:space="preserve"> </w:t>
      </w:r>
      <w:r>
        <w:rPr>
          <w:rFonts w:hAnsi="仿宋_GB2312" w:cs="仿宋_GB2312"/>
          <w:color w:val="000000"/>
          <w:sz w:val="24"/>
          <w:u w:val="single"/>
        </w:rPr>
        <w:t xml:space="preserve">          </w:t>
      </w:r>
      <w:r>
        <w:rPr>
          <w:rFonts w:hint="eastAsia" w:hAnsi="仿宋_GB2312" w:cs="仿宋_GB2312"/>
          <w:color w:val="000000"/>
          <w:sz w:val="24"/>
        </w:rPr>
        <w:t>的采购活动中若获成交，我方保证按采购文件</w:t>
      </w:r>
      <w:r>
        <w:rPr>
          <w:rFonts w:hint="eastAsia" w:hAnsi="仿宋_GB2312" w:cs="仿宋_GB2312"/>
          <w:b/>
          <w:color w:val="000000"/>
          <w:sz w:val="24"/>
        </w:rPr>
        <w:t>“前附表”</w:t>
      </w:r>
      <w:r>
        <w:rPr>
          <w:rFonts w:hint="eastAsia" w:hAnsi="仿宋_GB2312" w:cs="仿宋_GB2312"/>
          <w:color w:val="000000"/>
          <w:sz w:val="24"/>
        </w:rPr>
        <w:t>的规定，向你公司支付采购代理服务费。如我方未按上述承诺支付采购代理服务费，采购人可以取消我方中标资格，由此产生的一切法律后果和责任由我方承担。我方声明放弃对此提出任何异议和追索的权利。</w:t>
      </w:r>
    </w:p>
    <w:p>
      <w:pPr>
        <w:pStyle w:val="65"/>
        <w:spacing w:line="400" w:lineRule="exact"/>
        <w:ind w:firstLine="480"/>
        <w:rPr>
          <w:rFonts w:ascii="Times New Roman" w:hAnsi="仿宋_GB2312" w:cs="仿宋_GB2312"/>
          <w:color w:val="000000"/>
          <w:spacing w:val="0"/>
          <w:kern w:val="2"/>
          <w:sz w:val="24"/>
          <w:szCs w:val="24"/>
        </w:rPr>
      </w:pPr>
      <w:r>
        <w:rPr>
          <w:rFonts w:hint="eastAsia" w:ascii="Times New Roman" w:hAnsi="仿宋_GB2312" w:cs="仿宋_GB2312"/>
          <w:color w:val="000000"/>
          <w:spacing w:val="0"/>
          <w:kern w:val="2"/>
          <w:sz w:val="24"/>
          <w:szCs w:val="24"/>
        </w:rPr>
        <w:t>特此承诺。</w:t>
      </w:r>
    </w:p>
    <w:p>
      <w:pPr>
        <w:pStyle w:val="65"/>
        <w:spacing w:line="400" w:lineRule="exact"/>
        <w:ind w:firstLine="480"/>
        <w:rPr>
          <w:rFonts w:ascii="Times New Roman" w:hAnsi="仿宋_GB2312" w:cs="仿宋_GB2312"/>
          <w:color w:val="000000"/>
          <w:spacing w:val="0"/>
          <w:kern w:val="2"/>
          <w:sz w:val="24"/>
          <w:szCs w:val="24"/>
        </w:rPr>
      </w:pPr>
    </w:p>
    <w:p>
      <w:pPr>
        <w:pStyle w:val="65"/>
        <w:spacing w:line="400" w:lineRule="exact"/>
        <w:ind w:firstLine="480"/>
        <w:rPr>
          <w:rFonts w:ascii="Times New Roman" w:hAnsi="仿宋_GB2312" w:cs="仿宋_GB2312"/>
          <w:color w:val="000000"/>
          <w:spacing w:val="0"/>
          <w:kern w:val="2"/>
          <w:sz w:val="24"/>
          <w:szCs w:val="24"/>
        </w:rPr>
      </w:pPr>
      <w:r>
        <w:rPr>
          <w:rFonts w:hint="eastAsia" w:ascii="Times New Roman" w:hAnsi="仿宋_GB2312" w:cs="仿宋_GB2312"/>
          <w:color w:val="000000"/>
          <w:spacing w:val="0"/>
          <w:kern w:val="2"/>
          <w:sz w:val="24"/>
          <w:szCs w:val="24"/>
        </w:rPr>
        <w:t>投标人全称（盖单位公章）：</w:t>
      </w:r>
    </w:p>
    <w:p>
      <w:pPr>
        <w:pStyle w:val="65"/>
        <w:spacing w:line="400" w:lineRule="exact"/>
        <w:ind w:firstLine="480"/>
        <w:rPr>
          <w:rFonts w:ascii="Times New Roman" w:hAnsi="仿宋_GB2312" w:cs="仿宋_GB2312"/>
          <w:color w:val="000000"/>
          <w:spacing w:val="0"/>
          <w:kern w:val="2"/>
          <w:sz w:val="24"/>
          <w:szCs w:val="24"/>
        </w:rPr>
      </w:pPr>
      <w:r>
        <w:rPr>
          <w:rFonts w:hint="eastAsia" w:ascii="Times New Roman" w:hAnsi="仿宋_GB2312" w:cs="仿宋_GB2312"/>
          <w:color w:val="000000"/>
          <w:spacing w:val="0"/>
          <w:kern w:val="2"/>
          <w:sz w:val="24"/>
          <w:szCs w:val="24"/>
        </w:rPr>
        <w:t xml:space="preserve">投标人法定代表人或委托代理人（签字或盖章）：            </w:t>
      </w:r>
    </w:p>
    <w:p>
      <w:pPr>
        <w:snapToGrid w:val="0"/>
        <w:spacing w:before="50" w:after="50" w:line="360" w:lineRule="auto"/>
        <w:ind w:firstLine="480" w:firstLineChars="200"/>
        <w:rPr>
          <w:rFonts w:hint="eastAsia" w:hAnsi="仿宋_GB2312" w:cs="仿宋_GB2312"/>
          <w:color w:val="000000"/>
          <w:sz w:val="24"/>
        </w:rPr>
      </w:pPr>
      <w:r>
        <w:rPr>
          <w:rFonts w:hint="eastAsia" w:hAnsi="仿宋_GB2312" w:cs="仿宋_GB2312"/>
          <w:color w:val="000000"/>
          <w:sz w:val="24"/>
        </w:rPr>
        <w:t>日期：   年  月  日</w:t>
      </w:r>
    </w:p>
    <w:p>
      <w:pPr>
        <w:rPr>
          <w:rFonts w:ascii="宋体" w:hAnsi="宋体"/>
          <w:color w:val="000000"/>
        </w:rPr>
      </w:pPr>
    </w:p>
    <w:sectPr>
      <w:pgSz w:w="11906" w:h="16838"/>
      <w:pgMar w:top="1247" w:right="1276" w:bottom="1089"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E0002EFF" w:usb1="C000785B" w:usb2="00000009" w:usb3="00000000" w:csb0="000001FF"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Align="top"/>
      <w:rPr>
        <w:rStyle w:val="29"/>
      </w:rPr>
    </w:pPr>
    <w:r>
      <w:fldChar w:fldCharType="begin"/>
    </w:r>
    <w:r>
      <w:rPr>
        <w:rStyle w:val="29"/>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left" w:pos="900"/>
        <w:tab w:val="clear" w:pos="4153"/>
        <w:tab w:val="clear" w:pos="8306"/>
      </w:tabs>
      <w:jc w:val="center"/>
    </w:pPr>
    <w:r>
      <w:fldChar w:fldCharType="begin"/>
    </w:r>
    <w:r>
      <w:rPr>
        <w:rStyle w:val="29"/>
      </w:rPr>
      <w:instrText xml:space="preserve"> PAGE </w:instrText>
    </w:r>
    <w:r>
      <w:fldChar w:fldCharType="separate"/>
    </w:r>
    <w:r>
      <w:rPr>
        <w:rStyle w:val="29"/>
        <w:lang/>
      </w:rPr>
      <w:t>23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w:fldChar w:fldCharType="begin"/>
    </w:r>
    <w:r>
      <w:instrText xml:space="preserve">PAGE   \* MERGEFORMAT</w:instrText>
    </w:r>
    <w:r>
      <w:fldChar w:fldCharType="separate"/>
    </w:r>
    <w:r>
      <w:rPr>
        <w:lang w:val="zh-CN"/>
      </w:rPr>
      <w:t>106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9"/>
      </w:rPr>
    </w:pPr>
    <w:r>
      <w:fldChar w:fldCharType="begin"/>
    </w:r>
    <w:r>
      <w:rPr>
        <w:rStyle w:val="29"/>
      </w:rPr>
      <w:instrText xml:space="preserve">PAGE  </w:instrText>
    </w:r>
    <w:r>
      <w:fldChar w:fldCharType="separate"/>
    </w:r>
    <w:r>
      <w:rPr>
        <w:rStyle w:val="29"/>
      </w:rPr>
      <w:t>55</w:t>
    </w:r>
    <w:r>
      <w:fldChar w:fldCharType="end"/>
    </w:r>
  </w:p>
  <w:p>
    <w:pPr>
      <w:pStyle w:val="19"/>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hint="eastAsia"/>
      </w:rPr>
    </w:pPr>
    <w:r>
      <w:fldChar w:fldCharType="begin"/>
    </w:r>
    <w:r>
      <w:instrText xml:space="preserve">PAGE   \* MERGEFORMAT</w:instrText>
    </w:r>
    <w:r>
      <w:fldChar w:fldCharType="separate"/>
    </w:r>
    <w:r>
      <w:rPr>
        <w:lang w:val="zh-CN"/>
      </w:rPr>
      <w:t>111</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rPr>
        <w:rStyle w:val="29"/>
      </w:rPr>
    </w:pPr>
    <w:r>
      <w:fldChar w:fldCharType="begin"/>
    </w:r>
    <w:r>
      <w:rPr>
        <w:rStyle w:val="29"/>
      </w:rPr>
      <w:instrText xml:space="preserve">PAGE  </w:instrText>
    </w:r>
    <w:r>
      <w:fldChar w:fldCharType="separate"/>
    </w:r>
    <w:r>
      <w:rPr>
        <w:rStyle w:val="29"/>
      </w:rPr>
      <w:t>55</w:t>
    </w:r>
    <w:r>
      <w:fldChar w:fldCharType="end"/>
    </w:r>
  </w:p>
  <w:p>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beforeLines="50" w:line="360" w:lineRule="auto"/>
      <w:jc w:val="center"/>
      <w:rPr>
        <w:rFonts w:ascii="宋体" w:hAnsi="宋体"/>
        <w:bCs/>
        <w:sz w:val="44"/>
        <w:szCs w:val="44"/>
      </w:rPr>
    </w:pPr>
    <w:r>
      <w:rPr>
        <w:rFonts w:hint="eastAsia" w:ascii="宋体" w:cs="宋体"/>
        <w:szCs w:val="21"/>
        <w:u w:val="single"/>
      </w:rPr>
      <w:t>指挥中心迁建项目                           公开招标采购文件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fldChar w:fldCharType="begin"/>
    </w:r>
    <w:r>
      <w:instrText xml:space="preserve">PAGE   \* MERGEFORMAT</w:instrText>
    </w:r>
    <w:r>
      <w:fldChar w:fldCharType="separate"/>
    </w:r>
    <w:r>
      <w:rPr>
        <w:lang w:val="zh-CN"/>
      </w:rPr>
      <w:t>111</w:t>
    </w:r>
    <w:r>
      <w:fldChar w:fldCharType="end"/>
    </w:r>
  </w:p>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977A71"/>
    <w:multiLevelType w:val="singleLevel"/>
    <w:tmpl w:val="C2977A71"/>
    <w:lvl w:ilvl="0" w:tentative="0">
      <w:start w:val="1"/>
      <w:numFmt w:val="decimal"/>
      <w:suff w:val="nothing"/>
      <w:lvlText w:val="%1、"/>
      <w:lvlJc w:val="left"/>
    </w:lvl>
  </w:abstractNum>
  <w:abstractNum w:abstractNumId="1">
    <w:nsid w:val="C2D66A6F"/>
    <w:multiLevelType w:val="singleLevel"/>
    <w:tmpl w:val="C2D66A6F"/>
    <w:lvl w:ilvl="0" w:tentative="0">
      <w:start w:val="2"/>
      <w:numFmt w:val="decimal"/>
      <w:suff w:val="nothing"/>
      <w:lvlText w:val="%1、"/>
      <w:lvlJc w:val="left"/>
    </w:lvl>
  </w:abstractNum>
  <w:abstractNum w:abstractNumId="2">
    <w:nsid w:val="D1FD6218"/>
    <w:multiLevelType w:val="singleLevel"/>
    <w:tmpl w:val="D1FD6218"/>
    <w:lvl w:ilvl="0" w:tentative="0">
      <w:start w:val="1"/>
      <w:numFmt w:val="decimal"/>
      <w:pStyle w:val="8"/>
      <w:lvlText w:val="%1."/>
      <w:lvlJc w:val="left"/>
      <w:pPr>
        <w:tabs>
          <w:tab w:val="left" w:pos="360"/>
        </w:tabs>
        <w:ind w:left="360" w:hanging="360"/>
      </w:pPr>
    </w:lvl>
  </w:abstractNum>
  <w:abstractNum w:abstractNumId="3">
    <w:nsid w:val="02371A1A"/>
    <w:multiLevelType w:val="multilevel"/>
    <w:tmpl w:val="02371A1A"/>
    <w:lvl w:ilvl="0" w:tentative="0">
      <w:start w:val="1"/>
      <w:numFmt w:val="lowerLetter"/>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02884DE8"/>
    <w:multiLevelType w:val="multilevel"/>
    <w:tmpl w:val="02884D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D71E61"/>
    <w:multiLevelType w:val="multilevel"/>
    <w:tmpl w:val="06D71E61"/>
    <w:lvl w:ilvl="0" w:tentative="0">
      <w:start w:val="1"/>
      <w:numFmt w:val="lowerLetter"/>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0C582B30"/>
    <w:multiLevelType w:val="multilevel"/>
    <w:tmpl w:val="0C582B3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F3FC604"/>
    <w:multiLevelType w:val="singleLevel"/>
    <w:tmpl w:val="0F3FC604"/>
    <w:lvl w:ilvl="0" w:tentative="0">
      <w:start w:val="1"/>
      <w:numFmt w:val="chineseCounting"/>
      <w:suff w:val="nothing"/>
      <w:lvlText w:val="%1、"/>
      <w:lvlJc w:val="left"/>
      <w:pPr>
        <w:ind w:left="0" w:firstLine="420"/>
      </w:pPr>
      <w:rPr>
        <w:rFonts w:hint="eastAsia"/>
      </w:rPr>
    </w:lvl>
  </w:abstractNum>
  <w:abstractNum w:abstractNumId="8">
    <w:nsid w:val="10472E87"/>
    <w:multiLevelType w:val="multilevel"/>
    <w:tmpl w:val="10472E87"/>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6F55A8B"/>
    <w:multiLevelType w:val="multilevel"/>
    <w:tmpl w:val="16F55A8B"/>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A9A4B40"/>
    <w:multiLevelType w:val="multilevel"/>
    <w:tmpl w:val="1A9A4B40"/>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0C90623"/>
    <w:multiLevelType w:val="multilevel"/>
    <w:tmpl w:val="20C90623"/>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630" w:hanging="420"/>
      </w:pPr>
    </w:lvl>
    <w:lvl w:ilvl="2" w:tentative="0">
      <w:start w:val="1"/>
      <w:numFmt w:val="lowerRoman"/>
      <w:lvlText w:val="%3."/>
      <w:lvlJc w:val="right"/>
      <w:pPr>
        <w:ind w:left="1050" w:hanging="420"/>
      </w:pPr>
    </w:lvl>
    <w:lvl w:ilvl="3" w:tentative="0">
      <w:start w:val="1"/>
      <w:numFmt w:val="decimal"/>
      <w:lvlText w:val="%4."/>
      <w:lvlJc w:val="left"/>
      <w:pPr>
        <w:ind w:left="1470" w:hanging="420"/>
      </w:pPr>
    </w:lvl>
    <w:lvl w:ilvl="4" w:tentative="0">
      <w:start w:val="1"/>
      <w:numFmt w:val="lowerLetter"/>
      <w:lvlText w:val="%5)"/>
      <w:lvlJc w:val="left"/>
      <w:pPr>
        <w:ind w:left="1890" w:hanging="420"/>
      </w:pPr>
    </w:lvl>
    <w:lvl w:ilvl="5" w:tentative="0">
      <w:start w:val="1"/>
      <w:numFmt w:val="lowerRoman"/>
      <w:lvlText w:val="%6."/>
      <w:lvlJc w:val="right"/>
      <w:pPr>
        <w:ind w:left="2310" w:hanging="420"/>
      </w:pPr>
    </w:lvl>
    <w:lvl w:ilvl="6" w:tentative="0">
      <w:start w:val="1"/>
      <w:numFmt w:val="decimal"/>
      <w:lvlText w:val="%7."/>
      <w:lvlJc w:val="left"/>
      <w:pPr>
        <w:ind w:left="2730" w:hanging="420"/>
      </w:pPr>
    </w:lvl>
    <w:lvl w:ilvl="7" w:tentative="0">
      <w:start w:val="1"/>
      <w:numFmt w:val="lowerLetter"/>
      <w:lvlText w:val="%8)"/>
      <w:lvlJc w:val="left"/>
      <w:pPr>
        <w:ind w:left="3150" w:hanging="420"/>
      </w:pPr>
    </w:lvl>
    <w:lvl w:ilvl="8" w:tentative="0">
      <w:start w:val="1"/>
      <w:numFmt w:val="lowerRoman"/>
      <w:lvlText w:val="%9."/>
      <w:lvlJc w:val="right"/>
      <w:pPr>
        <w:ind w:left="3570" w:hanging="420"/>
      </w:pPr>
    </w:lvl>
  </w:abstractNum>
  <w:abstractNum w:abstractNumId="12">
    <w:nsid w:val="22CB705F"/>
    <w:multiLevelType w:val="multilevel"/>
    <w:tmpl w:val="22CB705F"/>
    <w:lvl w:ilvl="0" w:tentative="0">
      <w:start w:val="1"/>
      <w:numFmt w:val="decimal"/>
      <w:suff w:val="nothing"/>
      <w:lvlText w:val="%1、"/>
      <w:lvlJc w:val="left"/>
      <w:pPr>
        <w:ind w:left="340" w:hanging="340"/>
      </w:pPr>
      <w:rPr>
        <w:rFonts w:hint="default"/>
        <w:b w:val="0"/>
      </w:rPr>
    </w:lvl>
    <w:lvl w:ilvl="1" w:tentative="0">
      <w:start w:val="39"/>
      <w:numFmt w:val="bullet"/>
      <w:lvlText w:val="★"/>
      <w:lvlJc w:val="left"/>
      <w:pPr>
        <w:ind w:left="780" w:hanging="360"/>
      </w:pPr>
      <w:rPr>
        <w:rFonts w:hint="eastAsia" w:ascii="宋体" w:hAnsi="宋体" w:eastAsia="宋体" w:cs="宋体"/>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323555AF"/>
    <w:multiLevelType w:val="multilevel"/>
    <w:tmpl w:val="323555AF"/>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91A6C01"/>
    <w:multiLevelType w:val="multilevel"/>
    <w:tmpl w:val="391A6C01"/>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21C60E5"/>
    <w:multiLevelType w:val="multilevel"/>
    <w:tmpl w:val="421C60E5"/>
    <w:lvl w:ilvl="0" w:tentative="0">
      <w:start w:val="1"/>
      <w:numFmt w:val="decimal"/>
      <w:suff w:val="nothing"/>
      <w:lvlText w:val="%1、"/>
      <w:lvlJc w:val="left"/>
      <w:pPr>
        <w:ind w:left="420" w:hanging="420"/>
      </w:pPr>
      <w:rPr>
        <w:rFonts w:hint="default"/>
        <w:color w:val="auto"/>
      </w:rPr>
    </w:lvl>
    <w:lvl w:ilvl="1" w:tentative="0">
      <w:start w:val="1"/>
      <w:numFmt w:val="decimal"/>
      <w:suff w:val="nothing"/>
      <w:lvlText w:val="%2、"/>
      <w:lvlJc w:val="left"/>
      <w:pPr>
        <w:ind w:left="840" w:hanging="420"/>
      </w:pPr>
      <w:rPr>
        <w:rFonts w:hint="eastAsia"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4ACA7A4D"/>
    <w:multiLevelType w:val="multilevel"/>
    <w:tmpl w:val="4ACA7A4D"/>
    <w:lvl w:ilvl="0" w:tentative="0">
      <w:start w:val="1"/>
      <w:numFmt w:val="decimal"/>
      <w:suff w:val="noth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BAE0590"/>
    <w:multiLevelType w:val="multilevel"/>
    <w:tmpl w:val="4BAE0590"/>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BF236FC"/>
    <w:multiLevelType w:val="multilevel"/>
    <w:tmpl w:val="4BF236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A14A1C"/>
    <w:multiLevelType w:val="multilevel"/>
    <w:tmpl w:val="51A14A1C"/>
    <w:lvl w:ilvl="0" w:tentative="0">
      <w:start w:val="1"/>
      <w:numFmt w:val="lowerLetter"/>
      <w:lvlText w:val="%1)"/>
      <w:lvlJc w:val="left"/>
      <w:pPr>
        <w:ind w:left="630" w:hanging="420"/>
      </w:pPr>
    </w:lvl>
    <w:lvl w:ilvl="1" w:tentative="0">
      <w:start w:val="1"/>
      <w:numFmt w:val="decimal"/>
      <w:lvlText w:val="%2."/>
      <w:lvlJc w:val="left"/>
      <w:pPr>
        <w:ind w:left="990" w:hanging="360"/>
      </w:pPr>
      <w:rPr>
        <w:rFonts w:hint="default"/>
      </w:r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0">
    <w:nsid w:val="5E5C37B2"/>
    <w:multiLevelType w:val="multilevel"/>
    <w:tmpl w:val="5E5C37B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60AA8F7A"/>
    <w:multiLevelType w:val="singleLevel"/>
    <w:tmpl w:val="60AA8F7A"/>
    <w:lvl w:ilvl="0" w:tentative="0">
      <w:start w:val="3"/>
      <w:numFmt w:val="chineseCounting"/>
      <w:suff w:val="nothing"/>
      <w:lvlText w:val="%1、"/>
      <w:lvlJc w:val="left"/>
      <w:rPr>
        <w:rFonts w:hint="eastAsia"/>
      </w:rPr>
    </w:lvl>
  </w:abstractNum>
  <w:abstractNum w:abstractNumId="22">
    <w:nsid w:val="65DF7260"/>
    <w:multiLevelType w:val="multilevel"/>
    <w:tmpl w:val="65DF72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86F3C16"/>
    <w:multiLevelType w:val="multilevel"/>
    <w:tmpl w:val="686F3C16"/>
    <w:lvl w:ilvl="0" w:tentative="0">
      <w:start w:val="1"/>
      <w:numFmt w:val="decimal"/>
      <w:suff w:val="noth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6B7657DE"/>
    <w:multiLevelType w:val="multilevel"/>
    <w:tmpl w:val="6B7657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6DD95E43"/>
    <w:multiLevelType w:val="multilevel"/>
    <w:tmpl w:val="6DD95E43"/>
    <w:lvl w:ilvl="0" w:tentative="0">
      <w:start w:val="1"/>
      <w:numFmt w:val="decimal"/>
      <w:suff w:val="nothing"/>
      <w:lvlText w:val="%1、"/>
      <w:lvlJc w:val="left"/>
      <w:pPr>
        <w:ind w:left="340" w:hanging="340"/>
      </w:pPr>
      <w:rPr>
        <w:rFonts w:hint="default"/>
        <w:b w:val="0"/>
      </w:rPr>
    </w:lvl>
    <w:lvl w:ilvl="1" w:tentative="0">
      <w:start w:val="39"/>
      <w:numFmt w:val="bullet"/>
      <w:lvlText w:val="★"/>
      <w:lvlJc w:val="left"/>
      <w:pPr>
        <w:ind w:left="780" w:hanging="360"/>
      </w:pPr>
      <w:rPr>
        <w:rFonts w:hint="eastAsia" w:ascii="宋体" w:hAnsi="宋体" w:eastAsia="宋体" w:cs="宋体"/>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3096AE0"/>
    <w:multiLevelType w:val="multilevel"/>
    <w:tmpl w:val="73096AE0"/>
    <w:lvl w:ilvl="0" w:tentative="0">
      <w:start w:val="1"/>
      <w:numFmt w:val="lowerLetter"/>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7">
    <w:nsid w:val="774868ED"/>
    <w:multiLevelType w:val="multilevel"/>
    <w:tmpl w:val="774868E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89544AA"/>
    <w:multiLevelType w:val="multilevel"/>
    <w:tmpl w:val="789544AA"/>
    <w:lvl w:ilvl="0" w:tentative="0">
      <w:start w:val="1"/>
      <w:numFmt w:val="decimal"/>
      <w:suff w:val="nothing"/>
      <w:lvlText w:val="%1、"/>
      <w:lvlJc w:val="left"/>
      <w:pPr>
        <w:ind w:left="340" w:hanging="340"/>
      </w:pPr>
      <w:rPr>
        <w:rFonts w:hint="default"/>
        <w:b w:val="0"/>
      </w:rPr>
    </w:lvl>
    <w:lvl w:ilvl="1" w:tentative="0">
      <w:start w:val="39"/>
      <w:numFmt w:val="bullet"/>
      <w:lvlText w:val="★"/>
      <w:lvlJc w:val="left"/>
      <w:pPr>
        <w:ind w:left="780" w:hanging="360"/>
      </w:pPr>
      <w:rPr>
        <w:rFonts w:hint="eastAsia" w:ascii="宋体" w:hAnsi="宋体" w:eastAsia="宋体" w:cs="宋体"/>
        <w:b w:val="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25"/>
  </w:num>
  <w:num w:numId="3">
    <w:abstractNumId w:val="28"/>
  </w:num>
  <w:num w:numId="4">
    <w:abstractNumId w:val="12"/>
  </w:num>
  <w:num w:numId="5">
    <w:abstractNumId w:val="9"/>
  </w:num>
  <w:num w:numId="6">
    <w:abstractNumId w:val="22"/>
  </w:num>
  <w:num w:numId="7">
    <w:abstractNumId w:val="27"/>
  </w:num>
  <w:num w:numId="8">
    <w:abstractNumId w:val="6"/>
  </w:num>
  <w:num w:numId="9">
    <w:abstractNumId w:val="4"/>
  </w:num>
  <w:num w:numId="10">
    <w:abstractNumId w:val="10"/>
  </w:num>
  <w:num w:numId="11">
    <w:abstractNumId w:val="14"/>
  </w:num>
  <w:num w:numId="12">
    <w:abstractNumId w:val="16"/>
  </w:num>
  <w:num w:numId="13">
    <w:abstractNumId w:val="8"/>
  </w:num>
  <w:num w:numId="14">
    <w:abstractNumId w:val="26"/>
  </w:num>
  <w:num w:numId="15">
    <w:abstractNumId w:val="5"/>
  </w:num>
  <w:num w:numId="16">
    <w:abstractNumId w:val="19"/>
  </w:num>
  <w:num w:numId="17">
    <w:abstractNumId w:val="3"/>
  </w:num>
  <w:num w:numId="18">
    <w:abstractNumId w:val="11"/>
  </w:num>
  <w:num w:numId="19">
    <w:abstractNumId w:val="1"/>
  </w:num>
  <w:num w:numId="20">
    <w:abstractNumId w:val="20"/>
  </w:num>
  <w:num w:numId="21">
    <w:abstractNumId w:val="18"/>
  </w:num>
  <w:num w:numId="22">
    <w:abstractNumId w:val="15"/>
  </w:num>
  <w:num w:numId="23">
    <w:abstractNumId w:val="0"/>
  </w:num>
  <w:num w:numId="24">
    <w:abstractNumId w:val="13"/>
  </w:num>
  <w:num w:numId="25">
    <w:abstractNumId w:val="23"/>
  </w:num>
  <w:num w:numId="26">
    <w:abstractNumId w:val="17"/>
  </w:num>
  <w:num w:numId="27">
    <w:abstractNumId w:val="24"/>
  </w:num>
  <w:num w:numId="28">
    <w:abstractNumId w:val="7"/>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17"/>
    <w:rsid w:val="00002E3A"/>
    <w:rsid w:val="00003664"/>
    <w:rsid w:val="000115AB"/>
    <w:rsid w:val="00023FBD"/>
    <w:rsid w:val="00032752"/>
    <w:rsid w:val="00037211"/>
    <w:rsid w:val="000434B9"/>
    <w:rsid w:val="00045EBB"/>
    <w:rsid w:val="000478A7"/>
    <w:rsid w:val="0005542E"/>
    <w:rsid w:val="00066930"/>
    <w:rsid w:val="00071151"/>
    <w:rsid w:val="000857C2"/>
    <w:rsid w:val="0009693C"/>
    <w:rsid w:val="000C2279"/>
    <w:rsid w:val="000C7081"/>
    <w:rsid w:val="000E4597"/>
    <w:rsid w:val="000E51B9"/>
    <w:rsid w:val="000F2BAE"/>
    <w:rsid w:val="00137A40"/>
    <w:rsid w:val="0014235F"/>
    <w:rsid w:val="00154F4C"/>
    <w:rsid w:val="001908B5"/>
    <w:rsid w:val="001B4A64"/>
    <w:rsid w:val="001C4A42"/>
    <w:rsid w:val="001C6A48"/>
    <w:rsid w:val="001F0492"/>
    <w:rsid w:val="001F3FC5"/>
    <w:rsid w:val="001F61F9"/>
    <w:rsid w:val="00202138"/>
    <w:rsid w:val="0020289E"/>
    <w:rsid w:val="00203560"/>
    <w:rsid w:val="00243EF4"/>
    <w:rsid w:val="00244A0B"/>
    <w:rsid w:val="00283919"/>
    <w:rsid w:val="00284E7B"/>
    <w:rsid w:val="002A193F"/>
    <w:rsid w:val="002B78B0"/>
    <w:rsid w:val="002C09DB"/>
    <w:rsid w:val="002C0B3D"/>
    <w:rsid w:val="002E19F4"/>
    <w:rsid w:val="002F6667"/>
    <w:rsid w:val="003115D1"/>
    <w:rsid w:val="003148D9"/>
    <w:rsid w:val="00315E65"/>
    <w:rsid w:val="00327556"/>
    <w:rsid w:val="00342D69"/>
    <w:rsid w:val="00345BB1"/>
    <w:rsid w:val="00357CC1"/>
    <w:rsid w:val="00360051"/>
    <w:rsid w:val="003613B4"/>
    <w:rsid w:val="00376709"/>
    <w:rsid w:val="003779C0"/>
    <w:rsid w:val="00382612"/>
    <w:rsid w:val="00384840"/>
    <w:rsid w:val="00392DC2"/>
    <w:rsid w:val="003958F5"/>
    <w:rsid w:val="003B3DDE"/>
    <w:rsid w:val="003C634F"/>
    <w:rsid w:val="003E37A3"/>
    <w:rsid w:val="003E37D9"/>
    <w:rsid w:val="003E38BE"/>
    <w:rsid w:val="003F04F3"/>
    <w:rsid w:val="003F181E"/>
    <w:rsid w:val="003F1DA6"/>
    <w:rsid w:val="00410003"/>
    <w:rsid w:val="0041565D"/>
    <w:rsid w:val="00421944"/>
    <w:rsid w:val="00430E50"/>
    <w:rsid w:val="00436C93"/>
    <w:rsid w:val="004512FB"/>
    <w:rsid w:val="004523A3"/>
    <w:rsid w:val="00455490"/>
    <w:rsid w:val="00475A49"/>
    <w:rsid w:val="00476BD0"/>
    <w:rsid w:val="00484955"/>
    <w:rsid w:val="004B661B"/>
    <w:rsid w:val="004C40B1"/>
    <w:rsid w:val="004E03ED"/>
    <w:rsid w:val="004F2B1C"/>
    <w:rsid w:val="004F5CD6"/>
    <w:rsid w:val="005072A1"/>
    <w:rsid w:val="005119A8"/>
    <w:rsid w:val="00516E72"/>
    <w:rsid w:val="005256D3"/>
    <w:rsid w:val="00533347"/>
    <w:rsid w:val="00542FC8"/>
    <w:rsid w:val="005614BC"/>
    <w:rsid w:val="00572AB2"/>
    <w:rsid w:val="005963C7"/>
    <w:rsid w:val="005C343A"/>
    <w:rsid w:val="005D13EE"/>
    <w:rsid w:val="005D1D9F"/>
    <w:rsid w:val="005D201F"/>
    <w:rsid w:val="005E29C6"/>
    <w:rsid w:val="005E56DB"/>
    <w:rsid w:val="005F091C"/>
    <w:rsid w:val="005F2DF4"/>
    <w:rsid w:val="005F309B"/>
    <w:rsid w:val="00640313"/>
    <w:rsid w:val="006450AD"/>
    <w:rsid w:val="006643B0"/>
    <w:rsid w:val="006A15A0"/>
    <w:rsid w:val="006A3871"/>
    <w:rsid w:val="006B5E3E"/>
    <w:rsid w:val="006D189C"/>
    <w:rsid w:val="006D6D5D"/>
    <w:rsid w:val="006E1454"/>
    <w:rsid w:val="006F497D"/>
    <w:rsid w:val="0070373D"/>
    <w:rsid w:val="00715DF0"/>
    <w:rsid w:val="007200DF"/>
    <w:rsid w:val="00727EDF"/>
    <w:rsid w:val="00733068"/>
    <w:rsid w:val="00753178"/>
    <w:rsid w:val="0075530D"/>
    <w:rsid w:val="00756803"/>
    <w:rsid w:val="007657DB"/>
    <w:rsid w:val="00766322"/>
    <w:rsid w:val="00771762"/>
    <w:rsid w:val="007725A2"/>
    <w:rsid w:val="00772B86"/>
    <w:rsid w:val="00780ABF"/>
    <w:rsid w:val="00793DBE"/>
    <w:rsid w:val="007B482A"/>
    <w:rsid w:val="007D2D2C"/>
    <w:rsid w:val="007D7767"/>
    <w:rsid w:val="007E7922"/>
    <w:rsid w:val="007E7B01"/>
    <w:rsid w:val="007F50E3"/>
    <w:rsid w:val="00804535"/>
    <w:rsid w:val="00815E3B"/>
    <w:rsid w:val="00830DF6"/>
    <w:rsid w:val="008518C1"/>
    <w:rsid w:val="00855531"/>
    <w:rsid w:val="00865A8F"/>
    <w:rsid w:val="00873841"/>
    <w:rsid w:val="008879CD"/>
    <w:rsid w:val="00890D3D"/>
    <w:rsid w:val="00892AC3"/>
    <w:rsid w:val="008C56BA"/>
    <w:rsid w:val="008C6B01"/>
    <w:rsid w:val="008E696C"/>
    <w:rsid w:val="008F195D"/>
    <w:rsid w:val="008F5B09"/>
    <w:rsid w:val="009227DA"/>
    <w:rsid w:val="009315BE"/>
    <w:rsid w:val="0093498E"/>
    <w:rsid w:val="00935352"/>
    <w:rsid w:val="00936CE9"/>
    <w:rsid w:val="00952205"/>
    <w:rsid w:val="00957477"/>
    <w:rsid w:val="009611D9"/>
    <w:rsid w:val="00970C3A"/>
    <w:rsid w:val="00995193"/>
    <w:rsid w:val="00997A37"/>
    <w:rsid w:val="009A3D95"/>
    <w:rsid w:val="009C7B93"/>
    <w:rsid w:val="009D2B89"/>
    <w:rsid w:val="009F2081"/>
    <w:rsid w:val="00A03F93"/>
    <w:rsid w:val="00A06C81"/>
    <w:rsid w:val="00A078A8"/>
    <w:rsid w:val="00A30FDC"/>
    <w:rsid w:val="00A377B6"/>
    <w:rsid w:val="00A6068A"/>
    <w:rsid w:val="00A70D3F"/>
    <w:rsid w:val="00A716F0"/>
    <w:rsid w:val="00A7542D"/>
    <w:rsid w:val="00A82811"/>
    <w:rsid w:val="00A97D38"/>
    <w:rsid w:val="00AB04D9"/>
    <w:rsid w:val="00AB764F"/>
    <w:rsid w:val="00AC238C"/>
    <w:rsid w:val="00AE3B50"/>
    <w:rsid w:val="00B067B9"/>
    <w:rsid w:val="00B23702"/>
    <w:rsid w:val="00B53B6E"/>
    <w:rsid w:val="00B605E5"/>
    <w:rsid w:val="00B65731"/>
    <w:rsid w:val="00B708E0"/>
    <w:rsid w:val="00B7250A"/>
    <w:rsid w:val="00B77A4D"/>
    <w:rsid w:val="00B80F2C"/>
    <w:rsid w:val="00B95553"/>
    <w:rsid w:val="00B95D87"/>
    <w:rsid w:val="00BA29C8"/>
    <w:rsid w:val="00BB3E25"/>
    <w:rsid w:val="00BC0738"/>
    <w:rsid w:val="00BC3DC8"/>
    <w:rsid w:val="00BD59F1"/>
    <w:rsid w:val="00BE4E33"/>
    <w:rsid w:val="00BE540B"/>
    <w:rsid w:val="00BE606C"/>
    <w:rsid w:val="00BE70F5"/>
    <w:rsid w:val="00BE7E94"/>
    <w:rsid w:val="00BF293A"/>
    <w:rsid w:val="00BF3794"/>
    <w:rsid w:val="00BF70A1"/>
    <w:rsid w:val="00C17B2C"/>
    <w:rsid w:val="00C23664"/>
    <w:rsid w:val="00C276A6"/>
    <w:rsid w:val="00C4316E"/>
    <w:rsid w:val="00C560AC"/>
    <w:rsid w:val="00C61567"/>
    <w:rsid w:val="00C66760"/>
    <w:rsid w:val="00C83B83"/>
    <w:rsid w:val="00C87CF2"/>
    <w:rsid w:val="00C92475"/>
    <w:rsid w:val="00C92B28"/>
    <w:rsid w:val="00C979A3"/>
    <w:rsid w:val="00CD4444"/>
    <w:rsid w:val="00CD6D17"/>
    <w:rsid w:val="00CD7982"/>
    <w:rsid w:val="00CE312F"/>
    <w:rsid w:val="00CE6B1C"/>
    <w:rsid w:val="00CE6E10"/>
    <w:rsid w:val="00D01669"/>
    <w:rsid w:val="00D231AE"/>
    <w:rsid w:val="00D35312"/>
    <w:rsid w:val="00D35413"/>
    <w:rsid w:val="00D44833"/>
    <w:rsid w:val="00D51FE4"/>
    <w:rsid w:val="00D617EB"/>
    <w:rsid w:val="00D64A9F"/>
    <w:rsid w:val="00D840A8"/>
    <w:rsid w:val="00D854BF"/>
    <w:rsid w:val="00D87040"/>
    <w:rsid w:val="00DA2E48"/>
    <w:rsid w:val="00DA7B79"/>
    <w:rsid w:val="00DB2850"/>
    <w:rsid w:val="00DC0C4F"/>
    <w:rsid w:val="00DD71AF"/>
    <w:rsid w:val="00DE2BD3"/>
    <w:rsid w:val="00DE473E"/>
    <w:rsid w:val="00DE7706"/>
    <w:rsid w:val="00E163BB"/>
    <w:rsid w:val="00E36B21"/>
    <w:rsid w:val="00E46A8E"/>
    <w:rsid w:val="00E5380E"/>
    <w:rsid w:val="00E53971"/>
    <w:rsid w:val="00E60250"/>
    <w:rsid w:val="00E6154E"/>
    <w:rsid w:val="00E6588D"/>
    <w:rsid w:val="00E84D4B"/>
    <w:rsid w:val="00EB4F3A"/>
    <w:rsid w:val="00EC7D32"/>
    <w:rsid w:val="00ED1303"/>
    <w:rsid w:val="00ED131D"/>
    <w:rsid w:val="00ED321D"/>
    <w:rsid w:val="00ED52CE"/>
    <w:rsid w:val="00EE15FD"/>
    <w:rsid w:val="00EE76B1"/>
    <w:rsid w:val="00EE7DA7"/>
    <w:rsid w:val="00EF2401"/>
    <w:rsid w:val="00F11FAA"/>
    <w:rsid w:val="00F333C6"/>
    <w:rsid w:val="00F34349"/>
    <w:rsid w:val="00F44584"/>
    <w:rsid w:val="00F46A71"/>
    <w:rsid w:val="00F53531"/>
    <w:rsid w:val="00F6076F"/>
    <w:rsid w:val="00F60FB0"/>
    <w:rsid w:val="00F61B79"/>
    <w:rsid w:val="00F74A94"/>
    <w:rsid w:val="00F74FA9"/>
    <w:rsid w:val="00FB2D76"/>
    <w:rsid w:val="00FB3790"/>
    <w:rsid w:val="00FB6277"/>
    <w:rsid w:val="00FC535A"/>
    <w:rsid w:val="01CD35AB"/>
    <w:rsid w:val="01DC368C"/>
    <w:rsid w:val="020E3251"/>
    <w:rsid w:val="02CC1969"/>
    <w:rsid w:val="02F61748"/>
    <w:rsid w:val="02F65835"/>
    <w:rsid w:val="035E4C34"/>
    <w:rsid w:val="03A24819"/>
    <w:rsid w:val="05AA3A51"/>
    <w:rsid w:val="05E16F81"/>
    <w:rsid w:val="066A1035"/>
    <w:rsid w:val="07FA5C17"/>
    <w:rsid w:val="085F1CF5"/>
    <w:rsid w:val="0A601E58"/>
    <w:rsid w:val="0ABC306E"/>
    <w:rsid w:val="0C4E4C19"/>
    <w:rsid w:val="0C9A0321"/>
    <w:rsid w:val="0CD47022"/>
    <w:rsid w:val="0D4C7643"/>
    <w:rsid w:val="0DB5227F"/>
    <w:rsid w:val="0EBF0D4C"/>
    <w:rsid w:val="0EF26D8D"/>
    <w:rsid w:val="114B5A61"/>
    <w:rsid w:val="11DA4F31"/>
    <w:rsid w:val="12694D51"/>
    <w:rsid w:val="12A448BC"/>
    <w:rsid w:val="12DF5052"/>
    <w:rsid w:val="13284978"/>
    <w:rsid w:val="14FF1187"/>
    <w:rsid w:val="163F1650"/>
    <w:rsid w:val="16DB6762"/>
    <w:rsid w:val="17521A6C"/>
    <w:rsid w:val="17B43907"/>
    <w:rsid w:val="17E0473C"/>
    <w:rsid w:val="17E87358"/>
    <w:rsid w:val="17F54E9E"/>
    <w:rsid w:val="17FC1AEC"/>
    <w:rsid w:val="18107D42"/>
    <w:rsid w:val="196839A9"/>
    <w:rsid w:val="199D1BA1"/>
    <w:rsid w:val="1A201DFE"/>
    <w:rsid w:val="1A221302"/>
    <w:rsid w:val="1A300517"/>
    <w:rsid w:val="1C846AC7"/>
    <w:rsid w:val="1C895626"/>
    <w:rsid w:val="1FA027AF"/>
    <w:rsid w:val="1FB4203E"/>
    <w:rsid w:val="202C1798"/>
    <w:rsid w:val="21012D0B"/>
    <w:rsid w:val="21206829"/>
    <w:rsid w:val="21A529D0"/>
    <w:rsid w:val="21AB6C5F"/>
    <w:rsid w:val="23223CC6"/>
    <w:rsid w:val="233D4121"/>
    <w:rsid w:val="23A91B9A"/>
    <w:rsid w:val="241379DF"/>
    <w:rsid w:val="254804D0"/>
    <w:rsid w:val="254C4991"/>
    <w:rsid w:val="259C63CB"/>
    <w:rsid w:val="25B80791"/>
    <w:rsid w:val="25F52A6D"/>
    <w:rsid w:val="26802F59"/>
    <w:rsid w:val="268E1B7E"/>
    <w:rsid w:val="26B225F4"/>
    <w:rsid w:val="27CC4653"/>
    <w:rsid w:val="283345BA"/>
    <w:rsid w:val="28A635AA"/>
    <w:rsid w:val="28E37248"/>
    <w:rsid w:val="29250119"/>
    <w:rsid w:val="29E00392"/>
    <w:rsid w:val="2A7B0E07"/>
    <w:rsid w:val="2DA4731A"/>
    <w:rsid w:val="2DA81866"/>
    <w:rsid w:val="2E16040B"/>
    <w:rsid w:val="2EFD7AD5"/>
    <w:rsid w:val="2F006750"/>
    <w:rsid w:val="2FD3239E"/>
    <w:rsid w:val="318A5A5E"/>
    <w:rsid w:val="319D5572"/>
    <w:rsid w:val="31E16AF9"/>
    <w:rsid w:val="32EC1FC8"/>
    <w:rsid w:val="332D431A"/>
    <w:rsid w:val="338627B1"/>
    <w:rsid w:val="34440A7E"/>
    <w:rsid w:val="34EA5871"/>
    <w:rsid w:val="357E71C2"/>
    <w:rsid w:val="362D1F08"/>
    <w:rsid w:val="3632069C"/>
    <w:rsid w:val="364877B1"/>
    <w:rsid w:val="37E550AB"/>
    <w:rsid w:val="38450C34"/>
    <w:rsid w:val="38737F60"/>
    <w:rsid w:val="38DA3366"/>
    <w:rsid w:val="39E65355"/>
    <w:rsid w:val="39F55F38"/>
    <w:rsid w:val="3AC13A01"/>
    <w:rsid w:val="3B313E33"/>
    <w:rsid w:val="3B3F5210"/>
    <w:rsid w:val="3D0A3539"/>
    <w:rsid w:val="3D175F10"/>
    <w:rsid w:val="3D805CC2"/>
    <w:rsid w:val="3F461B4F"/>
    <w:rsid w:val="3F5C46A9"/>
    <w:rsid w:val="3F966410"/>
    <w:rsid w:val="3FE92213"/>
    <w:rsid w:val="3FF91358"/>
    <w:rsid w:val="40DF04B1"/>
    <w:rsid w:val="40ED620E"/>
    <w:rsid w:val="41223123"/>
    <w:rsid w:val="4250020E"/>
    <w:rsid w:val="437F2032"/>
    <w:rsid w:val="43BC02CA"/>
    <w:rsid w:val="44305440"/>
    <w:rsid w:val="443A6F82"/>
    <w:rsid w:val="44957402"/>
    <w:rsid w:val="45217351"/>
    <w:rsid w:val="456F2E0C"/>
    <w:rsid w:val="46090AB6"/>
    <w:rsid w:val="465F0CA3"/>
    <w:rsid w:val="468C5C68"/>
    <w:rsid w:val="468F6400"/>
    <w:rsid w:val="48700985"/>
    <w:rsid w:val="4932558B"/>
    <w:rsid w:val="4A193E07"/>
    <w:rsid w:val="4A607ED5"/>
    <w:rsid w:val="4B581502"/>
    <w:rsid w:val="4B641CE5"/>
    <w:rsid w:val="4BA32222"/>
    <w:rsid w:val="4BD0652F"/>
    <w:rsid w:val="4C4A05F3"/>
    <w:rsid w:val="4C613F12"/>
    <w:rsid w:val="4C6B7A67"/>
    <w:rsid w:val="4D637ECE"/>
    <w:rsid w:val="4E10432A"/>
    <w:rsid w:val="4E81368E"/>
    <w:rsid w:val="4EB13C17"/>
    <w:rsid w:val="4F7B56FB"/>
    <w:rsid w:val="50C94C13"/>
    <w:rsid w:val="50F35BE7"/>
    <w:rsid w:val="51491DDD"/>
    <w:rsid w:val="533F1A86"/>
    <w:rsid w:val="5459562B"/>
    <w:rsid w:val="550B7615"/>
    <w:rsid w:val="55EB22FE"/>
    <w:rsid w:val="56004A22"/>
    <w:rsid w:val="57884775"/>
    <w:rsid w:val="57B20D4D"/>
    <w:rsid w:val="587C42BB"/>
    <w:rsid w:val="58833FC5"/>
    <w:rsid w:val="58907012"/>
    <w:rsid w:val="58EA14DE"/>
    <w:rsid w:val="59077844"/>
    <w:rsid w:val="59AF7482"/>
    <w:rsid w:val="59F949F0"/>
    <w:rsid w:val="5A0C4ED0"/>
    <w:rsid w:val="5A7B59F8"/>
    <w:rsid w:val="5B5E52B2"/>
    <w:rsid w:val="5C011920"/>
    <w:rsid w:val="5CFB648D"/>
    <w:rsid w:val="5D1C54F2"/>
    <w:rsid w:val="5DF07D43"/>
    <w:rsid w:val="5E0107F0"/>
    <w:rsid w:val="5E111B71"/>
    <w:rsid w:val="5FA85D7C"/>
    <w:rsid w:val="60621BAF"/>
    <w:rsid w:val="60A5255F"/>
    <w:rsid w:val="60CF6D4D"/>
    <w:rsid w:val="63E240BA"/>
    <w:rsid w:val="63E60248"/>
    <w:rsid w:val="65562C9B"/>
    <w:rsid w:val="65971A58"/>
    <w:rsid w:val="65975D69"/>
    <w:rsid w:val="662F733F"/>
    <w:rsid w:val="695158A8"/>
    <w:rsid w:val="697A35FF"/>
    <w:rsid w:val="6AC000CE"/>
    <w:rsid w:val="6AC16B3F"/>
    <w:rsid w:val="6AE6275E"/>
    <w:rsid w:val="6B2F4432"/>
    <w:rsid w:val="6B3B32A9"/>
    <w:rsid w:val="6B821685"/>
    <w:rsid w:val="6CC87CEF"/>
    <w:rsid w:val="6D307F23"/>
    <w:rsid w:val="6DA05040"/>
    <w:rsid w:val="6E5047C6"/>
    <w:rsid w:val="6F851214"/>
    <w:rsid w:val="70294C76"/>
    <w:rsid w:val="703C78ED"/>
    <w:rsid w:val="70E81E70"/>
    <w:rsid w:val="71C45FCA"/>
    <w:rsid w:val="71D84BD6"/>
    <w:rsid w:val="72CB7204"/>
    <w:rsid w:val="73055DEC"/>
    <w:rsid w:val="733A0BA1"/>
    <w:rsid w:val="737F1C12"/>
    <w:rsid w:val="73A437D9"/>
    <w:rsid w:val="745569E6"/>
    <w:rsid w:val="74F53EEC"/>
    <w:rsid w:val="75187013"/>
    <w:rsid w:val="76260B41"/>
    <w:rsid w:val="766212D8"/>
    <w:rsid w:val="76CF59AD"/>
    <w:rsid w:val="779A0CF8"/>
    <w:rsid w:val="77F4759F"/>
    <w:rsid w:val="78434CB6"/>
    <w:rsid w:val="79B520CE"/>
    <w:rsid w:val="7A9838C6"/>
    <w:rsid w:val="7BE30F0D"/>
    <w:rsid w:val="7C631542"/>
    <w:rsid w:val="7D0C095E"/>
    <w:rsid w:val="7DDD0E17"/>
    <w:rsid w:val="7EAE08D1"/>
    <w:rsid w:val="7F383D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4">
    <w:name w:val="heading 1"/>
    <w:basedOn w:val="1"/>
    <w:next w:val="1"/>
    <w:link w:val="37"/>
    <w:qFormat/>
    <w:uiPriority w:val="9"/>
    <w:pPr>
      <w:keepNext/>
      <w:keepLines/>
      <w:jc w:val="center"/>
      <w:outlineLvl w:val="0"/>
    </w:pPr>
    <w:rPr>
      <w:rFonts w:eastAsia="黑体"/>
      <w:b/>
      <w:bCs/>
      <w:kern w:val="44"/>
      <w:sz w:val="44"/>
      <w:szCs w:val="44"/>
    </w:rPr>
  </w:style>
  <w:style w:type="paragraph" w:styleId="5">
    <w:name w:val="heading 2"/>
    <w:basedOn w:val="1"/>
    <w:next w:val="1"/>
    <w:link w:val="73"/>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link w:val="51"/>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uiPriority w:val="0"/>
  </w:style>
  <w:style w:type="table" w:default="1" w:styleId="25">
    <w:name w:val="Normal Table"/>
    <w:semiHidden/>
    <w:uiPriority w:val="0"/>
    <w:rPr>
      <w:rFonts w:eastAsia="Times New Roman"/>
    </w:rPr>
    <w:tblPr>
      <w:tblStyle w:val="25"/>
      <w:tblCellMar>
        <w:top w:w="0" w:type="dxa"/>
        <w:left w:w="108" w:type="dxa"/>
        <w:bottom w:w="0" w:type="dxa"/>
        <w:right w:w="108" w:type="dxa"/>
      </w:tblCellMar>
    </w:tblPr>
  </w:style>
  <w:style w:type="paragraph" w:styleId="2">
    <w:name w:val="Body Text First Indent"/>
    <w:basedOn w:val="3"/>
    <w:link w:val="50"/>
    <w:qFormat/>
    <w:uiPriority w:val="99"/>
    <w:pPr>
      <w:ind w:firstLine="420" w:firstLineChars="100"/>
    </w:pPr>
    <w:rPr>
      <w:rFonts w:ascii="Times New Roman" w:hAnsi="Times New Roman"/>
      <w:kern w:val="2"/>
    </w:rPr>
  </w:style>
  <w:style w:type="paragraph" w:styleId="3">
    <w:name w:val="Body Text"/>
    <w:basedOn w:val="1"/>
    <w:link w:val="34"/>
    <w:qFormat/>
    <w:uiPriority w:val="0"/>
    <w:pPr>
      <w:spacing w:after="120"/>
    </w:pPr>
    <w:rPr>
      <w:rFonts w:ascii="Arial" w:hAnsi="Arial"/>
      <w:kern w:val="0"/>
    </w:rPr>
  </w:style>
  <w:style w:type="paragraph" w:styleId="8">
    <w:name w:val="List Number"/>
    <w:basedOn w:val="1"/>
    <w:uiPriority w:val="0"/>
    <w:pPr>
      <w:numPr>
        <w:ilvl w:val="0"/>
        <w:numId w:val="1"/>
      </w:numPr>
    </w:pPr>
  </w:style>
  <w:style w:type="paragraph" w:styleId="9">
    <w:name w:val="Normal Indent"/>
    <w:basedOn w:val="1"/>
    <w:qFormat/>
    <w:uiPriority w:val="0"/>
    <w:pPr>
      <w:ind w:firstLine="420"/>
    </w:pPr>
    <w:rPr>
      <w:kern w:val="0"/>
      <w:sz w:val="20"/>
      <w:szCs w:val="20"/>
    </w:rPr>
  </w:style>
  <w:style w:type="paragraph" w:styleId="10">
    <w:name w:val="annotation text"/>
    <w:basedOn w:val="1"/>
    <w:link w:val="53"/>
    <w:uiPriority w:val="0"/>
    <w:pPr>
      <w:jc w:val="left"/>
    </w:pPr>
  </w:style>
  <w:style w:type="paragraph" w:styleId="11">
    <w:name w:val="Body Text 3"/>
    <w:basedOn w:val="1"/>
    <w:qFormat/>
    <w:uiPriority w:val="0"/>
    <w:pPr>
      <w:snapToGrid w:val="0"/>
      <w:spacing w:before="50" w:after="50"/>
    </w:pPr>
    <w:rPr>
      <w:rFonts w:hAnsi="宋体" w:eastAsia="仿宋_GB2312"/>
      <w:b/>
      <w:bCs/>
      <w:sz w:val="24"/>
      <w:szCs w:val="20"/>
    </w:rPr>
  </w:style>
  <w:style w:type="paragraph" w:styleId="12">
    <w:name w:val="Body Text Indent"/>
    <w:basedOn w:val="1"/>
    <w:next w:val="13"/>
    <w:qFormat/>
    <w:uiPriority w:val="0"/>
    <w:pPr>
      <w:spacing w:line="200" w:lineRule="exact"/>
      <w:ind w:firstLine="301"/>
    </w:pPr>
    <w:rPr>
      <w:rFonts w:ascii="宋体" w:hAnsi="Courier New"/>
      <w:spacing w:val="-4"/>
      <w:sz w:val="18"/>
      <w:szCs w:val="20"/>
    </w:rPr>
  </w:style>
  <w:style w:type="paragraph" w:styleId="13">
    <w:name w:val="Body Text First Indent 2"/>
    <w:basedOn w:val="12"/>
    <w:unhideWhenUsed/>
    <w:qFormat/>
    <w:uiPriority w:val="99"/>
    <w:pPr>
      <w:ind w:firstLine="420" w:firstLineChars="200"/>
    </w:pPr>
  </w:style>
  <w:style w:type="paragraph" w:styleId="14">
    <w:name w:val="List 2"/>
    <w:basedOn w:val="1"/>
    <w:qFormat/>
    <w:uiPriority w:val="0"/>
    <w:pPr>
      <w:ind w:left="100" w:leftChars="200" w:hanging="200" w:hangingChars="200"/>
    </w:pPr>
    <w:rPr>
      <w:sz w:val="28"/>
    </w:rPr>
  </w:style>
  <w:style w:type="paragraph" w:styleId="15">
    <w:name w:val="Block Text"/>
    <w:basedOn w:val="1"/>
    <w:unhideWhenUsed/>
    <w:qFormat/>
    <w:uiPriority w:val="99"/>
    <w:pPr>
      <w:spacing w:before="120" w:line="360" w:lineRule="auto"/>
      <w:ind w:left="824" w:right="202"/>
    </w:pPr>
    <w:rPr>
      <w:rFonts w:ascii="宋体" w:hAnsi="宋体"/>
      <w:sz w:val="24"/>
      <w:szCs w:val="21"/>
    </w:rPr>
  </w:style>
  <w:style w:type="paragraph" w:styleId="16">
    <w:name w:val="Plain Text"/>
    <w:basedOn w:val="1"/>
    <w:qFormat/>
    <w:uiPriority w:val="99"/>
    <w:pPr>
      <w:spacing w:beforeLines="50" w:afterLines="50" w:line="400" w:lineRule="exact"/>
    </w:pPr>
    <w:rPr>
      <w:rFonts w:ascii="宋体" w:hAnsi="Courier New"/>
      <w:kern w:val="0"/>
      <w:sz w:val="24"/>
    </w:rPr>
  </w:style>
  <w:style w:type="paragraph" w:styleId="17">
    <w:name w:val="Date"/>
    <w:basedOn w:val="1"/>
    <w:next w:val="1"/>
    <w:link w:val="36"/>
    <w:qFormat/>
    <w:uiPriority w:val="0"/>
    <w:pPr>
      <w:ind w:leftChars="2500"/>
    </w:pPr>
    <w:rPr>
      <w:rFonts w:eastAsia="楷体_GB2312"/>
      <w:sz w:val="32"/>
      <w:szCs w:val="20"/>
    </w:rPr>
  </w:style>
  <w:style w:type="paragraph" w:styleId="18">
    <w:name w:val="Balloon Text"/>
    <w:basedOn w:val="1"/>
    <w:link w:val="45"/>
    <w:uiPriority w:val="0"/>
    <w:rPr>
      <w:sz w:val="18"/>
      <w:szCs w:val="18"/>
    </w:rPr>
  </w:style>
  <w:style w:type="paragraph" w:styleId="19">
    <w:name w:val="footer"/>
    <w:basedOn w:val="1"/>
    <w:link w:val="48"/>
    <w:qFormat/>
    <w:uiPriority w:val="99"/>
    <w:pPr>
      <w:tabs>
        <w:tab w:val="center" w:pos="4153"/>
        <w:tab w:val="right" w:pos="8306"/>
      </w:tabs>
      <w:snapToGrid w:val="0"/>
      <w:jc w:val="left"/>
    </w:pPr>
    <w:rPr>
      <w:rFonts w:eastAsia="黑体"/>
      <w:kern w:val="0"/>
      <w:sz w:val="18"/>
      <w:szCs w:val="18"/>
    </w:rPr>
  </w:style>
  <w:style w:type="paragraph" w:styleId="20">
    <w:name w:val="header"/>
    <w:basedOn w:val="1"/>
    <w:link w:val="47"/>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21">
    <w:name w:val="toc 1"/>
    <w:basedOn w:val="1"/>
    <w:next w:val="1"/>
    <w:semiHidden/>
    <w:qFormat/>
    <w:uiPriority w:val="0"/>
  </w:style>
  <w:style w:type="paragraph" w:styleId="22">
    <w:name w:val="Subtitle"/>
    <w:basedOn w:val="1"/>
    <w:next w:val="1"/>
    <w:link w:val="41"/>
    <w:qFormat/>
    <w:uiPriority w:val="0"/>
    <w:pPr>
      <w:ind w:firstLine="200"/>
      <w:jc w:val="left"/>
      <w:outlineLvl w:val="1"/>
    </w:pPr>
    <w:rPr>
      <w:rFonts w:ascii="Cambria" w:hAnsi="Cambria" w:eastAsia="楷体"/>
      <w:kern w:val="28"/>
      <w:szCs w:val="20"/>
    </w:rPr>
  </w:style>
  <w:style w:type="paragraph" w:styleId="23">
    <w:name w:val="Body Text Indent 3"/>
    <w:basedOn w:val="1"/>
    <w:qFormat/>
    <w:uiPriority w:val="0"/>
    <w:pPr>
      <w:snapToGrid w:val="0"/>
      <w:ind w:firstLine="480" w:firstLineChars="200"/>
      <w:jc w:val="left"/>
    </w:pPr>
    <w:rPr>
      <w:rFonts w:ascii="仿宋_GB2312" w:hAnsi="宋体" w:eastAsia="仿宋_GB2312"/>
      <w:color w:val="000000"/>
      <w:sz w:val="24"/>
    </w:rPr>
  </w:style>
  <w:style w:type="paragraph" w:styleId="24">
    <w:name w:val="annotation subject"/>
    <w:basedOn w:val="10"/>
    <w:next w:val="10"/>
    <w:link w:val="49"/>
    <w:uiPriority w:val="0"/>
    <w:rPr>
      <w:b/>
      <w:bCs/>
    </w:rPr>
  </w:style>
  <w:style w:type="table" w:styleId="26">
    <w:name w:val="Table Grid"/>
    <w:basedOn w:val="25"/>
    <w:qFormat/>
    <w:uiPriority w:val="59"/>
    <w:tblPr>
      <w:tblStyle w:val="25"/>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Strong"/>
    <w:qFormat/>
    <w:uiPriority w:val="22"/>
    <w:rPr>
      <w:b/>
      <w:bCs/>
    </w:rPr>
  </w:style>
  <w:style w:type="character" w:styleId="29">
    <w:name w:val="page number"/>
    <w:basedOn w:val="27"/>
    <w:qFormat/>
    <w:uiPriority w:val="0"/>
  </w:style>
  <w:style w:type="character" w:styleId="30">
    <w:name w:val="Hyperlink"/>
    <w:qFormat/>
    <w:uiPriority w:val="0"/>
    <w:rPr>
      <w:color w:val="2472DF"/>
      <w:u w:val="none"/>
    </w:rPr>
  </w:style>
  <w:style w:type="character" w:styleId="31">
    <w:name w:val="annotation reference"/>
    <w:uiPriority w:val="0"/>
    <w:rPr>
      <w:sz w:val="21"/>
      <w:szCs w:val="21"/>
    </w:rPr>
  </w:style>
  <w:style w:type="character" w:customStyle="1" w:styleId="32">
    <w:name w:val="font11"/>
    <w:qFormat/>
    <w:uiPriority w:val="0"/>
    <w:rPr>
      <w:rFonts w:hint="eastAsia" w:ascii="宋体" w:hAnsi="宋体" w:eastAsia="宋体" w:cs="宋体"/>
      <w:color w:val="000000"/>
      <w:sz w:val="20"/>
      <w:szCs w:val="20"/>
      <w:u w:val="none"/>
    </w:rPr>
  </w:style>
  <w:style w:type="character" w:customStyle="1" w:styleId="33">
    <w:name w:val="txt"/>
    <w:basedOn w:val="27"/>
    <w:qFormat/>
    <w:uiPriority w:val="0"/>
  </w:style>
  <w:style w:type="character" w:customStyle="1" w:styleId="34">
    <w:name w:val="正文文本 Char"/>
    <w:link w:val="3"/>
    <w:uiPriority w:val="0"/>
    <w:rPr>
      <w:rFonts w:ascii="Arial" w:hAnsi="Arial"/>
      <w:sz w:val="21"/>
      <w:szCs w:val="24"/>
    </w:rPr>
  </w:style>
  <w:style w:type="character" w:customStyle="1" w:styleId="35">
    <w:name w:val="font01"/>
    <w:qFormat/>
    <w:uiPriority w:val="0"/>
    <w:rPr>
      <w:rFonts w:hint="eastAsia" w:ascii="宋体" w:hAnsi="宋体" w:eastAsia="宋体" w:cs="宋体"/>
      <w:color w:val="000000"/>
      <w:sz w:val="20"/>
      <w:szCs w:val="20"/>
      <w:u w:val="none"/>
      <w:vertAlign w:val="superscript"/>
    </w:rPr>
  </w:style>
  <w:style w:type="character" w:customStyle="1" w:styleId="36">
    <w:name w:val="日期 Char"/>
    <w:link w:val="17"/>
    <w:uiPriority w:val="0"/>
    <w:rPr>
      <w:rFonts w:eastAsia="楷体_GB2312"/>
      <w:kern w:val="2"/>
      <w:sz w:val="32"/>
    </w:rPr>
  </w:style>
  <w:style w:type="character" w:customStyle="1" w:styleId="37">
    <w:name w:val="标题 1 Char"/>
    <w:link w:val="4"/>
    <w:uiPriority w:val="9"/>
    <w:rPr>
      <w:rFonts w:eastAsia="黑体"/>
      <w:b/>
      <w:bCs/>
      <w:kern w:val="44"/>
      <w:sz w:val="44"/>
      <w:szCs w:val="44"/>
    </w:rPr>
  </w:style>
  <w:style w:type="character" w:customStyle="1" w:styleId="38">
    <w:name w:val="NormalCharacter"/>
    <w:uiPriority w:val="0"/>
  </w:style>
  <w:style w:type="character" w:customStyle="1" w:styleId="39">
    <w:name w:val="font121"/>
    <w:qFormat/>
    <w:uiPriority w:val="0"/>
    <w:rPr>
      <w:rFonts w:hint="default" w:ascii="Times New Roman" w:hAnsi="Times New Roman" w:cs="Times New Roman"/>
      <w:color w:val="000000"/>
      <w:sz w:val="20"/>
      <w:szCs w:val="20"/>
      <w:u w:val="none"/>
    </w:rPr>
  </w:style>
  <w:style w:type="character" w:customStyle="1" w:styleId="40">
    <w:name w:val="font21"/>
    <w:uiPriority w:val="0"/>
    <w:rPr>
      <w:rFonts w:hint="default" w:ascii="Times New Roman" w:hAnsi="Times New Roman" w:cs="Times New Roman"/>
      <w:color w:val="000000"/>
      <w:sz w:val="18"/>
      <w:szCs w:val="18"/>
      <w:u w:val="none"/>
    </w:rPr>
  </w:style>
  <w:style w:type="character" w:customStyle="1" w:styleId="41">
    <w:name w:val="副标题 Char"/>
    <w:link w:val="22"/>
    <w:uiPriority w:val="0"/>
    <w:rPr>
      <w:rFonts w:ascii="Cambria" w:hAnsi="Cambria" w:eastAsia="楷体"/>
      <w:kern w:val="28"/>
      <w:sz w:val="21"/>
    </w:rPr>
  </w:style>
  <w:style w:type="character" w:customStyle="1" w:styleId="42">
    <w:name w:val="font71"/>
    <w:qFormat/>
    <w:uiPriority w:val="0"/>
    <w:rPr>
      <w:rFonts w:hint="eastAsia" w:ascii="仿宋" w:hAnsi="仿宋" w:eastAsia="仿宋" w:cs="仿宋"/>
      <w:color w:val="000000"/>
      <w:sz w:val="20"/>
      <w:szCs w:val="20"/>
      <w:u w:val="none"/>
    </w:rPr>
  </w:style>
  <w:style w:type="character" w:customStyle="1" w:styleId="43">
    <w:name w:val="font191"/>
    <w:qFormat/>
    <w:uiPriority w:val="0"/>
    <w:rPr>
      <w:rFonts w:hint="eastAsia" w:ascii="宋体" w:hAnsi="宋体" w:eastAsia="宋体" w:cs="宋体"/>
      <w:color w:val="000000"/>
      <w:sz w:val="20"/>
      <w:szCs w:val="20"/>
      <w:u w:val="none"/>
    </w:rPr>
  </w:style>
  <w:style w:type="character" w:customStyle="1" w:styleId="44">
    <w:name w:val="font112"/>
    <w:qFormat/>
    <w:uiPriority w:val="0"/>
    <w:rPr>
      <w:rFonts w:hint="eastAsia" w:ascii="宋体" w:hAnsi="宋体" w:eastAsia="宋体" w:cs="宋体"/>
      <w:b/>
      <w:color w:val="000000"/>
      <w:sz w:val="20"/>
      <w:szCs w:val="20"/>
      <w:u w:val="none"/>
    </w:rPr>
  </w:style>
  <w:style w:type="character" w:customStyle="1" w:styleId="45">
    <w:name w:val="批注框文本 Char"/>
    <w:link w:val="18"/>
    <w:uiPriority w:val="0"/>
    <w:rPr>
      <w:kern w:val="2"/>
      <w:sz w:val="18"/>
      <w:szCs w:val="18"/>
    </w:rPr>
  </w:style>
  <w:style w:type="character" w:customStyle="1" w:styleId="46">
    <w:name w:val="font131"/>
    <w:uiPriority w:val="0"/>
    <w:rPr>
      <w:rFonts w:hint="eastAsia" w:ascii="仿宋" w:hAnsi="仿宋" w:eastAsia="仿宋" w:cs="仿宋"/>
      <w:color w:val="000000"/>
      <w:sz w:val="20"/>
      <w:szCs w:val="20"/>
      <w:u w:val="none"/>
      <w:vertAlign w:val="superscript"/>
    </w:rPr>
  </w:style>
  <w:style w:type="character" w:customStyle="1" w:styleId="47">
    <w:name w:val="页眉 Char"/>
    <w:link w:val="20"/>
    <w:uiPriority w:val="99"/>
    <w:rPr>
      <w:rFonts w:eastAsia="仿宋_GB2312"/>
      <w:kern w:val="2"/>
      <w:sz w:val="18"/>
    </w:rPr>
  </w:style>
  <w:style w:type="character" w:customStyle="1" w:styleId="48">
    <w:name w:val="页脚 Char"/>
    <w:link w:val="19"/>
    <w:uiPriority w:val="99"/>
    <w:rPr>
      <w:rFonts w:eastAsia="黑体"/>
      <w:snapToGrid/>
      <w:sz w:val="18"/>
      <w:szCs w:val="18"/>
    </w:rPr>
  </w:style>
  <w:style w:type="character" w:customStyle="1" w:styleId="49">
    <w:name w:val="批注主题 Char"/>
    <w:link w:val="24"/>
    <w:uiPriority w:val="0"/>
    <w:rPr>
      <w:b/>
      <w:bCs/>
      <w:kern w:val="2"/>
      <w:sz w:val="21"/>
      <w:szCs w:val="24"/>
    </w:rPr>
  </w:style>
  <w:style w:type="character" w:customStyle="1" w:styleId="50">
    <w:name w:val="正文首行缩进 Char"/>
    <w:link w:val="2"/>
    <w:uiPriority w:val="0"/>
    <w:rPr>
      <w:rFonts w:ascii="Arial" w:hAnsi="Arial"/>
      <w:kern w:val="2"/>
      <w:sz w:val="21"/>
      <w:szCs w:val="24"/>
    </w:rPr>
  </w:style>
  <w:style w:type="character" w:customStyle="1" w:styleId="51">
    <w:name w:val="标题 4 Char"/>
    <w:link w:val="7"/>
    <w:uiPriority w:val="0"/>
    <w:rPr>
      <w:rFonts w:ascii="Arial" w:hAnsi="Arial" w:eastAsia="黑体"/>
      <w:b/>
      <w:bCs/>
      <w:kern w:val="2"/>
      <w:sz w:val="28"/>
      <w:szCs w:val="28"/>
    </w:rPr>
  </w:style>
  <w:style w:type="character" w:customStyle="1" w:styleId="52">
    <w:name w:val="font241"/>
    <w:qFormat/>
    <w:uiPriority w:val="0"/>
    <w:rPr>
      <w:rFonts w:hint="eastAsia" w:ascii="宋体" w:hAnsi="宋体" w:eastAsia="宋体" w:cs="宋体"/>
      <w:color w:val="000000"/>
      <w:sz w:val="18"/>
      <w:szCs w:val="18"/>
      <w:u w:val="none"/>
    </w:rPr>
  </w:style>
  <w:style w:type="character" w:customStyle="1" w:styleId="53">
    <w:name w:val="批注文字 Char"/>
    <w:link w:val="10"/>
    <w:uiPriority w:val="0"/>
    <w:rPr>
      <w:kern w:val="2"/>
      <w:sz w:val="21"/>
      <w:szCs w:val="24"/>
    </w:rPr>
  </w:style>
  <w:style w:type="paragraph" w:styleId="54">
    <w:name w:val="No Spacing"/>
    <w:qFormat/>
    <w:uiPriority w:val="1"/>
    <w:pPr>
      <w:widowControl w:val="0"/>
      <w:jc w:val="center"/>
    </w:pPr>
    <w:rPr>
      <w:rFonts w:eastAsia="仿宋"/>
      <w:kern w:val="2"/>
      <w:sz w:val="21"/>
      <w:szCs w:val="22"/>
      <w:lang w:val="en-US" w:eastAsia="zh-CN" w:bidi="ar-SA"/>
    </w:rPr>
  </w:style>
  <w:style w:type="paragraph" w:customStyle="1" w:styleId="55">
    <w:name w:val="正文_13"/>
    <w:qFormat/>
    <w:uiPriority w:val="0"/>
    <w:pPr>
      <w:widowControl w:val="0"/>
      <w:jc w:val="both"/>
    </w:pPr>
    <w:rPr>
      <w:kern w:val="2"/>
      <w:sz w:val="21"/>
      <w:szCs w:val="24"/>
      <w:lang w:val="en-US" w:eastAsia="zh-CN" w:bidi="ar-SA"/>
    </w:rPr>
  </w:style>
  <w:style w:type="paragraph" w:customStyle="1" w:styleId="56">
    <w:name w:val="标书正文格式"/>
    <w:qFormat/>
    <w:uiPriority w:val="0"/>
    <w:pPr>
      <w:spacing w:line="360" w:lineRule="auto"/>
      <w:ind w:firstLine="200" w:firstLineChars="200"/>
    </w:pPr>
    <w:rPr>
      <w:rFonts w:eastAsia="楷体_GB2312"/>
      <w:kern w:val="2"/>
      <w:sz w:val="24"/>
      <w:szCs w:val="24"/>
      <w:lang w:val="en-US" w:eastAsia="zh-CN" w:bidi="ar-SA"/>
    </w:rPr>
  </w:style>
  <w:style w:type="paragraph" w:customStyle="1" w:styleId="57">
    <w:name w:val="正文_1_0"/>
    <w:qFormat/>
    <w:uiPriority w:val="0"/>
    <w:pPr>
      <w:widowControl w:val="0"/>
      <w:jc w:val="both"/>
    </w:pPr>
    <w:rPr>
      <w:kern w:val="2"/>
      <w:sz w:val="21"/>
      <w:szCs w:val="24"/>
      <w:lang w:val="en-US" w:eastAsia="zh-CN" w:bidi="ar-SA"/>
    </w:rPr>
  </w:style>
  <w:style w:type="paragraph" w:customStyle="1" w:styleId="58">
    <w:name w:val="内容文本"/>
    <w:basedOn w:val="59"/>
    <w:qFormat/>
    <w:uiPriority w:val="0"/>
    <w:pPr>
      <w:ind w:firstLine="200"/>
      <w:jc w:val="left"/>
    </w:pPr>
    <w:rPr>
      <w:rFonts w:ascii="宋体" w:hAnsi="宋体"/>
      <w:kern w:val="0"/>
      <w:szCs w:val="24"/>
      <w:lang w:eastAsia="en-US" w:bidi="en-US"/>
    </w:rPr>
  </w:style>
  <w:style w:type="paragraph" w:styleId="59">
    <w:name w:val="List Paragraph"/>
    <w:basedOn w:val="1"/>
    <w:qFormat/>
    <w:uiPriority w:val="99"/>
    <w:pPr>
      <w:ind w:firstLine="420" w:firstLineChars="200"/>
    </w:pPr>
    <w:rPr>
      <w:szCs w:val="20"/>
    </w:rPr>
  </w:style>
  <w:style w:type="paragraph" w:customStyle="1" w:styleId="60">
    <w:name w:val="正文文本缩进 21"/>
    <w:basedOn w:val="1"/>
    <w:qFormat/>
    <w:uiPriority w:val="0"/>
    <w:pPr>
      <w:widowControl/>
      <w:spacing w:line="480" w:lineRule="atLeast"/>
      <w:ind w:firstLine="480"/>
    </w:pPr>
    <w:rPr>
      <w:rFonts w:ascii="宋体" w:hAnsi="Calibri"/>
      <w:spacing w:val="-6"/>
      <w:kern w:val="0"/>
      <w:sz w:val="24"/>
      <w:szCs w:val="20"/>
    </w:rPr>
  </w:style>
  <w:style w:type="paragraph" w:customStyle="1" w:styleId="61">
    <w:name w:val="列出段落1"/>
    <w:basedOn w:val="1"/>
    <w:qFormat/>
    <w:uiPriority w:val="34"/>
    <w:pPr>
      <w:ind w:firstLine="420" w:firstLineChars="200"/>
    </w:pPr>
    <w:rPr>
      <w:sz w:val="28"/>
      <w:szCs w:val="20"/>
    </w:rPr>
  </w:style>
  <w:style w:type="paragraph" w:customStyle="1" w:styleId="62">
    <w:name w:val="List Paragraph"/>
    <w:basedOn w:val="1"/>
    <w:qFormat/>
    <w:uiPriority w:val="0"/>
    <w:pPr>
      <w:widowControl/>
      <w:ind w:left="720" w:firstLine="360"/>
      <w:contextualSpacing/>
      <w:jc w:val="left"/>
    </w:pPr>
    <w:rPr>
      <w:rFonts w:ascii="Calibri" w:hAnsi="Calibri"/>
      <w:kern w:val="0"/>
      <w:sz w:val="22"/>
      <w:szCs w:val="22"/>
      <w:lang w:eastAsia="en-US" w:bidi="en-US"/>
    </w:rPr>
  </w:style>
  <w:style w:type="paragraph" w:customStyle="1" w:styleId="63">
    <w:name w:val="图表批注"/>
    <w:basedOn w:val="58"/>
    <w:qFormat/>
    <w:uiPriority w:val="0"/>
    <w:pPr>
      <w:ind w:firstLine="0" w:firstLineChars="0"/>
      <w:jc w:val="center"/>
    </w:pPr>
  </w:style>
  <w:style w:type="paragraph" w:customStyle="1" w:styleId="64">
    <w:name w:val="默认段落字体 Para Char Char Char Char Char Char Char Char Char1 Char Char Char Char"/>
    <w:basedOn w:val="1"/>
    <w:qFormat/>
    <w:uiPriority w:val="0"/>
    <w:rPr>
      <w:rFonts w:ascii="Tahoma" w:hAnsi="Tahoma"/>
      <w:sz w:val="24"/>
      <w:szCs w:val="20"/>
    </w:rPr>
  </w:style>
  <w:style w:type="paragraph" w:customStyle="1" w:styleId="65">
    <w:name w:val="纯文本1"/>
    <w:basedOn w:val="1"/>
    <w:qFormat/>
    <w:uiPriority w:val="99"/>
    <w:pPr>
      <w:spacing w:line="240" w:lineRule="atLeast"/>
    </w:pPr>
    <w:rPr>
      <w:rFonts w:ascii="宋体" w:hAnsi="Courier New"/>
      <w:spacing w:val="-6"/>
      <w:kern w:val="0"/>
      <w:sz w:val="20"/>
      <w:szCs w:val="20"/>
    </w:rPr>
  </w:style>
  <w:style w:type="paragraph" w:customStyle="1" w:styleId="66">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67">
    <w:name w:val="列表 21"/>
    <w:basedOn w:val="1"/>
    <w:qFormat/>
    <w:uiPriority w:val="0"/>
    <w:pPr>
      <w:spacing w:line="240" w:lineRule="atLeast"/>
      <w:ind w:left="100" w:leftChars="200" w:hanging="200" w:hangingChars="200"/>
    </w:pPr>
    <w:rPr>
      <w:spacing w:val="-6"/>
      <w:sz w:val="32"/>
    </w:rPr>
  </w:style>
  <w:style w:type="paragraph" w:customStyle="1" w:styleId="68">
    <w:name w:val="首行缩进"/>
    <w:basedOn w:val="1"/>
    <w:qFormat/>
    <w:uiPriority w:val="0"/>
    <w:pPr>
      <w:ind w:firstLine="480" w:firstLineChars="200"/>
    </w:pPr>
    <w:rPr>
      <w:szCs w:val="20"/>
      <w:lang w:val="zh-CN"/>
    </w:rPr>
  </w:style>
  <w:style w:type="paragraph" w:customStyle="1" w:styleId="69">
    <w:name w:val="纯文本_1"/>
    <w:basedOn w:val="57"/>
    <w:qFormat/>
    <w:uiPriority w:val="0"/>
    <w:rPr>
      <w:rFonts w:ascii="宋体" w:hAnsi="Courier New"/>
      <w:szCs w:val="21"/>
    </w:rPr>
  </w:style>
  <w:style w:type="paragraph" w:customStyle="1" w:styleId="70">
    <w:name w:val="标题 3_0"/>
    <w:basedOn w:val="57"/>
    <w:next w:val="57"/>
    <w:qFormat/>
    <w:uiPriority w:val="0"/>
    <w:pPr>
      <w:keepNext/>
      <w:keepLines/>
      <w:spacing w:before="260" w:after="260" w:line="416" w:lineRule="auto"/>
      <w:outlineLvl w:val="2"/>
    </w:pPr>
    <w:rPr>
      <w:rFonts w:ascii="Calibri" w:hAnsi="Calibri"/>
      <w:b/>
      <w:bCs/>
      <w:sz w:val="32"/>
      <w:szCs w:val="32"/>
    </w:rPr>
  </w:style>
  <w:style w:type="paragraph" w:customStyle="1" w:styleId="71">
    <w:name w:val="章正文"/>
    <w:basedOn w:val="1"/>
    <w:qFormat/>
    <w:uiPriority w:val="0"/>
    <w:pPr>
      <w:spacing w:before="156" w:beforeLines="50" w:after="120" w:line="300" w:lineRule="auto"/>
      <w:ind w:firstLine="480"/>
    </w:pPr>
    <w:rPr>
      <w:rFonts w:ascii="Helvetica" w:hAnsi="Helvetica"/>
      <w:kern w:val="0"/>
      <w:sz w:val="24"/>
      <w:szCs w:val="24"/>
    </w:rPr>
  </w:style>
  <w:style w:type="paragraph" w:customStyle="1" w:styleId="72">
    <w:name w:val="列表段落1"/>
    <w:basedOn w:val="1"/>
    <w:qFormat/>
    <w:uiPriority w:val="0"/>
    <w:pPr>
      <w:widowControl/>
      <w:ind w:left="720" w:firstLine="360"/>
      <w:contextualSpacing/>
      <w:jc w:val="left"/>
    </w:pPr>
    <w:rPr>
      <w:rFonts w:ascii="Calibri" w:hAnsi="Calibri"/>
      <w:kern w:val="0"/>
      <w:sz w:val="22"/>
      <w:szCs w:val="22"/>
      <w:lang w:eastAsia="en-US" w:bidi="en-US"/>
    </w:rPr>
  </w:style>
  <w:style w:type="character" w:customStyle="1" w:styleId="73">
    <w:name w:val="标题 2 Char"/>
    <w:link w:val="5"/>
    <w:qFormat/>
    <w:uiPriority w:val="9"/>
    <w:rPr>
      <w:rFonts w:ascii="Arial" w:hAnsi="Arial" w:eastAsia="黑体"/>
      <w:b/>
      <w:bCs/>
      <w:kern w:val="2"/>
      <w:sz w:val="32"/>
      <w:szCs w:val="32"/>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5.xml" Type="http://schemas.openxmlformats.org/officeDocument/2006/relationships/footer"/><Relationship Id="rId11" Target="footer6.xml" Type="http://schemas.openxmlformats.org/officeDocument/2006/relationships/footer"/><Relationship Id="rId12" Target="footer7.xml" Type="http://schemas.openxmlformats.org/officeDocument/2006/relationships/footer"/><Relationship Id="rId13" Target="theme/theme1.xml" Type="http://schemas.openxmlformats.org/officeDocument/2006/relationships/theme"/><Relationship Id="rId14" Target="media/image1.jpeg" Type="http://schemas.openxmlformats.org/officeDocument/2006/relationships/image"/><Relationship Id="rId15" Target="media/image2.png" Type="http://schemas.openxmlformats.org/officeDocument/2006/relationships/image"/><Relationship Id="rId16" Target="media/image3.jpeg" Type="http://schemas.openxmlformats.org/officeDocument/2006/relationships/image"/><Relationship Id="rId17" Target="media/image4.png" Type="http://schemas.openxmlformats.org/officeDocument/2006/relationships/image"/><Relationship Id="rId18" Target="media/image5.jpeg" Type="http://schemas.openxmlformats.org/officeDocument/2006/relationships/image"/><Relationship Id="rId19" Target="media/image6.jpeg" Type="http://schemas.openxmlformats.org/officeDocument/2006/relationships/image"/><Relationship Id="rId2" Target="settings.xml" Type="http://schemas.openxmlformats.org/officeDocument/2006/relationships/settings"/><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png" Type="http://schemas.openxmlformats.org/officeDocument/2006/relationships/image"/><Relationship Id="rId27" Target="media/image14.pn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header1.xml" Type="http://schemas.openxmlformats.org/officeDocument/2006/relationships/header"/><Relationship Id="rId30" Target="media/image17.png" Type="http://schemas.openxmlformats.org/officeDocument/2006/relationships/image"/><Relationship Id="rId31" Target="media/image18.png" Type="http://schemas.openxmlformats.org/officeDocument/2006/relationships/image"/><Relationship Id="rId32" Target="media/image19.jpeg" Type="http://schemas.openxmlformats.org/officeDocument/2006/relationships/image"/><Relationship Id="rId33" Target="media/image20.png" Type="http://schemas.openxmlformats.org/officeDocument/2006/relationships/image"/><Relationship Id="rId34" Target="../customXml/item1.xml" Type="http://schemas.openxmlformats.org/officeDocument/2006/relationships/customXml"/><Relationship Id="rId35" Target="numbering.xml" Type="http://schemas.openxmlformats.org/officeDocument/2006/relationships/numbering"/><Relationship Id="rId36" Target="fontTable.xml" Type="http://schemas.openxmlformats.org/officeDocument/2006/relationships/fontTable"/><Relationship Id="rId4" Target="footer1.xml" Type="http://schemas.openxmlformats.org/officeDocument/2006/relationships/footer"/><Relationship Id="rId5" Target="footer2.xml" Type="http://schemas.openxmlformats.org/officeDocument/2006/relationships/footer"/><Relationship Id="rId6" Target="header2.xml" Type="http://schemas.openxmlformats.org/officeDocument/2006/relationships/header"/><Relationship Id="rId7" Target="footer3.xml" Type="http://schemas.openxmlformats.org/officeDocument/2006/relationships/footer"/><Relationship Id="rId8" Target="header3.xml" Type="http://schemas.openxmlformats.org/officeDocument/2006/relationships/header"/><Relationship Id="rId9" Target="footer4.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111</Pages>
  <Words>13769</Words>
  <Characters>78489</Characters>
  <Lines>654</Lines>
  <Paragraphs>184</Paragraphs>
  <TotalTime>0</TotalTime>
  <ScaleCrop>false</ScaleCrop>
  <LinksUpToDate>false</LinksUpToDate>
  <CharactersWithSpaces>92074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2021-03-03T07:35:00Z</dcterms:created>
  <dc:creator>Blue sky</dc:creator>
  <cp:lastModifiedBy>WPS_1701756769</cp:lastModifiedBy>
  <cp:lastPrinted>2021-01-29T04:45:00Z</cp:lastPrinted>
  <dcterms:modified xsi:type="dcterms:W3CDTF">2024-02-23T04:40:37Z</dcterms:modified>
  <cp:revision>15</cp:revision>
  <dc:title>浙江工业大学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5CBB06B39CB04A6D9B4AC20F4F25FB1A_13</vt:lpwstr>
  </property>
</Properties>
</file>