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rPr>
          <w:rFonts w:hint="eastAsia" w:ascii="宋体" w:hAnsi="宋体" w:eastAsia="宋体" w:cs="宋体"/>
          <w:b/>
          <w:color w:val="auto"/>
          <w:sz w:val="30"/>
          <w:szCs w:val="30"/>
          <w:highlight w:val="none"/>
        </w:rPr>
      </w:pPr>
    </w:p>
    <w:p>
      <w:pPr>
        <w:adjustRightInd w:val="0"/>
        <w:snapToGrid w:val="0"/>
        <w:spacing w:line="36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浙江理工大学</w:t>
      </w:r>
    </w:p>
    <w:p>
      <w:pPr>
        <w:adjustRightInd w:val="0"/>
        <w:snapToGrid w:val="0"/>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eastAsia="zh-CN"/>
        </w:rPr>
        <w:t>招生宣传短视频制作及运营项目</w:t>
      </w:r>
    </w:p>
    <w:p>
      <w:pPr>
        <w:autoSpaceDE w:val="0"/>
        <w:autoSpaceDN w:val="0"/>
        <w:adjustRightInd w:val="0"/>
        <w:snapToGrid w:val="0"/>
        <w:spacing w:line="360" w:lineRule="auto"/>
        <w:textAlignment w:val="bottom"/>
        <w:rPr>
          <w:rFonts w:hint="eastAsia" w:ascii="宋体" w:hAnsi="宋体" w:eastAsia="宋体" w:cs="宋体"/>
          <w:b/>
          <w:color w:val="auto"/>
          <w:sz w:val="30"/>
          <w:szCs w:val="30"/>
          <w:highlight w:val="none"/>
        </w:rPr>
      </w:pPr>
    </w:p>
    <w:p>
      <w:pPr>
        <w:tabs>
          <w:tab w:val="left" w:pos="0"/>
        </w:tabs>
        <w:adjustRightInd w:val="0"/>
        <w:snapToGrid w:val="0"/>
        <w:spacing w:line="360" w:lineRule="auto"/>
        <w:ind w:firstLine="201" w:firstLineChars="20"/>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采购文件</w:t>
      </w:r>
    </w:p>
    <w:p>
      <w:pPr>
        <w:tabs>
          <w:tab w:val="left" w:pos="0"/>
        </w:tabs>
        <w:adjustRightInd w:val="0"/>
        <w:snapToGrid w:val="0"/>
        <w:spacing w:line="360" w:lineRule="auto"/>
        <w:ind w:firstLine="64" w:firstLineChars="20"/>
        <w:jc w:val="center"/>
        <w:rPr>
          <w:rFonts w:hint="eastAsia" w:ascii="宋体" w:hAnsi="宋体" w:eastAsia="宋体" w:cs="宋体"/>
          <w:b/>
          <w:color w:val="auto"/>
          <w:sz w:val="160"/>
          <w:szCs w:val="100"/>
          <w:highlight w:val="none"/>
        </w:rPr>
      </w:pPr>
      <w:r>
        <w:rPr>
          <w:rFonts w:hint="eastAsia" w:ascii="宋体" w:hAnsi="宋体" w:eastAsia="宋体" w:cs="宋体"/>
          <w:b/>
          <w:color w:val="auto"/>
          <w:kern w:val="0"/>
          <w:sz w:val="32"/>
          <w:highlight w:val="none"/>
        </w:rPr>
        <w:t>（线上电子招投标）</w:t>
      </w:r>
    </w:p>
    <w:p>
      <w:pPr>
        <w:adjustRightInd w:val="0"/>
        <w:snapToGri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 INCLUDEPICTURE  "D:\\Program%252525252525252525252525252525252520Files%252525252525252525252525252525252520(x86)\\Tencent\\ACER\\Documents\\Tencent%252525252525252525252525252525252520Files\\731289318\\Image\\Group\\JIEF%25252525252525252525252525252525255bIF7A8MK059L~WLO%252525252525252525252525252525252525H0.jpg" \* MERGEFORMATINET </w:instrText>
      </w:r>
      <w:r>
        <w:rPr>
          <w:rFonts w:hint="eastAsia" w:ascii="宋体" w:hAnsi="宋体" w:eastAsia="宋体" w:cs="宋体"/>
          <w:color w:val="auto"/>
          <w:kern w:val="0"/>
          <w:sz w:val="24"/>
          <w:highlight w:val="none"/>
        </w:rPr>
        <w:fldChar w:fldCharType="separate"/>
      </w:r>
      <w:r>
        <w:rPr>
          <w:rFonts w:hint="eastAsia" w:ascii="宋体" w:hAnsi="宋体" w:eastAsia="宋体" w:cs="宋体"/>
          <w:color w:val="auto"/>
          <w:kern w:val="0"/>
          <w:sz w:val="24"/>
          <w:highlight w:val="none"/>
        </w:rPr>
        <w:drawing>
          <wp:inline distT="0" distB="0" distL="114300" distR="114300">
            <wp:extent cx="1781175" cy="13620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r:link="rId13"/>
                    <a:stretch>
                      <a:fillRect/>
                    </a:stretch>
                  </pic:blipFill>
                  <pic:spPr>
                    <a:xfrm>
                      <a:off x="0" y="0"/>
                      <a:ext cx="1781175" cy="1362075"/>
                    </a:xfrm>
                    <a:prstGeom prst="rect">
                      <a:avLst/>
                    </a:prstGeom>
                    <a:noFill/>
                    <a:ln>
                      <a:noFill/>
                    </a:ln>
                  </pic:spPr>
                </pic:pic>
              </a:graphicData>
            </a:graphic>
          </wp:inline>
        </w:drawing>
      </w:r>
      <w:r>
        <w:rPr>
          <w:rFonts w:hint="eastAsia" w:ascii="宋体" w:hAnsi="宋体" w:eastAsia="宋体" w:cs="宋体"/>
          <w:color w:val="auto"/>
          <w:kern w:val="0"/>
          <w:sz w:val="24"/>
          <w:highlight w:val="none"/>
        </w:rPr>
        <w:fldChar w:fldCharType="end"/>
      </w:r>
    </w:p>
    <w:p>
      <w:pPr>
        <w:adjustRightInd w:val="0"/>
        <w:snapToGrid w:val="0"/>
        <w:spacing w:line="360" w:lineRule="auto"/>
        <w:rPr>
          <w:rFonts w:hint="eastAsia" w:ascii="宋体" w:hAnsi="宋体" w:eastAsia="宋体" w:cs="宋体"/>
          <w:b/>
          <w:bCs/>
          <w:color w:val="auto"/>
          <w:sz w:val="30"/>
          <w:szCs w:val="30"/>
          <w:highlight w:val="none"/>
        </w:rPr>
      </w:pPr>
    </w:p>
    <w:p>
      <w:pPr>
        <w:adjustRightInd w:val="0"/>
        <w:snapToGrid w:val="0"/>
        <w:spacing w:line="360" w:lineRule="auto"/>
        <w:ind w:firstLine="2108" w:firstLineChars="7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采购方式：公开招标   </w:t>
      </w:r>
    </w:p>
    <w:p>
      <w:pPr>
        <w:adjustRightInd w:val="0"/>
        <w:snapToGrid w:val="0"/>
        <w:spacing w:line="360" w:lineRule="auto"/>
        <w:ind w:firstLine="2108" w:firstLineChars="70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eastAsia="宋体" w:cs="宋体"/>
          <w:b/>
          <w:bCs/>
          <w:color w:val="auto"/>
          <w:sz w:val="30"/>
          <w:szCs w:val="30"/>
          <w:highlight w:val="none"/>
          <w:lang w:eastAsia="zh-CN"/>
        </w:rPr>
        <w:t>CTZB-2021110689</w:t>
      </w:r>
    </w:p>
    <w:p>
      <w:pPr>
        <w:adjustRightInd w:val="0"/>
        <w:snapToGrid w:val="0"/>
        <w:spacing w:line="360" w:lineRule="auto"/>
        <w:rPr>
          <w:rFonts w:hint="eastAsia" w:ascii="宋体" w:hAnsi="宋体" w:eastAsia="宋体" w:cs="宋体"/>
          <w:b/>
          <w:bCs/>
          <w:color w:val="auto"/>
          <w:sz w:val="30"/>
          <w:szCs w:val="30"/>
          <w:highlight w:val="none"/>
        </w:rPr>
      </w:pPr>
    </w:p>
    <w:p>
      <w:pPr>
        <w:pStyle w:val="2"/>
        <w:rPr>
          <w:rFonts w:hint="eastAsia" w:ascii="宋体" w:hAnsi="宋体" w:eastAsia="宋体" w:cs="宋体"/>
          <w:color w:val="auto"/>
          <w:highlight w:val="none"/>
        </w:rPr>
      </w:pPr>
    </w:p>
    <w:p>
      <w:pPr>
        <w:pStyle w:val="51"/>
        <w:rPr>
          <w:rFonts w:hint="eastAsia" w:ascii="宋体" w:hAnsi="宋体" w:eastAsia="宋体" w:cs="宋体"/>
          <w:color w:val="auto"/>
          <w:highlight w:val="none"/>
        </w:rPr>
      </w:pPr>
    </w:p>
    <w:tbl>
      <w:tblPr>
        <w:tblStyle w:val="55"/>
        <w:tblW w:w="6595" w:type="dxa"/>
        <w:jc w:val="center"/>
        <w:tblLayout w:type="fixed"/>
        <w:tblCellMar>
          <w:top w:w="0" w:type="dxa"/>
          <w:left w:w="108" w:type="dxa"/>
          <w:bottom w:w="0" w:type="dxa"/>
          <w:right w:w="108" w:type="dxa"/>
        </w:tblCellMar>
      </w:tblPr>
      <w:tblGrid>
        <w:gridCol w:w="2220"/>
        <w:gridCol w:w="4375"/>
      </w:tblGrid>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  购  人：</w:t>
            </w:r>
          </w:p>
        </w:tc>
        <w:tc>
          <w:tcPr>
            <w:tcW w:w="4375" w:type="dxa"/>
            <w:vAlign w:val="center"/>
          </w:tcPr>
          <w:p>
            <w:pPr>
              <w:adjustRightInd w:val="0"/>
              <w:snapToGrid w:val="0"/>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eastAsia="宋体" w:cs="宋体"/>
                <w:b/>
                <w:color w:val="auto"/>
                <w:sz w:val="30"/>
                <w:szCs w:val="30"/>
                <w:highlight w:val="none"/>
                <w:lang w:eastAsia="zh-CN"/>
              </w:rPr>
              <w:t>浙江理工大学</w:t>
            </w:r>
          </w:p>
        </w:tc>
      </w:tr>
      <w:tr>
        <w:tblPrEx>
          <w:tblCellMar>
            <w:top w:w="0" w:type="dxa"/>
            <w:left w:w="108" w:type="dxa"/>
            <w:bottom w:w="0" w:type="dxa"/>
            <w:right w:w="108" w:type="dxa"/>
          </w:tblCellMar>
        </w:tblPrEx>
        <w:trPr>
          <w:jc w:val="center"/>
        </w:trPr>
        <w:tc>
          <w:tcPr>
            <w:tcW w:w="2220" w:type="dxa"/>
            <w:vAlign w:val="center"/>
          </w:tcPr>
          <w:p>
            <w:pPr>
              <w:adjustRightInd w:val="0"/>
              <w:snapToGrid w:val="0"/>
              <w:spacing w:line="360" w:lineRule="auto"/>
              <w:jc w:val="distribute"/>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采购代理机构：</w:t>
            </w:r>
          </w:p>
        </w:tc>
        <w:tc>
          <w:tcPr>
            <w:tcW w:w="4375" w:type="dxa"/>
            <w:vAlign w:val="center"/>
          </w:tcPr>
          <w:p>
            <w:pPr>
              <w:adjustRightInd w:val="0"/>
              <w:snapToGrid w:val="0"/>
              <w:spacing w:line="360" w:lineRule="auto"/>
              <w:jc w:val="left"/>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rPr>
              <w:t>浙江省成套招标代理有限公司</w:t>
            </w:r>
          </w:p>
        </w:tc>
      </w:tr>
      <w:tr>
        <w:tblPrEx>
          <w:tblCellMar>
            <w:top w:w="0" w:type="dxa"/>
            <w:left w:w="108" w:type="dxa"/>
            <w:bottom w:w="0" w:type="dxa"/>
            <w:right w:w="108" w:type="dxa"/>
          </w:tblCellMar>
        </w:tblPrEx>
        <w:trPr>
          <w:jc w:val="center"/>
        </w:trPr>
        <w:tc>
          <w:tcPr>
            <w:tcW w:w="6595" w:type="dxa"/>
            <w:gridSpan w:val="2"/>
            <w:vAlign w:val="center"/>
          </w:tcPr>
          <w:p>
            <w:pPr>
              <w:adjustRightInd w:val="0"/>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日        期： 二〇二一年</w:t>
            </w:r>
            <w:r>
              <w:rPr>
                <w:rFonts w:hint="eastAsia" w:ascii="宋体" w:hAnsi="宋体" w:eastAsia="宋体" w:cs="宋体"/>
                <w:b/>
                <w:color w:val="auto"/>
                <w:sz w:val="30"/>
                <w:szCs w:val="30"/>
                <w:highlight w:val="none"/>
                <w:lang w:val="en-US" w:eastAsia="zh-CN"/>
              </w:rPr>
              <w:t>十</w:t>
            </w:r>
            <w:r>
              <w:rPr>
                <w:rFonts w:hint="eastAsia" w:ascii="宋体" w:hAnsi="宋体" w:cs="宋体"/>
                <w:b/>
                <w:color w:val="auto"/>
                <w:sz w:val="30"/>
                <w:szCs w:val="30"/>
                <w:highlight w:val="none"/>
                <w:lang w:val="en-US" w:eastAsia="zh-CN"/>
              </w:rPr>
              <w:t>二</w:t>
            </w:r>
            <w:r>
              <w:rPr>
                <w:rFonts w:hint="eastAsia" w:ascii="宋体" w:hAnsi="宋体" w:eastAsia="宋体" w:cs="宋体"/>
                <w:b/>
                <w:color w:val="auto"/>
                <w:sz w:val="30"/>
                <w:szCs w:val="30"/>
                <w:highlight w:val="none"/>
              </w:rPr>
              <w:t>月</w:t>
            </w:r>
          </w:p>
        </w:tc>
      </w:tr>
    </w:tbl>
    <w:p>
      <w:pPr>
        <w:snapToGrid w:val="0"/>
        <w:spacing w:line="36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br w:type="page"/>
      </w:r>
      <w:r>
        <w:rPr>
          <w:rFonts w:hint="eastAsia" w:ascii="宋体" w:hAnsi="宋体" w:eastAsia="宋体" w:cs="宋体"/>
          <w:b/>
          <w:bCs/>
          <w:color w:val="auto"/>
          <w:sz w:val="44"/>
          <w:szCs w:val="44"/>
          <w:highlight w:val="none"/>
        </w:rPr>
        <w:t xml:space="preserve">      </w:t>
      </w:r>
    </w:p>
    <w:p>
      <w:pPr>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目录</w:t>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TOC \o "1-2" \h \z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_Toc30752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44"/>
          <w:szCs w:val="44"/>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_Toc30752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_Toc15279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第二章  采购内容及技术要求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_Toc15279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_Toc24474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第三章  评标办法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_Toc18806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第四章  采购合同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_Toc18806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_Toc31929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第五章  投标人须知前附表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_Toc31929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_Toc12058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第六章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_Toc12058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35"/>
        <w:tabs>
          <w:tab w:val="right" w:leader="dot" w:pos="8300"/>
          <w:tab w:val="clear" w:pos="9403"/>
        </w:tabs>
        <w:rPr>
          <w:rFonts w:hint="eastAsia" w:ascii="宋体" w:hAnsi="宋体" w:eastAsia="宋体" w:cs="宋体"/>
          <w:color w:val="auto"/>
          <w:highlight w:val="none"/>
        </w:rPr>
      </w:pPr>
      <w:r>
        <w:rPr>
          <w:rFonts w:hint="eastAsia" w:ascii="宋体" w:hAnsi="宋体" w:eastAsia="宋体" w:cs="宋体"/>
          <w:bCs/>
          <w:color w:val="auto"/>
          <w:highlight w:val="none"/>
        </w:rPr>
        <w:fldChar w:fldCharType="begin"/>
      </w:r>
      <w:r>
        <w:rPr>
          <w:rFonts w:hint="eastAsia" w:ascii="宋体" w:hAnsi="宋体" w:eastAsia="宋体" w:cs="宋体"/>
          <w:bCs/>
          <w:color w:val="auto"/>
          <w:highlight w:val="none"/>
        </w:rPr>
        <w:instrText xml:space="preserve"> HYPERLINK \l _Toc27170 </w:instrText>
      </w:r>
      <w:r>
        <w:rPr>
          <w:rFonts w:hint="eastAsia" w:ascii="宋体" w:hAnsi="宋体" w:eastAsia="宋体" w:cs="宋体"/>
          <w:bCs/>
          <w:color w:val="auto"/>
          <w:highlight w:val="none"/>
        </w:rPr>
        <w:fldChar w:fldCharType="separate"/>
      </w:r>
      <w:r>
        <w:rPr>
          <w:rFonts w:hint="eastAsia" w:ascii="宋体" w:hAnsi="宋体" w:eastAsia="宋体" w:cs="宋体"/>
          <w:color w:val="auto"/>
          <w:highlight w:val="none"/>
        </w:rPr>
        <w:t>第七章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_Toc27170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bCs/>
          <w:color w:val="auto"/>
          <w:highlight w:val="none"/>
        </w:rPr>
        <w:fldChar w:fldCharType="end"/>
      </w:r>
    </w:p>
    <w:p>
      <w:pPr>
        <w:pStyle w:val="43"/>
        <w:tabs>
          <w:tab w:val="right" w:leader="dot" w:pos="8300"/>
          <w:tab w:val="clear" w:pos="9403"/>
        </w:tabs>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Cs/>
          <w:color w:val="auto"/>
          <w:highlight w:val="none"/>
        </w:rPr>
        <w:fldChar w:fldCharType="end"/>
      </w:r>
    </w:p>
    <w:p>
      <w:pPr>
        <w:spacing w:line="360" w:lineRule="auto"/>
        <w:rPr>
          <w:rFonts w:hint="eastAsia" w:ascii="宋体" w:hAnsi="宋体" w:eastAsia="宋体" w:cs="宋体"/>
          <w:b/>
          <w:bCs/>
          <w:color w:val="auto"/>
          <w:sz w:val="24"/>
          <w:highlight w:val="none"/>
        </w:rPr>
      </w:pPr>
    </w:p>
    <w:p>
      <w:pPr>
        <w:pStyle w:val="4"/>
        <w:rPr>
          <w:rFonts w:hint="eastAsia" w:ascii="宋体" w:hAnsi="宋体" w:eastAsia="宋体" w:cs="宋体"/>
          <w:bCs/>
          <w:color w:val="auto"/>
          <w:kern w:val="44"/>
          <w:sz w:val="30"/>
          <w:szCs w:val="44"/>
          <w:highlight w:val="none"/>
        </w:rPr>
      </w:pPr>
      <w:r>
        <w:rPr>
          <w:rFonts w:hint="eastAsia" w:ascii="宋体" w:hAnsi="宋体" w:eastAsia="宋体" w:cs="宋体"/>
          <w:b w:val="0"/>
          <w:bCs/>
          <w:color w:val="auto"/>
          <w:sz w:val="24"/>
          <w:highlight w:val="none"/>
        </w:rPr>
        <w:br w:type="page"/>
      </w:r>
      <w:bookmarkStart w:id="0" w:name="_Toc9042"/>
      <w:bookmarkStart w:id="1" w:name="_Toc30752"/>
      <w:r>
        <w:rPr>
          <w:rFonts w:hint="eastAsia" w:ascii="宋体" w:hAnsi="宋体" w:eastAsia="宋体" w:cs="宋体"/>
          <w:bCs/>
          <w:color w:val="auto"/>
          <w:kern w:val="44"/>
          <w:sz w:val="30"/>
          <w:szCs w:val="44"/>
          <w:highlight w:val="none"/>
        </w:rPr>
        <w:t xml:space="preserve">第一章  </w:t>
      </w:r>
      <w:bookmarkEnd w:id="0"/>
      <w:r>
        <w:rPr>
          <w:rFonts w:hint="eastAsia" w:ascii="宋体" w:hAnsi="宋体" w:eastAsia="宋体" w:cs="宋体"/>
          <w:bCs/>
          <w:color w:val="auto"/>
          <w:kern w:val="44"/>
          <w:sz w:val="30"/>
          <w:szCs w:val="44"/>
          <w:highlight w:val="none"/>
        </w:rPr>
        <w:t>招标公告</w:t>
      </w:r>
      <w:bookmarkEnd w:id="1"/>
      <w:r>
        <w:rPr>
          <w:rFonts w:hint="eastAsia" w:ascii="宋体" w:hAnsi="宋体" w:eastAsia="宋体" w:cs="宋体"/>
          <w:bCs/>
          <w:color w:val="auto"/>
          <w:kern w:val="44"/>
          <w:sz w:val="30"/>
          <w:szCs w:val="44"/>
          <w:highlight w:val="none"/>
        </w:rPr>
        <w:t xml:space="preserve"> </w:t>
      </w:r>
    </w:p>
    <w:p>
      <w:pPr>
        <w:pBdr>
          <w:top w:val="single" w:color="auto" w:sz="4" w:space="1"/>
          <w:left w:val="single" w:color="auto" w:sz="4" w:space="4"/>
          <w:bottom w:val="single" w:color="auto" w:sz="4" w:space="1"/>
          <w:right w:val="single" w:color="auto" w:sz="4" w:space="4"/>
        </w:pBdr>
        <w:spacing w:line="360" w:lineRule="auto"/>
        <w:ind w:firstLine="422" w:firstLineChars="200"/>
        <w:rPr>
          <w:rFonts w:hint="eastAsia" w:ascii="宋体" w:hAnsi="宋体" w:eastAsia="宋体" w:cs="宋体"/>
          <w:b/>
          <w:bCs/>
          <w:color w:val="auto"/>
          <w:szCs w:val="21"/>
          <w:highlight w:val="none"/>
        </w:rPr>
      </w:pPr>
      <w:bookmarkStart w:id="2" w:name="_Toc35393621"/>
      <w:bookmarkStart w:id="3" w:name="_Toc28359079"/>
      <w:bookmarkStart w:id="4" w:name="_Toc28359002"/>
      <w:bookmarkStart w:id="5" w:name="_Toc35393790"/>
      <w:bookmarkStart w:id="6" w:name="_Hlk24379207"/>
      <w:r>
        <w:rPr>
          <w:rFonts w:hint="eastAsia" w:ascii="宋体" w:hAnsi="宋体" w:eastAsia="宋体" w:cs="宋体"/>
          <w:b/>
          <w:bCs/>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浙江理工大学招生宣传短视频制作及运营项目</w:t>
      </w:r>
      <w:r>
        <w:rPr>
          <w:rFonts w:hint="eastAsia" w:ascii="宋体" w:hAnsi="宋体" w:eastAsia="宋体" w:cs="宋体"/>
          <w:color w:val="auto"/>
          <w:szCs w:val="21"/>
          <w:highlight w:val="none"/>
        </w:rPr>
        <w:t>的潜在供应商应在</w:t>
      </w:r>
      <w:r>
        <w:rPr>
          <w:rFonts w:hint="eastAsia" w:ascii="宋体" w:hAnsi="宋体" w:eastAsia="宋体" w:cs="宋体"/>
          <w:color w:val="auto"/>
          <w:szCs w:val="21"/>
          <w:highlight w:val="none"/>
          <w:u w:val="single"/>
        </w:rPr>
        <w:t>浙江政府采购网（http://zfcg.czt.zj.gov.cn/）</w:t>
      </w:r>
      <w:r>
        <w:rPr>
          <w:rFonts w:hint="eastAsia" w:ascii="宋体" w:hAnsi="宋体" w:eastAsia="宋体" w:cs="宋体"/>
          <w:color w:val="auto"/>
          <w:szCs w:val="21"/>
          <w:highlight w:val="none"/>
        </w:rPr>
        <w:t>获取</w:t>
      </w:r>
      <w:r>
        <w:rPr>
          <w:rFonts w:hint="eastAsia" w:ascii="宋体" w:hAnsi="宋体" w:eastAsia="宋体" w:cs="宋体"/>
          <w:color w:val="auto"/>
          <w:kern w:val="0"/>
          <w:szCs w:val="21"/>
          <w:highlight w:val="none"/>
        </w:rPr>
        <w:t>（下载）</w:t>
      </w:r>
      <w:r>
        <w:rPr>
          <w:rFonts w:hint="eastAsia" w:ascii="宋体" w:hAnsi="宋体" w:eastAsia="宋体" w:cs="宋体"/>
          <w:color w:val="auto"/>
          <w:szCs w:val="21"/>
          <w:highlight w:val="none"/>
        </w:rPr>
        <w:t>采购文件，并于</w:t>
      </w:r>
      <w:r>
        <w:rPr>
          <w:rFonts w:hint="eastAsia" w:ascii="宋体" w:hAnsi="宋体" w:eastAsia="宋体" w:cs="宋体"/>
          <w:color w:val="auto"/>
          <w:szCs w:val="21"/>
          <w:highlight w:val="none"/>
          <w:u w:val="single"/>
        </w:rPr>
        <w:t>2021</w:t>
      </w:r>
      <w:r>
        <w:rPr>
          <w:rFonts w:hint="eastAsia" w:ascii="宋体" w:hAnsi="宋体" w:eastAsia="宋体" w:cs="宋体"/>
          <w:bCs/>
          <w:color w:val="auto"/>
          <w:szCs w:val="21"/>
          <w:highlight w:val="none"/>
          <w:u w:val="single"/>
        </w:rPr>
        <w:t>年</w:t>
      </w:r>
      <w:r>
        <w:rPr>
          <w:rFonts w:hint="eastAsia" w:ascii="宋体" w:hAnsi="宋体" w:cs="宋体"/>
          <w:bCs/>
          <w:color w:val="auto"/>
          <w:szCs w:val="21"/>
          <w:highlight w:val="none"/>
          <w:u w:val="single"/>
          <w:lang w:val="en-US" w:eastAsia="zh-CN"/>
        </w:rPr>
        <w:t>12</w:t>
      </w:r>
      <w:r>
        <w:rPr>
          <w:rFonts w:hint="eastAsia" w:ascii="宋体" w:hAnsi="宋体" w:eastAsia="宋体" w:cs="宋体"/>
          <w:bCs/>
          <w:color w:val="auto"/>
          <w:szCs w:val="21"/>
          <w:highlight w:val="none"/>
          <w:u w:val="single"/>
        </w:rPr>
        <w:t>月</w:t>
      </w:r>
      <w:r>
        <w:rPr>
          <w:rFonts w:hint="eastAsia" w:ascii="宋体" w:hAnsi="宋体" w:cs="宋体"/>
          <w:bCs/>
          <w:color w:val="auto"/>
          <w:szCs w:val="21"/>
          <w:highlight w:val="none"/>
          <w:u w:val="single"/>
          <w:lang w:val="en-US" w:eastAsia="zh-CN"/>
        </w:rPr>
        <w:t>22</w:t>
      </w:r>
      <w:r>
        <w:rPr>
          <w:rFonts w:hint="eastAsia" w:ascii="宋体" w:hAnsi="宋体" w:eastAsia="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eastAsia="宋体" w:cs="宋体"/>
          <w:bCs/>
          <w:color w:val="auto"/>
          <w:szCs w:val="21"/>
          <w:highlight w:val="none"/>
          <w:u w:val="single"/>
        </w:rPr>
        <w:t>:</w:t>
      </w:r>
      <w:r>
        <w:rPr>
          <w:rFonts w:hint="eastAsia" w:ascii="宋体" w:hAnsi="宋体" w:cs="宋体"/>
          <w:bCs/>
          <w:color w:val="auto"/>
          <w:szCs w:val="21"/>
          <w:highlight w:val="none"/>
          <w:u w:val="single"/>
          <w:lang w:val="en-US" w:eastAsia="zh-CN"/>
        </w:rPr>
        <w:t>30</w:t>
      </w:r>
      <w:r>
        <w:rPr>
          <w:rFonts w:hint="eastAsia" w:ascii="宋体" w:hAnsi="宋体" w:eastAsia="宋体" w:cs="宋体"/>
          <w:bCs/>
          <w:color w:val="auto"/>
          <w:szCs w:val="21"/>
          <w:highlight w:val="none"/>
        </w:rPr>
        <w:t>（北京时间）前提交（上传）投标文件</w:t>
      </w:r>
      <w:r>
        <w:rPr>
          <w:rFonts w:hint="eastAsia" w:ascii="宋体" w:hAnsi="宋体" w:eastAsia="宋体" w:cs="宋体"/>
          <w:color w:val="auto"/>
          <w:szCs w:val="21"/>
          <w:highlight w:val="none"/>
        </w:rPr>
        <w:t>。</w:t>
      </w:r>
    </w:p>
    <w:p>
      <w:pPr>
        <w:widowControl/>
        <w:adjustRightInd w:val="0"/>
        <w:snapToGrid w:val="0"/>
        <w:spacing w:line="360" w:lineRule="auto"/>
        <w:ind w:firstLine="316" w:firstLineChars="15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一、项目基本情况</w:t>
      </w:r>
      <w:bookmarkEnd w:id="2"/>
      <w:bookmarkEnd w:id="3"/>
      <w:bookmarkEnd w:id="4"/>
      <w:bookmarkEnd w:id="5"/>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lang w:eastAsia="zh-CN"/>
        </w:rPr>
        <w:t>CTZB-2021110689</w:t>
      </w:r>
      <w:r>
        <w:rPr>
          <w:rFonts w:hint="eastAsia" w:ascii="宋体" w:hAnsi="宋体" w:eastAsia="宋体" w:cs="宋体"/>
          <w:color w:val="auto"/>
          <w:kern w:val="0"/>
          <w:szCs w:val="21"/>
          <w:highlight w:val="none"/>
        </w:rPr>
        <w:t xml:space="preserve">   </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lang w:eastAsia="zh-CN"/>
        </w:rPr>
        <w:t>浙江理工大学招生宣传短视频制作及运营项目</w:t>
      </w:r>
    </w:p>
    <w:bookmarkEnd w:id="6"/>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采购方式：公开招标</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37</w:t>
      </w:r>
      <w:r>
        <w:rPr>
          <w:rFonts w:hint="eastAsia" w:ascii="宋体" w:hAnsi="宋体" w:eastAsia="宋体" w:cs="宋体"/>
          <w:color w:val="auto"/>
          <w:kern w:val="0"/>
          <w:szCs w:val="21"/>
          <w:highlight w:val="none"/>
        </w:rPr>
        <w:t>0000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37</w:t>
      </w:r>
      <w:r>
        <w:rPr>
          <w:rFonts w:hint="eastAsia" w:ascii="宋体" w:hAnsi="宋体" w:eastAsia="宋体" w:cs="宋体"/>
          <w:color w:val="auto"/>
          <w:kern w:val="0"/>
          <w:szCs w:val="21"/>
          <w:highlight w:val="none"/>
        </w:rPr>
        <w:t>0000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采购需求：浙江理工大学招生宣传短视频制作及运营</w:t>
      </w:r>
      <w:r>
        <w:rPr>
          <w:rFonts w:hint="eastAsia" w:ascii="宋体" w:hAnsi="宋体" w:eastAsia="宋体" w:cs="宋体"/>
          <w:color w:val="auto"/>
          <w:kern w:val="0"/>
          <w:szCs w:val="21"/>
          <w:highlight w:val="none"/>
        </w:rPr>
        <w:t>，具体详见采购内容及技术要求。</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标项一：</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标项名称：2022年浙江理工大学招生宣传视频制作</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190000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190000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简要规格描述或项目基</w:t>
      </w:r>
      <w:r>
        <w:rPr>
          <w:rFonts w:hint="eastAsia" w:ascii="宋体" w:hAnsi="宋体" w:eastAsia="宋体" w:cs="宋体"/>
          <w:color w:val="auto"/>
          <w:kern w:val="0"/>
          <w:szCs w:val="21"/>
          <w:highlight w:val="none"/>
          <w:lang w:val="en-US" w:eastAsia="zh-CN"/>
        </w:rPr>
        <w:t>本概况介绍、用途：校园环境、特色活动、专业介绍、招生政策等短视频拍摄制作；名师、优生人物纪录片拍摄制作；视频号年度规划、运营</w:t>
      </w:r>
      <w:r>
        <w:rPr>
          <w:rFonts w:hint="eastAsia" w:ascii="宋体" w:hAnsi="宋体" w:eastAsia="宋体" w:cs="宋体"/>
          <w:color w:val="auto"/>
          <w:kern w:val="0"/>
          <w:szCs w:val="21"/>
          <w:highlight w:val="none"/>
          <w:lang w:eastAsia="zh-CN"/>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标项二：</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标项名称：2022年浙江理工大学招生宣传运营</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预算金额（元）：</w:t>
      </w:r>
      <w:r>
        <w:rPr>
          <w:rFonts w:hint="eastAsia" w:ascii="宋体" w:hAnsi="宋体" w:eastAsia="宋体" w:cs="宋体"/>
          <w:color w:val="auto"/>
          <w:kern w:val="0"/>
          <w:szCs w:val="21"/>
          <w:highlight w:val="none"/>
          <w:lang w:val="en-US" w:eastAsia="zh-CN"/>
        </w:rPr>
        <w:t>180000</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最高限价（元）：</w:t>
      </w:r>
      <w:r>
        <w:rPr>
          <w:rFonts w:hint="eastAsia" w:ascii="宋体" w:hAnsi="宋体" w:eastAsia="宋体" w:cs="宋体"/>
          <w:color w:val="auto"/>
          <w:kern w:val="0"/>
          <w:szCs w:val="21"/>
          <w:highlight w:val="none"/>
          <w:lang w:val="en-US" w:eastAsia="zh-CN"/>
        </w:rPr>
        <w:t>180000</w:t>
      </w:r>
    </w:p>
    <w:p>
      <w:pPr>
        <w:widowControl/>
        <w:adjustRightInd w:val="0"/>
        <w:snapToGrid w:val="0"/>
        <w:spacing w:line="360" w:lineRule="auto"/>
        <w:ind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简要规格描述或项目基本概况介绍、用途</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线下招生宣讲直播服务；在线访谈直播服务；招生宣传重要资讯宣传展播；考生社群运营服务；招生资讯发布</w:t>
      </w:r>
      <w:r>
        <w:rPr>
          <w:rFonts w:hint="eastAsia" w:ascii="宋体" w:hAnsi="宋体" w:eastAsia="宋体" w:cs="宋体"/>
          <w:color w:val="auto"/>
          <w:kern w:val="0"/>
          <w:szCs w:val="21"/>
          <w:highlight w:val="none"/>
          <w:lang w:eastAsia="zh-CN"/>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合同履行期限：</w:t>
      </w:r>
      <w:r>
        <w:rPr>
          <w:rFonts w:hint="eastAsia" w:ascii="宋体" w:hAnsi="宋体" w:eastAsia="宋体" w:cs="宋体"/>
          <w:color w:val="auto"/>
          <w:kern w:val="0"/>
          <w:szCs w:val="21"/>
          <w:highlight w:val="none"/>
          <w:lang w:val="en-US" w:eastAsia="zh-CN"/>
        </w:rPr>
        <w:t>标项一：</w:t>
      </w:r>
      <w:r>
        <w:rPr>
          <w:rFonts w:hint="eastAsia" w:ascii="宋体" w:hAnsi="宋体" w:eastAsia="宋体" w:cs="宋体"/>
          <w:color w:val="auto"/>
          <w:sz w:val="21"/>
          <w:szCs w:val="21"/>
          <w:highlight w:val="none"/>
          <w:lang w:val="en-US" w:eastAsia="zh-CN"/>
        </w:rPr>
        <w:t>在2022年5月31日前完成所有内容的</w:t>
      </w:r>
      <w:r>
        <w:rPr>
          <w:rFonts w:hint="eastAsia" w:ascii="宋体" w:hAnsi="宋体" w:eastAsia="宋体" w:cs="宋体"/>
          <w:color w:val="auto"/>
          <w:szCs w:val="21"/>
          <w:highlight w:val="none"/>
          <w:lang w:val="en-US" w:eastAsia="zh-CN"/>
        </w:rPr>
        <w:t>拍摄制作</w:t>
      </w:r>
      <w:r>
        <w:rPr>
          <w:rFonts w:hint="eastAsia" w:ascii="宋体" w:hAnsi="宋体" w:eastAsia="宋体" w:cs="宋体"/>
          <w:color w:val="auto"/>
          <w:kern w:val="0"/>
          <w:szCs w:val="21"/>
          <w:highlight w:val="none"/>
          <w:lang w:val="en-US" w:eastAsia="zh-CN"/>
        </w:rPr>
        <w:t>；标项二：</w:t>
      </w:r>
      <w:r>
        <w:rPr>
          <w:rFonts w:hint="eastAsia" w:ascii="宋体" w:hAnsi="宋体" w:eastAsia="宋体" w:cs="宋体"/>
          <w:color w:val="auto"/>
          <w:sz w:val="21"/>
          <w:szCs w:val="21"/>
          <w:highlight w:val="none"/>
          <w:lang w:val="en-US" w:eastAsia="zh-CN"/>
        </w:rPr>
        <w:t>在2022年6月30日前完成所有内容的</w:t>
      </w:r>
      <w:r>
        <w:rPr>
          <w:rFonts w:hint="eastAsia" w:ascii="宋体" w:hAnsi="宋体" w:eastAsia="宋体" w:cs="宋体"/>
          <w:color w:val="auto"/>
          <w:szCs w:val="21"/>
          <w:highlight w:val="none"/>
          <w:lang w:val="en-US" w:eastAsia="zh-CN"/>
        </w:rPr>
        <w:t>直播、宣传展播。</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本项目（否）接受联合体投标。</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7" w:name="_Toc28359080"/>
      <w:bookmarkStart w:id="8" w:name="_Toc35393622"/>
      <w:bookmarkStart w:id="9" w:name="_Toc28359003"/>
      <w:bookmarkStart w:id="10" w:name="_Toc35393791"/>
      <w:r>
        <w:rPr>
          <w:rFonts w:hint="eastAsia" w:ascii="宋体" w:hAnsi="宋体" w:eastAsia="宋体" w:cs="宋体"/>
          <w:b/>
          <w:bCs/>
          <w:color w:val="auto"/>
          <w:kern w:val="0"/>
          <w:szCs w:val="21"/>
          <w:highlight w:val="none"/>
        </w:rPr>
        <w:t>二、申请人的资格要求：</w:t>
      </w:r>
      <w:bookmarkEnd w:id="7"/>
      <w:bookmarkEnd w:id="8"/>
      <w:bookmarkEnd w:id="9"/>
      <w:bookmarkEnd w:id="10"/>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1.</w:t>
      </w:r>
      <w:r>
        <w:rPr>
          <w:rFonts w:hint="eastAsia" w:ascii="宋体" w:hAnsi="宋体" w:eastAsia="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2.落实政府采购政策需满足的资格要求：</w:t>
      </w:r>
      <w:r>
        <w:rPr>
          <w:rFonts w:hint="eastAsia" w:ascii="宋体" w:hAnsi="宋体" w:eastAsia="宋体" w:cs="宋体"/>
          <w:color w:val="auto"/>
          <w:highlight w:val="none"/>
        </w:rPr>
        <w:t>本项目专门面向中小企业采购</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3.本项目的特定资格要求：</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3.1单位负责人为同一人或者存在直接控股、管理关系的不同投标人，不得参加同一合同项下的政府采购活动。</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3.2本项目不接受联合体投标。</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1" w:name="_Toc35393792"/>
      <w:bookmarkStart w:id="12" w:name="_Toc28359081"/>
      <w:bookmarkStart w:id="13" w:name="_Toc28359004"/>
      <w:bookmarkStart w:id="14" w:name="_Toc35393623"/>
      <w:r>
        <w:rPr>
          <w:rFonts w:hint="eastAsia" w:ascii="宋体" w:hAnsi="宋体" w:eastAsia="宋体" w:cs="宋体"/>
          <w:b/>
          <w:bCs/>
          <w:color w:val="auto"/>
          <w:kern w:val="0"/>
          <w:szCs w:val="21"/>
          <w:highlight w:val="none"/>
        </w:rPr>
        <w:t>三、获取采购文件</w:t>
      </w:r>
      <w:bookmarkEnd w:id="11"/>
      <w:bookmarkEnd w:id="12"/>
      <w:bookmarkEnd w:id="13"/>
      <w:bookmarkEnd w:id="14"/>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1.时间：/至2021年</w:t>
      </w:r>
      <w:r>
        <w:rPr>
          <w:rFonts w:hint="eastAsia" w:ascii="宋体" w:hAnsi="宋体" w:cs="宋体"/>
          <w:color w:val="auto"/>
          <w:kern w:val="0"/>
          <w:szCs w:val="21"/>
          <w:highlight w:val="none"/>
          <w:lang w:val="en-US" w:eastAsia="zh-CN"/>
        </w:rPr>
        <w:t>12</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日，每天上午00:00至12:00，下午12:00至23:59（北京时间，线上获取法定节假日均可，线下获取文件法定节假日除外）；</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2.地点（网址）：浙</w:t>
      </w:r>
      <w:r>
        <w:rPr>
          <w:rFonts w:hint="eastAsia" w:ascii="宋体" w:hAnsi="宋体" w:eastAsia="宋体" w:cs="宋体"/>
          <w:color w:val="auto"/>
          <w:szCs w:val="21"/>
          <w:highlight w:val="none"/>
        </w:rPr>
        <w:t>江政府采购网（http://zfcg.czt.zj.gov.cn/）；</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3.方式：</w:t>
      </w:r>
      <w:r>
        <w:rPr>
          <w:rFonts w:hint="eastAsia" w:ascii="宋体" w:hAnsi="宋体" w:eastAsia="宋体" w:cs="宋体"/>
          <w:color w:val="auto"/>
          <w:szCs w:val="21"/>
          <w:highlight w:val="none"/>
        </w:rPr>
        <w:t>供应商通过“浙江政府采购网”在线获取（招标公告下方选取“潜在供应商”处“获取采购文件”），不提供纸制版采购文件；供应商只有在“浙江政府采购网”完成获取采购文件申请并下载了采购文件后才视作依法获取采购文件。通过本公告下方“游客，浏览采购文件”下载的采购文件仅供浏览，不视作依法获取采购文件。</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4.售价（元）：</w:t>
      </w:r>
      <w:r>
        <w:rPr>
          <w:rFonts w:hint="eastAsia" w:ascii="宋体" w:hAnsi="宋体" w:eastAsia="宋体" w:cs="宋体"/>
          <w:color w:val="auto"/>
          <w:szCs w:val="21"/>
          <w:highlight w:val="none"/>
        </w:rPr>
        <w:t>0</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5" w:name="_Toc28359005"/>
      <w:bookmarkStart w:id="16" w:name="_Toc35393624"/>
      <w:bookmarkStart w:id="17" w:name="_Toc35393793"/>
      <w:bookmarkStart w:id="18" w:name="_Toc28359082"/>
      <w:r>
        <w:rPr>
          <w:rFonts w:hint="eastAsia" w:ascii="宋体" w:hAnsi="宋体" w:eastAsia="宋体" w:cs="宋体"/>
          <w:b/>
          <w:bCs/>
          <w:color w:val="auto"/>
          <w:kern w:val="0"/>
          <w:szCs w:val="21"/>
          <w:highlight w:val="none"/>
        </w:rPr>
        <w:t>四、</w:t>
      </w:r>
      <w:bookmarkEnd w:id="15"/>
      <w:bookmarkEnd w:id="16"/>
      <w:bookmarkEnd w:id="17"/>
      <w:bookmarkEnd w:id="18"/>
      <w:r>
        <w:rPr>
          <w:rFonts w:hint="eastAsia" w:ascii="宋体" w:hAnsi="宋体" w:eastAsia="宋体" w:cs="宋体"/>
          <w:b/>
          <w:bCs/>
          <w:color w:val="auto"/>
          <w:kern w:val="0"/>
          <w:szCs w:val="21"/>
          <w:highlight w:val="none"/>
        </w:rPr>
        <w:t>提交投标文件截止时间、开标时间和地点</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1.递交投标文件截止时间：2021年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22</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lang w:val="en-US" w:eastAsia="zh-CN"/>
        </w:rPr>
        <w:t>09</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2.投标地点（网址）：政府采购云平台（https://www.zcygov.cn）</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3.开标时间：2021年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22</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lang w:val="en-US" w:eastAsia="zh-CN"/>
        </w:rPr>
        <w:t>09</w:t>
      </w:r>
      <w:r>
        <w:rPr>
          <w:rFonts w:hint="eastAsia" w:ascii="宋体" w:hAnsi="宋体" w:eastAsia="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eastAsia="宋体" w:cs="宋体"/>
          <w:bCs/>
          <w:color w:val="auto"/>
          <w:kern w:val="0"/>
          <w:szCs w:val="21"/>
          <w:highlight w:val="none"/>
        </w:rPr>
        <w:t>（北京时间）</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4.开标地点（网址）：在政府采购云平台（https://www.zcygov.cn）上开启投标文件  </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19" w:name="_Toc35393794"/>
      <w:bookmarkStart w:id="20" w:name="_Toc28359084"/>
      <w:bookmarkStart w:id="21" w:name="_Toc35393625"/>
      <w:bookmarkStart w:id="22" w:name="_Toc28359007"/>
      <w:r>
        <w:rPr>
          <w:rFonts w:hint="eastAsia" w:ascii="宋体" w:hAnsi="宋体" w:eastAsia="宋体" w:cs="宋体"/>
          <w:b/>
          <w:bCs/>
          <w:color w:val="auto"/>
          <w:kern w:val="0"/>
          <w:szCs w:val="21"/>
          <w:highlight w:val="none"/>
        </w:rPr>
        <w:t>五、公告期限</w:t>
      </w:r>
      <w:bookmarkEnd w:id="19"/>
      <w:bookmarkEnd w:id="20"/>
      <w:bookmarkEnd w:id="21"/>
      <w:bookmarkEnd w:id="22"/>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widowControl/>
        <w:adjustRightInd w:val="0"/>
        <w:snapToGrid w:val="0"/>
        <w:spacing w:line="360" w:lineRule="auto"/>
        <w:ind w:firstLine="422" w:firstLineChars="200"/>
        <w:jc w:val="left"/>
        <w:rPr>
          <w:rFonts w:hint="eastAsia" w:ascii="宋体" w:hAnsi="宋体" w:eastAsia="宋体" w:cs="宋体"/>
          <w:b/>
          <w:bCs/>
          <w:color w:val="auto"/>
          <w:kern w:val="0"/>
          <w:szCs w:val="21"/>
          <w:highlight w:val="none"/>
        </w:rPr>
      </w:pPr>
      <w:bookmarkStart w:id="23" w:name="_Toc35393795"/>
      <w:bookmarkStart w:id="24" w:name="_Toc35393626"/>
      <w:r>
        <w:rPr>
          <w:rFonts w:hint="eastAsia" w:ascii="宋体" w:hAnsi="宋体" w:eastAsia="宋体" w:cs="宋体"/>
          <w:b/>
          <w:bCs/>
          <w:color w:val="auto"/>
          <w:kern w:val="0"/>
          <w:szCs w:val="21"/>
          <w:highlight w:val="none"/>
        </w:rPr>
        <w:t>六、其他补充事宜</w:t>
      </w:r>
      <w:bookmarkEnd w:id="23"/>
      <w:bookmarkEnd w:id="24"/>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宋体" w:hAnsi="宋体" w:eastAsia="宋体" w:cs="宋体"/>
          <w:bCs/>
          <w:color w:val="auto"/>
          <w:kern w:val="0"/>
          <w:szCs w:val="21"/>
          <w:highlight w:val="none"/>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adjustRightInd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2.其他事项</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2.1不需交纳投标保证金。</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2.2</w:t>
      </w:r>
      <w:r>
        <w:rPr>
          <w:rFonts w:hint="eastAsia" w:ascii="宋体" w:hAnsi="宋体" w:eastAsia="宋体" w:cs="宋体"/>
          <w:color w:val="auto"/>
          <w:kern w:val="0"/>
          <w:szCs w:val="21"/>
          <w:highlight w:val="none"/>
        </w:rPr>
        <w:t>采购项目需要落实的政府采购政策：无。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2.3</w:t>
      </w:r>
      <w:r>
        <w:rPr>
          <w:rFonts w:hint="eastAsia" w:ascii="宋体" w:hAnsi="宋体" w:eastAsia="宋体" w:cs="宋体"/>
          <w:color w:val="auto"/>
          <w:kern w:val="0"/>
          <w:szCs w:val="21"/>
          <w:highlight w:val="none"/>
        </w:rPr>
        <w:t>在线响应（电子交易）说明</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2.3.1本项目采用政府采购电子化交易。</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2.3.2供应商在提交投标文件前应已完成CA数字证书办理。（办理流程详见http://zfcg.czt.zj.gov.cn/bidClientTemplate/2019-05-27/12945.html）。</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2.3.3供应商应安装“政采云投标客户端”，电子投标工具请供应商自行前往浙江政府采购网下载并安装，（下载网址：http://zfcg.czt.zj.gov.cn/bidClientTemplate/2019-09-24/12975.html）。</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2.3.4电子交易具体流程详见操作指南：登录政府采购云平台（https://www.zcygov.cn/），从首页-服务中心-帮助文档-项目采购-电子招投标，查看文档和视频。</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2.3.5中标供应商应在合同签订前完成政府采购云平台（https://www.zcygov.cn/）全部注册步骤并成为正式注册入库供应商，否则将导致合同款无法正常支付，责任由中标供应商承担。请供应商尽早完成注册。https://middle.zcygov.cn/settle-front/#/registry。（供应商注册页面）。</w:t>
      </w:r>
    </w:p>
    <w:p>
      <w:pPr>
        <w:snapToGrid w:val="0"/>
        <w:spacing w:line="360" w:lineRule="auto"/>
        <w:ind w:firstLine="422" w:firstLineChars="200"/>
        <w:rPr>
          <w:rFonts w:hint="eastAsia" w:ascii="宋体" w:hAnsi="宋体" w:eastAsia="宋体" w:cs="宋体"/>
          <w:b/>
          <w:bCs/>
          <w:color w:val="auto"/>
          <w:szCs w:val="21"/>
          <w:highlight w:val="none"/>
        </w:rPr>
      </w:pPr>
      <w:bookmarkStart w:id="25" w:name="_Toc28359085"/>
      <w:bookmarkStart w:id="26" w:name="_Toc35393796"/>
      <w:bookmarkStart w:id="27" w:name="_Toc28359008"/>
      <w:bookmarkStart w:id="28" w:name="_Toc35393627"/>
      <w:r>
        <w:rPr>
          <w:rFonts w:hint="eastAsia" w:ascii="宋体" w:hAnsi="宋体" w:eastAsia="宋体" w:cs="宋体"/>
          <w:b/>
          <w:bCs/>
          <w:color w:val="auto"/>
          <w:kern w:val="0"/>
          <w:szCs w:val="21"/>
          <w:highlight w:val="none"/>
        </w:rPr>
        <w:t>七、</w:t>
      </w:r>
      <w:bookmarkEnd w:id="25"/>
      <w:bookmarkEnd w:id="26"/>
      <w:bookmarkEnd w:id="27"/>
      <w:bookmarkEnd w:id="28"/>
      <w:r>
        <w:rPr>
          <w:rFonts w:hint="eastAsia" w:ascii="宋体" w:hAnsi="宋体" w:eastAsia="宋体" w:cs="宋体"/>
          <w:b/>
          <w:bCs/>
          <w:color w:val="auto"/>
          <w:szCs w:val="21"/>
          <w:highlight w:val="none"/>
        </w:rPr>
        <w:t>对本次采购提出询问、质疑、投诉，请按以下方式联系</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1.采购人信息</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bCs/>
          <w:color w:val="auto"/>
          <w:kern w:val="0"/>
          <w:highlight w:val="none"/>
        </w:rPr>
        <w:t>名称：</w:t>
      </w:r>
      <w:r>
        <w:rPr>
          <w:rFonts w:hint="eastAsia" w:ascii="宋体" w:hAnsi="宋体" w:eastAsia="宋体" w:cs="宋体"/>
          <w:color w:val="auto"/>
          <w:szCs w:val="21"/>
          <w:highlight w:val="none"/>
          <w:lang w:eastAsia="zh-CN"/>
        </w:rPr>
        <w:t>浙江理工大学</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地址：</w:t>
      </w:r>
      <w:r>
        <w:rPr>
          <w:rFonts w:hint="eastAsia" w:ascii="宋体" w:hAnsi="宋体" w:eastAsia="宋体" w:cs="宋体"/>
          <w:color w:val="auto"/>
          <w:kern w:val="0"/>
          <w:szCs w:val="21"/>
          <w:highlight w:val="none"/>
          <w:lang w:eastAsia="zh-CN"/>
        </w:rPr>
        <w:t>杭州下沙高教园区2号大街928号</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项目联系人（询问）：</w:t>
      </w:r>
      <w:r>
        <w:rPr>
          <w:rFonts w:hint="eastAsia" w:ascii="宋体" w:hAnsi="宋体" w:eastAsia="宋体" w:cs="宋体"/>
          <w:color w:val="auto"/>
          <w:szCs w:val="21"/>
          <w:highlight w:val="none"/>
          <w:lang w:eastAsia="zh-CN"/>
        </w:rPr>
        <w:t>陶</w:t>
      </w:r>
      <w:r>
        <w:rPr>
          <w:rFonts w:hint="eastAsia" w:ascii="宋体" w:hAnsi="宋体" w:cs="宋体"/>
          <w:color w:val="auto"/>
          <w:szCs w:val="21"/>
          <w:highlight w:val="none"/>
          <w:lang w:val="en-US" w:eastAsia="zh-CN"/>
        </w:rPr>
        <w:t>老师</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项目联系方式（询问）：0571-</w:t>
      </w:r>
      <w:r>
        <w:rPr>
          <w:rFonts w:hint="eastAsia" w:ascii="宋体" w:hAnsi="宋体" w:eastAsia="宋体" w:cs="宋体"/>
          <w:color w:val="auto"/>
          <w:szCs w:val="21"/>
          <w:highlight w:val="none"/>
          <w:lang w:eastAsia="zh-CN"/>
        </w:rPr>
        <w:t>86843789</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eastAsia="zh-CN"/>
        </w:rPr>
        <w:t>邵老师</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质疑联系方式：</w:t>
      </w:r>
      <w:r>
        <w:rPr>
          <w:rFonts w:hint="eastAsia" w:ascii="宋体" w:hAnsi="宋体" w:eastAsia="宋体" w:cs="宋体"/>
          <w:color w:val="auto"/>
          <w:szCs w:val="21"/>
          <w:highlight w:val="none"/>
          <w:lang w:eastAsia="zh-CN"/>
        </w:rPr>
        <w:t>0571-86843939</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2.采购代理机构信息</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名称：浙江省成套招标代理有限公司</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地址：杭州市文晖路42号现代置业大厦西楼18层1801室</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传真：</w:t>
      </w:r>
      <w:r>
        <w:rPr>
          <w:rFonts w:hint="eastAsia" w:ascii="宋体" w:hAnsi="宋体" w:eastAsia="宋体" w:cs="宋体"/>
          <w:color w:val="auto"/>
          <w:kern w:val="0"/>
          <w:szCs w:val="21"/>
          <w:highlight w:val="none"/>
        </w:rPr>
        <w:t>4008-266-163转07285</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项目联系人（询问）：石晓聪、张洁芬</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项目联系方式（询问）：0571-88368025，15757182519</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质疑联系人：冯东东</w:t>
      </w:r>
    </w:p>
    <w:p>
      <w:pPr>
        <w:widowControl/>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质疑联系方式：</w:t>
      </w:r>
      <w:r>
        <w:rPr>
          <w:rFonts w:hint="eastAsia" w:ascii="宋体" w:hAnsi="宋体" w:eastAsia="宋体" w:cs="宋体"/>
          <w:color w:val="auto"/>
          <w:kern w:val="0"/>
          <w:szCs w:val="21"/>
          <w:highlight w:val="none"/>
        </w:rPr>
        <w:t>0571-85331293</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3.同级政府采购监管部门：浙江省财政厅政府采购监管处</w:t>
      </w:r>
    </w:p>
    <w:p>
      <w:pPr>
        <w:widowControl/>
        <w:adjustRightInd w:val="0"/>
        <w:snapToGrid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地址：杭州市环城西路37号</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联系人：倪文良、吴聪瑜 </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监督投诉</w:t>
      </w:r>
      <w:r>
        <w:rPr>
          <w:rFonts w:hint="eastAsia" w:ascii="宋体" w:hAnsi="宋体" w:eastAsia="宋体" w:cs="宋体"/>
          <w:color w:val="auto"/>
          <w:szCs w:val="21"/>
          <w:highlight w:val="none"/>
        </w:rPr>
        <w:t>电话：0571-87057615、8705848</w:t>
      </w:r>
      <w:r>
        <w:rPr>
          <w:rFonts w:hint="eastAsia" w:ascii="宋体" w:hAnsi="宋体" w:eastAsia="宋体" w:cs="宋体"/>
          <w:color w:val="auto"/>
          <w:kern w:val="0"/>
          <w:szCs w:val="21"/>
          <w:highlight w:val="none"/>
        </w:rPr>
        <w:t>9</w:t>
      </w:r>
    </w:p>
    <w:p>
      <w:pPr>
        <w:widowControl/>
        <w:snapToGrid w:val="0"/>
        <w:spacing w:line="360" w:lineRule="auto"/>
        <w:ind w:firstLine="420" w:firstLineChars="200"/>
        <w:jc w:val="left"/>
        <w:rPr>
          <w:rFonts w:hint="eastAsia" w:ascii="宋体" w:hAnsi="宋体" w:eastAsia="宋体" w:cs="宋体"/>
          <w:color w:val="auto"/>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kern w:val="0"/>
          <w:szCs w:val="21"/>
          <w:highlight w:val="none"/>
        </w:rPr>
        <w:br w:type="page"/>
      </w:r>
      <w:bookmarkStart w:id="29" w:name="_Toc15279"/>
      <w:r>
        <w:rPr>
          <w:rFonts w:hint="eastAsia" w:ascii="宋体" w:hAnsi="宋体" w:eastAsia="宋体" w:cs="宋体"/>
          <w:color w:val="auto"/>
          <w:highlight w:val="none"/>
        </w:rPr>
        <w:t>第二章  采购内容及技术要求</w:t>
      </w:r>
      <w:bookmarkEnd w:id="29"/>
    </w:p>
    <w:p>
      <w:pPr>
        <w:pStyle w:val="4"/>
        <w:jc w:val="center"/>
        <w:rPr>
          <w:rFonts w:hint="eastAsia" w:ascii="宋体" w:hAnsi="宋体" w:eastAsia="宋体" w:cs="宋体"/>
          <w:color w:val="auto"/>
          <w:sz w:val="21"/>
          <w:szCs w:val="21"/>
          <w:highlight w:val="none"/>
          <w:lang w:val="en-US" w:eastAsia="zh-CN"/>
        </w:rPr>
      </w:pPr>
      <w:bookmarkStart w:id="30" w:name="_Toc1475"/>
      <w:bookmarkStart w:id="31" w:name="_Toc31279"/>
      <w:bookmarkStart w:id="32" w:name="_Toc2050"/>
      <w:bookmarkStart w:id="33" w:name="_Toc2355"/>
      <w:bookmarkStart w:id="34" w:name="_Toc4114"/>
      <w:bookmarkStart w:id="35" w:name="_Toc2643"/>
      <w:r>
        <w:rPr>
          <w:rFonts w:hint="eastAsia" w:ascii="宋体" w:hAnsi="宋体" w:eastAsia="宋体" w:cs="宋体"/>
          <w:color w:val="auto"/>
          <w:sz w:val="21"/>
          <w:szCs w:val="21"/>
          <w:highlight w:val="none"/>
          <w:lang w:val="en-US" w:eastAsia="zh-CN"/>
        </w:rPr>
        <w:t>标项一：2022年浙江理工大学招生宣传视频制作</w:t>
      </w:r>
    </w:p>
    <w:bookmarkEnd w:id="30"/>
    <w:p>
      <w:pPr>
        <w:pStyle w:val="4"/>
        <w:jc w:val="left"/>
        <w:rPr>
          <w:rFonts w:hint="eastAsia" w:ascii="宋体" w:hAnsi="宋体" w:eastAsia="宋体" w:cs="宋体"/>
          <w:color w:val="auto"/>
          <w:sz w:val="21"/>
          <w:szCs w:val="21"/>
          <w:highlight w:val="none"/>
          <w:lang w:val="en-US" w:eastAsia="zh-CN"/>
        </w:rPr>
      </w:pPr>
      <w:bookmarkStart w:id="36" w:name="_Toc31665"/>
      <w:r>
        <w:rPr>
          <w:rFonts w:hint="eastAsia" w:ascii="宋体" w:hAnsi="宋体" w:eastAsia="宋体" w:cs="宋体"/>
          <w:color w:val="auto"/>
          <w:sz w:val="21"/>
          <w:szCs w:val="21"/>
          <w:highlight w:val="none"/>
          <w:lang w:val="en-US" w:eastAsia="zh-CN"/>
        </w:rPr>
        <w:t>一、</w:t>
      </w:r>
      <w:bookmarkEnd w:id="36"/>
      <w:r>
        <w:rPr>
          <w:rFonts w:hint="eastAsia" w:ascii="宋体" w:hAnsi="宋体" w:eastAsia="宋体" w:cs="宋体"/>
          <w:color w:val="auto"/>
          <w:sz w:val="21"/>
          <w:szCs w:val="21"/>
          <w:highlight w:val="none"/>
          <w:lang w:val="en-US" w:eastAsia="zh-CN"/>
        </w:rPr>
        <w:t>项目内容、要求及数量</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1、校园环境、特色活动、专业介绍、招生政策等短视频拍摄制作：要求视频数量不少于40个，单个视频时长不低于1分钟；</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2、名师、优生人物纪录片拍摄制作：要求视频数量不少于12个，单个视频时长不低于3分钟，每个人物纪录片配有1个不少于2000字左右的报道稿件；</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3、视频</w:t>
      </w:r>
      <w:r>
        <w:rPr>
          <w:rFonts w:hint="eastAsia" w:ascii="宋体" w:hAnsi="宋体" w:eastAsia="宋体" w:cs="宋体"/>
          <w:color w:val="auto"/>
          <w:sz w:val="21"/>
          <w:szCs w:val="21"/>
          <w:highlight w:val="none"/>
          <w:lang w:eastAsia="zh-CN"/>
        </w:rPr>
        <w:t>分辨率不低1920*1080，图像比16:9，视频文件格式</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为mov或mp4等编码，码率</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2400以上，音频格式</w:t>
      </w:r>
      <w:r>
        <w:rPr>
          <w:rFonts w:hint="eastAsia" w:ascii="宋体" w:hAnsi="宋体" w:eastAsia="宋体" w:cs="宋体"/>
          <w:color w:val="auto"/>
          <w:sz w:val="21"/>
          <w:szCs w:val="21"/>
          <w:highlight w:val="none"/>
          <w:lang w:val="en-US" w:eastAsia="zh-CN"/>
        </w:rPr>
        <w:t>要求为</w:t>
      </w:r>
      <w:r>
        <w:rPr>
          <w:rFonts w:hint="eastAsia" w:ascii="宋体" w:hAnsi="宋体" w:eastAsia="宋体" w:cs="宋体"/>
          <w:color w:val="auto"/>
          <w:sz w:val="21"/>
          <w:szCs w:val="21"/>
          <w:highlight w:val="none"/>
          <w:lang w:eastAsia="zh-CN"/>
        </w:rPr>
        <w:t>mp3。</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lang w:eastAsia="zh-CN"/>
        </w:rPr>
        <w:t>配音人员普通话水平应达到一级乙等及以上标准。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视频号年度规划、运营：在“三位一体”、高招季等招生宣传节点，要求根据采购人需求、招生宣传热点及本次合作视频产出与采购人提供视频规划“浙江理工大学招生办”视频号全年运营节奏并发布，运营周期自合同签订之日起1年。</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5、所有短视频摄制完成后，所有拍摄的素材、资料以及成片最终交给采购人归档，合作视频内容版权归浙江理工大学招生办所有，经浙江理工大学招生办同意，合作方享有使用、发布等权利。</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二、服务团队要求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1、要求供应商具备创意、脚本撰写、视频拍摄、视频后期制作能力及整体流程管理经验；</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2、要求供应商拥有稳定的前期拍摄和后期制作团队，</w:t>
      </w:r>
      <w:r>
        <w:rPr>
          <w:rFonts w:hint="eastAsia" w:ascii="宋体" w:hAnsi="宋体" w:eastAsia="宋体" w:cs="宋体"/>
          <w:color w:val="auto"/>
          <w:sz w:val="21"/>
          <w:szCs w:val="21"/>
          <w:highlight w:val="none"/>
        </w:rPr>
        <w:t>在接到</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通知后，</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小时内完成电话应答；</w:t>
      </w:r>
      <w:r>
        <w:rPr>
          <w:rFonts w:hint="eastAsia" w:ascii="宋体" w:hAnsi="宋体" w:eastAsia="宋体" w:cs="宋体"/>
          <w:color w:val="auto"/>
          <w:sz w:val="21"/>
          <w:szCs w:val="21"/>
          <w:highlight w:val="none"/>
          <w:lang w:val="en-US" w:eastAsia="zh-CN"/>
        </w:rPr>
        <w:t>如需现场沟通的，供应商需</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小时内到达现场</w:t>
      </w:r>
      <w:r>
        <w:rPr>
          <w:rFonts w:hint="eastAsia" w:ascii="宋体" w:hAnsi="宋体" w:eastAsia="宋体" w:cs="宋体"/>
          <w:color w:val="auto"/>
          <w:sz w:val="21"/>
          <w:szCs w:val="21"/>
          <w:highlight w:val="none"/>
          <w:lang w:val="en-US" w:eastAsia="zh-CN"/>
        </w:rPr>
        <w:t>与采购人进行沟通</w:t>
      </w:r>
      <w:r>
        <w:rPr>
          <w:rFonts w:hint="eastAsia" w:ascii="宋体" w:hAnsi="宋体" w:eastAsia="宋体" w:cs="宋体"/>
          <w:color w:val="auto"/>
          <w:szCs w:val="21"/>
          <w:highlight w:val="none"/>
          <w:lang w:val="en-US" w:eastAsia="zh-CN"/>
        </w:rPr>
        <w:t>；</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3、供应商需提供承诺可根据采购人需要随时到校进行拍摄，且不限修改次数，直至满意为止（承诺函格式自拟）；</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4、要求提供的售后服务方案全面周到；</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5、供应商要求具并有一定资源和基础，方便运营沟通。</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三、项目完成时间</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在2022年5月31日前完成所有内容的</w:t>
      </w:r>
      <w:r>
        <w:rPr>
          <w:rFonts w:hint="eastAsia" w:ascii="宋体" w:hAnsi="宋体" w:eastAsia="宋体" w:cs="宋体"/>
          <w:color w:val="auto"/>
          <w:szCs w:val="21"/>
          <w:highlight w:val="none"/>
          <w:lang w:val="en-US" w:eastAsia="zh-CN"/>
        </w:rPr>
        <w:t>拍摄制作。</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四、付款方式及履约保证金</w:t>
      </w:r>
    </w:p>
    <w:p>
      <w:pPr>
        <w:spacing w:line="360" w:lineRule="auto"/>
        <w:ind w:firstLine="420" w:firstLineChars="200"/>
        <w:rPr>
          <w:rFonts w:hint="eastAsia" w:ascii="宋体" w:hAnsi="宋体" w:eastAsia="宋体" w:cs="宋体"/>
          <w:color w:val="auto"/>
          <w:szCs w:val="21"/>
          <w:highlight w:val="none"/>
          <w:lang w:val="en-US" w:eastAsia="zh-CN"/>
        </w:rPr>
      </w:pPr>
      <w:bookmarkStart w:id="37" w:name="_Toc15770"/>
      <w:r>
        <w:rPr>
          <w:rFonts w:hint="eastAsia" w:ascii="宋体" w:hAnsi="宋体" w:eastAsia="宋体" w:cs="宋体"/>
          <w:color w:val="auto"/>
          <w:szCs w:val="21"/>
          <w:highlight w:val="none"/>
          <w:lang w:val="en-US" w:eastAsia="zh-CN"/>
        </w:rPr>
        <w:t>1、付款方式：合同生效后10日内，采购人向供应商支付合同金额的30%作为预付款，项目完成后，由采购人向供应商支付合同金额的70%。</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2、履约保证金：合同生效后5个工作日内，供应商应向采购人暂交5%的合同履约保证金，运营周期结束后5个工作日内退还。</w:t>
      </w:r>
    </w:p>
    <w:p>
      <w:pPr>
        <w:rPr>
          <w:rFonts w:hint="eastAsia" w:ascii="宋体" w:hAnsi="宋体" w:eastAsia="宋体" w:cs="宋体"/>
          <w:color w:val="auto"/>
          <w:sz w:val="21"/>
          <w:szCs w:val="21"/>
          <w:highlight w:val="none"/>
          <w:lang w:val="en-US" w:eastAsia="zh-CN"/>
        </w:rPr>
      </w:pPr>
    </w:p>
    <w:p>
      <w:pPr>
        <w:pStyle w:val="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标项二：2022年浙江理工大学招生宣传运营</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一、项目内容、要求及数量</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为了配合做好2022年采购人招生工作宣传工作，提高采购人2022年招生生源质量和扩大学校美誉度，鉴于疫情防控需要，迫切需要选择具有专业技术能力及丰富宣传经验的供应商为学校搭建线上服务平台及提供信息技术支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线下招生宣讲直播服务：在“三位一体”、高招季等招生宣传节点，配合前往浙江省内多地进行招生宣讲直播，数量不少于5场。直播前需制作直播预热海报，直播后精选优质内容，每场剪辑不少于3个1分钟左右的短视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在线访谈直播服务：在“三位一体”、高招季等招生宣传节点，根据采购人需求进行在线访谈直播，数量不少于8场。直播前需制作直播预热海报，直播后精选优质内容，每场剪辑不少于3个1分钟左右的短视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4、短视频</w:t>
      </w:r>
      <w:r>
        <w:rPr>
          <w:rFonts w:hint="eastAsia" w:ascii="宋体" w:hAnsi="宋体" w:eastAsia="宋体" w:cs="宋体"/>
          <w:color w:val="auto"/>
          <w:sz w:val="21"/>
          <w:szCs w:val="21"/>
          <w:highlight w:val="none"/>
          <w:lang w:eastAsia="zh-CN"/>
        </w:rPr>
        <w:t>分辨率不低1920*1080，图像比16:9，视频文件格式</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为mov或mp4等编码，码率</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2400以上，音频格式</w:t>
      </w:r>
      <w:r>
        <w:rPr>
          <w:rFonts w:hint="eastAsia" w:ascii="宋体" w:hAnsi="宋体" w:eastAsia="宋体" w:cs="宋体"/>
          <w:color w:val="auto"/>
          <w:sz w:val="21"/>
          <w:szCs w:val="21"/>
          <w:highlight w:val="none"/>
          <w:lang w:val="en-US" w:eastAsia="zh-CN"/>
        </w:rPr>
        <w:t>要求为</w:t>
      </w:r>
      <w:r>
        <w:rPr>
          <w:rFonts w:hint="eastAsia" w:ascii="宋体" w:hAnsi="宋体" w:eastAsia="宋体" w:cs="宋体"/>
          <w:color w:val="auto"/>
          <w:sz w:val="21"/>
          <w:szCs w:val="21"/>
          <w:highlight w:val="none"/>
          <w:lang w:eastAsia="zh-CN"/>
        </w:rPr>
        <w:t>mp3。</w:t>
      </w:r>
      <w:r>
        <w:rPr>
          <w:rFonts w:hint="eastAsia" w:ascii="宋体" w:hAnsi="宋体" w:eastAsia="宋体" w:cs="宋体"/>
          <w:color w:val="auto"/>
          <w:sz w:val="21"/>
          <w:szCs w:val="21"/>
          <w:highlight w:val="none"/>
          <w:lang w:val="en-US" w:eastAsia="zh-CN"/>
        </w:rPr>
        <w:t>直播</w:t>
      </w:r>
      <w:r>
        <w:rPr>
          <w:rFonts w:hint="eastAsia" w:ascii="宋体" w:hAnsi="宋体" w:eastAsia="宋体" w:cs="宋体"/>
          <w:color w:val="auto"/>
          <w:sz w:val="21"/>
          <w:szCs w:val="21"/>
          <w:highlight w:val="none"/>
          <w:lang w:eastAsia="zh-CN"/>
        </w:rPr>
        <w:t>人员普通话水平应达到一级乙等及以上标准。</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5、招生宣传重要资讯宣传展播：集纳浙江理工大学重点招生宣传资讯，制作网络专题进行展示，数量不少于3个；</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6、考生社群运营服务：协助浙江理工大学搭建、运维特定阶段考生及家长咨询群，安排工作人员在群内协助学校老师进行答疑、宣传内容发布，运营周期自合同签订之日起1年；</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7、招生资讯发布：对采购人提供的稿件在全网不少于5个平台进行发布，每个平台不少于10篇。</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8、所有短视频剪辑完成后，所有拍摄的素材、资料以及成片最终交给采购人归档，合作视频内容版权归浙江理工大学招生办所有，经浙江理工大学招生办同意，合作方享有使用、发布等权利。</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二、服务团队要求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1、要求供应商对现场直播有丰富经验，开展过教育相关直播；</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2、要求供应商拥有专业、稳定的服务团队；具备社群运维的丰富经验；</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3、要求提供的售后服务方案全面周到；</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4、供应商要求具有一定资源和基础，方便运营沟通。</w:t>
      </w:r>
    </w:p>
    <w:bookmarkEnd w:id="31"/>
    <w:bookmarkEnd w:id="32"/>
    <w:bookmarkEnd w:id="33"/>
    <w:bookmarkEnd w:id="34"/>
    <w:bookmarkEnd w:id="35"/>
    <w:bookmarkEnd w:id="37"/>
    <w:p>
      <w:pPr>
        <w:pStyle w:val="4"/>
        <w:jc w:val="left"/>
        <w:rPr>
          <w:rFonts w:hint="eastAsia" w:ascii="宋体" w:hAnsi="宋体" w:eastAsia="宋体" w:cs="宋体"/>
          <w:color w:val="auto"/>
          <w:sz w:val="21"/>
          <w:szCs w:val="21"/>
          <w:highlight w:val="none"/>
          <w:lang w:val="en-US" w:eastAsia="zh-CN"/>
        </w:rPr>
      </w:pPr>
      <w:bookmarkStart w:id="38" w:name="_Toc24474"/>
      <w:r>
        <w:rPr>
          <w:rFonts w:hint="eastAsia" w:ascii="宋体" w:hAnsi="宋体" w:eastAsia="宋体" w:cs="宋体"/>
          <w:color w:val="auto"/>
          <w:sz w:val="21"/>
          <w:szCs w:val="21"/>
          <w:highlight w:val="none"/>
          <w:lang w:val="en-US" w:eastAsia="zh-CN"/>
        </w:rPr>
        <w:t>三、项目完成时间</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在2022年6月30日前完成所有内容的</w:t>
      </w:r>
      <w:r>
        <w:rPr>
          <w:rFonts w:hint="eastAsia" w:ascii="宋体" w:hAnsi="宋体" w:eastAsia="宋体" w:cs="宋体"/>
          <w:color w:val="auto"/>
          <w:szCs w:val="21"/>
          <w:highlight w:val="none"/>
          <w:lang w:val="en-US" w:eastAsia="zh-CN"/>
        </w:rPr>
        <w:t>直播、宣传展播。</w:t>
      </w:r>
    </w:p>
    <w:p>
      <w:pPr>
        <w:pStyle w:val="4"/>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四、付款方式及履约保证金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1、付款方式：合同生效后10日内，采购人向供应商支付合同金额的30%作为预付款，项目完成后，由采购人向供应商支付合同金额的70%。</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2、履约保证金：合同生效后5个工作日内，供应商应向采购人暂交5%的合同履约保证金，运营周期结束后5个工作日内退还。</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r>
        <w:rPr>
          <w:rFonts w:hint="eastAsia" w:ascii="宋体" w:hAnsi="宋体" w:eastAsia="宋体" w:cs="宋体"/>
          <w:color w:val="auto"/>
          <w:highlight w:val="none"/>
        </w:rPr>
        <w:t>第三章  评标办法</w:t>
      </w:r>
      <w:bookmarkEnd w:id="38"/>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本评标办法根据《中华人民共和国政府采购法》的有关规定，并结合本项目的具体情况制定。</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一、总则</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二、评标组织</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将按照本章规定的评审方法、评分标准，对符合性审查合格的投标文件进行商务和技术的评估、综合比较与评价。评标时，评标委员会各成员将独立对每个供应商的投标文件进行评价，并汇总每个供应商的得分。</w:t>
      </w:r>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综合得分=商务技术得分+报价得分</w:t>
      </w:r>
    </w:p>
    <w:p>
      <w:pPr>
        <w:adjustRightInd w:val="0"/>
        <w:snapToGrid w:val="0"/>
        <w:spacing w:line="360" w:lineRule="auto"/>
        <w:ind w:firstLine="422" w:firstLineChars="200"/>
        <w:rPr>
          <w:rFonts w:hint="eastAsia" w:ascii="宋体" w:hAnsi="宋体" w:eastAsia="宋体" w:cs="宋体"/>
          <w:b/>
          <w:bCs/>
          <w:color w:val="auto"/>
          <w:highlight w:val="none"/>
        </w:rPr>
      </w:pPr>
      <w:bookmarkStart w:id="39" w:name="_Toc23241"/>
      <w:bookmarkStart w:id="40" w:name="_Toc30310"/>
      <w:bookmarkStart w:id="41" w:name="_Toc22795"/>
      <w:r>
        <w:rPr>
          <w:rFonts w:hint="eastAsia" w:ascii="宋体" w:hAnsi="宋体" w:eastAsia="宋体" w:cs="宋体"/>
          <w:b/>
          <w:bCs/>
          <w:color w:val="auto"/>
          <w:highlight w:val="none"/>
        </w:rPr>
        <w:t>三、评审流程及内容</w:t>
      </w:r>
      <w:bookmarkEnd w:id="39"/>
      <w:bookmarkEnd w:id="40"/>
      <w:bookmarkEnd w:id="41"/>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3.1 评审前准备</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3.1.1由评审专家推选评审组长，采购人代表不得担任评审组长。</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由评审组长召集所有评审专家阅读采购文件及相关补充、质疑、答复文件、项目书面说明等材料，熟悉采购项目基本情况、采购需求、合同主要条款、投标文件无效情形、评审办法、评审标准，以及其他与评审有关的内容。</w:t>
      </w:r>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 投标文件的初步审查、符合性审查</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3.2.1评标委员会首先对符合资格的供应商的投标文件进行符合性审查，以确定其是否满足采购文件的实质性要求</w:t>
      </w:r>
    </w:p>
    <w:p>
      <w:pPr>
        <w:spacing w:line="360" w:lineRule="auto"/>
        <w:ind w:firstLine="413" w:firstLineChars="196"/>
        <w:rPr>
          <w:rFonts w:hint="eastAsia" w:ascii="宋体" w:hAnsi="宋体" w:eastAsia="宋体" w:cs="宋体"/>
          <w:b/>
          <w:color w:val="auto"/>
          <w:highlight w:val="none"/>
        </w:rPr>
      </w:pPr>
      <w:r>
        <w:rPr>
          <w:rFonts w:hint="eastAsia" w:ascii="宋体" w:hAnsi="宋体" w:eastAsia="宋体" w:cs="宋体"/>
          <w:b/>
          <w:color w:val="auto"/>
          <w:highlight w:val="none"/>
        </w:rPr>
        <w:t>3.2.2 商务、技术文件符合性审查：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商务、技术文件符合性审查中，存在下列情形之一的，经评标委员会认定后作无效标处理：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获取文件的供应商与参加投标的供应商发生实质性变更的且未提供有效证明的；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（4）投标文件未有效授权，即未提供或提供无效的法定代表人资格证明书或附法定代表人资格证明书的法定代表人授权委托书；</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未实质性响应采购文件中带“▲”条款要求的投标文件；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（9）</w:t>
      </w:r>
      <w:r>
        <w:rPr>
          <w:rFonts w:hint="eastAsia" w:ascii="宋体" w:hAnsi="宋体" w:eastAsia="宋体" w:cs="宋体"/>
          <w:color w:val="auto"/>
          <w:highlight w:val="none"/>
        </w:rPr>
        <w:t>不符合招标范围、技术规格、技术标准的要求，无法满足采购人使用要求</w:t>
      </w:r>
      <w:r>
        <w:rPr>
          <w:rStyle w:val="63"/>
          <w:rFonts w:hint="eastAsia" w:ascii="宋体" w:hAnsi="宋体" w:eastAsia="宋体" w:cs="宋体"/>
          <w:color w:val="auto"/>
          <w:highlight w:val="none"/>
        </w:rPr>
        <w:t>的</w:t>
      </w:r>
      <w:r>
        <w:rPr>
          <w:rFonts w:hint="eastAsia" w:ascii="宋体" w:hAnsi="宋体" w:eastAsia="宋体" w:cs="宋体"/>
          <w:color w:val="auto"/>
          <w:highlight w:val="none"/>
        </w:rPr>
        <w:t>；</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投标文件附有采购人不能接受的条款；</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存在本章5.1款规定的供应商串通情况的，或弄虚作假情况的；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（12）参加同一合同项下政府采购活动的不同供应商之间存在本章5.2款规定的利害关系并且存在影响政府采购公平竞争行为的；</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（13）违反国家及政府部门相关法律、法规、文件规定的。</w:t>
      </w:r>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3.2.3 报价文件符合性审查：</w:t>
      </w:r>
    </w:p>
    <w:p>
      <w:pPr>
        <w:spacing w:line="360" w:lineRule="auto"/>
        <w:ind w:firstLine="413" w:firstLineChars="196"/>
        <w:rPr>
          <w:rFonts w:hint="eastAsia" w:ascii="宋体" w:hAnsi="宋体" w:eastAsia="宋体" w:cs="宋体"/>
          <w:b/>
          <w:color w:val="auto"/>
          <w:highlight w:val="none"/>
          <w:u w:val="thick"/>
        </w:rPr>
      </w:pPr>
      <w:r>
        <w:rPr>
          <w:rFonts w:hint="eastAsia" w:ascii="宋体" w:hAnsi="宋体" w:eastAsia="宋体" w:cs="宋体"/>
          <w:b/>
          <w:color w:val="auto"/>
          <w:highlight w:val="none"/>
          <w:u w:val="thick"/>
        </w:rPr>
        <w:t>报价文件符合性审查中，存在下列情形之一的，经评标委员会认定后作无效标处理：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（1）仅提交“备份投标文件”的；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（2）投标文件存在一个或一个以上备选（替代）投标方案的；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（3）未按照采购文件标明的币种报价的，或者投标报价涵盖的内容不符合采购文件要求的；</w:t>
      </w:r>
    </w:p>
    <w:p>
      <w:pPr>
        <w:pStyle w:val="14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（4）《开标一览表》和《投标价格组成明细表》内容不一致且不接受修正的；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（5）</w:t>
      </w:r>
      <w:r>
        <w:rPr>
          <w:rFonts w:hint="eastAsia" w:ascii="宋体" w:hAnsi="宋体" w:eastAsia="宋体" w:cs="宋体"/>
          <w:color w:val="auto"/>
          <w:highlight w:val="none"/>
        </w:rPr>
        <w:t>投标文件内容未按采购文件规定签字或盖章的；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（6）</w:t>
      </w:r>
      <w:r>
        <w:rPr>
          <w:rFonts w:hint="eastAsia" w:ascii="宋体" w:hAnsi="宋体" w:eastAsia="宋体" w:cs="宋体"/>
          <w:color w:val="auto"/>
          <w:highlight w:val="none"/>
        </w:rPr>
        <w:t>投标文件组成漏项或未按规定的格式编制，内容不全或内容字迹模糊辨认不清的而导致评标活动无法正常进行；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（7）</w:t>
      </w:r>
      <w:r>
        <w:rPr>
          <w:rFonts w:hint="eastAsia" w:ascii="宋体" w:hAnsi="宋体" w:eastAsia="宋体" w:cs="宋体"/>
          <w:color w:val="auto"/>
          <w:highlight w:val="none"/>
        </w:rPr>
        <w:t>供应商未按采购文件变更公告通知更改投标文件的；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（8）</w:t>
      </w:r>
      <w:r>
        <w:rPr>
          <w:rFonts w:hint="eastAsia" w:ascii="宋体" w:hAnsi="宋体" w:eastAsia="宋体" w:cs="宋体"/>
          <w:color w:val="auto"/>
          <w:highlight w:val="none"/>
        </w:rPr>
        <w:t>投标报价超过采购文件规定的预算金额（或最高限价）；</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（9）评标委员会认为供应商的报价明显低于其他通过符合性审查供应商的报价，有可能影响产品质量或者不能诚信履约的，供应商不能在规定的时间证明其报价合理性的；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（10）</w:t>
      </w:r>
      <w:r>
        <w:rPr>
          <w:rFonts w:hint="eastAsia" w:ascii="宋体" w:hAnsi="宋体" w:eastAsia="宋体" w:cs="宋体"/>
          <w:color w:val="auto"/>
          <w:highlight w:val="none"/>
        </w:rPr>
        <w:t>未实质性响应采购文件中带“▲”条款要求的投标文件；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w:t>
      </w:r>
      <w:r>
        <w:rPr>
          <w:rFonts w:hint="eastAsia" w:ascii="宋体" w:hAnsi="宋体" w:eastAsia="宋体" w:cs="宋体"/>
          <w:color w:val="auto"/>
          <w:highlight w:val="none"/>
        </w:rPr>
        <w:t>投标文件附有采购人不能接受的条款；</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（12）违反国家及政府部门相关法律、法规、文件规定的。</w:t>
      </w:r>
    </w:p>
    <w:p>
      <w:pPr>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3.3 投标文件的澄清、说明或补正</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3.3.1评标委员会可要求供应商对投标文件中含义不明确、同类问题表述不一致、有明显的文字和计算错误的内容等进行澄清并做出答复。答复须由供应商盖章并作为投标文件的一部分。澄清以通过“政府采购云平台”在线询标的形式进行。要求供应商在规定的时间内作出必要的澄清、说明或者补正，供应商澄清、说明或补正时间为30分钟以内。</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3.3.2 供应商对投标文件的澄清不得超出投标文件的范围或者改变投标文件的实质性内容。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3.3.3上述询标、澄清、说明和补正工作如因客观原因无法通过“政府采购云平台”在线进行的，将采用书面（含邮件）形式进行。</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3.4投标文件的错误修正</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3.4.1投标文件报价出现前后不一致的，按照下列规定修正：</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（1）</w:t>
      </w:r>
      <w:r>
        <w:rPr>
          <w:rFonts w:hint="eastAsia" w:ascii="宋体" w:hAnsi="宋体" w:eastAsia="宋体" w:cs="宋体"/>
          <w:color w:val="auto"/>
          <w:highlight w:val="none"/>
        </w:rPr>
        <w:t>投标</w:t>
      </w:r>
      <w:r>
        <w:rPr>
          <w:rFonts w:hint="eastAsia" w:ascii="宋体" w:hAnsi="宋体" w:eastAsia="宋体" w:cs="宋体"/>
          <w:color w:val="auto"/>
          <w:szCs w:val="21"/>
          <w:highlight w:val="none"/>
        </w:rPr>
        <w:t>文</w:t>
      </w:r>
      <w:r>
        <w:rPr>
          <w:rFonts w:hint="eastAsia" w:ascii="宋体" w:hAnsi="宋体" w:eastAsia="宋体" w:cs="宋体"/>
          <w:color w:val="auto"/>
          <w:highlight w:val="none"/>
        </w:rPr>
        <w:t>件中开标一览表（报价表）内容与投标文件中相应内容不一致的，以开标一览表（报价表）为准；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（2）投标文件的大写金额和小写金额不一致的，以大写金额为准；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同时出现两种以上不一致的，按照前款规定的顺序修正。按前款规定修正时，顺序在后的修正可能引起顺序在前的其他修正的，该项修正不再执行。修正后的报价经供应商确认后产生约束力，供应商不确认的，其投标无效。</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3.4.2供应商在“政府采购云平台”进行标书关联时单独填报的最终报价与加密的报价文件中所列的投标报价不一致时以加密的报价文件中的金额为准进行修正。</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3.5 投标文件的评价、评分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3.5.1由评审组长牵头，共同确定客观评分项和主观评分项，客观评分项的评分各评审成员分值应当保持一致，主观评分项的评分由各专家根据投标文件情况在评标办法规定细则范围内进行独立评分，评分不得突破评标办法规定的分值范围。</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3.5.2评审人员应独立评审。评审人员认为需要相关供应商进行陈述、澄清的内容（如条款的响应情况有疑议，或文字、计算明显错误），统一汇总到评审组长。由评审组长整理汇总后，组织相关供应商进行澄清答疑。对可能导致投标无效，或者影响评分的内容，应进行书面澄清。并由评审组长、供应商书面签字确认，如供应商不签字视作默认。</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3.5.3评审组长在采购组织机构协助下，对评分结果进行校对、汇总。对客观分不一致、分项评分超范围、明显畸高畸低的评分（其总评分偏离平均分30%以上的），评审人员应进行复核改正或书面说明，拒不改正又不作书面说明的，由现场监督员如实记载后存入项目档案资料。</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3.6 供应商排序及推荐中标候选供应商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评标委员会根据以下规定确定供应商排名并推荐中标候选供应商。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3.6.1评标委员会根据各供应商的综合得分（商务技术分与报价得分之和）从高到低依次进行排名排序，推荐综合得分第一名的为第一中标候选人。</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3.6.2特殊情形按以下原则处理：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（1）综合得分相同的，按投标报价低的优先原则确定排名；</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（2）综合得分和投标报价均相同的，按商务技术得分从高到低确定排名；</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（3）综合得分、投标报价和商务技术得分均相同的由评标委员会全体成员记名投票按少数服从多数的原则确定排名。</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3.7 起草、签署评审报告</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审结束后，评标委员会将通过“政府采购云平台”起草评审报告，评标委员会成员应当在评审报告上签字，对自己的评审意见承担法律责任。对评审报告有异议的，应当在评审报告上签署不同意见，并说明理由，否则视为同意评审报告。</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3.8 评标结果汇总完成后，除下列情形外，任何人不得修改评标结果：</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（1）分值汇总计算错误的；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（2）分项评分超出评分标准范围的；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（3）评标委员会成员对客观评审因素评分不一致的；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（4）经评标委员会认定评分畸高、畸低的。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四、评标细则</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4.1 商务技术分（8</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rPr>
        <w:t>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4.1.1商务技术分评分细则</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该评分分值由评标委员会根据评审情况在分值范围内独立打分（具体分值设定详见表格），小数点后保留一位小数。</w:t>
      </w:r>
      <w:r>
        <w:rPr>
          <w:rFonts w:hint="eastAsia" w:ascii="宋体" w:hAnsi="宋体" w:eastAsia="宋体" w:cs="宋体"/>
          <w:color w:val="auto"/>
          <w:highlight w:val="none"/>
        </w:rPr>
        <w:t>供应商的商务技术最终得分为评标委员会各评委有效评分的算术平均值（计分过程中，四舍五入，保留二位小数）。</w:t>
      </w:r>
    </w:p>
    <w:p>
      <w:pPr>
        <w:pStyle w:val="142"/>
        <w:spacing w:line="360" w:lineRule="auto"/>
        <w:ind w:firstLine="420"/>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标项一：</w:t>
      </w:r>
      <w:r>
        <w:rPr>
          <w:rFonts w:hint="eastAsia" w:ascii="宋体" w:hAnsi="宋体" w:eastAsia="宋体" w:cs="宋体"/>
          <w:b/>
          <w:bCs/>
          <w:color w:val="auto"/>
          <w:sz w:val="21"/>
          <w:szCs w:val="21"/>
          <w:highlight w:val="none"/>
          <w:lang w:val="en-US" w:eastAsia="zh-CN"/>
        </w:rPr>
        <w:t>2022年浙江理工大学招生宣传视频制作</w:t>
      </w:r>
    </w:p>
    <w:tbl>
      <w:tblPr>
        <w:tblStyle w:val="5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7"/>
        <w:gridCol w:w="581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dxa"/>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189" w:type="dxa"/>
            <w:gridSpan w:val="2"/>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661" w:type="dxa"/>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7" w:type="dxa"/>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供应商自2018年1月1日以来（以合同签订日期为准），完成过</w:t>
            </w:r>
            <w:r>
              <w:rPr>
                <w:rFonts w:hint="eastAsia" w:ascii="宋体" w:hAnsi="宋体" w:eastAsia="宋体" w:cs="宋体"/>
                <w:color w:val="auto"/>
                <w:szCs w:val="21"/>
                <w:highlight w:val="none"/>
                <w:lang w:eastAsia="zh-CN"/>
              </w:rPr>
              <w:t>类似项目</w:t>
            </w:r>
            <w:r>
              <w:rPr>
                <w:rFonts w:hint="eastAsia" w:ascii="宋体" w:hAnsi="宋体" w:eastAsia="宋体" w:cs="宋体"/>
                <w:color w:val="auto"/>
                <w:szCs w:val="21"/>
                <w:highlight w:val="none"/>
              </w:rPr>
              <w:t>业绩的，每提供一份项目业绩得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分。（提供合同复印件，合同内容无法体现的可另行提供业主证明材料）</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7" w:type="dxa"/>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管理体系认证证书</w:t>
            </w:r>
          </w:p>
        </w:tc>
        <w:tc>
          <w:tcPr>
            <w:tcW w:w="5812" w:type="dxa"/>
          </w:tcPr>
          <w:p>
            <w:pPr>
              <w:widowControl/>
              <w:spacing w:line="276"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具有有效的质量管理体系认证证书、</w:t>
            </w:r>
            <w:r>
              <w:rPr>
                <w:rFonts w:hint="eastAsia" w:ascii="宋体" w:hAnsi="宋体" w:eastAsia="宋体" w:cs="宋体"/>
                <w:color w:val="auto"/>
                <w:kern w:val="0"/>
                <w:szCs w:val="21"/>
                <w:highlight w:val="none"/>
                <w:lang w:val="en-US" w:eastAsia="zh-CN"/>
              </w:rPr>
              <w:t>环境</w:t>
            </w:r>
            <w:r>
              <w:rPr>
                <w:rFonts w:hint="eastAsia" w:ascii="宋体" w:hAnsi="宋体" w:eastAsia="宋体" w:cs="宋体"/>
                <w:color w:val="auto"/>
                <w:kern w:val="0"/>
                <w:szCs w:val="21"/>
                <w:highlight w:val="none"/>
              </w:rPr>
              <w:t>管理体系认证证书</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信息技术服务管理体系认证证书；每项证书得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0"/>
                <w:szCs w:val="21"/>
                <w:highlight w:val="none"/>
              </w:rPr>
              <w:t>分。</w:t>
            </w:r>
          </w:p>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注：以上证书须由通过中国国家认证认可监督管理委员会备案通过的认证机构颁发，在全国认证认可信息公共服务平台的网页上可查询，提供证书复印件。</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vAlign w:val="center"/>
          </w:tcPr>
          <w:p>
            <w:pPr>
              <w:adjustRightInd w:val="0"/>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3</w:t>
            </w:r>
          </w:p>
        </w:tc>
        <w:tc>
          <w:tcPr>
            <w:tcW w:w="1377"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项目整体理解</w:t>
            </w:r>
          </w:p>
        </w:tc>
        <w:tc>
          <w:tcPr>
            <w:tcW w:w="5812" w:type="dxa"/>
            <w:vAlign w:val="top"/>
          </w:tcPr>
          <w:p>
            <w:pPr>
              <w:widowControl/>
              <w:spacing w:line="276" w:lineRule="auto"/>
              <w:jc w:val="left"/>
              <w:rPr>
                <w:rFonts w:hint="eastAsia" w:ascii="宋体" w:hAnsi="宋体" w:eastAsia="宋体" w:cs="宋体"/>
                <w:color w:val="auto"/>
                <w:szCs w:val="21"/>
                <w:highlight w:val="none"/>
                <w:lang w:val="en-US" w:eastAsia="zh-CN"/>
              </w:rPr>
            </w:pPr>
            <w:r>
              <w:rPr>
                <w:rFonts w:hint="eastAsia" w:ascii="宋体" w:hAnsi="宋体" w:eastAsia="宋体" w:cs="宋体"/>
                <w:b w:val="0"/>
                <w:bCs/>
                <w:color w:val="auto"/>
                <w:sz w:val="21"/>
                <w:szCs w:val="21"/>
                <w:highlight w:val="none"/>
              </w:rPr>
              <w:t>对项目背景、现状的理解与分析</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zh-CN"/>
              </w:rPr>
              <w:t>以及</w:t>
            </w:r>
            <w:r>
              <w:rPr>
                <w:rFonts w:hint="eastAsia" w:ascii="宋体" w:hAnsi="宋体" w:eastAsia="宋体" w:cs="宋体"/>
                <w:b w:val="0"/>
                <w:bCs/>
                <w:color w:val="auto"/>
                <w:sz w:val="21"/>
                <w:szCs w:val="21"/>
                <w:highlight w:val="none"/>
              </w:rPr>
              <w:t>针对本项目</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实际需求</w:t>
            </w:r>
            <w:r>
              <w:rPr>
                <w:rFonts w:hint="eastAsia" w:ascii="宋体" w:hAnsi="宋体" w:eastAsia="宋体" w:cs="宋体"/>
                <w:b w:val="0"/>
                <w:bCs/>
                <w:color w:val="auto"/>
                <w:sz w:val="21"/>
                <w:szCs w:val="21"/>
                <w:highlight w:val="none"/>
                <w:lang w:eastAsia="zh-CN"/>
              </w:rPr>
              <w:t>、预期效果</w:t>
            </w:r>
            <w:r>
              <w:rPr>
                <w:rFonts w:hint="eastAsia" w:ascii="宋体" w:hAnsi="宋体" w:eastAsia="宋体" w:cs="宋体"/>
                <w:b w:val="0"/>
                <w:bCs/>
                <w:color w:val="auto"/>
                <w:sz w:val="21"/>
                <w:szCs w:val="21"/>
                <w:highlight w:val="none"/>
              </w:rPr>
              <w:t>的把握</w:t>
            </w:r>
            <w:r>
              <w:rPr>
                <w:rFonts w:hint="eastAsia" w:ascii="宋体" w:hAnsi="宋体" w:eastAsia="宋体" w:cs="宋体"/>
                <w:b w:val="0"/>
                <w:bCs/>
                <w:color w:val="auto"/>
                <w:sz w:val="21"/>
                <w:szCs w:val="21"/>
                <w:highlight w:val="none"/>
                <w:lang w:eastAsia="zh-CN"/>
              </w:rPr>
              <w:t>程度</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lang w:eastAsia="zh-CN"/>
              </w:rPr>
              <w:t>进行打分。</w:t>
            </w:r>
          </w:p>
        </w:tc>
        <w:tc>
          <w:tcPr>
            <w:tcW w:w="661" w:type="dxa"/>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vAlign w:val="center"/>
          </w:tcPr>
          <w:p>
            <w:pPr>
              <w:adjustRightInd w:val="0"/>
              <w:snapToGrid w:val="0"/>
              <w:jc w:val="center"/>
              <w:rPr>
                <w:rFonts w:hint="eastAsia" w:ascii="宋体" w:hAnsi="宋体" w:eastAsia="宋体" w:cs="宋体"/>
                <w:color w:val="auto"/>
                <w:kern w:val="0"/>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12" w:type="dxa"/>
            <w:vAlign w:val="top"/>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针对本项目特点提出的工作重点、难点分析，以及提出的解决问题的对策与方案建议的可操作性及针对性等。</w:t>
            </w:r>
          </w:p>
        </w:tc>
        <w:tc>
          <w:tcPr>
            <w:tcW w:w="661" w:type="dxa"/>
            <w:vAlign w:val="center"/>
          </w:tcPr>
          <w:p>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continue"/>
            <w:vAlign w:val="center"/>
          </w:tcPr>
          <w:p>
            <w:pPr>
              <w:adjustRightInd w:val="0"/>
              <w:snapToGrid w:val="0"/>
              <w:jc w:val="center"/>
              <w:rPr>
                <w:rFonts w:hint="eastAsia" w:ascii="宋体" w:hAnsi="宋体" w:eastAsia="宋体" w:cs="宋体"/>
                <w:color w:val="auto"/>
                <w:kern w:val="0"/>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highlight w:val="none"/>
              </w:rPr>
            </w:pPr>
          </w:p>
        </w:tc>
        <w:tc>
          <w:tcPr>
            <w:tcW w:w="5812" w:type="dxa"/>
            <w:vAlign w:val="top"/>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项目工作思路、工作方法的合理性、先进性、针对性及拟对本项目制定各项内容的进度安排计划是否详细具体，是否科学合理并符合本项目要求。</w:t>
            </w:r>
          </w:p>
        </w:tc>
        <w:tc>
          <w:tcPr>
            <w:tcW w:w="661" w:type="dxa"/>
            <w:vAlign w:val="center"/>
          </w:tcPr>
          <w:p>
            <w:pPr>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377"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p>
        </w:tc>
        <w:tc>
          <w:tcPr>
            <w:tcW w:w="581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对整个项目的初步构想，实施方案是否全面、完整、有特色</w:t>
            </w:r>
            <w:r>
              <w:rPr>
                <w:rFonts w:hint="eastAsia" w:ascii="宋体" w:hAnsi="宋体" w:eastAsia="宋体" w:cs="宋体"/>
                <w:color w:val="auto"/>
                <w:szCs w:val="21"/>
                <w:highlight w:val="none"/>
                <w:lang w:eastAsia="zh-CN"/>
              </w:rPr>
              <w:t>。</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vMerge w:val="continue"/>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1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视频制作内容在整体创意</w:t>
            </w:r>
            <w:r>
              <w:rPr>
                <w:rFonts w:hint="eastAsia" w:ascii="宋体" w:hAnsi="宋体" w:eastAsia="宋体" w:cs="宋体"/>
                <w:color w:val="auto"/>
                <w:szCs w:val="21"/>
                <w:highlight w:val="none"/>
                <w:lang w:val="en-US" w:eastAsia="zh-CN"/>
              </w:rPr>
              <w:t>上</w:t>
            </w:r>
            <w:r>
              <w:rPr>
                <w:rFonts w:hint="eastAsia" w:ascii="宋体" w:hAnsi="宋体" w:eastAsia="宋体" w:cs="宋体"/>
                <w:color w:val="auto"/>
                <w:szCs w:val="21"/>
                <w:highlight w:val="none"/>
              </w:rPr>
              <w:t>是否能</w:t>
            </w:r>
            <w:r>
              <w:rPr>
                <w:rFonts w:hint="eastAsia" w:ascii="宋体" w:hAnsi="宋体" w:eastAsia="宋体" w:cs="宋体"/>
                <w:color w:val="auto"/>
                <w:kern w:val="0"/>
                <w:szCs w:val="21"/>
                <w:highlight w:val="none"/>
                <w:lang w:bidi="ar"/>
              </w:rPr>
              <w:t>充分考虑用户实际使用需求</w:t>
            </w:r>
            <w:r>
              <w:rPr>
                <w:rFonts w:hint="eastAsia" w:ascii="宋体" w:hAnsi="宋体" w:eastAsia="宋体" w:cs="宋体"/>
                <w:color w:val="auto"/>
                <w:kern w:val="0"/>
                <w:szCs w:val="21"/>
                <w:highlight w:val="none"/>
                <w:lang w:eastAsia="zh-CN" w:bidi="ar"/>
              </w:rPr>
              <w:t>。</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vMerge w:val="continue"/>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视频制作内容在展示内容、展示形式及拍摄制作技术等方面是否能很好得展现</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的宣传需求。</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77" w:type="dxa"/>
            <w:vAlign w:val="center"/>
          </w:tcPr>
          <w:p>
            <w:pPr>
              <w:widowControl/>
              <w:spacing w:line="320" w:lineRule="exact"/>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视频号规划、运营方案</w:t>
            </w: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根据供应商提供的</w:t>
            </w:r>
            <w:r>
              <w:rPr>
                <w:rFonts w:hint="eastAsia" w:ascii="宋体" w:hAnsi="宋体" w:eastAsia="宋体" w:cs="宋体"/>
                <w:color w:val="auto"/>
                <w:szCs w:val="21"/>
                <w:highlight w:val="none"/>
                <w:lang w:val="en-US" w:eastAsia="zh-CN"/>
              </w:rPr>
              <w:t>视频号年度规划、运营方案</w:t>
            </w:r>
            <w:r>
              <w:rPr>
                <w:rFonts w:hint="eastAsia" w:ascii="宋体" w:hAnsi="宋体" w:eastAsia="宋体" w:cs="宋体"/>
                <w:color w:val="auto"/>
                <w:szCs w:val="21"/>
                <w:highlight w:val="none"/>
              </w:rPr>
              <w:t>进行打分。</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是否明确、表述完整、可操作性强，是否科学合理，</w:t>
            </w:r>
            <w:r>
              <w:rPr>
                <w:rFonts w:hint="eastAsia" w:ascii="宋体" w:hAnsi="宋体" w:eastAsia="宋体" w:cs="宋体"/>
                <w:color w:val="auto"/>
                <w:kern w:val="0"/>
                <w:szCs w:val="21"/>
                <w:highlight w:val="none"/>
                <w:lang w:bidi="ar"/>
              </w:rPr>
              <w:t>是否充分考虑用户实际使用需求等</w:t>
            </w:r>
            <w:r>
              <w:rPr>
                <w:rFonts w:hint="eastAsia" w:ascii="宋体" w:hAnsi="宋体" w:eastAsia="宋体" w:cs="宋体"/>
                <w:color w:val="auto"/>
                <w:kern w:val="0"/>
                <w:szCs w:val="21"/>
                <w:highlight w:val="none"/>
                <w:lang w:val="en-US" w:eastAsia="zh-CN" w:bidi="ar"/>
              </w:rPr>
              <w:t>情况进行打分</w:t>
            </w:r>
            <w:r>
              <w:rPr>
                <w:rFonts w:hint="eastAsia" w:ascii="宋体" w:hAnsi="宋体" w:eastAsia="宋体" w:cs="宋体"/>
                <w:color w:val="auto"/>
                <w:kern w:val="0"/>
                <w:szCs w:val="21"/>
                <w:highlight w:val="none"/>
                <w:lang w:bidi="ar"/>
              </w:rPr>
              <w:t>。</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77" w:type="dxa"/>
            <w:vAlign w:val="center"/>
          </w:tcPr>
          <w:p>
            <w:pPr>
              <w:widowControl/>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及时响应情况</w:t>
            </w: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是否具有按时完成采购人需求的服务措施，</w:t>
            </w:r>
            <w:r>
              <w:rPr>
                <w:rFonts w:hint="eastAsia" w:ascii="宋体" w:hAnsi="宋体" w:eastAsia="宋体" w:cs="宋体"/>
                <w:b w:val="0"/>
                <w:bCs/>
                <w:color w:val="auto"/>
                <w:spacing w:val="2"/>
                <w:sz w:val="21"/>
                <w:szCs w:val="21"/>
                <w:highlight w:val="none"/>
              </w:rPr>
              <w:t>供应商承诺项目实施过程中及时并积极配合采购人要求进行工作及管理模式调整</w:t>
            </w:r>
            <w:r>
              <w:rPr>
                <w:rFonts w:hint="eastAsia" w:ascii="宋体" w:hAnsi="宋体" w:eastAsia="宋体" w:cs="宋体"/>
                <w:b w:val="0"/>
                <w:bCs/>
                <w:color w:val="auto"/>
                <w:spacing w:val="2"/>
                <w:sz w:val="21"/>
                <w:szCs w:val="21"/>
                <w:highlight w:val="none"/>
                <w:lang w:eastAsia="zh-CN"/>
              </w:rPr>
              <w:t>（</w:t>
            </w:r>
            <w:r>
              <w:rPr>
                <w:rFonts w:hint="eastAsia" w:ascii="宋体" w:hAnsi="宋体" w:eastAsia="宋体" w:cs="宋体"/>
                <w:b w:val="0"/>
                <w:bCs/>
                <w:color w:val="auto"/>
                <w:spacing w:val="2"/>
                <w:sz w:val="21"/>
                <w:szCs w:val="21"/>
                <w:highlight w:val="none"/>
                <w:lang w:val="en-US" w:eastAsia="zh-CN"/>
              </w:rPr>
              <w:t>包括根据采购人需要随时到校进行拍摄，且不限修改次数</w:t>
            </w:r>
            <w:r>
              <w:rPr>
                <w:rFonts w:hint="eastAsia" w:ascii="宋体" w:hAnsi="宋体" w:eastAsia="宋体" w:cs="宋体"/>
                <w:b w:val="0"/>
                <w:bCs/>
                <w:color w:val="auto"/>
                <w:spacing w:val="2"/>
                <w:sz w:val="21"/>
                <w:szCs w:val="21"/>
                <w:highlight w:val="none"/>
                <w:lang w:eastAsia="zh-CN"/>
              </w:rPr>
              <w:t>）</w:t>
            </w:r>
            <w:r>
              <w:rPr>
                <w:rFonts w:hint="eastAsia" w:ascii="宋体" w:hAnsi="宋体" w:eastAsia="宋体" w:cs="宋体"/>
                <w:b w:val="0"/>
                <w:bCs/>
                <w:color w:val="auto"/>
                <w:spacing w:val="2"/>
                <w:sz w:val="21"/>
                <w:szCs w:val="21"/>
                <w:highlight w:val="none"/>
                <w:lang w:val="en-US" w:eastAsia="zh-CN"/>
              </w:rPr>
              <w:t>等。</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6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377" w:type="dxa"/>
            <w:vAlign w:val="center"/>
          </w:tcPr>
          <w:p>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设施设备</w:t>
            </w:r>
          </w:p>
        </w:tc>
        <w:tc>
          <w:tcPr>
            <w:tcW w:w="581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所投入的拍摄</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专业设施设备是否能满足项目需求</w:t>
            </w:r>
            <w:r>
              <w:rPr>
                <w:rFonts w:hint="eastAsia" w:ascii="宋体" w:hAnsi="宋体" w:eastAsia="宋体" w:cs="宋体"/>
                <w:color w:val="auto"/>
                <w:szCs w:val="21"/>
                <w:highlight w:val="none"/>
                <w:lang w:eastAsia="zh-CN"/>
              </w:rPr>
              <w:t>。</w:t>
            </w:r>
          </w:p>
        </w:tc>
        <w:tc>
          <w:tcPr>
            <w:tcW w:w="661" w:type="dxa"/>
            <w:vAlign w:val="center"/>
          </w:tcPr>
          <w:p>
            <w:pPr>
              <w:autoSpaceDE w:val="0"/>
              <w:autoSpaceDN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vMerge w:val="restart"/>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1377"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项目组人员情况</w:t>
            </w:r>
          </w:p>
        </w:tc>
        <w:tc>
          <w:tcPr>
            <w:tcW w:w="5812" w:type="dxa"/>
          </w:tcPr>
          <w:p>
            <w:pPr>
              <w:widowControl/>
              <w:spacing w:line="276"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供应商项目负责人</w:t>
            </w:r>
            <w:r>
              <w:rPr>
                <w:rFonts w:hint="eastAsia" w:ascii="宋体" w:hAnsi="宋体" w:eastAsia="宋体" w:cs="宋体"/>
                <w:bCs/>
                <w:color w:val="auto"/>
                <w:szCs w:val="21"/>
                <w:highlight w:val="none"/>
                <w:lang w:val="en-US" w:eastAsia="zh-CN"/>
              </w:rPr>
              <w:t>具有</w:t>
            </w:r>
            <w:r>
              <w:rPr>
                <w:rFonts w:hint="eastAsia" w:ascii="宋体" w:hAnsi="宋体" w:eastAsia="宋体" w:cs="宋体"/>
                <w:bCs/>
                <w:color w:val="auto"/>
                <w:szCs w:val="21"/>
                <w:highlight w:val="none"/>
              </w:rPr>
              <w:t>高级</w:t>
            </w:r>
            <w:r>
              <w:rPr>
                <w:rFonts w:hint="eastAsia" w:ascii="宋体" w:hAnsi="宋体" w:eastAsia="宋体" w:cs="宋体"/>
                <w:bCs/>
                <w:color w:val="auto"/>
                <w:szCs w:val="21"/>
                <w:highlight w:val="none"/>
                <w:lang w:val="en-US" w:eastAsia="zh-CN"/>
              </w:rPr>
              <w:t>工程师及以上</w:t>
            </w:r>
            <w:r>
              <w:rPr>
                <w:rFonts w:hint="eastAsia" w:ascii="宋体" w:hAnsi="宋体" w:eastAsia="宋体" w:cs="宋体"/>
                <w:bCs/>
                <w:color w:val="auto"/>
                <w:szCs w:val="21"/>
                <w:highlight w:val="none"/>
              </w:rPr>
              <w:t>职称得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w:t>
            </w:r>
          </w:p>
          <w:p>
            <w:pPr>
              <w:widowControl/>
              <w:spacing w:line="276" w:lineRule="auto"/>
              <w:jc w:val="left"/>
              <w:rPr>
                <w:rFonts w:hint="eastAsia" w:ascii="宋体" w:hAnsi="宋体" w:eastAsia="宋体" w:cs="宋体"/>
                <w:color w:val="auto"/>
                <w:szCs w:val="21"/>
                <w:highlight w:val="none"/>
                <w:lang w:val="en-US"/>
              </w:rPr>
            </w:pPr>
            <w:r>
              <w:rPr>
                <w:rFonts w:hint="eastAsia" w:ascii="宋体" w:hAnsi="宋体" w:eastAsia="宋体" w:cs="宋体"/>
                <w:bCs/>
                <w:color w:val="auto"/>
                <w:szCs w:val="21"/>
                <w:highlight w:val="none"/>
                <w:lang w:val="en-US" w:eastAsia="zh-CN"/>
              </w:rPr>
              <w:t>注：提供职称证书复印件。</w:t>
            </w:r>
          </w:p>
        </w:tc>
        <w:tc>
          <w:tcPr>
            <w:tcW w:w="661" w:type="dxa"/>
            <w:vAlign w:val="center"/>
          </w:tcPr>
          <w:p>
            <w:pPr>
              <w:autoSpaceDE w:val="0"/>
              <w:autoSpaceDN w:val="0"/>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8" w:type="dxa"/>
            <w:vMerge w:val="continue"/>
            <w:vAlign w:val="center"/>
          </w:tcPr>
          <w:p>
            <w:pPr>
              <w:jc w:val="center"/>
              <w:rPr>
                <w:rFonts w:hint="eastAsia" w:ascii="宋体" w:hAnsi="宋体" w:eastAsia="宋体" w:cs="宋体"/>
                <w:color w:val="auto"/>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12" w:type="dxa"/>
          </w:tcPr>
          <w:p>
            <w:pPr>
              <w:widowControl/>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根据项目组实施团队的实施能力（包括综合能力、专业素质、技术能力、经验等情况）</w:t>
            </w:r>
            <w:r>
              <w:rPr>
                <w:rFonts w:hint="eastAsia" w:ascii="宋体" w:hAnsi="宋体" w:eastAsia="宋体" w:cs="宋体"/>
                <w:bCs/>
                <w:color w:val="auto"/>
                <w:szCs w:val="21"/>
                <w:highlight w:val="none"/>
                <w:lang w:val="en-US" w:eastAsia="zh-CN"/>
              </w:rPr>
              <w:t>进行</w:t>
            </w:r>
            <w:r>
              <w:rPr>
                <w:rFonts w:hint="eastAsia" w:ascii="宋体" w:hAnsi="宋体" w:eastAsia="宋体" w:cs="宋体"/>
                <w:bCs/>
                <w:color w:val="auto"/>
                <w:szCs w:val="21"/>
                <w:highlight w:val="none"/>
              </w:rPr>
              <w:t>打分。</w:t>
            </w:r>
          </w:p>
          <w:p>
            <w:pPr>
              <w:widowControl/>
              <w:spacing w:line="276" w:lineRule="auto"/>
              <w:jc w:val="lef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注：提供</w:t>
            </w:r>
            <w:r>
              <w:rPr>
                <w:rFonts w:hint="eastAsia" w:ascii="宋体" w:hAnsi="宋体" w:eastAsia="宋体" w:cs="宋体"/>
                <w:b w:val="0"/>
                <w:bCs/>
                <w:color w:val="auto"/>
                <w:kern w:val="0"/>
                <w:sz w:val="21"/>
                <w:szCs w:val="21"/>
                <w:highlight w:val="none"/>
              </w:rPr>
              <w:t>相关职称或认证证书</w:t>
            </w:r>
            <w:r>
              <w:rPr>
                <w:rFonts w:hint="eastAsia" w:ascii="宋体" w:hAnsi="宋体" w:eastAsia="宋体" w:cs="宋体"/>
                <w:b w:val="0"/>
                <w:bCs/>
                <w:color w:val="auto"/>
                <w:kern w:val="0"/>
                <w:sz w:val="21"/>
                <w:szCs w:val="21"/>
                <w:highlight w:val="none"/>
                <w:lang w:val="en-US" w:eastAsia="zh-CN"/>
              </w:rPr>
              <w:t>等证明材料。</w:t>
            </w:r>
          </w:p>
        </w:tc>
        <w:tc>
          <w:tcPr>
            <w:tcW w:w="661" w:type="dxa"/>
            <w:vAlign w:val="center"/>
          </w:tcPr>
          <w:p>
            <w:pPr>
              <w:autoSpaceDE w:val="0"/>
              <w:autoSpaceDN w:val="0"/>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restart"/>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377"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b w:val="0"/>
                <w:bCs/>
                <w:color w:val="auto"/>
                <w:kern w:val="1"/>
                <w:sz w:val="21"/>
                <w:szCs w:val="21"/>
                <w:highlight w:val="none"/>
                <w:lang w:eastAsia="zh-CN"/>
              </w:rPr>
              <w:t>售后及预案服务</w:t>
            </w: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是否建立运行服务保障应急预案，对</w:t>
            </w:r>
            <w:r>
              <w:rPr>
                <w:rFonts w:hint="eastAsia" w:ascii="宋体" w:hAnsi="宋体" w:eastAsia="宋体"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实施可能遇到的问题及其应对措施的考虑情况。</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Merge w:val="continue"/>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p>
        </w:tc>
        <w:tc>
          <w:tcPr>
            <w:tcW w:w="1377"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详细阐述售后服务方案，售后问题处理流程</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包括线上、线下的售后服务响应时间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，根据方案及问题处理流程详细、切实可行、针对本项目特点描述清晰情况进行打分。</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377" w:type="dxa"/>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优惠和承诺</w:t>
            </w:r>
          </w:p>
        </w:tc>
        <w:tc>
          <w:tcPr>
            <w:tcW w:w="581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供应商提出的优惠条件和承诺情况</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可实现程度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是否充分考虑用户实际使用需求等进行打分。</w:t>
            </w:r>
          </w:p>
        </w:tc>
        <w:tc>
          <w:tcPr>
            <w:tcW w:w="661"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668"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377" w:type="dxa"/>
            <w:vAlign w:val="center"/>
          </w:tcPr>
          <w:p>
            <w:pPr>
              <w:widowControl/>
              <w:spacing w:line="32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rPr>
              <w:t>视频</w:t>
            </w:r>
            <w:r>
              <w:rPr>
                <w:rFonts w:hint="eastAsia" w:ascii="宋体" w:hAnsi="宋体" w:eastAsia="宋体" w:cs="宋体"/>
                <w:color w:val="auto"/>
                <w:szCs w:val="21"/>
                <w:highlight w:val="none"/>
                <w:lang w:val="en-US" w:eastAsia="zh-CN"/>
              </w:rPr>
              <w:t>案例</w:t>
            </w:r>
            <w:r>
              <w:rPr>
                <w:rFonts w:hint="eastAsia" w:ascii="宋体" w:hAnsi="宋体" w:eastAsia="宋体" w:cs="宋体"/>
                <w:color w:val="auto"/>
                <w:szCs w:val="21"/>
                <w:highlight w:val="none"/>
              </w:rPr>
              <w:t>情况</w:t>
            </w:r>
          </w:p>
        </w:tc>
        <w:tc>
          <w:tcPr>
            <w:tcW w:w="581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en-US" w:eastAsia="zh-CN"/>
              </w:rPr>
              <w:t>可提供以往类似项目制作的宣传片、短视频等案例进行展示，</w:t>
            </w:r>
            <w:r>
              <w:rPr>
                <w:rFonts w:hint="eastAsia" w:ascii="宋体" w:hAnsi="宋体" w:eastAsia="宋体" w:cs="宋体"/>
                <w:color w:val="auto"/>
                <w:szCs w:val="21"/>
                <w:highlight w:val="none"/>
              </w:rPr>
              <w:t>现场播放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从供应商提供的视频案例的创意、脚本撰写、视频拍摄、视频后期制作能力等情况进行打分，每个案例最高得5分，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lang w:val="en-US" w:eastAsia="zh-CN"/>
              </w:rPr>
              <w:t>最高得10分。</w:t>
            </w:r>
            <w:bookmarkStart w:id="389" w:name="_GoBack"/>
            <w:bookmarkEnd w:id="389"/>
          </w:p>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en-US" w:eastAsia="zh-CN"/>
              </w:rPr>
              <w:t>案例不超过2个，总</w:t>
            </w:r>
            <w:r>
              <w:rPr>
                <w:rFonts w:hint="eastAsia" w:ascii="宋体" w:hAnsi="宋体" w:eastAsia="宋体" w:cs="宋体"/>
                <w:color w:val="auto"/>
                <w:szCs w:val="21"/>
                <w:highlight w:val="none"/>
              </w:rPr>
              <w:t>视频播放时间控制在1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分钟内，超出时间专家有权随时终止。</w:t>
            </w:r>
          </w:p>
        </w:tc>
        <w:tc>
          <w:tcPr>
            <w:tcW w:w="661" w:type="dxa"/>
            <w:vAlign w:val="center"/>
          </w:tcPr>
          <w:p>
            <w:pPr>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bl>
    <w:p>
      <w:pPr>
        <w:pStyle w:val="142"/>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注：1、以上涉及评审的证明材料复印件需加盖供应商公章。</w:t>
      </w:r>
    </w:p>
    <w:p>
      <w:pPr>
        <w:pStyle w:val="142"/>
        <w:spacing w:line="360" w:lineRule="auto"/>
        <w:ind w:firstLine="422"/>
        <w:rPr>
          <w:rFonts w:hint="eastAsia" w:ascii="宋体" w:hAnsi="宋体" w:eastAsia="宋体" w:cs="宋体"/>
          <w:b w:val="0"/>
          <w:bCs w:val="0"/>
          <w:color w:val="auto"/>
          <w:highlight w:val="none"/>
        </w:rPr>
      </w:pPr>
      <w:r>
        <w:rPr>
          <w:rFonts w:hint="eastAsia" w:ascii="宋体" w:hAnsi="宋体" w:eastAsia="宋体" w:cs="宋体"/>
          <w:b w:val="0"/>
          <w:bCs w:val="0"/>
          <w:color w:val="auto"/>
          <w:szCs w:val="21"/>
          <w:highlight w:val="none"/>
        </w:rPr>
        <w:t>2、供应商将上述“视频</w:t>
      </w:r>
      <w:r>
        <w:rPr>
          <w:rFonts w:hint="eastAsia" w:ascii="宋体" w:hAnsi="宋体" w:eastAsia="宋体" w:cs="宋体"/>
          <w:b w:val="0"/>
          <w:bCs w:val="0"/>
          <w:color w:val="auto"/>
          <w:szCs w:val="21"/>
          <w:highlight w:val="none"/>
          <w:lang w:val="en-US" w:eastAsia="zh-CN"/>
        </w:rPr>
        <w:t>案例</w:t>
      </w:r>
      <w:r>
        <w:rPr>
          <w:rFonts w:hint="eastAsia" w:ascii="宋体" w:hAnsi="宋体" w:eastAsia="宋体" w:cs="宋体"/>
          <w:b w:val="0"/>
          <w:bCs w:val="0"/>
          <w:color w:val="auto"/>
          <w:szCs w:val="21"/>
          <w:highlight w:val="none"/>
        </w:rPr>
        <w:t>情况”，以U盘的形式在投标截止时间前递交（可邮寄），U盘单独</w:t>
      </w:r>
      <w:r>
        <w:rPr>
          <w:rFonts w:hint="eastAsia" w:ascii="宋体" w:hAnsi="宋体" w:eastAsia="宋体" w:cs="宋体"/>
          <w:b w:val="0"/>
          <w:bCs w:val="0"/>
          <w:color w:val="auto"/>
          <w:szCs w:val="21"/>
          <w:highlight w:val="none"/>
          <w:lang w:bidi="ar"/>
        </w:rPr>
        <w:t>密封包装，</w:t>
      </w:r>
      <w:r>
        <w:rPr>
          <w:rFonts w:hint="eastAsia" w:ascii="宋体" w:hAnsi="宋体" w:eastAsia="宋体" w:cs="宋体"/>
          <w:b w:val="0"/>
          <w:bCs w:val="0"/>
          <w:color w:val="auto"/>
          <w:szCs w:val="21"/>
          <w:highlight w:val="none"/>
        </w:rPr>
        <w:t>密封袋上须标注或体现供应商单位名称及“视频</w:t>
      </w:r>
      <w:r>
        <w:rPr>
          <w:rFonts w:hint="eastAsia" w:ascii="宋体" w:hAnsi="宋体" w:eastAsia="宋体" w:cs="宋体"/>
          <w:b w:val="0"/>
          <w:bCs w:val="0"/>
          <w:color w:val="auto"/>
          <w:szCs w:val="21"/>
          <w:highlight w:val="none"/>
          <w:lang w:val="en-US" w:eastAsia="zh-CN"/>
        </w:rPr>
        <w:t>案例</w:t>
      </w:r>
      <w:r>
        <w:rPr>
          <w:rFonts w:hint="eastAsia" w:ascii="宋体" w:hAnsi="宋体" w:eastAsia="宋体" w:cs="宋体"/>
          <w:b w:val="0"/>
          <w:bCs w:val="0"/>
          <w:color w:val="auto"/>
          <w:szCs w:val="21"/>
          <w:highlight w:val="none"/>
        </w:rPr>
        <w:t>情况”，递交地址与“投标人须知前附表”中的“备份投标文件”递交地址一致。</w:t>
      </w:r>
    </w:p>
    <w:p>
      <w:pPr>
        <w:widowControl/>
        <w:snapToGrid w:val="0"/>
        <w:spacing w:line="360" w:lineRule="auto"/>
        <w:ind w:firstLine="422" w:firstLineChars="200"/>
        <w:rPr>
          <w:rFonts w:hint="eastAsia" w:ascii="宋体" w:hAnsi="宋体" w:eastAsia="宋体" w:cs="宋体"/>
          <w:b/>
          <w:bCs/>
          <w:color w:val="auto"/>
          <w:kern w:val="0"/>
          <w:szCs w:val="21"/>
          <w:highlight w:val="none"/>
          <w:lang w:val="en-US" w:eastAsia="zh-CN"/>
        </w:rPr>
      </w:pPr>
    </w:p>
    <w:p>
      <w:pPr>
        <w:widowControl/>
        <w:snapToGrid w:val="0"/>
        <w:spacing w:line="360" w:lineRule="auto"/>
        <w:ind w:firstLine="422" w:firstLineChars="20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标项二：2022年浙江理工大学招生宣传运营</w:t>
      </w:r>
    </w:p>
    <w:tbl>
      <w:tblPr>
        <w:tblStyle w:val="55"/>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378"/>
        <w:gridCol w:w="582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5" w:type="dxa"/>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200" w:type="dxa"/>
            <w:gridSpan w:val="2"/>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660" w:type="dxa"/>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78" w:type="dxa"/>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供应商自2018年1月1日以来（以合同签订日期为准），完成过</w:t>
            </w:r>
            <w:r>
              <w:rPr>
                <w:rFonts w:hint="eastAsia" w:ascii="宋体" w:hAnsi="宋体" w:eastAsia="宋体" w:cs="宋体"/>
                <w:color w:val="auto"/>
                <w:szCs w:val="21"/>
                <w:highlight w:val="none"/>
                <w:lang w:eastAsia="zh-CN"/>
              </w:rPr>
              <w:t>类似项目</w:t>
            </w:r>
            <w:r>
              <w:rPr>
                <w:rFonts w:hint="eastAsia" w:ascii="宋体" w:hAnsi="宋体" w:eastAsia="宋体" w:cs="宋体"/>
                <w:color w:val="auto"/>
                <w:szCs w:val="21"/>
                <w:highlight w:val="none"/>
              </w:rPr>
              <w:t>业绩的，每提供一份项目业绩得</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分。（提供合同复印件，合同内容无法体现的可另行提供业主证明材料）</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78" w:type="dxa"/>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管理体系认证证书</w:t>
            </w:r>
          </w:p>
        </w:tc>
        <w:tc>
          <w:tcPr>
            <w:tcW w:w="5822" w:type="dxa"/>
          </w:tcPr>
          <w:p>
            <w:pPr>
              <w:widowControl/>
              <w:spacing w:line="276"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具有有效的质量管理体系认证证书、</w:t>
            </w:r>
            <w:r>
              <w:rPr>
                <w:rFonts w:hint="eastAsia" w:ascii="宋体" w:hAnsi="宋体" w:eastAsia="宋体" w:cs="宋体"/>
                <w:color w:val="auto"/>
                <w:kern w:val="0"/>
                <w:szCs w:val="21"/>
                <w:highlight w:val="none"/>
                <w:lang w:val="en-US" w:eastAsia="zh-CN"/>
              </w:rPr>
              <w:t>环境</w:t>
            </w:r>
            <w:r>
              <w:rPr>
                <w:rFonts w:hint="eastAsia" w:ascii="宋体" w:hAnsi="宋体" w:eastAsia="宋体" w:cs="宋体"/>
                <w:color w:val="auto"/>
                <w:kern w:val="0"/>
                <w:szCs w:val="21"/>
                <w:highlight w:val="none"/>
              </w:rPr>
              <w:t>管理体系认证证书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信息技术服务管理体系认证证书；每项证书得</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分，</w:t>
            </w:r>
            <w:r>
              <w:rPr>
                <w:rFonts w:hint="eastAsia" w:ascii="宋体" w:hAnsi="宋体" w:eastAsia="宋体" w:cs="宋体"/>
                <w:color w:val="auto"/>
                <w:szCs w:val="21"/>
                <w:highlight w:val="none"/>
              </w:rPr>
              <w:t>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kern w:val="0"/>
                <w:szCs w:val="21"/>
                <w:highlight w:val="none"/>
              </w:rPr>
              <w:t>分。</w:t>
            </w:r>
          </w:p>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注：以上证书须由通过中国国家认证认可监督管理委员会备案通过的认证机构颁发，在全国认证认可信息公共服务平台的网页上可查询，提供证书复印件。</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78" w:type="dxa"/>
            <w:vAlign w:val="center"/>
          </w:tcPr>
          <w:p>
            <w:pPr>
              <w:widowControl/>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直播情况</w:t>
            </w:r>
          </w:p>
        </w:tc>
        <w:tc>
          <w:tcPr>
            <w:tcW w:w="5822" w:type="dxa"/>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供应商近一年（以开标时间为准）开展过教育相关直播的，50场及以上的得5分；30-49场的得3分；10-29场的得1分；10场以下不得分。</w:t>
            </w:r>
          </w:p>
          <w:p>
            <w:pPr>
              <w:widowControl/>
              <w:spacing w:line="276"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kern w:val="0"/>
                <w:szCs w:val="21"/>
                <w:highlight w:val="none"/>
                <w:lang w:val="en-US" w:eastAsia="zh-CN"/>
              </w:rPr>
              <w:t>注：提供平台直播链接。</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restart"/>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1378" w:type="dxa"/>
            <w:vMerge w:val="restart"/>
            <w:vAlign w:val="center"/>
          </w:tcPr>
          <w:p>
            <w:pPr>
              <w:widowControl/>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项目整体理解</w:t>
            </w:r>
          </w:p>
        </w:tc>
        <w:tc>
          <w:tcPr>
            <w:tcW w:w="5822" w:type="dxa"/>
            <w:vAlign w:val="top"/>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b w:val="0"/>
                <w:bCs/>
                <w:color w:val="auto"/>
                <w:sz w:val="21"/>
                <w:szCs w:val="21"/>
                <w:highlight w:val="none"/>
              </w:rPr>
              <w:t>对项目背景、现状的理解与分析</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zh-CN"/>
              </w:rPr>
              <w:t>以及</w:t>
            </w:r>
            <w:r>
              <w:rPr>
                <w:rFonts w:hint="eastAsia" w:ascii="宋体" w:hAnsi="宋体" w:eastAsia="宋体" w:cs="宋体"/>
                <w:b w:val="0"/>
                <w:bCs/>
                <w:color w:val="auto"/>
                <w:sz w:val="21"/>
                <w:szCs w:val="21"/>
                <w:highlight w:val="none"/>
              </w:rPr>
              <w:t>针对本项目</w:t>
            </w:r>
            <w:r>
              <w:rPr>
                <w:rFonts w:hint="eastAsia" w:ascii="宋体" w:hAnsi="宋体" w:eastAsia="宋体" w:cs="宋体"/>
                <w:b w:val="0"/>
                <w:bCs/>
                <w:color w:val="auto"/>
                <w:sz w:val="21"/>
                <w:szCs w:val="21"/>
                <w:highlight w:val="none"/>
                <w:lang w:val="en-US" w:eastAsia="zh-CN"/>
              </w:rPr>
              <w:t>采购人</w:t>
            </w:r>
            <w:r>
              <w:rPr>
                <w:rFonts w:hint="eastAsia" w:ascii="宋体" w:hAnsi="宋体" w:eastAsia="宋体" w:cs="宋体"/>
                <w:b w:val="0"/>
                <w:bCs/>
                <w:color w:val="auto"/>
                <w:sz w:val="21"/>
                <w:szCs w:val="21"/>
                <w:highlight w:val="none"/>
              </w:rPr>
              <w:t>实际需求</w:t>
            </w:r>
            <w:r>
              <w:rPr>
                <w:rFonts w:hint="eastAsia" w:ascii="宋体" w:hAnsi="宋体" w:eastAsia="宋体" w:cs="宋体"/>
                <w:b w:val="0"/>
                <w:bCs/>
                <w:color w:val="auto"/>
                <w:sz w:val="21"/>
                <w:szCs w:val="21"/>
                <w:highlight w:val="none"/>
                <w:lang w:eastAsia="zh-CN"/>
              </w:rPr>
              <w:t>、预期效果</w:t>
            </w:r>
            <w:r>
              <w:rPr>
                <w:rFonts w:hint="eastAsia" w:ascii="宋体" w:hAnsi="宋体" w:eastAsia="宋体" w:cs="宋体"/>
                <w:b w:val="0"/>
                <w:bCs/>
                <w:color w:val="auto"/>
                <w:sz w:val="21"/>
                <w:szCs w:val="21"/>
                <w:highlight w:val="none"/>
              </w:rPr>
              <w:t>的把握</w:t>
            </w:r>
            <w:r>
              <w:rPr>
                <w:rFonts w:hint="eastAsia" w:ascii="宋体" w:hAnsi="宋体" w:eastAsia="宋体" w:cs="宋体"/>
                <w:b w:val="0"/>
                <w:bCs/>
                <w:color w:val="auto"/>
                <w:sz w:val="21"/>
                <w:szCs w:val="21"/>
                <w:highlight w:val="none"/>
                <w:lang w:eastAsia="zh-CN"/>
              </w:rPr>
              <w:t>程度</w:t>
            </w:r>
            <w:r>
              <w:rPr>
                <w:rFonts w:hint="eastAsia" w:ascii="宋体" w:hAnsi="宋体" w:eastAsia="宋体" w:cs="宋体"/>
                <w:b w:val="0"/>
                <w:bCs/>
                <w:color w:val="auto"/>
                <w:sz w:val="21"/>
                <w:szCs w:val="21"/>
                <w:highlight w:val="none"/>
                <w:lang w:val="en-US" w:eastAsia="zh-CN"/>
              </w:rPr>
              <w:t>等</w:t>
            </w:r>
            <w:r>
              <w:rPr>
                <w:rFonts w:hint="eastAsia" w:ascii="宋体" w:hAnsi="宋体" w:eastAsia="宋体" w:cs="宋体"/>
                <w:b w:val="0"/>
                <w:bCs/>
                <w:color w:val="auto"/>
                <w:sz w:val="21"/>
                <w:szCs w:val="21"/>
                <w:highlight w:val="none"/>
                <w:lang w:eastAsia="zh-CN"/>
              </w:rPr>
              <w:t>进行打分。</w:t>
            </w:r>
          </w:p>
        </w:tc>
        <w:tc>
          <w:tcPr>
            <w:tcW w:w="660" w:type="dxa"/>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continue"/>
            <w:vAlign w:val="center"/>
          </w:tcPr>
          <w:p>
            <w:pPr>
              <w:adjustRightInd w:val="0"/>
              <w:snapToGrid w:val="0"/>
              <w:jc w:val="center"/>
              <w:rPr>
                <w:rFonts w:hint="eastAsia" w:ascii="宋体" w:hAnsi="宋体" w:eastAsia="宋体" w:cs="宋体"/>
                <w:color w:val="auto"/>
                <w:sz w:val="21"/>
                <w:szCs w:val="21"/>
                <w:highlight w:val="none"/>
                <w:lang w:val="en-US" w:eastAsia="zh-CN"/>
              </w:rPr>
            </w:pPr>
          </w:p>
        </w:tc>
        <w:tc>
          <w:tcPr>
            <w:tcW w:w="1378" w:type="dxa"/>
            <w:vMerge w:val="continue"/>
            <w:vAlign w:val="center"/>
          </w:tcPr>
          <w:p>
            <w:pPr>
              <w:widowControl/>
              <w:spacing w:line="320" w:lineRule="exact"/>
              <w:jc w:val="center"/>
              <w:rPr>
                <w:rFonts w:hint="eastAsia" w:ascii="宋体" w:hAnsi="宋体" w:eastAsia="宋体" w:cs="宋体"/>
                <w:bCs/>
                <w:color w:val="auto"/>
                <w:szCs w:val="21"/>
                <w:highlight w:val="none"/>
                <w:lang w:val="en-US" w:eastAsia="zh-CN"/>
              </w:rPr>
            </w:pPr>
          </w:p>
        </w:tc>
        <w:tc>
          <w:tcPr>
            <w:tcW w:w="5822" w:type="dxa"/>
            <w:vAlign w:val="top"/>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针对本项目特点提出的工作重点、难点分析，以及提出的解决问题的对策与方案建议的可操作性及针对性等。</w:t>
            </w:r>
          </w:p>
        </w:tc>
        <w:tc>
          <w:tcPr>
            <w:tcW w:w="660" w:type="dxa"/>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Merge w:val="continue"/>
            <w:vAlign w:val="center"/>
          </w:tcPr>
          <w:p>
            <w:pPr>
              <w:adjustRightInd w:val="0"/>
              <w:snapToGrid w:val="0"/>
              <w:jc w:val="center"/>
              <w:rPr>
                <w:rFonts w:hint="eastAsia" w:ascii="宋体" w:hAnsi="宋体" w:eastAsia="宋体" w:cs="宋体"/>
                <w:color w:val="auto"/>
                <w:sz w:val="21"/>
                <w:szCs w:val="21"/>
                <w:highlight w:val="none"/>
                <w:lang w:val="en-US" w:eastAsia="zh-CN"/>
              </w:rPr>
            </w:pPr>
          </w:p>
        </w:tc>
        <w:tc>
          <w:tcPr>
            <w:tcW w:w="1378" w:type="dxa"/>
            <w:vMerge w:val="continue"/>
            <w:vAlign w:val="center"/>
          </w:tcPr>
          <w:p>
            <w:pPr>
              <w:widowControl/>
              <w:spacing w:line="320" w:lineRule="exact"/>
              <w:jc w:val="center"/>
              <w:rPr>
                <w:rFonts w:hint="eastAsia" w:ascii="宋体" w:hAnsi="宋体" w:eastAsia="宋体" w:cs="宋体"/>
                <w:bCs/>
                <w:color w:val="auto"/>
                <w:szCs w:val="21"/>
                <w:highlight w:val="none"/>
                <w:lang w:val="en-US" w:eastAsia="zh-CN"/>
              </w:rPr>
            </w:pPr>
          </w:p>
        </w:tc>
        <w:tc>
          <w:tcPr>
            <w:tcW w:w="5822" w:type="dxa"/>
            <w:vAlign w:val="top"/>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项目工作思路、工作方法的合理性、先进性、针对性及拟对本项目制定各项内容的进度安排计划是否详细具体，是否科学合理并符合本项目要求。</w:t>
            </w:r>
          </w:p>
        </w:tc>
        <w:tc>
          <w:tcPr>
            <w:tcW w:w="660" w:type="dxa"/>
            <w:vAlign w:val="center"/>
          </w:tcPr>
          <w:p>
            <w:pPr>
              <w:adjustRightInd w:val="0"/>
              <w:snapToGri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378" w:type="dxa"/>
            <w:vAlign w:val="center"/>
          </w:tcPr>
          <w:p>
            <w:pPr>
              <w:widowControl/>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招生宣传重要资讯宣传展播</w:t>
            </w:r>
          </w:p>
        </w:tc>
        <w:tc>
          <w:tcPr>
            <w:tcW w:w="5822" w:type="dxa"/>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根据供应商提供的</w:t>
            </w:r>
            <w:r>
              <w:rPr>
                <w:rFonts w:hint="eastAsia" w:ascii="宋体" w:hAnsi="宋体" w:eastAsia="宋体" w:cs="宋体"/>
                <w:bCs/>
                <w:color w:val="auto"/>
                <w:szCs w:val="21"/>
                <w:highlight w:val="none"/>
                <w:lang w:val="en-US" w:eastAsia="zh-CN"/>
              </w:rPr>
              <w:t>招生宣传重要资讯宣传展播</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进行打分。</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是否明确、表述完整、可操作性强，是否科学合理，</w:t>
            </w:r>
            <w:r>
              <w:rPr>
                <w:rFonts w:hint="eastAsia" w:ascii="宋体" w:hAnsi="宋体" w:eastAsia="宋体" w:cs="宋体"/>
                <w:color w:val="auto"/>
                <w:kern w:val="0"/>
                <w:szCs w:val="21"/>
                <w:highlight w:val="none"/>
                <w:lang w:bidi="ar"/>
              </w:rPr>
              <w:t>是否充分考虑用户实际使用需求等</w:t>
            </w:r>
            <w:r>
              <w:rPr>
                <w:rFonts w:hint="eastAsia" w:ascii="宋体" w:hAnsi="宋体" w:eastAsia="宋体" w:cs="宋体"/>
                <w:color w:val="auto"/>
                <w:kern w:val="0"/>
                <w:szCs w:val="21"/>
                <w:highlight w:val="none"/>
                <w:lang w:val="en-US" w:eastAsia="zh-CN" w:bidi="ar"/>
              </w:rPr>
              <w:t>情况进行打分</w:t>
            </w:r>
            <w:r>
              <w:rPr>
                <w:rFonts w:hint="eastAsia" w:ascii="宋体" w:hAnsi="宋体" w:eastAsia="宋体" w:cs="宋体"/>
                <w:color w:val="auto"/>
                <w:kern w:val="0"/>
                <w:szCs w:val="21"/>
                <w:highlight w:val="none"/>
                <w:lang w:bidi="ar"/>
              </w:rPr>
              <w:t>。</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378" w:type="dxa"/>
            <w:vAlign w:val="center"/>
          </w:tcPr>
          <w:p>
            <w:pPr>
              <w:widowControl/>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考生社群运营服务</w:t>
            </w:r>
          </w:p>
        </w:tc>
        <w:tc>
          <w:tcPr>
            <w:tcW w:w="5822" w:type="dxa"/>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根据供应商提供的</w:t>
            </w:r>
            <w:r>
              <w:rPr>
                <w:rFonts w:hint="eastAsia" w:ascii="宋体" w:hAnsi="宋体" w:eastAsia="宋体" w:cs="宋体"/>
                <w:bCs/>
                <w:color w:val="auto"/>
                <w:szCs w:val="21"/>
                <w:highlight w:val="none"/>
                <w:lang w:val="en-US" w:eastAsia="zh-CN"/>
              </w:rPr>
              <w:t>考生社群运营</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进行打分。</w:t>
            </w:r>
            <w:r>
              <w:rPr>
                <w:rFonts w:hint="eastAsia" w:ascii="宋体" w:hAnsi="宋体" w:eastAsia="宋体" w:cs="宋体"/>
                <w:color w:val="auto"/>
                <w:szCs w:val="21"/>
                <w:highlight w:val="none"/>
                <w:lang w:val="en-US" w:eastAsia="zh-CN"/>
              </w:rPr>
              <w:t>方案</w:t>
            </w:r>
            <w:r>
              <w:rPr>
                <w:rFonts w:hint="eastAsia" w:ascii="宋体" w:hAnsi="宋体" w:eastAsia="宋体" w:cs="宋体"/>
                <w:color w:val="auto"/>
                <w:szCs w:val="21"/>
                <w:highlight w:val="none"/>
              </w:rPr>
              <w:t>是否明确、表述完整、可操作性强，是否科学合理，</w:t>
            </w:r>
            <w:r>
              <w:rPr>
                <w:rFonts w:hint="eastAsia" w:ascii="宋体" w:hAnsi="宋体" w:eastAsia="宋体" w:cs="宋体"/>
                <w:color w:val="auto"/>
                <w:kern w:val="0"/>
                <w:szCs w:val="21"/>
                <w:highlight w:val="none"/>
                <w:lang w:bidi="ar"/>
              </w:rPr>
              <w:t>是否充分考虑用户实际使用需求等</w:t>
            </w:r>
            <w:r>
              <w:rPr>
                <w:rFonts w:hint="eastAsia" w:ascii="宋体" w:hAnsi="宋体" w:eastAsia="宋体" w:cs="宋体"/>
                <w:color w:val="auto"/>
                <w:kern w:val="0"/>
                <w:szCs w:val="21"/>
                <w:highlight w:val="none"/>
                <w:lang w:val="en-US" w:eastAsia="zh-CN" w:bidi="ar"/>
              </w:rPr>
              <w:t>情况进行打分</w:t>
            </w:r>
            <w:r>
              <w:rPr>
                <w:rFonts w:hint="eastAsia" w:ascii="宋体" w:hAnsi="宋体" w:eastAsia="宋体" w:cs="宋体"/>
                <w:color w:val="auto"/>
                <w:kern w:val="0"/>
                <w:szCs w:val="21"/>
                <w:highlight w:val="none"/>
                <w:lang w:bidi="ar"/>
              </w:rPr>
              <w:t>。</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378" w:type="dxa"/>
            <w:vAlign w:val="center"/>
          </w:tcPr>
          <w:p>
            <w:pPr>
              <w:widowControl/>
              <w:spacing w:line="32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招生资讯发布平台</w:t>
            </w:r>
          </w:p>
        </w:tc>
        <w:tc>
          <w:tcPr>
            <w:tcW w:w="5822" w:type="dxa"/>
          </w:tcPr>
          <w:p>
            <w:pPr>
              <w:widowControl/>
              <w:spacing w:line="276"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供应商所能</w:t>
            </w:r>
            <w:r>
              <w:rPr>
                <w:rFonts w:hint="eastAsia" w:ascii="宋体" w:hAnsi="宋体" w:eastAsia="宋体" w:cs="宋体"/>
                <w:color w:val="auto"/>
                <w:kern w:val="0"/>
                <w:szCs w:val="21"/>
                <w:highlight w:val="none"/>
                <w:lang w:val="en-US" w:eastAsia="zh-CN"/>
              </w:rPr>
              <w:t>提供</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对学校提供的稿件在全网平台的发布，</w:t>
            </w:r>
            <w:r>
              <w:rPr>
                <w:rFonts w:hint="eastAsia" w:ascii="宋体" w:hAnsi="宋体" w:eastAsia="宋体" w:cs="宋体"/>
                <w:color w:val="auto"/>
                <w:szCs w:val="21"/>
                <w:highlight w:val="none"/>
              </w:rPr>
              <w:t>确保对外宣传与传播工作，扩大影响力</w:t>
            </w:r>
            <w:r>
              <w:rPr>
                <w:rFonts w:hint="eastAsia" w:ascii="宋体" w:hAnsi="宋体" w:eastAsia="宋体" w:cs="宋体"/>
                <w:color w:val="auto"/>
                <w:szCs w:val="21"/>
                <w:highlight w:val="none"/>
                <w:lang w:val="en-US" w:eastAsia="zh-CN"/>
              </w:rPr>
              <w:t>。根据平台数量、平台资源优质情况等进行打分</w:t>
            </w:r>
            <w:r>
              <w:rPr>
                <w:rFonts w:hint="eastAsia" w:ascii="宋体" w:hAnsi="宋体" w:eastAsia="宋体" w:cs="宋体"/>
                <w:color w:val="auto"/>
                <w:szCs w:val="21"/>
                <w:highlight w:val="none"/>
                <w:lang w:eastAsia="zh-CN"/>
              </w:rPr>
              <w:t>。</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5" w:type="dxa"/>
            <w:vMerge w:val="restart"/>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378"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p>
        </w:tc>
        <w:tc>
          <w:tcPr>
            <w:tcW w:w="582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对整个项目的初步构想，实施方案是否全面、完整、有特色</w:t>
            </w:r>
            <w:r>
              <w:rPr>
                <w:rFonts w:hint="eastAsia" w:ascii="宋体" w:hAnsi="宋体" w:eastAsia="宋体" w:cs="宋体"/>
                <w:color w:val="auto"/>
                <w:szCs w:val="21"/>
                <w:highlight w:val="none"/>
                <w:lang w:eastAsia="zh-CN"/>
              </w:rPr>
              <w:t>。</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5" w:type="dxa"/>
            <w:vMerge w:val="continue"/>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p>
        </w:tc>
        <w:tc>
          <w:tcPr>
            <w:tcW w:w="1378"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根据供应商针对本项目的直播前制作直播预热海报的构思方案及直播后内容</w:t>
            </w:r>
            <w:r>
              <w:rPr>
                <w:rFonts w:hint="eastAsia" w:ascii="宋体" w:hAnsi="宋体" w:eastAsia="宋体" w:cs="宋体"/>
                <w:color w:val="auto"/>
                <w:szCs w:val="21"/>
                <w:highlight w:val="none"/>
              </w:rPr>
              <w:t>制作</w:t>
            </w:r>
            <w:r>
              <w:rPr>
                <w:rFonts w:hint="eastAsia" w:ascii="宋体" w:hAnsi="宋体" w:eastAsia="宋体" w:cs="宋体"/>
                <w:color w:val="auto"/>
                <w:szCs w:val="21"/>
                <w:highlight w:val="none"/>
                <w:lang w:val="en-US" w:eastAsia="zh-CN"/>
              </w:rPr>
              <w:t>方面</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在整体创意、展示内容、展示形式及拍摄制作技术等方面是否能很好得展现</w:t>
            </w:r>
            <w:r>
              <w:rPr>
                <w:rFonts w:hint="eastAsia" w:ascii="宋体" w:hAnsi="宋体" w:eastAsia="宋体" w:cs="宋体"/>
                <w:color w:val="auto"/>
                <w:szCs w:val="21"/>
                <w:highlight w:val="none"/>
                <w:lang w:val="en-US" w:eastAsia="zh-CN"/>
              </w:rPr>
              <w:t>本项目</w:t>
            </w:r>
            <w:r>
              <w:rPr>
                <w:rFonts w:hint="eastAsia" w:ascii="宋体" w:hAnsi="宋体" w:eastAsia="宋体" w:cs="宋体"/>
                <w:color w:val="auto"/>
                <w:szCs w:val="21"/>
                <w:highlight w:val="none"/>
              </w:rPr>
              <w:t>的宣传需求。</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378" w:type="dxa"/>
            <w:vAlign w:val="center"/>
          </w:tcPr>
          <w:p>
            <w:pPr>
              <w:widowControl/>
              <w:spacing w:line="32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及时响应情况</w:t>
            </w: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val="en-US" w:eastAsia="zh-CN"/>
              </w:rPr>
              <w:t>是否具有按时完成采购人需求的服务措施，</w:t>
            </w:r>
            <w:r>
              <w:rPr>
                <w:rFonts w:hint="eastAsia" w:ascii="宋体" w:hAnsi="宋体" w:eastAsia="宋体" w:cs="宋体"/>
                <w:b w:val="0"/>
                <w:bCs/>
                <w:color w:val="auto"/>
                <w:spacing w:val="2"/>
                <w:sz w:val="21"/>
                <w:szCs w:val="21"/>
                <w:highlight w:val="none"/>
              </w:rPr>
              <w:t>供应商承诺项目实施过程中及时并积极配合采购人要求进行工作及管理模式调整</w:t>
            </w:r>
            <w:r>
              <w:rPr>
                <w:rFonts w:hint="eastAsia" w:ascii="宋体" w:hAnsi="宋体" w:eastAsia="宋体" w:cs="宋体"/>
                <w:b w:val="0"/>
                <w:bCs/>
                <w:color w:val="auto"/>
                <w:spacing w:val="2"/>
                <w:sz w:val="21"/>
                <w:szCs w:val="21"/>
                <w:highlight w:val="none"/>
                <w:lang w:val="en-US" w:eastAsia="zh-CN"/>
              </w:rPr>
              <w:t>等。</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665" w:type="dxa"/>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1378" w:type="dxa"/>
            <w:vAlign w:val="center"/>
          </w:tcPr>
          <w:p>
            <w:pPr>
              <w:widowControl/>
              <w:spacing w:line="32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设施设备</w:t>
            </w:r>
          </w:p>
        </w:tc>
        <w:tc>
          <w:tcPr>
            <w:tcW w:w="5822" w:type="dxa"/>
          </w:tcPr>
          <w:p>
            <w:pPr>
              <w:widowControl/>
              <w:spacing w:line="276"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所</w:t>
            </w:r>
            <w:r>
              <w:rPr>
                <w:rFonts w:hint="eastAsia" w:ascii="宋体" w:hAnsi="宋体" w:eastAsia="宋体" w:cs="宋体"/>
                <w:b w:val="0"/>
                <w:bCs/>
                <w:color w:val="auto"/>
                <w:spacing w:val="2"/>
                <w:sz w:val="21"/>
                <w:szCs w:val="21"/>
                <w:highlight w:val="none"/>
              </w:rPr>
              <w:t>投入</w:t>
            </w:r>
            <w:r>
              <w:rPr>
                <w:rFonts w:hint="eastAsia" w:ascii="宋体" w:hAnsi="宋体" w:eastAsia="宋体" w:cs="宋体"/>
                <w:color w:val="auto"/>
                <w:szCs w:val="21"/>
                <w:highlight w:val="none"/>
              </w:rPr>
              <w:t>的拍摄</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专业设施设备是否能满足项目需求</w:t>
            </w:r>
            <w:r>
              <w:rPr>
                <w:rFonts w:hint="eastAsia" w:ascii="宋体" w:hAnsi="宋体" w:eastAsia="宋体" w:cs="宋体"/>
                <w:color w:val="auto"/>
                <w:szCs w:val="21"/>
                <w:highlight w:val="none"/>
                <w:lang w:eastAsia="zh-CN"/>
              </w:rPr>
              <w:t>。</w:t>
            </w:r>
          </w:p>
        </w:tc>
        <w:tc>
          <w:tcPr>
            <w:tcW w:w="660" w:type="dxa"/>
            <w:vAlign w:val="center"/>
          </w:tcPr>
          <w:p>
            <w:pPr>
              <w:autoSpaceDE w:val="0"/>
              <w:autoSpaceDN w:val="0"/>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dxa"/>
            <w:vMerge w:val="restart"/>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1378"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项目组人员情况</w:t>
            </w:r>
          </w:p>
        </w:tc>
        <w:tc>
          <w:tcPr>
            <w:tcW w:w="5822" w:type="dxa"/>
          </w:tcPr>
          <w:p>
            <w:pPr>
              <w:widowControl/>
              <w:spacing w:line="276" w:lineRule="auto"/>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项目负责人</w:t>
            </w:r>
            <w:r>
              <w:rPr>
                <w:rFonts w:hint="eastAsia" w:ascii="宋体" w:hAnsi="宋体" w:eastAsia="宋体" w:cs="宋体"/>
                <w:bCs/>
                <w:color w:val="auto"/>
                <w:szCs w:val="21"/>
                <w:highlight w:val="none"/>
                <w:lang w:val="en-US" w:eastAsia="zh-CN"/>
              </w:rPr>
              <w:t>具有</w:t>
            </w:r>
            <w:r>
              <w:rPr>
                <w:rFonts w:hint="eastAsia" w:ascii="宋体" w:hAnsi="宋体" w:eastAsia="宋体" w:cs="宋体"/>
                <w:bCs/>
                <w:color w:val="auto"/>
                <w:szCs w:val="21"/>
                <w:highlight w:val="none"/>
              </w:rPr>
              <w:t>高级</w:t>
            </w:r>
            <w:r>
              <w:rPr>
                <w:rFonts w:hint="eastAsia" w:ascii="宋体" w:hAnsi="宋体" w:eastAsia="宋体" w:cs="宋体"/>
                <w:bCs/>
                <w:color w:val="auto"/>
                <w:szCs w:val="21"/>
                <w:highlight w:val="none"/>
                <w:lang w:val="en-US" w:eastAsia="zh-CN"/>
              </w:rPr>
              <w:t>工程师及以上</w:t>
            </w:r>
            <w:r>
              <w:rPr>
                <w:rFonts w:hint="eastAsia" w:ascii="宋体" w:hAnsi="宋体" w:eastAsia="宋体" w:cs="宋体"/>
                <w:bCs/>
                <w:color w:val="auto"/>
                <w:szCs w:val="21"/>
                <w:highlight w:val="none"/>
              </w:rPr>
              <w:t>职称得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分</w:t>
            </w:r>
            <w:r>
              <w:rPr>
                <w:rFonts w:hint="eastAsia" w:ascii="宋体" w:hAnsi="宋体" w:eastAsia="宋体" w:cs="宋体"/>
                <w:bCs/>
                <w:color w:val="auto"/>
                <w:szCs w:val="21"/>
                <w:highlight w:val="none"/>
                <w:lang w:val="en-US" w:eastAsia="zh-CN"/>
              </w:rPr>
              <w:t>。</w:t>
            </w:r>
          </w:p>
          <w:p>
            <w:pPr>
              <w:widowControl/>
              <w:spacing w:line="276" w:lineRule="auto"/>
              <w:jc w:val="left"/>
              <w:rPr>
                <w:rFonts w:hint="eastAsia" w:ascii="宋体" w:hAnsi="宋体" w:eastAsia="宋体" w:cs="宋体"/>
                <w:color w:val="auto"/>
                <w:szCs w:val="21"/>
                <w:highlight w:val="none"/>
                <w:lang w:val="en-US"/>
              </w:rPr>
            </w:pPr>
            <w:r>
              <w:rPr>
                <w:rFonts w:hint="eastAsia" w:ascii="宋体" w:hAnsi="宋体" w:eastAsia="宋体" w:cs="宋体"/>
                <w:bCs/>
                <w:color w:val="auto"/>
                <w:szCs w:val="21"/>
                <w:highlight w:val="none"/>
                <w:lang w:val="en-US" w:eastAsia="zh-CN"/>
              </w:rPr>
              <w:t>注：提供职称证书复印件。</w:t>
            </w:r>
          </w:p>
        </w:tc>
        <w:tc>
          <w:tcPr>
            <w:tcW w:w="660" w:type="dxa"/>
            <w:vAlign w:val="center"/>
          </w:tcPr>
          <w:p>
            <w:pPr>
              <w:autoSpaceDE w:val="0"/>
              <w:autoSpaceDN w:val="0"/>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5" w:type="dxa"/>
            <w:vMerge w:val="continue"/>
            <w:vAlign w:val="center"/>
          </w:tcPr>
          <w:p>
            <w:pPr>
              <w:jc w:val="center"/>
              <w:rPr>
                <w:rFonts w:hint="eastAsia" w:ascii="宋体" w:hAnsi="宋体" w:eastAsia="宋体" w:cs="宋体"/>
                <w:color w:val="auto"/>
                <w:szCs w:val="21"/>
                <w:highlight w:val="none"/>
              </w:rPr>
            </w:pPr>
          </w:p>
        </w:tc>
        <w:tc>
          <w:tcPr>
            <w:tcW w:w="1378"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22" w:type="dxa"/>
          </w:tcPr>
          <w:p>
            <w:pPr>
              <w:widowControl/>
              <w:spacing w:line="276" w:lineRule="auto"/>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根据项目组实施团队的实施能力（包括综合能力、专业素质、技术能力、经验等情况）</w:t>
            </w:r>
            <w:r>
              <w:rPr>
                <w:rFonts w:hint="eastAsia" w:ascii="宋体" w:hAnsi="宋体" w:eastAsia="宋体" w:cs="宋体"/>
                <w:bCs/>
                <w:color w:val="auto"/>
                <w:szCs w:val="21"/>
                <w:highlight w:val="none"/>
                <w:lang w:val="en-US" w:eastAsia="zh-CN"/>
              </w:rPr>
              <w:t>进行</w:t>
            </w:r>
            <w:r>
              <w:rPr>
                <w:rFonts w:hint="eastAsia" w:ascii="宋体" w:hAnsi="宋体" w:eastAsia="宋体" w:cs="宋体"/>
                <w:bCs/>
                <w:color w:val="auto"/>
                <w:szCs w:val="21"/>
                <w:highlight w:val="none"/>
              </w:rPr>
              <w:t>打分。</w:t>
            </w:r>
          </w:p>
          <w:p>
            <w:pPr>
              <w:widowControl/>
              <w:spacing w:line="276" w:lineRule="auto"/>
              <w:jc w:val="left"/>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注：提供</w:t>
            </w:r>
            <w:r>
              <w:rPr>
                <w:rFonts w:hint="eastAsia" w:ascii="宋体" w:hAnsi="宋体" w:eastAsia="宋体" w:cs="宋体"/>
                <w:b w:val="0"/>
                <w:bCs/>
                <w:color w:val="auto"/>
                <w:kern w:val="0"/>
                <w:sz w:val="21"/>
                <w:szCs w:val="21"/>
                <w:highlight w:val="none"/>
              </w:rPr>
              <w:t>相关职称或认证证书</w:t>
            </w:r>
            <w:r>
              <w:rPr>
                <w:rFonts w:hint="eastAsia" w:ascii="宋体" w:hAnsi="宋体" w:eastAsia="宋体" w:cs="宋体"/>
                <w:b w:val="0"/>
                <w:bCs/>
                <w:color w:val="auto"/>
                <w:kern w:val="0"/>
                <w:sz w:val="21"/>
                <w:szCs w:val="21"/>
                <w:highlight w:val="none"/>
                <w:lang w:val="en-US" w:eastAsia="zh-CN"/>
              </w:rPr>
              <w:t>等证明材料。</w:t>
            </w:r>
          </w:p>
        </w:tc>
        <w:tc>
          <w:tcPr>
            <w:tcW w:w="660" w:type="dxa"/>
            <w:vAlign w:val="center"/>
          </w:tcPr>
          <w:p>
            <w:pPr>
              <w:autoSpaceDE w:val="0"/>
              <w:autoSpaceDN w:val="0"/>
              <w:adjustRightInd w:val="0"/>
              <w:snapToGrid w:val="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restart"/>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378" w:type="dxa"/>
            <w:vMerge w:val="restart"/>
            <w:vAlign w:val="center"/>
          </w:tcPr>
          <w:p>
            <w:pPr>
              <w:widowControl/>
              <w:spacing w:line="320" w:lineRule="exact"/>
              <w:jc w:val="center"/>
              <w:rPr>
                <w:rFonts w:hint="eastAsia" w:ascii="宋体" w:hAnsi="宋体" w:eastAsia="宋体" w:cs="宋体"/>
                <w:color w:val="auto"/>
                <w:szCs w:val="21"/>
                <w:highlight w:val="none"/>
              </w:rPr>
            </w:pPr>
            <w:r>
              <w:rPr>
                <w:rFonts w:hint="eastAsia" w:ascii="宋体" w:hAnsi="宋体" w:eastAsia="宋体" w:cs="宋体"/>
                <w:b w:val="0"/>
                <w:bCs/>
                <w:color w:val="auto"/>
                <w:kern w:val="1"/>
                <w:sz w:val="21"/>
                <w:szCs w:val="21"/>
                <w:highlight w:val="none"/>
                <w:lang w:eastAsia="zh-CN"/>
              </w:rPr>
              <w:t>售后及预案服务</w:t>
            </w: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lang w:eastAsia="zh-CN"/>
              </w:rPr>
              <w:t>供应商</w:t>
            </w:r>
            <w:r>
              <w:rPr>
                <w:rFonts w:hint="eastAsia" w:ascii="宋体" w:hAnsi="宋体" w:eastAsia="宋体" w:cs="宋体"/>
                <w:b w:val="0"/>
                <w:bCs/>
                <w:color w:val="auto"/>
                <w:sz w:val="21"/>
                <w:szCs w:val="21"/>
                <w:highlight w:val="none"/>
              </w:rPr>
              <w:t>是否建立运行服务保障应急预案，对</w:t>
            </w:r>
            <w:r>
              <w:rPr>
                <w:rFonts w:hint="eastAsia" w:ascii="宋体" w:hAnsi="宋体" w:eastAsia="宋体" w:cs="宋体"/>
                <w:b w:val="0"/>
                <w:bCs/>
                <w:color w:val="auto"/>
                <w:sz w:val="21"/>
                <w:szCs w:val="21"/>
                <w:highlight w:val="none"/>
                <w:lang w:val="en-US" w:eastAsia="zh-CN"/>
              </w:rPr>
              <w:t>项目</w:t>
            </w:r>
            <w:r>
              <w:rPr>
                <w:rFonts w:hint="eastAsia" w:ascii="宋体" w:hAnsi="宋体" w:eastAsia="宋体" w:cs="宋体"/>
                <w:b w:val="0"/>
                <w:bCs/>
                <w:color w:val="auto"/>
                <w:sz w:val="21"/>
                <w:szCs w:val="21"/>
                <w:highlight w:val="none"/>
              </w:rPr>
              <w:t>实施可能遇到的问题及其应对措施的考虑情况。</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Merge w:val="continue"/>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rPr>
            </w:pPr>
          </w:p>
        </w:tc>
        <w:tc>
          <w:tcPr>
            <w:tcW w:w="1378" w:type="dxa"/>
            <w:vMerge w:val="continue"/>
            <w:vAlign w:val="center"/>
          </w:tcPr>
          <w:p>
            <w:pPr>
              <w:widowControl/>
              <w:spacing w:line="320" w:lineRule="exact"/>
              <w:jc w:val="center"/>
              <w:rPr>
                <w:rFonts w:hint="eastAsia" w:ascii="宋体" w:hAnsi="宋体" w:eastAsia="宋体" w:cs="宋体"/>
                <w:color w:val="auto"/>
                <w:szCs w:val="21"/>
                <w:highlight w:val="none"/>
              </w:rPr>
            </w:pP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b w:val="0"/>
                <w:bCs/>
                <w:color w:val="auto"/>
                <w:sz w:val="21"/>
                <w:szCs w:val="21"/>
                <w:highlight w:val="none"/>
              </w:rPr>
              <w:t>详细阐述售后服务方案，售后问题处理流程</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包括线上、线下的售后服务响应时间</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，根据方案及问题处理流程详细、切实可行、针对本项目特点描述清晰情况进行打分。</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378" w:type="dxa"/>
            <w:vAlign w:val="center"/>
          </w:tcPr>
          <w:p>
            <w:pPr>
              <w:widowControl/>
              <w:spacing w:line="320" w:lineRule="exact"/>
              <w:jc w:val="center"/>
              <w:rPr>
                <w:rFonts w:hint="eastAsia" w:ascii="宋体" w:hAnsi="宋体" w:eastAsia="宋体" w:cs="宋体"/>
                <w:color w:val="FF0000"/>
                <w:szCs w:val="21"/>
                <w:highlight w:val="none"/>
              </w:rPr>
            </w:pPr>
            <w:r>
              <w:rPr>
                <w:rFonts w:hint="eastAsia" w:ascii="宋体" w:hAnsi="宋体" w:eastAsia="宋体" w:cs="宋体"/>
                <w:color w:val="auto"/>
                <w:szCs w:val="21"/>
                <w:highlight w:val="none"/>
              </w:rPr>
              <w:t>优惠和承诺</w:t>
            </w:r>
          </w:p>
        </w:tc>
        <w:tc>
          <w:tcPr>
            <w:tcW w:w="5822" w:type="dxa"/>
          </w:tcPr>
          <w:p>
            <w:pPr>
              <w:widowControl/>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供应商提出的优惠条件和承诺情况</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可实现程度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是否充分考虑用户实际使用需求等进行打分。</w:t>
            </w:r>
          </w:p>
        </w:tc>
        <w:tc>
          <w:tcPr>
            <w:tcW w:w="660" w:type="dxa"/>
            <w:vAlign w:val="center"/>
          </w:tcPr>
          <w:p>
            <w:pPr>
              <w:pStyle w:val="182"/>
              <w:spacing w:before="0" w:line="320" w:lineRule="exact"/>
              <w:ind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bl>
    <w:p>
      <w:pPr>
        <w:pStyle w:val="142"/>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注：以上涉及评审的证明材料复印件需加盖供应商公章。</w:t>
      </w:r>
    </w:p>
    <w:p>
      <w:pPr>
        <w:widowControl/>
        <w:snapToGrid w:val="0"/>
        <w:spacing w:line="360" w:lineRule="auto"/>
        <w:ind w:firstLine="422" w:firstLineChars="200"/>
        <w:rPr>
          <w:rFonts w:hint="eastAsia" w:ascii="宋体" w:hAnsi="宋体" w:eastAsia="宋体" w:cs="宋体"/>
          <w:b/>
          <w:bCs/>
          <w:color w:val="auto"/>
          <w:kern w:val="0"/>
          <w:szCs w:val="21"/>
          <w:highlight w:val="none"/>
        </w:rPr>
      </w:pPr>
    </w:p>
    <w:p>
      <w:pPr>
        <w:widowControl/>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4.2报价分（</w:t>
      </w:r>
      <w:r>
        <w:rPr>
          <w:rFonts w:hint="eastAsia" w:ascii="宋体" w:hAnsi="宋体" w:eastAsia="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rPr>
        <w:t>分）</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4.2.1投标价格的合理性审查</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（1）分析投标价格是否合理，投标价格范围是否完整，有否重大错漏项；</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评标委员会认为供应商的报价明显低于其他通过符合性审查供应商的报价，有可能影响产品质量或者不能诚信履约的，应当要求其在30分钟内在“政府采购云平台”在线提供书面说明，必要时提交相关证明材料；供应商不能证明其报价合理性的，评标委员会应当将其作为无效投标处理。</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4.2.2报价分计算方法</w:t>
      </w: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报价评分将在有效供应商范围内进行，最高得</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分，最低得</w:t>
      </w:r>
      <w:r>
        <w:rPr>
          <w:rFonts w:hint="eastAsia" w:ascii="宋体" w:hAnsi="宋体" w:eastAsia="宋体" w:cs="宋体"/>
          <w:color w:val="auto"/>
          <w:kern w:val="0"/>
          <w:szCs w:val="21"/>
          <w:highlight w:val="none"/>
          <w:u w:val="single"/>
        </w:rPr>
        <w:t>0</w:t>
      </w:r>
      <w:r>
        <w:rPr>
          <w:rFonts w:hint="eastAsia" w:ascii="宋体" w:hAnsi="宋体" w:eastAsia="宋体" w:cs="宋体"/>
          <w:color w:val="auto"/>
          <w:kern w:val="0"/>
          <w:szCs w:val="21"/>
          <w:highlight w:val="none"/>
        </w:rPr>
        <w:t>分（小数点后保留二位小数，第三位四舍五入）。满足采购文件要求且投标价格最低的</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为</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，供应商的价格分统一按照下列公式计算：</w:t>
      </w:r>
    </w:p>
    <w:p>
      <w:pPr>
        <w:widowControl/>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投标报价得分=(</w:t>
      </w:r>
      <w:r>
        <w:rPr>
          <w:rFonts w:hint="eastAsia" w:ascii="宋体" w:hAnsi="宋体" w:eastAsia="宋体" w:cs="宋体"/>
          <w:b/>
          <w:color w:val="auto"/>
          <w:kern w:val="0"/>
          <w:szCs w:val="21"/>
          <w:highlight w:val="none"/>
          <w:u w:val="thick"/>
        </w:rPr>
        <w:t>评标基准价</w:t>
      </w: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u w:val="thick"/>
        </w:rPr>
        <w:t>投标报价</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lang w:val="en-US" w:eastAsia="zh-CN"/>
        </w:rPr>
        <w:t>20</w:t>
      </w:r>
      <w:r>
        <w:rPr>
          <w:rFonts w:hint="eastAsia" w:ascii="宋体" w:hAnsi="宋体" w:eastAsia="宋体" w:cs="宋体"/>
          <w:color w:val="auto"/>
          <w:kern w:val="0"/>
          <w:szCs w:val="21"/>
          <w:highlight w:val="none"/>
        </w:rPr>
        <w:t>×100%</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此项由</w:t>
      </w:r>
      <w:r>
        <w:rPr>
          <w:rFonts w:hint="eastAsia" w:ascii="宋体" w:hAnsi="宋体" w:eastAsia="宋体" w:cs="宋体"/>
          <w:color w:val="auto"/>
          <w:highlight w:val="none"/>
        </w:rPr>
        <w:t>评标委员会</w:t>
      </w:r>
      <w:r>
        <w:rPr>
          <w:rFonts w:hint="eastAsia" w:ascii="宋体" w:hAnsi="宋体" w:eastAsia="宋体" w:cs="宋体"/>
          <w:color w:val="auto"/>
          <w:szCs w:val="21"/>
          <w:highlight w:val="none"/>
        </w:rPr>
        <w:t>集体核实后统一打分。</w:t>
      </w:r>
    </w:p>
    <w:p>
      <w:pPr>
        <w:adjustRightInd w:val="0"/>
        <w:snapToGrid w:val="0"/>
        <w:spacing w:line="360" w:lineRule="auto"/>
        <w:ind w:firstLine="422" w:firstLineChars="200"/>
        <w:rPr>
          <w:rFonts w:hint="eastAsia" w:ascii="宋体" w:hAnsi="宋体" w:eastAsia="宋体" w:cs="宋体"/>
          <w:b/>
          <w:bCs/>
          <w:color w:val="auto"/>
          <w:highlight w:val="none"/>
        </w:rPr>
      </w:pPr>
      <w:bookmarkStart w:id="42" w:name="_Toc8922"/>
      <w:bookmarkStart w:id="43" w:name="_Toc1153"/>
      <w:bookmarkStart w:id="44" w:name="_Toc17094"/>
      <w:bookmarkStart w:id="45" w:name="_Toc24318"/>
      <w:r>
        <w:rPr>
          <w:rFonts w:hint="eastAsia" w:ascii="宋体" w:hAnsi="宋体" w:eastAsia="宋体" w:cs="宋体"/>
          <w:b/>
          <w:bCs/>
          <w:color w:val="auto"/>
          <w:highlight w:val="none"/>
        </w:rPr>
        <w:t>五、其他评审事项规定</w:t>
      </w:r>
      <w:bookmarkEnd w:id="42"/>
      <w:bookmarkEnd w:id="43"/>
      <w:bookmarkEnd w:id="44"/>
      <w:bookmarkEnd w:id="45"/>
    </w:p>
    <w:p>
      <w:pPr>
        <w:widowControl/>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5.1 串通投标的认定</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5.1.</w:t>
      </w:r>
      <w:r>
        <w:rPr>
          <w:rFonts w:hint="eastAsia" w:ascii="宋体" w:hAnsi="宋体" w:eastAsia="宋体" w:cs="宋体"/>
          <w:color w:val="auto"/>
          <w:highlight w:val="none"/>
        </w:rPr>
        <w:t>1有下列情形之一的，视为供应商串通投标，其投标无效：</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（1）不同供应商的投标文件由同一单位或者个人编制；</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（2）不同供应商委托同一单位或者个人办理投标事宜；</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（3）不同供应商的投标文件载明的项目管理成员或者联系人员为同一人；</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（4）不同供应商的投标文件异常一致或者投标报价呈规律性差异；</w:t>
      </w:r>
    </w:p>
    <w:p>
      <w:pPr>
        <w:widowControl/>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（5）不同供应商的投标文件相互混装。</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供应商应当遵循公平竞争的原则，不得恶意串通，不得妨碍其他供应商的竞争行为，不得损害采购人或者其他供应商的合法权益。在评标过程中发现供应商有上述情形的，评标委员会应当认定其投标无效，并书面报告本级财政部门。</w:t>
      </w:r>
    </w:p>
    <w:p>
      <w:pPr>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5.2 不同供应商之间存在以下利害关系并且存在影响政府采购公平竞争行为的，不得参加同一合同项下的政府采购活动，相关投标供应商的投标均作无效处理：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A.法定代表人或负责人或实际控制人是同一人；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B.法定代表人或负责人或实际控制人是夫妻关系；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C.法定代表人或负责人或实际控制人是直系血亲关系；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D.法定代表人或负责人或实际控制人存在三代以内旁系血亲关系；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E.法定代表人或负责人或实际控制人存在近姻亲关系；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F.法定代表人或负责人或实际控制人存在股份控制或实际控制关系；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G.存在共同直接或间接投资设立子公司、联营企业和合营企业情况；</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H.存在分级代理或代销关系、同一生产制造商关系、管理关系、重要业务（占主营业务收入50%以上）或重要财务往来关系（如融资）等其他实质性控制关系。</w:t>
      </w:r>
    </w:p>
    <w:p>
      <w:pPr>
        <w:widowControl/>
        <w:adjustRightInd w:val="0"/>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szCs w:val="21"/>
          <w:highlight w:val="none"/>
        </w:rPr>
        <w:t xml:space="preserve">5.3 </w:t>
      </w:r>
      <w:r>
        <w:rPr>
          <w:rFonts w:hint="eastAsia" w:ascii="宋体" w:hAnsi="宋体" w:eastAsia="宋体" w:cs="宋体"/>
          <w:b/>
          <w:bCs/>
          <w:color w:val="auto"/>
          <w:highlight w:val="none"/>
        </w:rPr>
        <w:t>有效供应商少于三家的情况处理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投标截止后供应商不足3家或者通过资格审查或符合性审查的供应商不足3家的，除采购任务取消情形外，按照以下方式处理：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（1）采购文件存在不合理条款或者招标程序不符合规定的，采购人、采购代理机构改正后依法重新招标；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（2）采购文件没有不合理条款、招标程序符合规定，需要采用其他采购方式采购的，采购人应当依法报财政部门批准。</w:t>
      </w:r>
    </w:p>
    <w:p>
      <w:pPr>
        <w:widowControl/>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5.4 废标适用情形</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在招标采购中，出现下列情形之一的，项目将予以废标：</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（1）符合专业条件的供应商或者对采购文件作实质响应的供应商不足三家的；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（3）供应商的报价均超过了采购预算（最高限价），采购人不能支付的；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pPr>
        <w:widowControl/>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5.5 </w:t>
      </w:r>
      <w:r>
        <w:rPr>
          <w:rFonts w:hint="eastAsia" w:ascii="宋体" w:hAnsi="宋体" w:eastAsia="宋体" w:cs="宋体"/>
          <w:b/>
          <w:color w:val="auto"/>
          <w:highlight w:val="none"/>
        </w:rPr>
        <w:t>特殊情况</w:t>
      </w:r>
      <w:r>
        <w:rPr>
          <w:rFonts w:hint="eastAsia" w:ascii="宋体" w:hAnsi="宋体" w:eastAsia="宋体" w:cs="宋体"/>
          <w:b/>
          <w:bCs/>
          <w:color w:val="auto"/>
          <w:szCs w:val="21"/>
          <w:highlight w:val="none"/>
        </w:rPr>
        <w:t>中止电子交易活动的情形</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（4）病毒发作导致不能进行正常操作的；</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出现前款规定情形，不影响采购公平、公正性的，采购组织机构可以待上述情形消除后继续组织电子交易活动，也可以决定某些环节以纸质形式进行；影响或可能影响采购公平、公正性的，将重新采购。</w:t>
      </w:r>
    </w:p>
    <w:p>
      <w:pPr>
        <w:pStyle w:val="4"/>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br w:type="page"/>
      </w:r>
      <w:bookmarkStart w:id="46" w:name="_Toc18806"/>
      <w:bookmarkStart w:id="47" w:name="_Toc273624872"/>
      <w:bookmarkStart w:id="48" w:name="_Toc211745565"/>
      <w:bookmarkStart w:id="49" w:name="_Toc82873316"/>
      <w:bookmarkStart w:id="50" w:name="_Toc82338233"/>
      <w:r>
        <w:rPr>
          <w:rFonts w:hint="eastAsia" w:ascii="宋体" w:hAnsi="宋体" w:eastAsia="宋体" w:cs="宋体"/>
          <w:color w:val="auto"/>
          <w:highlight w:val="none"/>
        </w:rPr>
        <w:t>第四章  采购合同</w:t>
      </w:r>
      <w:bookmarkEnd w:id="46"/>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按标项分别签署</w:t>
      </w:r>
      <w:r>
        <w:rPr>
          <w:rFonts w:hint="eastAsia" w:ascii="宋体" w:hAnsi="宋体" w:eastAsia="宋体" w:cs="宋体"/>
          <w:color w:val="auto"/>
          <w:highlight w:val="none"/>
          <w:lang w:eastAsia="zh-CN"/>
        </w:rPr>
        <w:t>）</w:t>
      </w:r>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（本合同为合同样稿，最终稿由双方协商后确定）</w:t>
      </w:r>
    </w:p>
    <w:p>
      <w:pPr>
        <w:spacing w:line="360" w:lineRule="auto"/>
        <w:jc w:val="center"/>
        <w:rPr>
          <w:rFonts w:hint="eastAsia" w:ascii="宋体" w:hAnsi="宋体" w:eastAsia="宋体" w:cs="宋体"/>
          <w:color w:val="auto"/>
          <w:highlight w:val="none"/>
        </w:rPr>
      </w:pPr>
    </w:p>
    <w:p>
      <w:pPr>
        <w:autoSpaceDE w:val="0"/>
        <w:autoSpaceDN w:val="0"/>
        <w:adjustRightInd w:val="0"/>
        <w:snapToGrid w:val="0"/>
        <w:spacing w:line="360" w:lineRule="auto"/>
        <w:ind w:left="6510" w:hanging="6510" w:hangingChars="3100"/>
        <w:jc w:val="left"/>
        <w:textAlignment w:val="bottom"/>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确认书：[2021]84312号-001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[2021]84313号-001</w:t>
      </w:r>
      <w:r>
        <w:rPr>
          <w:rFonts w:hint="eastAsia" w:ascii="宋体" w:hAnsi="宋体" w:eastAsia="宋体" w:cs="宋体"/>
          <w:color w:val="auto"/>
          <w:highlight w:val="none"/>
        </w:rPr>
        <w:t xml:space="preserve"> </w:t>
      </w:r>
    </w:p>
    <w:p>
      <w:pPr>
        <w:autoSpaceDE w:val="0"/>
        <w:autoSpaceDN w:val="0"/>
        <w:adjustRightInd w:val="0"/>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甲方(需方)：浙江理工大学 </w:t>
      </w:r>
    </w:p>
    <w:p>
      <w:pPr>
        <w:autoSpaceDE w:val="0"/>
        <w:autoSpaceDN w:val="0"/>
        <w:adjustRightInd w:val="0"/>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乙方(供方)：</w:t>
      </w:r>
    </w:p>
    <w:p>
      <w:pPr>
        <w:autoSpaceDE w:val="0"/>
        <w:autoSpaceDN w:val="0"/>
        <w:adjustRightInd w:val="0"/>
        <w:snapToGrid w:val="0"/>
        <w:spacing w:line="360" w:lineRule="auto"/>
        <w:textAlignment w:val="bottom"/>
        <w:rPr>
          <w:rFonts w:hint="eastAsia" w:ascii="宋体" w:hAnsi="宋体" w:eastAsia="宋体" w:cs="宋体"/>
          <w:color w:val="auto"/>
          <w:highlight w:val="none"/>
        </w:rPr>
      </w:pPr>
      <w:r>
        <w:rPr>
          <w:rFonts w:hint="eastAsia" w:ascii="宋体" w:hAnsi="宋体" w:eastAsia="宋体" w:cs="宋体"/>
          <w:color w:val="auto"/>
          <w:highlight w:val="none"/>
        </w:rPr>
        <w:t>采购代理机构(鉴证方)：</w:t>
      </w:r>
      <w:r>
        <w:rPr>
          <w:rFonts w:hint="eastAsia" w:ascii="宋体" w:hAnsi="宋体" w:eastAsia="宋体" w:cs="宋体"/>
          <w:color w:val="auto"/>
          <w:szCs w:val="21"/>
          <w:highlight w:val="none"/>
        </w:rPr>
        <w:t>浙江省成套招标代理有限公司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为保护供、需双方的合法权益，根据《中华人民共和国政府采购法》、《中华人民共和国民法典》等相关法律法规，浙江理工大学特委托浙江省成套招标代理有限公司经公开招标，确定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公司为项目名称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val="en-US" w:eastAsia="zh-CN"/>
        </w:rPr>
        <w:t>项目编号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lang w:val="en-US" w:eastAsia="zh-CN"/>
        </w:rPr>
        <w:t>标项号及内容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的中标供应商。</w:t>
      </w:r>
      <w:r>
        <w:rPr>
          <w:rFonts w:hint="eastAsia" w:ascii="宋体" w:hAnsi="宋体" w:eastAsia="宋体" w:cs="宋体"/>
          <w:color w:val="auto"/>
          <w:szCs w:val="21"/>
          <w:highlight w:val="none"/>
        </w:rPr>
        <w:t>本合同为中小企业预留合同</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经甲、乙双方协商达成以下协议</w:t>
      </w:r>
      <w:r>
        <w:rPr>
          <w:rFonts w:hint="eastAsia" w:ascii="宋体" w:hAnsi="宋体" w:eastAsia="宋体" w:cs="宋体"/>
          <w:color w:val="auto"/>
          <w:szCs w:val="21"/>
          <w:highlight w:val="none"/>
        </w:rPr>
        <w:t>：</w:t>
      </w:r>
      <w:bookmarkStart w:id="51" w:name="_Toc351203481"/>
    </w:p>
    <w:bookmarkEnd w:id="51"/>
    <w:p>
      <w:pPr>
        <w:pStyle w:val="7"/>
        <w:adjustRightInd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bCs/>
          <w:snapToGrid w:val="0"/>
          <w:color w:val="auto"/>
          <w:szCs w:val="21"/>
          <w:highlight w:val="none"/>
        </w:rPr>
        <w:t>一、</w:t>
      </w:r>
      <w:r>
        <w:rPr>
          <w:rFonts w:hint="eastAsia" w:ascii="宋体" w:hAnsi="宋体" w:eastAsia="宋体" w:cs="宋体"/>
          <w:b/>
          <w:bCs/>
          <w:snapToGrid w:val="0"/>
          <w:color w:val="auto"/>
          <w:szCs w:val="21"/>
          <w:highlight w:val="none"/>
          <w:lang w:eastAsia="zh-CN"/>
        </w:rPr>
        <w:t>合同</w:t>
      </w:r>
      <w:r>
        <w:rPr>
          <w:rFonts w:hint="eastAsia" w:ascii="宋体" w:hAnsi="宋体" w:eastAsia="宋体" w:cs="宋体"/>
          <w:b/>
          <w:color w:val="auto"/>
          <w:sz w:val="21"/>
          <w:szCs w:val="21"/>
          <w:highlight w:val="none"/>
          <w:lang w:eastAsia="zh-CN"/>
        </w:rPr>
        <w:t>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 xml:space="preserve">本合同金额为（大写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）元（￥       元）人民币。</w:t>
      </w:r>
    </w:p>
    <w:p>
      <w:pPr>
        <w:pStyle w:val="7"/>
        <w:adjustRightInd w:val="0"/>
        <w:snapToGrid w:val="0"/>
        <w:spacing w:line="360" w:lineRule="auto"/>
        <w:rPr>
          <w:rStyle w:val="109"/>
          <w:rFonts w:hint="eastAsia" w:ascii="宋体" w:hAnsi="宋体" w:eastAsia="宋体" w:cs="宋体"/>
          <w:b/>
          <w:bCs/>
          <w:color w:val="auto"/>
          <w:highlight w:val="none"/>
        </w:rPr>
      </w:pPr>
      <w:bookmarkStart w:id="52" w:name="_Toc21884"/>
      <w:bookmarkStart w:id="53" w:name="_Toc13522"/>
      <w:bookmarkStart w:id="54" w:name="_Toc2445"/>
      <w:r>
        <w:rPr>
          <w:rStyle w:val="109"/>
          <w:rFonts w:hint="eastAsia" w:ascii="宋体" w:hAnsi="宋体" w:eastAsia="宋体" w:cs="宋体"/>
          <w:b/>
          <w:bCs/>
          <w:color w:val="auto"/>
          <w:highlight w:val="none"/>
        </w:rPr>
        <w:t>二、</w:t>
      </w:r>
      <w:r>
        <w:rPr>
          <w:rFonts w:hint="eastAsia" w:ascii="宋体" w:hAnsi="宋体" w:eastAsia="宋体" w:cs="宋体"/>
          <w:b/>
          <w:bCs/>
          <w:snapToGrid w:val="0"/>
          <w:color w:val="auto"/>
          <w:szCs w:val="21"/>
          <w:highlight w:val="none"/>
        </w:rPr>
        <w:t>合同</w:t>
      </w:r>
      <w:r>
        <w:rPr>
          <w:rStyle w:val="109"/>
          <w:rFonts w:hint="eastAsia" w:ascii="宋体" w:hAnsi="宋体" w:eastAsia="宋体" w:cs="宋体"/>
          <w:b/>
          <w:bCs/>
          <w:color w:val="auto"/>
          <w:highlight w:val="none"/>
        </w:rPr>
        <w:t>文件</w:t>
      </w:r>
      <w:bookmarkEnd w:id="52"/>
      <w:bookmarkEnd w:id="53"/>
      <w:bookmarkEnd w:id="5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下列文件构成本合同的组成部分：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2、中标通知书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3、承诺书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4、询标纪要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合同条款以上述条款的先后为顺序作为依据。</w:t>
      </w:r>
    </w:p>
    <w:p>
      <w:pPr>
        <w:pStyle w:val="7"/>
        <w:adjustRightInd w:val="0"/>
        <w:snapToGrid w:val="0"/>
        <w:spacing w:line="360" w:lineRule="auto"/>
        <w:rPr>
          <w:rFonts w:hint="eastAsia" w:ascii="宋体" w:hAnsi="宋体" w:eastAsia="宋体" w:cs="宋体"/>
          <w:b/>
          <w:bCs/>
          <w:snapToGrid w:val="0"/>
          <w:color w:val="auto"/>
          <w:szCs w:val="21"/>
          <w:highlight w:val="none"/>
        </w:rPr>
      </w:pPr>
      <w:bookmarkStart w:id="55" w:name="_Toc26196"/>
      <w:bookmarkStart w:id="56" w:name="_Toc8396910"/>
      <w:bookmarkStart w:id="57" w:name="_Toc28123"/>
      <w:bookmarkStart w:id="58" w:name="_Toc8767"/>
      <w:r>
        <w:rPr>
          <w:rFonts w:hint="eastAsia" w:ascii="宋体" w:hAnsi="宋体" w:eastAsia="宋体" w:cs="宋体"/>
          <w:b/>
          <w:bCs/>
          <w:snapToGrid w:val="0"/>
          <w:color w:val="auto"/>
          <w:szCs w:val="21"/>
          <w:highlight w:val="none"/>
        </w:rPr>
        <w:t>三、</w:t>
      </w:r>
      <w:bookmarkEnd w:id="55"/>
      <w:bookmarkEnd w:id="56"/>
      <w:bookmarkEnd w:id="57"/>
      <w:bookmarkEnd w:id="58"/>
      <w:r>
        <w:rPr>
          <w:rFonts w:hint="eastAsia" w:ascii="宋体" w:hAnsi="宋体" w:eastAsia="宋体" w:cs="宋体"/>
          <w:b/>
          <w:bCs/>
          <w:snapToGrid w:val="0"/>
          <w:color w:val="auto"/>
          <w:szCs w:val="21"/>
          <w:highlight w:val="none"/>
        </w:rPr>
        <w:t>项目完成时间</w:t>
      </w:r>
    </w:p>
    <w:p>
      <w:pPr>
        <w:spacing w:line="360" w:lineRule="auto"/>
        <w:ind w:firstLine="420" w:firstLineChars="200"/>
        <w:rPr>
          <w:rFonts w:hint="eastAsia" w:ascii="宋体" w:hAnsi="宋体" w:eastAsia="宋体" w:cs="宋体"/>
          <w:color w:val="auto"/>
          <w:szCs w:val="21"/>
          <w:highlight w:val="none"/>
        </w:rPr>
      </w:pPr>
      <w:bookmarkStart w:id="59" w:name="_Toc28999"/>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年</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月</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 w:val="21"/>
          <w:szCs w:val="21"/>
          <w:highlight w:val="none"/>
          <w:lang w:val="en-US" w:eastAsia="zh-CN"/>
        </w:rPr>
        <w:t>前完成所有内容。</w:t>
      </w:r>
    </w:p>
    <w:bookmarkEnd w:id="59"/>
    <w:p>
      <w:pPr>
        <w:pStyle w:val="7"/>
        <w:numPr>
          <w:ilvl w:val="0"/>
          <w:numId w:val="1"/>
        </w:numPr>
        <w:adjustRightInd w:val="0"/>
        <w:snapToGrid w:val="0"/>
        <w:spacing w:line="360" w:lineRule="auto"/>
        <w:rPr>
          <w:rFonts w:hint="eastAsia" w:ascii="宋体" w:hAnsi="宋体" w:eastAsia="宋体" w:cs="宋体"/>
          <w:b/>
          <w:bCs/>
          <w:snapToGrid w:val="0"/>
          <w:color w:val="auto"/>
          <w:szCs w:val="21"/>
          <w:highlight w:val="none"/>
          <w:lang w:val="en-US" w:eastAsia="zh-CN"/>
        </w:rPr>
      </w:pPr>
      <w:r>
        <w:rPr>
          <w:rFonts w:hint="eastAsia" w:ascii="宋体" w:hAnsi="宋体" w:eastAsia="宋体" w:cs="宋体"/>
          <w:b/>
          <w:bCs/>
          <w:snapToGrid w:val="0"/>
          <w:color w:val="auto"/>
          <w:szCs w:val="21"/>
          <w:highlight w:val="none"/>
          <w:lang w:val="en-US" w:eastAsia="zh-CN"/>
        </w:rPr>
        <w:t>运营周期</w:t>
      </w:r>
    </w:p>
    <w:p>
      <w:pPr>
        <w:pStyle w:val="7"/>
        <w:adjustRightInd w:val="0"/>
        <w:snapToGrid w:val="0"/>
        <w:spacing w:line="360" w:lineRule="auto"/>
        <w:ind w:firstLine="420" w:firstLineChars="200"/>
        <w:rPr>
          <w:rFonts w:hint="eastAsia" w:ascii="宋体" w:hAnsi="宋体" w:eastAsia="宋体" w:cs="宋体"/>
          <w:color w:val="auto"/>
          <w:szCs w:val="21"/>
          <w:highlight w:val="none"/>
        </w:rPr>
      </w:pPr>
      <w:bookmarkStart w:id="60" w:name="_Toc8396911"/>
      <w:bookmarkStart w:id="61" w:name="_Toc26810"/>
      <w:bookmarkStart w:id="62" w:name="_Toc594"/>
      <w:bookmarkStart w:id="63" w:name="_Toc32274"/>
      <w:r>
        <w:rPr>
          <w:rFonts w:hint="eastAsia" w:ascii="宋体" w:hAnsi="宋体" w:eastAsia="宋体" w:cs="宋体"/>
          <w:color w:val="auto"/>
          <w:szCs w:val="21"/>
          <w:highlight w:val="none"/>
          <w:lang w:val="en-US" w:eastAsia="zh-CN"/>
        </w:rPr>
        <w:t>自合同签订之日起</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en-US" w:eastAsia="zh-CN"/>
        </w:rPr>
        <w:t>年。</w:t>
      </w:r>
      <w:bookmarkEnd w:id="60"/>
      <w:bookmarkEnd w:id="61"/>
      <w:bookmarkEnd w:id="62"/>
      <w:bookmarkEnd w:id="63"/>
    </w:p>
    <w:p>
      <w:pPr>
        <w:pStyle w:val="7"/>
        <w:adjustRightInd w:val="0"/>
        <w:snapToGrid w:val="0"/>
        <w:spacing w:line="360" w:lineRule="auto"/>
        <w:rPr>
          <w:rStyle w:val="109"/>
          <w:rFonts w:hint="eastAsia" w:ascii="宋体" w:hAnsi="宋体" w:eastAsia="宋体" w:cs="宋体"/>
          <w:b/>
          <w:bCs/>
          <w:color w:val="auto"/>
          <w:highlight w:val="none"/>
        </w:rPr>
      </w:pPr>
      <w:bookmarkStart w:id="64" w:name="_Toc8396912"/>
      <w:bookmarkStart w:id="65" w:name="_Toc12755"/>
      <w:bookmarkStart w:id="66" w:name="_Toc14848"/>
      <w:bookmarkStart w:id="67" w:name="_Toc14141"/>
      <w:r>
        <w:rPr>
          <w:rStyle w:val="109"/>
          <w:rFonts w:hint="eastAsia" w:ascii="宋体" w:hAnsi="宋体" w:eastAsia="宋体" w:cs="宋体"/>
          <w:b/>
          <w:bCs/>
          <w:color w:val="auto"/>
          <w:highlight w:val="none"/>
          <w:lang w:val="en-US"/>
        </w:rPr>
        <w:t>五</w:t>
      </w:r>
      <w:r>
        <w:rPr>
          <w:rStyle w:val="109"/>
          <w:rFonts w:hint="eastAsia" w:ascii="宋体" w:hAnsi="宋体" w:eastAsia="宋体" w:cs="宋体"/>
          <w:b/>
          <w:bCs/>
          <w:color w:val="auto"/>
          <w:highlight w:val="none"/>
        </w:rPr>
        <w:t>、知识产权</w:t>
      </w:r>
      <w:bookmarkEnd w:id="64"/>
      <w:r>
        <w:rPr>
          <w:rStyle w:val="109"/>
          <w:rFonts w:hint="eastAsia" w:ascii="宋体" w:hAnsi="宋体" w:eastAsia="宋体" w:cs="宋体"/>
          <w:b/>
          <w:bCs/>
          <w:color w:val="auto"/>
          <w:highlight w:val="none"/>
        </w:rPr>
        <w:t>及技术资料</w:t>
      </w:r>
      <w:bookmarkEnd w:id="65"/>
      <w:bookmarkEnd w:id="66"/>
      <w:bookmarkEnd w:id="67"/>
    </w:p>
    <w:p>
      <w:pPr>
        <w:pStyle w:val="7"/>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1、乙方对一切可能的侵权指控（包括但不限于专利权和著作权）负责，如果甲方因此而遭受任何损失，乙方应赔偿甲方由此遭受的任何花费、赔偿或损失。</w:t>
      </w:r>
    </w:p>
    <w:p>
      <w:pPr>
        <w:pStyle w:val="7"/>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2、乙方应按采购文件规定的时间向甲方提供有关技术资料。</w:t>
      </w:r>
    </w:p>
    <w:p>
      <w:pPr>
        <w:pStyle w:val="7"/>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乙方应保证提供服务过程中不会侵犯任何第三方的知识产权。</w:t>
      </w:r>
    </w:p>
    <w:p>
      <w:pPr>
        <w:pStyle w:val="7"/>
        <w:adjustRightInd w:val="0"/>
        <w:snapToGrid w:val="0"/>
        <w:spacing w:line="360" w:lineRule="auto"/>
        <w:rPr>
          <w:rFonts w:hint="eastAsia" w:ascii="宋体" w:hAnsi="宋体" w:eastAsia="宋体" w:cs="宋体"/>
          <w:b/>
          <w:color w:val="auto"/>
          <w:sz w:val="21"/>
          <w:szCs w:val="21"/>
          <w:highlight w:val="none"/>
          <w:lang w:eastAsia="zh-CN"/>
        </w:rPr>
      </w:pPr>
      <w:bookmarkStart w:id="68" w:name="_Toc16104"/>
      <w:bookmarkStart w:id="69" w:name="_Toc8396913"/>
      <w:bookmarkStart w:id="70" w:name="_Toc1396"/>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lang w:eastAsia="zh-CN"/>
        </w:rPr>
        <w:t>、转包或分包</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1、本合同范围的服务，应由乙方直接供应，不得转让他人供应；</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2、除非得到甲方的书面同意，乙方不得将本合同范围的服务全部或部分分包给他人供应；</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3、如有转让和未经甲方同意的分包行为，甲方有权解除合同。</w:t>
      </w:r>
    </w:p>
    <w:p>
      <w:pPr>
        <w:pStyle w:val="7"/>
        <w:adjustRightInd w:val="0"/>
        <w:snapToGrid w:val="0"/>
        <w:spacing w:line="360" w:lineRule="auto"/>
        <w:rPr>
          <w:rFonts w:hint="eastAsia" w:ascii="宋体" w:hAnsi="宋体" w:eastAsia="宋体" w:cs="宋体"/>
          <w:b/>
          <w:color w:val="auto"/>
          <w:sz w:val="21"/>
          <w:szCs w:val="21"/>
          <w:highlight w:val="none"/>
          <w:lang w:eastAsia="zh-CN"/>
        </w:rPr>
      </w:pPr>
      <w:r>
        <w:rPr>
          <w:rStyle w:val="109"/>
          <w:rFonts w:hint="eastAsia" w:ascii="宋体" w:hAnsi="宋体" w:eastAsia="宋体" w:cs="宋体"/>
          <w:b/>
          <w:bCs/>
          <w:color w:val="auto"/>
          <w:highlight w:val="none"/>
        </w:rPr>
        <w:t>七、</w:t>
      </w:r>
      <w:bookmarkEnd w:id="68"/>
      <w:bookmarkEnd w:id="69"/>
      <w:bookmarkEnd w:id="70"/>
      <w:r>
        <w:rPr>
          <w:rFonts w:hint="eastAsia" w:ascii="宋体" w:hAnsi="宋体" w:eastAsia="宋体" w:cs="宋体"/>
          <w:b/>
          <w:color w:val="auto"/>
          <w:sz w:val="21"/>
          <w:szCs w:val="21"/>
          <w:highlight w:val="none"/>
          <w:lang w:eastAsia="zh-CN"/>
        </w:rPr>
        <w:t>合同履行时间、履行方式及履行地点</w:t>
      </w:r>
    </w:p>
    <w:p>
      <w:pPr>
        <w:pStyle w:val="159"/>
        <w:spacing w:line="360" w:lineRule="auto"/>
        <w:ind w:left="-134" w:leftChars="-64" w:firstLine="420" w:firstLineChars="200"/>
        <w:rPr>
          <w:rFonts w:hint="eastAsia" w:ascii="宋体" w:hAnsi="宋体" w:eastAsia="宋体" w:cs="宋体"/>
          <w:b/>
          <w:color w:val="auto"/>
          <w:highlight w:val="none"/>
          <w:lang w:eastAsia="zh-CN"/>
        </w:rPr>
      </w:pPr>
      <w:r>
        <w:rPr>
          <w:rFonts w:hint="eastAsia" w:ascii="宋体" w:hAnsi="宋体" w:eastAsia="宋体" w:cs="宋体"/>
          <w:color w:val="auto"/>
          <w:sz w:val="21"/>
          <w:szCs w:val="21"/>
          <w:highlight w:val="none"/>
          <w:lang w:eastAsia="zh-CN"/>
        </w:rPr>
        <w:t>1、履行时间：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2、履行方式：按甲方要求。</w:t>
      </w:r>
    </w:p>
    <w:p>
      <w:pPr>
        <w:pStyle w:val="159"/>
        <w:spacing w:line="360" w:lineRule="auto"/>
        <w:ind w:left="-134" w:leftChars="-64"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3、履行地点：甲方指定地点。</w:t>
      </w:r>
    </w:p>
    <w:p>
      <w:pPr>
        <w:pStyle w:val="7"/>
        <w:adjustRightInd w:val="0"/>
        <w:snapToGrid w:val="0"/>
        <w:spacing w:line="360" w:lineRule="auto"/>
        <w:rPr>
          <w:rStyle w:val="109"/>
          <w:rFonts w:hint="eastAsia" w:ascii="宋体" w:hAnsi="宋体" w:eastAsia="宋体" w:cs="宋体"/>
          <w:b/>
          <w:bCs/>
          <w:color w:val="auto"/>
          <w:highlight w:val="none"/>
        </w:rPr>
      </w:pPr>
      <w:bookmarkStart w:id="71" w:name="_Toc19378"/>
      <w:bookmarkStart w:id="72" w:name="_Toc20687"/>
      <w:bookmarkStart w:id="73" w:name="_Toc16331"/>
      <w:bookmarkStart w:id="74" w:name="_Toc8396915"/>
      <w:r>
        <w:rPr>
          <w:rStyle w:val="109"/>
          <w:rFonts w:hint="eastAsia" w:ascii="宋体" w:hAnsi="宋体" w:eastAsia="宋体" w:cs="宋体"/>
          <w:b/>
          <w:bCs/>
          <w:color w:val="auto"/>
          <w:highlight w:val="none"/>
        </w:rPr>
        <w:t>八、质量、技术标准</w:t>
      </w:r>
      <w:bookmarkEnd w:id="71"/>
      <w:bookmarkEnd w:id="72"/>
      <w:bookmarkEnd w:id="73"/>
      <w:bookmarkEnd w:id="74"/>
    </w:p>
    <w:p>
      <w:pPr>
        <w:pStyle w:val="7"/>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符合采购文件、投标文件中的有关标准、规定。</w:t>
      </w:r>
    </w:p>
    <w:p>
      <w:pPr>
        <w:pStyle w:val="7"/>
        <w:adjustRightInd w:val="0"/>
        <w:snapToGrid w:val="0"/>
        <w:spacing w:line="360" w:lineRule="auto"/>
        <w:rPr>
          <w:rStyle w:val="109"/>
          <w:rFonts w:hint="eastAsia" w:ascii="宋体" w:hAnsi="宋体" w:eastAsia="宋体" w:cs="宋体"/>
          <w:b/>
          <w:bCs/>
          <w:color w:val="auto"/>
          <w:highlight w:val="none"/>
        </w:rPr>
      </w:pPr>
      <w:bookmarkStart w:id="75" w:name="_Toc8396914"/>
      <w:bookmarkStart w:id="76" w:name="_Toc7229"/>
      <w:bookmarkStart w:id="77" w:name="_Toc3031"/>
      <w:bookmarkStart w:id="78" w:name="_Toc13080"/>
      <w:bookmarkStart w:id="79" w:name="_Toc8396916"/>
      <w:r>
        <w:rPr>
          <w:rStyle w:val="109"/>
          <w:rFonts w:hint="eastAsia" w:ascii="宋体" w:hAnsi="宋体" w:eastAsia="宋体" w:cs="宋体"/>
          <w:b/>
          <w:bCs/>
          <w:color w:val="auto"/>
          <w:highlight w:val="none"/>
        </w:rPr>
        <w:t>九、</w:t>
      </w:r>
      <w:r>
        <w:rPr>
          <w:rStyle w:val="109"/>
          <w:rFonts w:hint="default" w:ascii="宋体" w:hAnsi="宋体" w:eastAsia="宋体" w:cs="宋体"/>
          <w:b/>
          <w:bCs/>
          <w:color w:val="auto"/>
          <w:highlight w:val="none"/>
          <w:lang w:val="en-US"/>
        </w:rPr>
        <w:t>付</w:t>
      </w:r>
      <w:r>
        <w:rPr>
          <w:rStyle w:val="109"/>
          <w:rFonts w:hint="eastAsia" w:ascii="宋体" w:hAnsi="宋体" w:eastAsia="宋体" w:cs="宋体"/>
          <w:b/>
          <w:bCs/>
          <w:color w:val="auto"/>
          <w:highlight w:val="none"/>
        </w:rPr>
        <w:t>款方式</w:t>
      </w:r>
      <w:bookmarkEnd w:id="75"/>
      <w:bookmarkEnd w:id="76"/>
      <w:bookmarkEnd w:id="77"/>
      <w:bookmarkEnd w:id="78"/>
      <w:r>
        <w:rPr>
          <w:rStyle w:val="109"/>
          <w:rFonts w:hint="eastAsia" w:ascii="宋体" w:hAnsi="宋体" w:eastAsia="宋体" w:cs="宋体"/>
          <w:b/>
          <w:bCs/>
          <w:color w:val="auto"/>
          <w:highlight w:val="none"/>
        </w:rPr>
        <w:t>及履约保证金</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1、付款方式：合同生效后10日内，甲方向乙方支付合同金额的30%作为预付款，项目完成后，由甲方向乙方支付合同金额的70%。</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2、履约保证金：合同生效后5个工作日内，乙方应向甲方暂交5%的合同履约保证金，运营周期结束后5个工作日内退还。</w:t>
      </w:r>
      <w:r>
        <w:rPr>
          <w:rFonts w:hint="eastAsia" w:ascii="宋体" w:hAnsi="宋体" w:eastAsia="宋体" w:cs="宋体"/>
          <w:color w:val="auto"/>
          <w:highlight w:val="none"/>
        </w:rPr>
        <w:t xml:space="preserve"> </w:t>
      </w:r>
    </w:p>
    <w:p>
      <w:pPr>
        <w:pStyle w:val="7"/>
        <w:numPr>
          <w:ilvl w:val="0"/>
          <w:numId w:val="2"/>
        </w:num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履约验收要求</w:t>
      </w:r>
    </w:p>
    <w:p>
      <w:pPr>
        <w:numPr>
          <w:ilvl w:val="0"/>
          <w:numId w:val="0"/>
        </w:num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甲方验收组将严格按照乙方的投标文件及采购文件内容逐项、逐条验收交付内容，如不满足不予验收。</w:t>
      </w:r>
    </w:p>
    <w:bookmarkEnd w:id="79"/>
    <w:p>
      <w:pPr>
        <w:pStyle w:val="7"/>
        <w:numPr>
          <w:ilvl w:val="0"/>
          <w:numId w:val="2"/>
        </w:numPr>
        <w:adjustRightInd w:val="0"/>
        <w:snapToGrid w:val="0"/>
        <w:spacing w:line="360" w:lineRule="auto"/>
        <w:rPr>
          <w:rFonts w:hint="eastAsia" w:ascii="宋体" w:hAnsi="宋体" w:eastAsia="宋体" w:cs="宋体"/>
          <w:b/>
          <w:color w:val="auto"/>
          <w:sz w:val="21"/>
          <w:szCs w:val="21"/>
          <w:highlight w:val="none"/>
          <w:lang w:eastAsia="zh-CN"/>
        </w:rPr>
      </w:pPr>
      <w:bookmarkStart w:id="80" w:name="_Toc6201"/>
      <w:bookmarkStart w:id="81" w:name="_Toc31397"/>
      <w:bookmarkStart w:id="82" w:name="_Toc8396917"/>
      <w:bookmarkStart w:id="83" w:name="_Toc24906"/>
      <w:r>
        <w:rPr>
          <w:rFonts w:hint="eastAsia" w:ascii="宋体" w:hAnsi="宋体" w:eastAsia="宋体" w:cs="宋体"/>
          <w:b/>
          <w:color w:val="auto"/>
          <w:sz w:val="21"/>
          <w:szCs w:val="21"/>
          <w:highlight w:val="none"/>
          <w:lang w:eastAsia="zh-CN"/>
        </w:rPr>
        <w:t>税费</w:t>
      </w:r>
    </w:p>
    <w:p>
      <w:pPr>
        <w:numPr>
          <w:ilvl w:val="0"/>
          <w:numId w:val="0"/>
        </w:numPr>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本合同</w:t>
      </w:r>
      <w:r>
        <w:rPr>
          <w:rFonts w:hint="eastAsia" w:ascii="宋体" w:hAnsi="宋体" w:eastAsia="宋体" w:cs="宋体"/>
          <w:color w:val="auto"/>
          <w:highlight w:val="none"/>
          <w:lang w:eastAsia="zh-CN"/>
        </w:rPr>
        <w:t>执行</w:t>
      </w:r>
      <w:r>
        <w:rPr>
          <w:rFonts w:hint="eastAsia" w:ascii="宋体" w:hAnsi="宋体" w:eastAsia="宋体" w:cs="宋体"/>
          <w:color w:val="auto"/>
          <w:sz w:val="21"/>
          <w:szCs w:val="21"/>
          <w:highlight w:val="none"/>
          <w:lang w:eastAsia="zh-CN"/>
        </w:rPr>
        <w:t>中相关的一切税费均由乙方负担。</w:t>
      </w:r>
    </w:p>
    <w:p>
      <w:pPr>
        <w:pStyle w:val="7"/>
        <w:adjustRightInd w:val="0"/>
        <w:snapToGrid w:val="0"/>
        <w:spacing w:line="360" w:lineRule="auto"/>
        <w:rPr>
          <w:rStyle w:val="109"/>
          <w:rFonts w:hint="eastAsia" w:ascii="宋体" w:hAnsi="宋体" w:eastAsia="宋体" w:cs="宋体"/>
          <w:b/>
          <w:bCs/>
          <w:color w:val="auto"/>
          <w:highlight w:val="none"/>
        </w:rPr>
      </w:pPr>
      <w:r>
        <w:rPr>
          <w:rStyle w:val="109"/>
          <w:rFonts w:hint="eastAsia" w:ascii="宋体" w:hAnsi="宋体" w:eastAsia="宋体" w:cs="宋体"/>
          <w:b/>
          <w:bCs/>
          <w:color w:val="auto"/>
          <w:highlight w:val="none"/>
        </w:rPr>
        <w:t>十二、合同修改</w:t>
      </w:r>
      <w:bookmarkEnd w:id="80"/>
      <w:bookmarkEnd w:id="81"/>
      <w:bookmarkEnd w:id="82"/>
      <w:bookmarkEnd w:id="83"/>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1、甲乙双方的任何一人对合同内容提出修改，均应以书面形式通知对方，并达成由双方签署的合同修改书。</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2、除非甲方对服务内容提出修改，乙方不得对合同价格提出修改要求。</w:t>
      </w:r>
    </w:p>
    <w:p>
      <w:pPr>
        <w:pStyle w:val="7"/>
        <w:adjustRightInd w:val="0"/>
        <w:snapToGrid w:val="0"/>
        <w:spacing w:line="360" w:lineRule="auto"/>
        <w:rPr>
          <w:rFonts w:hint="eastAsia" w:ascii="宋体" w:hAnsi="宋体" w:eastAsia="宋体" w:cs="宋体"/>
          <w:b/>
          <w:color w:val="auto"/>
          <w:sz w:val="21"/>
          <w:szCs w:val="21"/>
          <w:highlight w:val="none"/>
          <w:lang w:eastAsia="zh-CN"/>
        </w:rPr>
      </w:pPr>
      <w:bookmarkStart w:id="84" w:name="_Toc8396918"/>
      <w:bookmarkStart w:id="85" w:name="_Toc2566"/>
      <w:bookmarkStart w:id="86" w:name="_Toc21680"/>
      <w:bookmarkStart w:id="87" w:name="_Toc4161"/>
      <w:r>
        <w:rPr>
          <w:rFonts w:hint="eastAsia" w:ascii="宋体" w:hAnsi="宋体" w:eastAsia="宋体" w:cs="宋体"/>
          <w:b/>
          <w:color w:val="auto"/>
          <w:sz w:val="21"/>
          <w:szCs w:val="21"/>
          <w:highlight w:val="none"/>
          <w:lang w:val="en-US" w:eastAsia="zh-CN"/>
        </w:rPr>
        <w:t>十三</w:t>
      </w:r>
      <w:r>
        <w:rPr>
          <w:rFonts w:hint="eastAsia" w:ascii="宋体" w:hAnsi="宋体" w:eastAsia="宋体" w:cs="宋体"/>
          <w:b/>
          <w:color w:val="auto"/>
          <w:sz w:val="21"/>
          <w:szCs w:val="21"/>
          <w:highlight w:val="none"/>
          <w:lang w:eastAsia="zh-CN"/>
        </w:rPr>
        <w:t>、</w:t>
      </w:r>
      <w:r>
        <w:rPr>
          <w:rStyle w:val="109"/>
          <w:rFonts w:hint="eastAsia" w:ascii="宋体" w:hAnsi="宋体" w:eastAsia="宋体" w:cs="宋体"/>
          <w:b/>
          <w:bCs/>
          <w:color w:val="auto"/>
          <w:highlight w:val="none"/>
          <w:lang w:eastAsia="zh-CN"/>
        </w:rPr>
        <w:t>质量</w:t>
      </w:r>
      <w:r>
        <w:rPr>
          <w:rFonts w:hint="eastAsia" w:ascii="宋体" w:hAnsi="宋体" w:eastAsia="宋体" w:cs="宋体"/>
          <w:b/>
          <w:color w:val="auto"/>
          <w:sz w:val="21"/>
          <w:szCs w:val="21"/>
          <w:highlight w:val="none"/>
          <w:lang w:eastAsia="zh-CN"/>
        </w:rPr>
        <w:t>保证及后续服务</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1、乙方应按</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文件规定向甲方提供服务。</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2、乙方提供的服务成果对达不到要求者，根据实际情况，经双方协商，可按以下办法处理：</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（1）重做：由乙方承担所发生的全部费用。</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（2）解除合同。</w:t>
      </w:r>
    </w:p>
    <w:p>
      <w:pPr>
        <w:pStyle w:val="159"/>
        <w:spacing w:line="360" w:lineRule="auto"/>
        <w:ind w:left="-134" w:leftChars="-64"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3、在服务</w:t>
      </w:r>
      <w:r>
        <w:rPr>
          <w:rFonts w:hint="eastAsia" w:ascii="宋体" w:hAnsi="宋体" w:eastAsia="宋体" w:cs="宋体"/>
          <w:color w:val="auto"/>
          <w:sz w:val="21"/>
          <w:szCs w:val="21"/>
          <w:highlight w:val="none"/>
          <w:lang w:val="en-US" w:eastAsia="zh-CN"/>
        </w:rPr>
        <w:t>期限</w:t>
      </w:r>
      <w:r>
        <w:rPr>
          <w:rFonts w:hint="eastAsia" w:ascii="宋体" w:hAnsi="宋体" w:eastAsia="宋体" w:cs="宋体"/>
          <w:color w:val="auto"/>
          <w:sz w:val="21"/>
          <w:szCs w:val="21"/>
          <w:highlight w:val="none"/>
          <w:lang w:eastAsia="zh-CN"/>
        </w:rPr>
        <w:t>内，乙方应对出现的质量及安全问题负责处理解决并承担一切费用。</w:t>
      </w:r>
    </w:p>
    <w:p>
      <w:pPr>
        <w:pStyle w:val="7"/>
        <w:adjustRightInd w:val="0"/>
        <w:snapToGrid w:val="0"/>
        <w:spacing w:line="360" w:lineRule="auto"/>
        <w:rPr>
          <w:rStyle w:val="109"/>
          <w:rFonts w:hint="eastAsia" w:ascii="宋体" w:hAnsi="宋体" w:eastAsia="宋体" w:cs="宋体"/>
          <w:color w:val="auto"/>
          <w:highlight w:val="none"/>
        </w:rPr>
      </w:pPr>
      <w:r>
        <w:rPr>
          <w:rStyle w:val="109"/>
          <w:rFonts w:hint="eastAsia" w:ascii="宋体" w:hAnsi="宋体" w:eastAsia="宋体" w:cs="宋体"/>
          <w:b/>
          <w:bCs/>
          <w:color w:val="auto"/>
          <w:highlight w:val="none"/>
        </w:rPr>
        <w:t>十</w:t>
      </w:r>
      <w:r>
        <w:rPr>
          <w:rStyle w:val="109"/>
          <w:rFonts w:hint="eastAsia" w:ascii="宋体" w:hAnsi="宋体" w:eastAsia="宋体" w:cs="宋体"/>
          <w:b/>
          <w:bCs/>
          <w:color w:val="auto"/>
          <w:highlight w:val="none"/>
          <w:lang w:val="en-US"/>
        </w:rPr>
        <w:t>四</w:t>
      </w:r>
      <w:r>
        <w:rPr>
          <w:rStyle w:val="109"/>
          <w:rFonts w:hint="eastAsia" w:ascii="宋体" w:hAnsi="宋体" w:eastAsia="宋体" w:cs="宋体"/>
          <w:b/>
          <w:bCs/>
          <w:color w:val="auto"/>
          <w:highlight w:val="none"/>
        </w:rPr>
        <w:t>、违约责任</w:t>
      </w:r>
      <w:bookmarkEnd w:id="84"/>
      <w:r>
        <w:rPr>
          <w:rStyle w:val="109"/>
          <w:rFonts w:hint="eastAsia" w:ascii="宋体" w:hAnsi="宋体" w:eastAsia="宋体" w:cs="宋体"/>
          <w:color w:val="auto"/>
          <w:highlight w:val="none"/>
        </w:rPr>
        <w:t>(以下内容供参考，甲方根据实际情况定)</w:t>
      </w:r>
      <w:bookmarkEnd w:id="85"/>
      <w:bookmarkEnd w:id="86"/>
      <w:bookmarkEnd w:id="87"/>
    </w:p>
    <w:p>
      <w:pPr>
        <w:adjustRightInd w:val="0"/>
        <w:snapToGrid w:val="0"/>
        <w:spacing w:line="360" w:lineRule="auto"/>
        <w:ind w:firstLine="420" w:firstLineChars="200"/>
        <w:rPr>
          <w:rStyle w:val="109"/>
          <w:rFonts w:hint="eastAsia" w:ascii="宋体" w:hAnsi="宋体" w:eastAsia="宋体" w:cs="宋体"/>
          <w:color w:val="auto"/>
          <w:highlight w:val="none"/>
        </w:rPr>
      </w:pPr>
      <w:r>
        <w:rPr>
          <w:rFonts w:hint="eastAsia" w:ascii="宋体" w:hAnsi="宋体" w:eastAsia="宋体" w:cs="宋体"/>
          <w:color w:val="auto"/>
          <w:szCs w:val="21"/>
          <w:highlight w:val="none"/>
        </w:rPr>
        <w:t>除不可抗力外，如乙方发生不能按期提供服务，应及时以书面形式通知对方。买卖双方应本着友好的态度进行协商，妥善解决。</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1、甲方无故逾期办理价款支付手续的，甲方应按逾期付款总额每日万分之五向乙方支付违约金。</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逾期完成、未按期提供服务的，乙方应合同价款总额每日千分之六向甲方支付违约金，由甲方从待付款中扣除。逾期或未提供服务超过约定日期十个工作日不能完成的，甲方可解除本合同。乙方因逾期完成、未提供服务或因其他违约行为导致甲方解除合同的，乙方应向甲方支付合同价款百分之五的违约金，如造成甲方损失超过违约金的，超出部分由乙方继续承担赔偿责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所提供的服务质量标准不符合合同规定或采购文件规定标准的，甲方有权拒绝接受服务，乙方愿意继续提供服务但逾期完成的，按乙方逾期完成处理或提供服务。乙方拒绝按要求继续服务的，甲方可单方面解除合同。</w:t>
      </w:r>
    </w:p>
    <w:p>
      <w:pPr>
        <w:pStyle w:val="7"/>
        <w:adjustRightInd w:val="0"/>
        <w:snapToGrid w:val="0"/>
        <w:spacing w:line="360" w:lineRule="auto"/>
        <w:rPr>
          <w:rStyle w:val="109"/>
          <w:rFonts w:hint="eastAsia" w:ascii="宋体" w:hAnsi="宋体" w:eastAsia="宋体" w:cs="宋体"/>
          <w:b/>
          <w:bCs/>
          <w:color w:val="auto"/>
          <w:highlight w:val="none"/>
        </w:rPr>
      </w:pPr>
      <w:bookmarkStart w:id="88" w:name="_Toc22093"/>
      <w:bookmarkStart w:id="89" w:name="_Toc7122"/>
      <w:bookmarkStart w:id="90" w:name="_Toc20962"/>
      <w:r>
        <w:rPr>
          <w:rStyle w:val="109"/>
          <w:rFonts w:hint="eastAsia" w:ascii="宋体" w:hAnsi="宋体" w:eastAsia="宋体" w:cs="宋体"/>
          <w:b/>
          <w:bCs/>
          <w:color w:val="auto"/>
          <w:highlight w:val="none"/>
        </w:rPr>
        <w:t>十五、不可抗力事件处理</w:t>
      </w:r>
      <w:bookmarkEnd w:id="88"/>
      <w:bookmarkEnd w:id="89"/>
      <w:bookmarkEnd w:id="90"/>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3、不可抗力事件延续120天以上，双方应通过友好协商，确定是否继续履行合同。</w:t>
      </w:r>
    </w:p>
    <w:p>
      <w:pPr>
        <w:pStyle w:val="7"/>
        <w:adjustRightInd w:val="0"/>
        <w:snapToGrid w:val="0"/>
        <w:spacing w:line="360" w:lineRule="auto"/>
        <w:rPr>
          <w:rStyle w:val="109"/>
          <w:rFonts w:hint="eastAsia" w:ascii="宋体" w:hAnsi="宋体" w:eastAsia="宋体" w:cs="宋体"/>
          <w:b/>
          <w:bCs/>
          <w:color w:val="auto"/>
          <w:highlight w:val="none"/>
        </w:rPr>
      </w:pPr>
      <w:bookmarkStart w:id="91" w:name="_Toc29848"/>
      <w:bookmarkStart w:id="92" w:name="_Toc29100"/>
      <w:bookmarkStart w:id="93" w:name="_Toc4579"/>
      <w:bookmarkStart w:id="94" w:name="_Toc8396920"/>
      <w:r>
        <w:rPr>
          <w:rStyle w:val="109"/>
          <w:rFonts w:hint="eastAsia" w:ascii="宋体" w:hAnsi="宋体" w:eastAsia="宋体" w:cs="宋体"/>
          <w:b/>
          <w:bCs/>
          <w:color w:val="auto"/>
          <w:highlight w:val="none"/>
        </w:rPr>
        <w:t>十六、仲裁</w:t>
      </w:r>
      <w:bookmarkEnd w:id="91"/>
      <w:bookmarkEnd w:id="92"/>
      <w:bookmarkEnd w:id="93"/>
      <w:bookmarkEnd w:id="94"/>
    </w:p>
    <w:p>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1、凡有关本合同或执行本合同中发生的争端，甲乙双方应通过友好协商，妥善解决。如通过协商仍不能解决时，可向杭州仲裁委员会申请仲裁。</w:t>
      </w:r>
    </w:p>
    <w:p>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2、仲裁费用除仲裁机构另有裁决外，由败诉人承担。</w:t>
      </w:r>
    </w:p>
    <w:p>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3、在仲裁期间，除正在进行仲裁的部分外，本合同其他部分应继续执行。</w:t>
      </w:r>
    </w:p>
    <w:p>
      <w:pPr>
        <w:pStyle w:val="7"/>
        <w:adjustRightInd w:val="0"/>
        <w:snapToGrid w:val="0"/>
        <w:spacing w:line="360" w:lineRule="auto"/>
        <w:rPr>
          <w:rStyle w:val="109"/>
          <w:rFonts w:hint="eastAsia" w:ascii="宋体" w:hAnsi="宋体" w:eastAsia="宋体" w:cs="宋体"/>
          <w:b/>
          <w:bCs/>
          <w:color w:val="auto"/>
          <w:highlight w:val="none"/>
        </w:rPr>
      </w:pPr>
      <w:bookmarkStart w:id="95" w:name="_Toc8396921"/>
      <w:bookmarkStart w:id="96" w:name="_Toc19883"/>
      <w:bookmarkStart w:id="97" w:name="_Toc9502"/>
      <w:bookmarkStart w:id="98" w:name="_Toc8189"/>
      <w:bookmarkStart w:id="99" w:name="_Toc8396922"/>
      <w:r>
        <w:rPr>
          <w:rFonts w:hint="eastAsia" w:ascii="宋体" w:hAnsi="宋体" w:eastAsia="宋体" w:cs="宋体"/>
          <w:b/>
          <w:bCs/>
          <w:color w:val="auto"/>
          <w:szCs w:val="21"/>
          <w:highlight w:val="none"/>
        </w:rPr>
        <w:t>十七、适</w:t>
      </w:r>
      <w:r>
        <w:rPr>
          <w:rStyle w:val="109"/>
          <w:rFonts w:hint="eastAsia" w:ascii="宋体" w:hAnsi="宋体" w:eastAsia="宋体" w:cs="宋体"/>
          <w:b/>
          <w:bCs/>
          <w:color w:val="auto"/>
          <w:highlight w:val="none"/>
        </w:rPr>
        <w:t>用法律</w:t>
      </w:r>
      <w:bookmarkEnd w:id="95"/>
      <w:bookmarkEnd w:id="96"/>
      <w:bookmarkEnd w:id="97"/>
      <w:bookmarkEnd w:id="98"/>
    </w:p>
    <w:p>
      <w:pPr>
        <w:pStyle w:val="7"/>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本合同按照中华人民共和国的法律进行解释。</w:t>
      </w:r>
    </w:p>
    <w:bookmarkEnd w:id="99"/>
    <w:p>
      <w:pPr>
        <w:pStyle w:val="7"/>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snapToGrid w:val="0"/>
          <w:color w:val="auto"/>
          <w:szCs w:val="21"/>
          <w:highlight w:val="none"/>
        </w:rPr>
        <w:t>十八、</w:t>
      </w:r>
      <w:r>
        <w:rPr>
          <w:rStyle w:val="109"/>
          <w:rFonts w:hint="eastAsia" w:ascii="宋体" w:hAnsi="宋体" w:eastAsia="宋体" w:cs="宋体"/>
          <w:b/>
          <w:bCs/>
          <w:color w:val="auto"/>
          <w:sz w:val="21"/>
          <w:szCs w:val="21"/>
          <w:highlight w:val="none"/>
        </w:rPr>
        <w:t>合同</w:t>
      </w:r>
      <w:r>
        <w:rPr>
          <w:rFonts w:hint="eastAsia" w:ascii="宋体" w:hAnsi="宋体" w:eastAsia="宋体" w:cs="宋体"/>
          <w:b/>
          <w:bCs/>
          <w:color w:val="auto"/>
          <w:szCs w:val="21"/>
          <w:highlight w:val="none"/>
        </w:rPr>
        <w:t>生效</w:t>
      </w:r>
      <w:r>
        <w:rPr>
          <w:rStyle w:val="109"/>
          <w:rFonts w:hint="eastAsia" w:ascii="宋体" w:hAnsi="宋体" w:eastAsia="宋体" w:cs="宋体"/>
          <w:b/>
          <w:bCs/>
          <w:color w:val="auto"/>
          <w:sz w:val="21"/>
          <w:szCs w:val="21"/>
          <w:highlight w:val="none"/>
        </w:rPr>
        <w:t>及其他</w:t>
      </w:r>
    </w:p>
    <w:p>
      <w:pPr>
        <w:spacing w:line="360" w:lineRule="auto"/>
        <w:ind w:firstLine="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1、本合同经甲、乙双方单位的法定代表人或者经单位法定代表人授权的委托代理人签字并加盖公章后生效。</w:t>
      </w:r>
    </w:p>
    <w:p>
      <w:pPr>
        <w:spacing w:line="360" w:lineRule="auto"/>
        <w:ind w:left="57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2、本合同一式五份，甲方执三份，乙方、鉴证方各执一份。</w:t>
      </w:r>
    </w:p>
    <w:p>
      <w:pPr>
        <w:spacing w:line="360" w:lineRule="auto"/>
        <w:ind w:firstLine="570"/>
        <w:rPr>
          <w:rFonts w:hint="eastAsia" w:ascii="宋体" w:hAnsi="宋体" w:eastAsia="宋体" w:cs="宋体"/>
          <w:color w:val="auto"/>
          <w:szCs w:val="21"/>
          <w:highlight w:val="none"/>
        </w:rPr>
      </w:pPr>
      <w:r>
        <w:rPr>
          <w:rFonts w:hint="eastAsia" w:ascii="宋体" w:hAnsi="宋体" w:eastAsia="宋体" w:cs="宋体"/>
          <w:color w:val="auto"/>
          <w:highlight w:val="none"/>
        </w:rPr>
        <w:t>3、相关采购文件、</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文件、协商记录、产品配置清单（如有）等与本合同具有同等法律效力。</w:t>
      </w:r>
    </w:p>
    <w:p>
      <w:pPr>
        <w:pStyle w:val="7"/>
        <w:adjustRightInd w:val="0"/>
        <w:snapToGrid w:val="0"/>
        <w:spacing w:line="360" w:lineRule="auto"/>
        <w:rPr>
          <w:rFonts w:hint="eastAsia" w:ascii="宋体" w:hAnsi="宋体" w:eastAsia="宋体" w:cs="宋体"/>
          <w:snapToGrid w:val="0"/>
          <w:color w:val="auto"/>
          <w:szCs w:val="21"/>
          <w:highlight w:val="none"/>
        </w:rPr>
      </w:pPr>
    </w:p>
    <w:tbl>
      <w:tblPr>
        <w:tblStyle w:val="55"/>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2"/>
        <w:gridCol w:w="3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4702"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甲方（公章）：浙江理工大学</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乙方（公章）：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4702"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法定代表人或受委托人：</w:t>
            </w: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法定代表人或受委托人：</w:t>
            </w:r>
          </w:p>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r>
              <w:rPr>
                <w:rFonts w:hint="eastAsia" w:ascii="宋体" w:hAnsi="宋体" w:eastAsia="宋体" w:cs="宋体"/>
                <w:color w:val="auto"/>
                <w:kern w:val="0"/>
                <w:szCs w:val="21"/>
                <w:highlight w:val="none"/>
              </w:rPr>
              <w:t>杭州下沙高教园区2号大街928号</w:t>
            </w:r>
            <w:r>
              <w:rPr>
                <w:rFonts w:hint="eastAsia" w:ascii="宋体" w:hAnsi="宋体" w:eastAsia="宋体" w:cs="宋体"/>
                <w:color w:val="auto"/>
                <w:spacing w:val="-6"/>
                <w:szCs w:val="21"/>
                <w:highlight w:val="none"/>
              </w:rPr>
              <w:t xml:space="preserve"> </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邮编：310018</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color w:val="auto"/>
                <w:spacing w:val="0"/>
                <w:kern w:val="0"/>
                <w:szCs w:val="21"/>
                <w:highlight w:val="none"/>
              </w:rPr>
              <w:t>电话：</w:t>
            </w:r>
            <w:r>
              <w:rPr>
                <w:rFonts w:hint="eastAsia" w:ascii="宋体" w:hAnsi="宋体" w:eastAsia="宋体" w:cs="宋体"/>
                <w:color w:val="auto"/>
                <w:spacing w:val="0"/>
                <w:kern w:val="0"/>
                <w:szCs w:val="21"/>
                <w:highlight w:val="none"/>
                <w:lang w:val="en-US" w:eastAsia="zh-CN"/>
              </w:rPr>
              <w:t>0571-86843939</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0"/>
                <w:kern w:val="0"/>
                <w:szCs w:val="21"/>
                <w:highlight w:val="none"/>
                <w:lang w:val="en-US" w:eastAsia="zh-CN"/>
              </w:rPr>
            </w:pPr>
            <w:r>
              <w:rPr>
                <w:rFonts w:hint="eastAsia" w:ascii="宋体" w:hAnsi="宋体" w:eastAsia="宋体" w:cs="宋体"/>
                <w:color w:val="auto"/>
                <w:spacing w:val="0"/>
                <w:kern w:val="0"/>
                <w:szCs w:val="21"/>
                <w:highlight w:val="none"/>
              </w:rPr>
              <w:t>传真：</w:t>
            </w:r>
            <w:r>
              <w:rPr>
                <w:rFonts w:hint="eastAsia" w:ascii="宋体" w:hAnsi="宋体" w:eastAsia="宋体" w:cs="宋体"/>
                <w:color w:val="auto"/>
                <w:spacing w:val="0"/>
                <w:kern w:val="0"/>
                <w:szCs w:val="21"/>
                <w:highlight w:val="none"/>
                <w:lang w:val="en-US" w:eastAsia="zh-CN"/>
              </w:rPr>
              <w:t>0571-86843155</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开户银行：工行杭州高新支行</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rPr>
            </w:pPr>
            <w:r>
              <w:rPr>
                <w:rFonts w:hint="eastAsia" w:ascii="宋体" w:hAnsi="宋体" w:eastAsia="宋体" w:cs="宋体"/>
              </w:rPr>
              <w:t>帐号：1202026209014400967</w:t>
            </w:r>
          </w:p>
          <w:p>
            <w:pPr>
              <w:spacing w:line="360" w:lineRule="auto"/>
              <w:rPr>
                <w:rFonts w:hint="eastAsia" w:ascii="宋体" w:hAnsi="宋体" w:eastAsia="宋体" w:cs="宋体"/>
                <w:lang w:val="en-US" w:eastAsia="zh-CN"/>
              </w:rPr>
            </w:pPr>
            <w:r>
              <w:rPr>
                <w:rFonts w:hint="eastAsia" w:ascii="宋体" w:hAnsi="宋体" w:eastAsia="宋体" w:cs="宋体"/>
                <w:spacing w:val="0"/>
                <w:kern w:val="2"/>
                <w:sz w:val="21"/>
                <w:szCs w:val="24"/>
                <w:lang w:val="en-US" w:eastAsia="zh-CN"/>
              </w:rPr>
              <w:t>统一社会信用代码：</w:t>
            </w:r>
            <w:r>
              <w:rPr>
                <w:rFonts w:hint="eastAsia" w:ascii="宋体" w:hAnsi="宋体" w:eastAsia="宋体" w:cs="宋体"/>
                <w:spacing w:val="0"/>
                <w:kern w:val="2"/>
                <w:sz w:val="21"/>
                <w:szCs w:val="24"/>
                <w:lang w:val="en-US" w:eastAsia="zh-CN" w:bidi="ar-SA"/>
              </w:rPr>
              <w:t xml:space="preserve">12330000470009034M </w:t>
            </w:r>
          </w:p>
        </w:tc>
        <w:tc>
          <w:tcPr>
            <w:tcW w:w="3657" w:type="dxa"/>
            <w:noWrap w:val="0"/>
            <w:vAlign w:val="top"/>
          </w:tcPr>
          <w:p>
            <w:pPr>
              <w:spacing w:line="360" w:lineRule="auto"/>
              <w:rPr>
                <w:rFonts w:hint="eastAsia"/>
              </w:rPr>
            </w:pPr>
            <w:r>
              <w:rPr>
                <w:rFonts w:hint="eastAsia"/>
              </w:rPr>
              <w:t>帐号：</w:t>
            </w:r>
          </w:p>
          <w:p>
            <w:pPr>
              <w:spacing w:line="360" w:lineRule="auto"/>
              <w:rPr>
                <w:rFonts w:hint="eastAsia"/>
              </w:rPr>
            </w:pPr>
            <w:r>
              <w:rPr>
                <w:rFonts w:hint="eastAsia" w:ascii="Times New Roman" w:hAnsi="Times New Roman" w:eastAsia="宋体" w:cs="Times New Roman"/>
                <w:spacing w:val="0"/>
                <w:kern w:val="2"/>
                <w:sz w:val="21"/>
                <w:szCs w:val="24"/>
                <w:lang w:val="en-US" w:eastAsia="zh-CN"/>
              </w:rPr>
              <w:t>统一社会信用代码</w:t>
            </w:r>
            <w:r>
              <w:rPr>
                <w:rFonts w:hint="eastAsia" w:cs="Times New Roman"/>
                <w:spacing w:val="0"/>
                <w:kern w:val="2"/>
                <w:sz w:val="21"/>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702"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签约时间：    年   月   日</w:t>
            </w:r>
          </w:p>
        </w:tc>
        <w:tc>
          <w:tcPr>
            <w:tcW w:w="3657" w:type="dxa"/>
            <w:noWrap w:val="0"/>
            <w:vAlign w:val="top"/>
          </w:tcPr>
          <w:p>
            <w:pPr>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签约时间：    年   月   日</w:t>
            </w: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鉴证方（章）：</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项目负责人：（签字）               </w:t>
      </w:r>
    </w:p>
    <w:p>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日  期：     年   月   日</w:t>
      </w:r>
      <w:r>
        <w:rPr>
          <w:rFonts w:hint="eastAsia" w:ascii="宋体" w:hAnsi="宋体" w:eastAsia="宋体" w:cs="宋体"/>
          <w:color w:val="auto"/>
          <w:highlight w:val="none"/>
        </w:rPr>
        <w:br w:type="page"/>
      </w:r>
    </w:p>
    <w:p>
      <w:pPr>
        <w:pStyle w:val="4"/>
        <w:rPr>
          <w:rFonts w:hint="eastAsia" w:ascii="宋体" w:hAnsi="宋体" w:eastAsia="宋体" w:cs="宋体"/>
          <w:color w:val="auto"/>
          <w:highlight w:val="none"/>
        </w:rPr>
      </w:pPr>
      <w:bookmarkStart w:id="100" w:name="_Toc31929"/>
      <w:r>
        <w:rPr>
          <w:rFonts w:hint="eastAsia" w:ascii="宋体" w:hAnsi="宋体" w:eastAsia="宋体" w:cs="宋体"/>
          <w:color w:val="auto"/>
          <w:highlight w:val="none"/>
        </w:rPr>
        <w:t xml:space="preserve">第五章  </w:t>
      </w:r>
      <w:bookmarkEnd w:id="47"/>
      <w:r>
        <w:rPr>
          <w:rFonts w:hint="eastAsia" w:ascii="宋体" w:hAnsi="宋体" w:eastAsia="宋体" w:cs="宋体"/>
          <w:color w:val="auto"/>
          <w:highlight w:val="none"/>
        </w:rPr>
        <w:t>投标人须知前附表</w:t>
      </w:r>
      <w:bookmarkEnd w:id="100"/>
      <w:r>
        <w:rPr>
          <w:rFonts w:hint="eastAsia" w:ascii="宋体" w:hAnsi="宋体" w:eastAsia="宋体" w:cs="宋体"/>
          <w:color w:val="auto"/>
          <w:highlight w:val="none"/>
        </w:rPr>
        <w:t xml:space="preserve"> </w:t>
      </w:r>
    </w:p>
    <w:tbl>
      <w:tblPr>
        <w:tblStyle w:val="5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309"/>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投标人须知条款号</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6227"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227" w:type="dxa"/>
            <w:vAlign w:val="center"/>
          </w:tcPr>
          <w:p>
            <w:pPr>
              <w:pStyle w:val="142"/>
              <w:snapToGrid w:val="0"/>
              <w:spacing w:line="360" w:lineRule="auto"/>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采购人名称：</w:t>
            </w:r>
            <w:r>
              <w:rPr>
                <w:rFonts w:hint="eastAsia" w:ascii="宋体" w:hAnsi="宋体" w:eastAsia="宋体" w:cs="宋体"/>
                <w:color w:val="auto"/>
                <w:kern w:val="0"/>
                <w:szCs w:val="21"/>
                <w:highlight w:val="none"/>
                <w:lang w:eastAsia="zh-CN"/>
              </w:rPr>
              <w:t>浙江理工大学</w:t>
            </w:r>
          </w:p>
          <w:p>
            <w:pPr>
              <w:pStyle w:val="142"/>
              <w:snapToGrid w:val="0"/>
              <w:spacing w:line="360" w:lineRule="auto"/>
              <w:ind w:firstLine="0" w:firstLineChars="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地点：</w:t>
            </w:r>
            <w:r>
              <w:rPr>
                <w:rFonts w:hint="eastAsia" w:ascii="宋体" w:hAnsi="宋体" w:eastAsia="宋体" w:cs="宋体"/>
                <w:color w:val="auto"/>
                <w:szCs w:val="21"/>
                <w:highlight w:val="none"/>
                <w:lang w:eastAsia="zh-CN"/>
              </w:rPr>
              <w:t>杭州下沙高教园区2号大街928号</w:t>
            </w:r>
          </w:p>
          <w:p>
            <w:pPr>
              <w:widowControl/>
              <w:adjustRightInd w:val="0"/>
              <w:snapToGrid w:val="0"/>
              <w:spacing w:line="360" w:lineRule="auto"/>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eastAsia="zh-CN"/>
              </w:rPr>
              <w:t>陶</w:t>
            </w:r>
            <w:r>
              <w:rPr>
                <w:rFonts w:hint="eastAsia" w:ascii="宋体" w:hAnsi="宋体" w:cs="宋体"/>
                <w:color w:val="auto"/>
                <w:kern w:val="0"/>
                <w:szCs w:val="21"/>
                <w:highlight w:val="none"/>
                <w:lang w:val="en-US" w:eastAsia="zh-CN"/>
              </w:rPr>
              <w:t>老师</w:t>
            </w:r>
          </w:p>
          <w:p>
            <w:pPr>
              <w:widowControl/>
              <w:adjustRightInd w:val="0"/>
              <w:snapToGrid w:val="0"/>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kern w:val="0"/>
                <w:szCs w:val="21"/>
                <w:highlight w:val="none"/>
              </w:rPr>
              <w:t>联系电话：</w:t>
            </w:r>
            <w:r>
              <w:rPr>
                <w:rFonts w:hint="eastAsia" w:ascii="宋体" w:hAnsi="宋体" w:eastAsia="宋体" w:cs="宋体"/>
                <w:color w:val="auto"/>
                <w:szCs w:val="21"/>
                <w:highlight w:val="none"/>
              </w:rPr>
              <w:t>0571-</w:t>
            </w:r>
            <w:r>
              <w:rPr>
                <w:rFonts w:hint="eastAsia" w:ascii="宋体" w:hAnsi="宋体" w:eastAsia="宋体" w:cs="宋体"/>
                <w:color w:val="auto"/>
                <w:szCs w:val="21"/>
                <w:highlight w:val="none"/>
                <w:lang w:eastAsia="zh-CN"/>
              </w:rPr>
              <w:t>86843789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采购代理机构</w:t>
            </w:r>
          </w:p>
        </w:tc>
        <w:tc>
          <w:tcPr>
            <w:tcW w:w="6227" w:type="dxa"/>
            <w:vAlign w:val="center"/>
          </w:tcPr>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名称：浙江省成套招标代理有限公司</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地点：杭州市文晖路42号现代置业大厦西楼18层1801室</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联系人：石晓聪、张洁芬</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联系电话：0571-88368025，15757182519</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kern w:val="0"/>
                <w:szCs w:val="21"/>
                <w:highlight w:val="none"/>
              </w:rPr>
              <w:t>4008-266-163转07285</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Email：</w:t>
            </w:r>
            <w:r>
              <w:rPr>
                <w:rFonts w:hint="eastAsia" w:ascii="宋体" w:hAnsi="宋体" w:eastAsia="宋体" w:cs="宋体"/>
                <w:color w:val="auto"/>
                <w:kern w:val="0"/>
                <w:szCs w:val="21"/>
                <w:highlight w:val="none"/>
              </w:rPr>
              <w:t>shixc@zjsct.cn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6227" w:type="dxa"/>
            <w:vAlign w:val="center"/>
          </w:tcPr>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如有需要，投标人自行踏勘现场。踏勘期间发生的费用或意外导致伤亡等一切责任和损失均由投标人自负。</w:t>
            </w:r>
          </w:p>
          <w:p>
            <w:pPr>
              <w:pStyle w:val="142"/>
              <w:snapToGrid w:val="0"/>
              <w:spacing w:line="360" w:lineRule="auto"/>
              <w:ind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联系人：</w:t>
            </w:r>
            <w:r>
              <w:rPr>
                <w:rFonts w:hint="eastAsia" w:ascii="宋体" w:hAnsi="宋体" w:eastAsia="宋体" w:cs="宋体"/>
                <w:color w:val="auto"/>
                <w:kern w:val="0"/>
                <w:szCs w:val="21"/>
                <w:highlight w:val="none"/>
                <w:lang w:eastAsia="zh-CN"/>
              </w:rPr>
              <w:t>陶</w:t>
            </w:r>
            <w:r>
              <w:rPr>
                <w:rFonts w:hint="eastAsia" w:ascii="宋体" w:hAnsi="宋体" w:cs="宋体"/>
                <w:color w:val="auto"/>
                <w:kern w:val="0"/>
                <w:szCs w:val="21"/>
                <w:highlight w:val="none"/>
                <w:lang w:val="en-US" w:eastAsia="zh-CN"/>
              </w:rPr>
              <w:t>老师</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联系电话</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0571-</w:t>
            </w:r>
            <w:r>
              <w:rPr>
                <w:rFonts w:hint="eastAsia" w:ascii="宋体" w:hAnsi="宋体" w:eastAsia="宋体" w:cs="宋体"/>
                <w:color w:val="auto"/>
                <w:szCs w:val="21"/>
                <w:highlight w:val="none"/>
                <w:lang w:eastAsia="zh-CN"/>
              </w:rPr>
              <w:t>86843789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1.10</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答疑会</w:t>
            </w:r>
          </w:p>
        </w:tc>
        <w:tc>
          <w:tcPr>
            <w:tcW w:w="6227" w:type="dxa"/>
            <w:vAlign w:val="center"/>
          </w:tcPr>
          <w:p>
            <w:pPr>
              <w:autoSpaceDE w:val="0"/>
              <w:autoSpaceDN w:val="0"/>
              <w:adjustRightInd w:val="0"/>
              <w:spacing w:line="360" w:lineRule="auto"/>
              <w:ind w:right="105" w:right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提疑截止时间</w:t>
            </w:r>
          </w:p>
        </w:tc>
        <w:tc>
          <w:tcPr>
            <w:tcW w:w="6227" w:type="dxa"/>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采购文件提疑截止时间：</w:t>
            </w:r>
            <w:r>
              <w:rPr>
                <w:rFonts w:hint="eastAsia" w:ascii="宋体" w:hAnsi="宋体" w:eastAsia="宋体" w:cs="宋体"/>
                <w:color w:val="auto"/>
                <w:highlight w:val="none"/>
              </w:rPr>
              <w:t>2021年</w:t>
            </w:r>
            <w:r>
              <w:rPr>
                <w:rFonts w:hint="eastAsia" w:ascii="宋体" w:hAnsi="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cs="宋体"/>
                <w:color w:val="auto"/>
                <w:highlight w:val="none"/>
                <w:lang w:val="en-US" w:eastAsia="zh-CN"/>
              </w:rPr>
              <w:t>10</w:t>
            </w:r>
            <w:r>
              <w:rPr>
                <w:rFonts w:hint="eastAsia" w:ascii="宋体" w:hAnsi="宋体" w:eastAsia="宋体" w:cs="宋体"/>
                <w:color w:val="auto"/>
                <w:highlight w:val="none"/>
              </w:rPr>
              <w:t>日17时30分前</w:t>
            </w:r>
            <w:r>
              <w:rPr>
                <w:rFonts w:hint="eastAsia" w:ascii="宋体" w:hAnsi="宋体" w:eastAsia="宋体" w:cs="宋体"/>
                <w:color w:val="auto"/>
                <w:szCs w:val="21"/>
                <w:highlight w:val="none"/>
              </w:rPr>
              <w:t>传真（</w:t>
            </w:r>
            <w:r>
              <w:rPr>
                <w:rFonts w:hint="eastAsia" w:ascii="宋体" w:hAnsi="宋体" w:eastAsia="宋体" w:cs="宋体"/>
                <w:color w:val="auto"/>
                <w:kern w:val="0"/>
                <w:szCs w:val="21"/>
                <w:highlight w:val="none"/>
              </w:rPr>
              <w:t>4008-266-163转07285</w:t>
            </w:r>
            <w:r>
              <w:rPr>
                <w:rFonts w:hint="eastAsia" w:ascii="宋体" w:hAnsi="宋体" w:eastAsia="宋体" w:cs="宋体"/>
                <w:color w:val="auto"/>
                <w:szCs w:val="21"/>
                <w:highlight w:val="none"/>
              </w:rPr>
              <w:t>）至采购代理机构并将电子稿件发至邮箱</w:t>
            </w:r>
            <w:r>
              <w:rPr>
                <w:rFonts w:hint="eastAsia" w:ascii="宋体" w:hAnsi="宋体" w:eastAsia="宋体" w:cs="宋体"/>
                <w:color w:val="auto"/>
                <w:kern w:val="0"/>
                <w:szCs w:val="21"/>
                <w:highlight w:val="none"/>
              </w:rPr>
              <w:t>shixc@zjsct.cn。</w:t>
            </w:r>
          </w:p>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投标人如对采购文件有疑问应按采购文件规定的提疑时间前提出，逾期提出的，采购组织机构可以不予受理、答复。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补充及答疑时间</w:t>
            </w: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补充及答疑文件将在投标截止时间7天前在浙江政府采购网（http://zfcg.czt.zj.gov.cn）网上更正公告形式告知所有获取采购文件的投标人。</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同时投标截止时间前，投标人应关注该网站是否有最新的更正公告。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投标文件的形式</w:t>
            </w:r>
          </w:p>
        </w:tc>
        <w:tc>
          <w:tcPr>
            <w:tcW w:w="6227" w:type="dxa"/>
            <w:vAlign w:val="center"/>
          </w:tcPr>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☑电子投标文件（包括“电子加密投标文件”和“备份投标文件”，在投标文件编制完成后同时生成）</w:t>
            </w:r>
          </w:p>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（1）“电子加密投标文件”是指通过“政采云电子交易客户端”完成投标文件编制后生成并加密的数据电文形式的投标文件。</w:t>
            </w:r>
          </w:p>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（2）“备份投标文件”是指与“电子加密投标文件”同时生成的数据电文形式的电子文件（备份标书），其他方式编制的备份投标文件视为无效备份投标文件。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投标文件的编制要求</w:t>
            </w:r>
          </w:p>
        </w:tc>
        <w:tc>
          <w:tcPr>
            <w:tcW w:w="6227" w:type="dxa"/>
            <w:vAlign w:val="center"/>
          </w:tcPr>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投标人应先安装“政采云电子交易客户端”，并按照采购文件中规定的 “投标文件格式”中提供的格式和“政府采购云平台”的要求，通过“政采云电子交易客户端”编制并加密投标文件。</w:t>
            </w:r>
            <w:r>
              <w:rPr>
                <w:rFonts w:hint="eastAsia" w:ascii="宋体" w:hAnsi="宋体" w:eastAsia="宋体" w:cs="宋体"/>
                <w:b/>
                <w:color w:val="auto"/>
                <w:szCs w:val="21"/>
                <w:highlight w:val="none"/>
              </w:rPr>
              <w:t>其中《资格文件》和《商务技术文件》中不得出现本项目投标报价，如因投标人原因提前泄露投标报价，是投标人的责任。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3.3.3</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投标文件的签字或盖章要求</w:t>
            </w:r>
          </w:p>
        </w:tc>
        <w:tc>
          <w:tcPr>
            <w:tcW w:w="6227" w:type="dxa"/>
            <w:vAlign w:val="center"/>
          </w:tcPr>
          <w:p>
            <w:pPr>
              <w:pStyle w:val="142"/>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1、按“投标文件格式”中提供的格式进行签字盖章。</w:t>
            </w:r>
          </w:p>
          <w:p>
            <w:pPr>
              <w:pStyle w:val="142"/>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2、投标文件签署人（签字或盖章）：因系统无法进行法定代表人或其授权代表签字或盖章操作，需线下签字或盖章扫描后上传至电子投标文件中。</w:t>
            </w:r>
          </w:p>
          <w:p>
            <w:pPr>
              <w:pStyle w:val="142"/>
              <w:snapToGrid w:val="0"/>
              <w:spacing w:line="360" w:lineRule="auto"/>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3、盖单位公章：可使用电子公章在线签章或盖单位公章扫描上传。</w:t>
            </w:r>
          </w:p>
          <w:p>
            <w:pPr>
              <w:pStyle w:val="142"/>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bCs/>
                <w:color w:val="auto"/>
                <w:highlight w:val="none"/>
              </w:rPr>
              <w:t>4、电子签章操作指南详见《供应商项目采购-电子招投标操作指南》。系统要求进行电子签章的，按系统要求签章。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3.3.4</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227" w:type="dxa"/>
            <w:vAlign w:val="center"/>
          </w:tcPr>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（1）“电子加密投标文件”：在线上传递交一份。</w:t>
            </w:r>
          </w:p>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（2）“备份投标文件”：密封包装后（可邮寄形式）投标截止时间前递交一份（邮寄地址：杭州市文晖路42号现代置业大厦西楼1801室石晓聪收）。</w:t>
            </w:r>
          </w:p>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（3）中标人在领取中标通知书时向采购人提供全套纸质投标文件3份。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投标文件有效期</w:t>
            </w:r>
          </w:p>
        </w:tc>
        <w:tc>
          <w:tcPr>
            <w:tcW w:w="6227" w:type="dxa"/>
            <w:vAlign w:val="center"/>
          </w:tcPr>
          <w:p>
            <w:pPr>
              <w:widowControl/>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自投标截止时间起120天内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投标地点</w:t>
            </w:r>
          </w:p>
        </w:tc>
        <w:tc>
          <w:tcPr>
            <w:tcW w:w="6227" w:type="dxa"/>
            <w:vAlign w:val="center"/>
          </w:tcPr>
          <w:p>
            <w:pPr>
              <w:pStyle w:val="142"/>
              <w:snapToGrid w:val="0"/>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5.1.1</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szCs w:val="21"/>
                <w:highlight w:val="none"/>
              </w:rPr>
              <w:t>按“招标公告”规定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5.13</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履约保证金金额：合同金额的5%</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履约保证金缴纳形式：</w:t>
            </w:r>
            <w:r>
              <w:rPr>
                <w:rFonts w:hint="eastAsia" w:ascii="宋体" w:hAnsi="宋体" w:cs="宋体"/>
                <w:color w:val="auto"/>
                <w:spacing w:val="0"/>
                <w:sz w:val="21"/>
                <w:highlight w:val="none"/>
              </w:rPr>
              <w:t>银行转账</w:t>
            </w:r>
            <w:r>
              <w:rPr>
                <w:rFonts w:hint="eastAsia" w:ascii="宋体" w:hAnsi="宋体" w:cs="宋体"/>
                <w:color w:val="auto"/>
                <w:spacing w:val="0"/>
                <w:sz w:val="21"/>
                <w:highlight w:val="none"/>
                <w:lang w:eastAsia="zh-CN"/>
              </w:rPr>
              <w:t>、</w:t>
            </w:r>
            <w:r>
              <w:rPr>
                <w:rFonts w:hint="eastAsia" w:ascii="宋体" w:hAnsi="宋体" w:cs="宋体"/>
                <w:color w:val="auto"/>
                <w:spacing w:val="0"/>
                <w:sz w:val="21"/>
                <w:highlight w:val="none"/>
              </w:rPr>
              <w:t>电</w:t>
            </w:r>
            <w:r>
              <w:rPr>
                <w:rFonts w:hint="eastAsia" w:ascii="宋体" w:hAnsi="宋体" w:cs="宋体"/>
                <w:color w:val="auto"/>
                <w:sz w:val="21"/>
                <w:highlight w:val="none"/>
              </w:rPr>
              <w:t>汇或者金融机构、担保机构出具的保函等非现金形式</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履约保证金缴纳时间：合同签订后5个工作日内 </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履约保证金接收人：合同甲方</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履约保证金有效期限：自合同签订之日起至</w:t>
            </w:r>
            <w:r>
              <w:rPr>
                <w:rFonts w:hint="eastAsia" w:ascii="宋体" w:hAnsi="宋体" w:eastAsia="宋体" w:cs="宋体"/>
                <w:color w:val="auto"/>
                <w:highlight w:val="none"/>
                <w:lang w:val="en-US" w:eastAsia="zh-CN"/>
              </w:rPr>
              <w:t>运营周期</w:t>
            </w:r>
            <w:r>
              <w:rPr>
                <w:rFonts w:hint="eastAsia" w:ascii="宋体" w:hAnsi="宋体" w:eastAsia="宋体" w:cs="宋体"/>
                <w:color w:val="auto"/>
                <w:highlight w:val="none"/>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5.14</w:t>
            </w:r>
          </w:p>
        </w:tc>
        <w:tc>
          <w:tcPr>
            <w:tcW w:w="1309" w:type="dxa"/>
            <w:vAlign w:val="center"/>
          </w:tcPr>
          <w:p>
            <w:pPr>
              <w:pStyle w:val="142"/>
              <w:snapToGrid w:val="0"/>
              <w:spacing w:line="36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6227" w:type="dxa"/>
            <w:vAlign w:val="center"/>
          </w:tcPr>
          <w:p>
            <w:pPr>
              <w:pStyle w:val="142"/>
              <w:spacing w:line="360" w:lineRule="auto"/>
              <w:ind w:firstLine="0" w:firstLineChars="0"/>
              <w:rPr>
                <w:rFonts w:hint="eastAsia" w:ascii="宋体" w:hAnsi="宋体" w:eastAsia="宋体" w:cs="宋体"/>
                <w:bCs/>
                <w:snapToGrid w:val="0"/>
                <w:color w:val="auto"/>
                <w:kern w:val="0"/>
                <w:highlight w:val="none"/>
              </w:rPr>
            </w:pPr>
            <w:r>
              <w:rPr>
                <w:rFonts w:hint="eastAsia" w:ascii="宋体" w:hAnsi="宋体" w:eastAsia="宋体" w:cs="宋体"/>
                <w:bCs/>
                <w:snapToGrid w:val="0"/>
                <w:color w:val="auto"/>
                <w:kern w:val="0"/>
                <w:highlight w:val="none"/>
              </w:rPr>
              <w:t>本项目的采购代理费由中标人支付，</w:t>
            </w:r>
            <w:r>
              <w:rPr>
                <w:rFonts w:hint="eastAsia" w:ascii="宋体" w:hAnsi="宋体" w:eastAsia="宋体" w:cs="宋体"/>
                <w:bCs/>
                <w:color w:val="auto"/>
                <w:highlight w:val="none"/>
              </w:rPr>
              <w:t>计费标准按“国家计委关于印发《采购代理服务收费管理暂行办法》的通知计价格[2002]1980号文件标准的</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0%</w:t>
            </w:r>
            <w:r>
              <w:rPr>
                <w:rFonts w:hint="eastAsia" w:ascii="宋体" w:hAnsi="宋体" w:eastAsia="宋体" w:cs="宋体"/>
                <w:bCs/>
                <w:color w:val="auto"/>
                <w:highlight w:val="none"/>
                <w:lang w:val="en-US" w:eastAsia="zh-CN"/>
              </w:rPr>
              <w:t>按标项分别</w:t>
            </w:r>
            <w:r>
              <w:rPr>
                <w:rFonts w:hint="eastAsia" w:ascii="宋体" w:hAnsi="宋体" w:eastAsia="宋体" w:cs="宋体"/>
                <w:bCs/>
                <w:color w:val="auto"/>
                <w:highlight w:val="none"/>
              </w:rPr>
              <w:t>收取，</w:t>
            </w:r>
            <w:r>
              <w:rPr>
                <w:rFonts w:hint="eastAsia" w:ascii="宋体" w:hAnsi="宋体" w:eastAsia="宋体" w:cs="宋体"/>
                <w:bCs/>
                <w:color w:val="auto"/>
                <w:highlight w:val="none"/>
                <w:lang w:val="en-US" w:eastAsia="zh-CN"/>
              </w:rPr>
              <w:t>每个标项</w:t>
            </w:r>
            <w:r>
              <w:rPr>
                <w:rFonts w:hint="eastAsia" w:ascii="宋体" w:hAnsi="宋体" w:eastAsia="宋体" w:cs="宋体"/>
                <w:bCs/>
                <w:color w:val="auto"/>
                <w:highlight w:val="none"/>
              </w:rPr>
              <w:t>不足3000元按3000元计。包</w:t>
            </w:r>
            <w:r>
              <w:rPr>
                <w:rFonts w:hint="eastAsia" w:ascii="宋体" w:hAnsi="宋体" w:eastAsia="宋体" w:cs="宋体"/>
                <w:bCs/>
                <w:snapToGrid w:val="0"/>
                <w:color w:val="auto"/>
                <w:kern w:val="0"/>
                <w:highlight w:val="none"/>
              </w:rPr>
              <w:t>含在投标总价中，在发出中标通知书时由中标人以汇票/支票/电汇直接支付给采购代理机构。采购代理服务费以中标金额为计算基数。</w:t>
            </w:r>
          </w:p>
          <w:p>
            <w:pPr>
              <w:pStyle w:val="142"/>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收款单位（户名）：浙江省成套招标代理有限公司</w:t>
            </w:r>
          </w:p>
          <w:p>
            <w:pPr>
              <w:pStyle w:val="142"/>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开户银行：中信银行杭州西湖支行</w:t>
            </w:r>
          </w:p>
          <w:p>
            <w:pPr>
              <w:pStyle w:val="142"/>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银行账号：7331 6101 8260 0126 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6</w:t>
            </w:r>
          </w:p>
        </w:tc>
        <w:tc>
          <w:tcPr>
            <w:tcW w:w="1309" w:type="dxa"/>
            <w:vAlign w:val="center"/>
          </w:tcPr>
          <w:p>
            <w:pPr>
              <w:pStyle w:val="142"/>
              <w:snapToGrid w:val="0"/>
              <w:spacing w:line="360" w:lineRule="auto"/>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电子加密投标文件的解密和异常情况处理</w:t>
            </w:r>
          </w:p>
        </w:tc>
        <w:tc>
          <w:tcPr>
            <w:tcW w:w="6227" w:type="dxa"/>
            <w:vAlign w:val="center"/>
          </w:tcPr>
          <w:p>
            <w:pPr>
              <w:pStyle w:val="142"/>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（1）开标后，采购组织机构将向各投标人发出“电子加密投标文件”的解密通知，各投标人代表应当在接到解密通知后30分钟内自行完成“电子加密投标文件”的在线解密。</w:t>
            </w:r>
          </w:p>
          <w:p>
            <w:pPr>
              <w:pStyle w:val="142"/>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Style w:val="142"/>
              <w:snapToGrid w:val="0"/>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（3）投标截止时间前，投标人仅递交了“备份投标文件”而未将电子加密投标文件上传至“政府采购云平台”的，投标无效。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7</w:t>
            </w:r>
          </w:p>
        </w:tc>
        <w:tc>
          <w:tcPr>
            <w:tcW w:w="1309" w:type="dxa"/>
            <w:vAlign w:val="center"/>
          </w:tcPr>
          <w:p>
            <w:pPr>
              <w:widowControl/>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在线投标响应（电子投标）说明</w:t>
            </w:r>
          </w:p>
        </w:tc>
        <w:tc>
          <w:tcPr>
            <w:tcW w:w="6227" w:type="dxa"/>
            <w:vAlign w:val="center"/>
          </w:tcPr>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本项目通过“政府采购云平台（www.zcygov.cn）”实行在线投标响应（电子投标），供应商应安装“政采云电子交易客户端”，电子投标工具请供应商自行前往浙江政府采购网下载并安装，（下载网址：http://zfcg.czt.zj.gov.cn/bidClientTemplate/2019-09-24/12975.html）。“政采云电子交易客户端”请自行前往“浙江政府采购网-下载专区-电子交易客户端”进行下载；电子交易具体流程详见操作指南：登录“政府采购云平台（www.zcygov.cn）”，从首页-服务中心-帮助文档-项目采购-电子招投标，查看文档和视频；通过“政府采购云平台”参与在线投标时如遇平台技术问题详询400-881-7190。</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"http://www.zjzfcg.gov.cn/bidClientTemplate/2019-05-27/12945.html" \t "_blank"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color w:val="auto"/>
                <w:kern w:val="0"/>
                <w:szCs w:val="21"/>
                <w:highlight w:val="none"/>
              </w:rPr>
              <w:t>CA驱动和申领流程</w:t>
            </w:r>
            <w:r>
              <w:rPr>
                <w:rFonts w:hint="eastAsia" w:ascii="宋体" w:hAnsi="宋体" w:eastAsia="宋体" w:cs="宋体"/>
                <w:b/>
                <w:color w:val="auto"/>
                <w:kern w:val="0"/>
                <w:szCs w:val="21"/>
                <w:highlight w:val="none"/>
              </w:rPr>
              <w:fldChar w:fldCharType="end"/>
            </w:r>
            <w:r>
              <w:rPr>
                <w:rFonts w:hint="eastAsia" w:ascii="宋体" w:hAnsi="宋体" w:eastAsia="宋体" w:cs="宋体"/>
                <w:b/>
                <w:color w:val="auto"/>
                <w:kern w:val="0"/>
                <w:szCs w:val="21"/>
                <w:highlight w:val="none"/>
              </w:rPr>
              <w:t>”进行查阅。</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3、投标人应当在投标截止时间前，将生成的“电子加密投标文件”上传递交至“政府采购云平台”。投标截止时间以后上传递交的投标文件将被“政府采购云平台”拒收。</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标人在“政府采购云平台”完成“电子加密投标文件”的上传递交后，还可以（邮寄形式）在投标截止时间前递交以介质（U盘）存储的数据电文形式的“备份投标文件”，“备份投标文件”应当密封包装并在包装上标注投标项目名称、</w:t>
            </w:r>
            <w:r>
              <w:rPr>
                <w:rFonts w:hint="eastAsia" w:ascii="宋体" w:hAnsi="宋体" w:eastAsia="宋体" w:cs="宋体"/>
                <w:b/>
                <w:color w:val="auto"/>
                <w:kern w:val="0"/>
                <w:szCs w:val="21"/>
                <w:highlight w:val="none"/>
                <w:lang w:val="en-US" w:eastAsia="zh-CN"/>
              </w:rPr>
              <w:t>标项号、</w:t>
            </w:r>
            <w:r>
              <w:rPr>
                <w:rFonts w:hint="eastAsia" w:ascii="宋体" w:hAnsi="宋体" w:eastAsia="宋体" w:cs="宋体"/>
                <w:b/>
                <w:color w:val="auto"/>
                <w:kern w:val="0"/>
                <w:szCs w:val="21"/>
                <w:highlight w:val="none"/>
              </w:rPr>
              <w:t>投标单位名称并加盖公章。</w:t>
            </w:r>
          </w:p>
          <w:p>
            <w:pPr>
              <w:widowControl/>
              <w:spacing w:line="360" w:lineRule="auto"/>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通过“政府采购云平台”上传递交的“电子加密投标文件”无法按时解密，投标人递交了备份投标文件的，以备份投标文件为依据，否则视为投标文件撤回。通过“政府采购云平台”上传递交的“电子加密投标文件”已按时解密的，“备份投标文件”自动失效。投标人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8</w:t>
            </w:r>
          </w:p>
        </w:tc>
        <w:tc>
          <w:tcPr>
            <w:tcW w:w="1309" w:type="dxa"/>
            <w:vAlign w:val="center"/>
          </w:tcPr>
          <w:p>
            <w:pPr>
              <w:snapToGri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snapToGrid w:val="0"/>
                <w:color w:val="auto"/>
                <w:kern w:val="0"/>
                <w:highlight w:val="none"/>
              </w:rPr>
              <w:t>面向中小企业</w:t>
            </w:r>
          </w:p>
        </w:tc>
        <w:tc>
          <w:tcPr>
            <w:tcW w:w="6227" w:type="dxa"/>
            <w:vAlign w:val="center"/>
          </w:tcPr>
          <w:p>
            <w:pPr>
              <w:widowControl/>
              <w:spacing w:line="3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（1）中小</w:t>
            </w:r>
            <w:r>
              <w:rPr>
                <w:rFonts w:hint="eastAsia" w:ascii="宋体" w:hAnsi="宋体" w:eastAsia="宋体" w:cs="宋体"/>
                <w:color w:val="auto"/>
                <w:kern w:val="0"/>
                <w:szCs w:val="21"/>
                <w:highlight w:val="none"/>
              </w:rPr>
              <w:t>企业</w:t>
            </w:r>
          </w:p>
          <w:p>
            <w:pPr>
              <w:widowControl/>
              <w:spacing w:line="36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pacing w:line="36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符合中小企业划分标准的个体工商户，在政府采购活动中视同中小企业。</w:t>
            </w:r>
          </w:p>
          <w:p>
            <w:pPr>
              <w:widowControl/>
              <w:spacing w:line="36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投标文件中须同时出具《政府采购促进中小企业发展管理办法》【财库（2020）46号】规定的《中小企业声明函》。</w:t>
            </w:r>
          </w:p>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（2）残疾人福利性单位</w:t>
            </w:r>
          </w:p>
          <w:p>
            <w:pPr>
              <w:widowControl/>
              <w:spacing w:line="36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符合《关于促进残疾人就业政府采购政策的通知》（财库〔2017〕141号）规定的条件并提供提供《残疾人福利性单位声明函》的残疾人福利性单位视同小型、微型企业。</w:t>
            </w:r>
          </w:p>
          <w:p>
            <w:pPr>
              <w:widowControl/>
              <w:spacing w:line="360" w:lineRule="exact"/>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（3）监狱企业</w:t>
            </w:r>
          </w:p>
          <w:p>
            <w:pPr>
              <w:widowControl/>
              <w:spacing w:line="36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根据《关于政府采购支持监狱企业发展有关问题的通知》（财库[2014]68号）的规定，供应商提供由省级以上监狱管理局、戒毒管理局（含新疆生产建设兵团）出具的属于监狱企业证明文件的，视同小型、微型企业。</w:t>
            </w:r>
          </w:p>
          <w:p>
            <w:pPr>
              <w:widowControl/>
              <w:spacing w:line="360" w:lineRule="exact"/>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exact"/>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9</w:t>
            </w:r>
          </w:p>
        </w:tc>
        <w:tc>
          <w:tcPr>
            <w:tcW w:w="1309" w:type="dxa"/>
            <w:vAlign w:val="center"/>
          </w:tcPr>
          <w:p>
            <w:pPr>
              <w:snapToGrid w:val="0"/>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snapToGrid w:val="0"/>
                <w:color w:val="auto"/>
                <w:kern w:val="0"/>
                <w:highlight w:val="none"/>
              </w:rPr>
              <w:t>本项目对应的中小企业划分标准所属行业</w:t>
            </w:r>
          </w:p>
        </w:tc>
        <w:tc>
          <w:tcPr>
            <w:tcW w:w="6227" w:type="dxa"/>
            <w:vAlign w:val="center"/>
          </w:tcPr>
          <w:p>
            <w:pPr>
              <w:widowControl/>
              <w:spacing w:line="360" w:lineRule="exact"/>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highlight w:val="none"/>
              </w:rPr>
              <w:t>根据《关于印发</w:t>
            </w:r>
            <w:r>
              <w:rPr>
                <w:rFonts w:hint="eastAsia" w:ascii="宋体" w:hAnsi="宋体" w:eastAsia="宋体" w:cs="宋体"/>
                <w:b/>
                <w:color w:val="auto"/>
                <w:kern w:val="0"/>
                <w:szCs w:val="21"/>
                <w:highlight w:val="none"/>
              </w:rPr>
              <w:t>中小企业</w:t>
            </w:r>
            <w:r>
              <w:rPr>
                <w:rFonts w:hint="eastAsia" w:ascii="宋体" w:hAnsi="宋体" w:eastAsia="宋体" w:cs="宋体"/>
                <w:b/>
                <w:color w:val="auto"/>
                <w:kern w:val="0"/>
                <w:highlight w:val="none"/>
              </w:rPr>
              <w:t>划型标准规定的通知》（工信部联企业〔2011〕300号），本企业按所属行业为“</w:t>
            </w:r>
            <w:r>
              <w:rPr>
                <w:rFonts w:hint="eastAsia" w:ascii="宋体" w:hAnsi="宋体" w:eastAsia="宋体" w:cs="宋体"/>
                <w:b/>
                <w:color w:val="auto"/>
                <w:kern w:val="0"/>
                <w:highlight w:val="none"/>
                <w:lang w:eastAsia="zh-CN"/>
              </w:rPr>
              <w:t>其他未列明行业</w:t>
            </w:r>
            <w:r>
              <w:rPr>
                <w:rFonts w:hint="eastAsia" w:ascii="宋体" w:hAnsi="宋体" w:eastAsia="宋体" w:cs="宋体"/>
                <w:b/>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restart"/>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10</w:t>
            </w:r>
          </w:p>
        </w:tc>
        <w:tc>
          <w:tcPr>
            <w:tcW w:w="1309" w:type="dxa"/>
            <w:vMerge w:val="restart"/>
            <w:vAlign w:val="center"/>
          </w:tcPr>
          <w:p>
            <w:pPr>
              <w:snapToGrid w:val="0"/>
              <w:spacing w:line="360" w:lineRule="auto"/>
              <w:jc w:val="center"/>
              <w:rPr>
                <w:rFonts w:hint="eastAsia" w:ascii="宋体" w:hAnsi="宋体" w:eastAsia="宋体" w:cs="宋体"/>
                <w:b/>
                <w:snapToGrid w:val="0"/>
                <w:color w:val="auto"/>
                <w:kern w:val="0"/>
                <w:highlight w:val="none"/>
              </w:rPr>
            </w:pPr>
            <w:r>
              <w:rPr>
                <w:rFonts w:hint="eastAsia" w:ascii="宋体" w:hAnsi="宋体" w:eastAsia="宋体" w:cs="宋体"/>
                <w:b/>
                <w:color w:val="auto"/>
                <w:kern w:val="0"/>
                <w:highlight w:val="none"/>
              </w:rPr>
              <w:t>特别提醒</w:t>
            </w:r>
          </w:p>
        </w:tc>
        <w:tc>
          <w:tcPr>
            <w:tcW w:w="6227" w:type="dxa"/>
            <w:vAlign w:val="center"/>
          </w:tcPr>
          <w:p>
            <w:pPr>
              <w:snapToGrid w:val="0"/>
              <w:spacing w:line="360" w:lineRule="auto"/>
              <w:rPr>
                <w:rFonts w:hint="eastAsia" w:ascii="宋体" w:hAnsi="宋体" w:eastAsia="宋体" w:cs="宋体"/>
                <w:b/>
                <w:color w:val="auto"/>
                <w:kern w:val="0"/>
                <w:highlight w:val="none"/>
              </w:rPr>
            </w:pPr>
            <w:r>
              <w:rPr>
                <w:rFonts w:hint="eastAsia" w:ascii="宋体" w:hAnsi="宋体" w:eastAsia="宋体" w:cs="宋体"/>
                <w:b/>
                <w:color w:val="auto"/>
                <w:kern w:val="10"/>
                <w:szCs w:val="21"/>
                <w:highlight w:val="none"/>
              </w:rPr>
              <w:t>企业信用融资</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Merge w:val="continue"/>
            <w:vAlign w:val="center"/>
          </w:tcPr>
          <w:p>
            <w:pPr>
              <w:snapToGrid w:val="0"/>
              <w:spacing w:line="360" w:lineRule="auto"/>
              <w:jc w:val="center"/>
              <w:rPr>
                <w:rFonts w:hint="eastAsia" w:ascii="宋体" w:hAnsi="宋体" w:eastAsia="宋体" w:cs="宋体"/>
                <w:color w:val="auto"/>
                <w:kern w:val="0"/>
                <w:highlight w:val="none"/>
              </w:rPr>
            </w:pPr>
          </w:p>
        </w:tc>
        <w:tc>
          <w:tcPr>
            <w:tcW w:w="1309" w:type="dxa"/>
            <w:vMerge w:val="continue"/>
            <w:vAlign w:val="center"/>
          </w:tcPr>
          <w:p>
            <w:pPr>
              <w:snapToGrid w:val="0"/>
              <w:spacing w:line="360" w:lineRule="auto"/>
              <w:jc w:val="center"/>
              <w:rPr>
                <w:rFonts w:hint="eastAsia" w:ascii="宋体" w:hAnsi="宋体" w:eastAsia="宋体" w:cs="宋体"/>
                <w:b/>
                <w:snapToGrid w:val="0"/>
                <w:color w:val="auto"/>
                <w:kern w:val="0"/>
                <w:highlight w:val="none"/>
              </w:rPr>
            </w:pPr>
          </w:p>
        </w:tc>
        <w:tc>
          <w:tcPr>
            <w:tcW w:w="6227" w:type="dxa"/>
            <w:vAlign w:val="center"/>
          </w:tcPr>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根据《关于在政府采购活动中查询及使用信用记录有关问题的通知》财库[2016]125号的规定：</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采购人或采购代理机构将对本项目供应商的信用信息进行查询。对列入失信被执行人、重大税收违法案件当事人名单、政府采购严重违法失信行为记录名单及其他不符合《中华人民共和国政府采购法》第二十二条规定条件的供应商，将拒绝其参与本次政府采购活动；</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2）查询渠道为信用中国网站（www.creditchina.gov.cn）、中国政府采购网（www.ccgp.gov.cn）；</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3）信用信息截止时点为投标文件递交截止日；</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4）信用信息查询记录和证据以网页截图等方式留存；</w:t>
            </w:r>
          </w:p>
          <w:p>
            <w:pPr>
              <w:pStyle w:val="142"/>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5）投标截止日当日网站显示的信用信息将作为资格审查的依据；</w:t>
            </w:r>
          </w:p>
          <w:p>
            <w:pPr>
              <w:pStyle w:val="142"/>
              <w:snapToGrid w:val="0"/>
              <w:spacing w:line="360" w:lineRule="auto"/>
              <w:ind w:firstLine="0" w:firstLineChars="0"/>
              <w:rPr>
                <w:rFonts w:hint="eastAsia" w:ascii="宋体" w:hAnsi="宋体" w:eastAsia="宋体" w:cs="宋体"/>
                <w:b/>
                <w:color w:val="auto"/>
                <w:kern w:val="0"/>
                <w:highlight w:val="none"/>
              </w:rPr>
            </w:pPr>
            <w:r>
              <w:rPr>
                <w:rFonts w:hint="eastAsia" w:ascii="宋体" w:hAnsi="宋体" w:eastAsia="宋体" w:cs="宋体"/>
                <w:color w:val="auto"/>
                <w:highlight w:val="none"/>
              </w:rPr>
              <w:t>6）联合体成员存在上述不良信用记录的，视同联合体存在不良信用记录。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92" w:type="dxa"/>
            <w:vAlign w:val="center"/>
          </w:tcPr>
          <w:p>
            <w:pPr>
              <w:snapToGrid w:val="0"/>
              <w:spacing w:line="360" w:lineRule="auto"/>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11</w:t>
            </w:r>
          </w:p>
        </w:tc>
        <w:tc>
          <w:tcPr>
            <w:tcW w:w="1309" w:type="dxa"/>
            <w:vAlign w:val="center"/>
          </w:tcPr>
          <w:p>
            <w:pPr>
              <w:snapToGrid w:val="0"/>
              <w:spacing w:line="360" w:lineRule="auto"/>
              <w:jc w:val="center"/>
              <w:rPr>
                <w:rFonts w:hint="eastAsia" w:ascii="宋体" w:hAnsi="宋体" w:eastAsia="宋体" w:cs="宋体"/>
                <w:b/>
                <w:snapToGrid w:val="0"/>
                <w:color w:val="auto"/>
                <w:kern w:val="0"/>
                <w:highlight w:val="none"/>
              </w:rPr>
            </w:pPr>
            <w:r>
              <w:rPr>
                <w:rFonts w:hint="eastAsia" w:ascii="宋体" w:hAnsi="宋体" w:eastAsia="宋体" w:cs="宋体"/>
                <w:b/>
                <w:color w:val="auto"/>
                <w:kern w:val="0"/>
                <w:highlight w:val="none"/>
              </w:rPr>
              <w:t>其他</w:t>
            </w:r>
          </w:p>
        </w:tc>
        <w:tc>
          <w:tcPr>
            <w:tcW w:w="6227" w:type="dxa"/>
            <w:vAlign w:val="center"/>
          </w:tcPr>
          <w:p>
            <w:pPr>
              <w:snapToGrid w:val="0"/>
              <w:spacing w:line="360" w:lineRule="auto"/>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1、</w:t>
            </w:r>
            <w:r>
              <w:rPr>
                <w:rFonts w:hint="eastAsia" w:ascii="宋体" w:hAnsi="宋体" w:eastAsia="宋体" w:cs="宋体"/>
                <w:b/>
                <w:color w:val="auto"/>
                <w:highlight w:val="none"/>
              </w:rPr>
              <w:t>请各投标人收到本文件后自行核对，如有缺页、错装等情况请于当日向采购代理机构提出，如未提出，所有责任及由此造成的后果由投标人自负。</w:t>
            </w:r>
          </w:p>
          <w:p>
            <w:pPr>
              <w:snapToGrid w:val="0"/>
              <w:spacing w:line="360" w:lineRule="auto"/>
              <w:rPr>
                <w:rFonts w:hint="eastAsia" w:ascii="宋体" w:hAnsi="宋体" w:eastAsia="宋体" w:cs="宋体"/>
                <w:color w:val="auto"/>
                <w:highlight w:val="none"/>
              </w:rPr>
            </w:pPr>
            <w:r>
              <w:rPr>
                <w:rFonts w:hint="eastAsia" w:ascii="宋体" w:hAnsi="宋体" w:eastAsia="宋体" w:cs="宋体"/>
                <w:b/>
                <w:snapToGrid w:val="0"/>
                <w:color w:val="auto"/>
                <w:kern w:val="0"/>
                <w:szCs w:val="21"/>
                <w:highlight w:val="none"/>
              </w:rPr>
              <w:t>2、</w:t>
            </w:r>
            <w:r>
              <w:rPr>
                <w:rFonts w:hint="eastAsia" w:ascii="宋体" w:hAnsi="宋体" w:eastAsia="宋体" w:cs="宋体"/>
                <w:b/>
                <w:snapToGrid w:val="0"/>
                <w:color w:val="auto"/>
                <w:kern w:val="0"/>
                <w:highlight w:val="none"/>
              </w:rPr>
              <w:t>请投标人仔细阅读本采购文件，其中带“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”标记的条款为实质性内容，投标人须对带“</w:t>
            </w:r>
            <w:r>
              <w:rPr>
                <w:rFonts w:hint="eastAsia" w:ascii="宋体" w:hAnsi="宋体" w:eastAsia="宋体" w:cs="宋体"/>
                <w:color w:val="auto"/>
                <w:highlight w:val="none"/>
              </w:rPr>
              <w:t>▲</w:t>
            </w:r>
            <w:r>
              <w:rPr>
                <w:rFonts w:hint="eastAsia" w:ascii="宋体" w:hAnsi="宋体" w:eastAsia="宋体" w:cs="宋体"/>
                <w:b/>
                <w:snapToGrid w:val="0"/>
                <w:color w:val="auto"/>
                <w:kern w:val="0"/>
                <w:highlight w:val="none"/>
              </w:rPr>
              <w:t>”标记的条款作出实质性响应。</w:t>
            </w:r>
          </w:p>
        </w:tc>
      </w:tr>
    </w:tbl>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8"/>
    <w:bookmarkEnd w:id="49"/>
    <w:bookmarkEnd w:id="50"/>
    <w:p>
      <w:pPr>
        <w:pStyle w:val="4"/>
        <w:rPr>
          <w:rFonts w:hint="eastAsia" w:ascii="宋体" w:hAnsi="宋体" w:eastAsia="宋体" w:cs="宋体"/>
          <w:color w:val="auto"/>
          <w:highlight w:val="none"/>
        </w:rPr>
      </w:pPr>
      <w:bookmarkStart w:id="101" w:name="_Toc82338238"/>
      <w:bookmarkStart w:id="102" w:name="_Toc211745567"/>
      <w:bookmarkStart w:id="103" w:name="_Toc82873321"/>
      <w:bookmarkStart w:id="104" w:name="_Toc12058"/>
      <w:r>
        <w:rPr>
          <w:rFonts w:hint="eastAsia" w:ascii="宋体" w:hAnsi="宋体" w:eastAsia="宋体" w:cs="宋体"/>
          <w:color w:val="auto"/>
          <w:highlight w:val="none"/>
        </w:rPr>
        <w:t>第六章  投标人须知</w:t>
      </w:r>
      <w:bookmarkEnd w:id="101"/>
      <w:bookmarkEnd w:id="102"/>
      <w:bookmarkEnd w:id="103"/>
      <w:bookmarkEnd w:id="104"/>
    </w:p>
    <w:p>
      <w:pPr>
        <w:pStyle w:val="5"/>
        <w:ind w:firstLine="422"/>
        <w:rPr>
          <w:rFonts w:hint="eastAsia" w:ascii="宋体" w:hAnsi="宋体" w:eastAsia="宋体" w:cs="宋体"/>
          <w:color w:val="auto"/>
          <w:highlight w:val="none"/>
        </w:rPr>
      </w:pPr>
      <w:bookmarkStart w:id="105" w:name="_Toc82873322"/>
      <w:bookmarkStart w:id="106" w:name="_Toc82338239"/>
      <w:bookmarkStart w:id="107" w:name="_Toc17499"/>
      <w:bookmarkStart w:id="108" w:name="_Toc5996"/>
      <w:bookmarkStart w:id="109" w:name="_Toc13188"/>
      <w:bookmarkStart w:id="110" w:name="_Toc5746"/>
      <w:bookmarkStart w:id="111" w:name="_Toc15369"/>
      <w:bookmarkStart w:id="112" w:name="_Toc14217"/>
      <w:bookmarkStart w:id="113" w:name="_Toc7465"/>
      <w:bookmarkStart w:id="114" w:name="_Toc1205"/>
      <w:bookmarkStart w:id="115" w:name="_Toc24889"/>
      <w:bookmarkStart w:id="116" w:name="_Toc16629"/>
      <w:bookmarkStart w:id="117" w:name="_Toc35524548"/>
      <w:bookmarkStart w:id="118" w:name="_Toc14980"/>
      <w:bookmarkStart w:id="119" w:name="_Toc17053"/>
      <w:bookmarkStart w:id="120" w:name="_Toc16105"/>
      <w:r>
        <w:rPr>
          <w:rFonts w:hint="eastAsia" w:ascii="宋体" w:hAnsi="宋体" w:eastAsia="宋体" w:cs="宋体"/>
          <w:color w:val="auto"/>
          <w:highlight w:val="none"/>
        </w:rPr>
        <w:t>一、</w:t>
      </w:r>
      <w:bookmarkEnd w:id="105"/>
      <w:bookmarkEnd w:id="106"/>
      <w:r>
        <w:rPr>
          <w:rFonts w:hint="eastAsia" w:ascii="宋体" w:hAnsi="宋体" w:eastAsia="宋体" w:cs="宋体"/>
          <w:color w:val="auto"/>
          <w:highlight w:val="none"/>
        </w:rPr>
        <w:t>总则</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142"/>
        <w:spacing w:line="360" w:lineRule="auto"/>
        <w:ind w:firstLine="420"/>
        <w:rPr>
          <w:rFonts w:hint="eastAsia" w:ascii="宋体" w:hAnsi="宋体" w:eastAsia="宋体" w:cs="宋体"/>
          <w:color w:val="auto"/>
          <w:highlight w:val="none"/>
        </w:rPr>
      </w:pPr>
      <w:bookmarkStart w:id="121" w:name="_Toc82338240"/>
      <w:bookmarkStart w:id="122" w:name="_Toc82873323"/>
      <w:r>
        <w:rPr>
          <w:rFonts w:hint="eastAsia" w:ascii="宋体" w:hAnsi="宋体" w:eastAsia="宋体" w:cs="宋体"/>
          <w:color w:val="auto"/>
          <w:highlight w:val="none"/>
        </w:rPr>
        <w:t>1.1、实施依据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招标工作是按照《中华人民共和国政府采购法》、《中华人民共和国政府采购法实施条例》、《政府采购货物和服务招标投标管理办法》、《浙江省政府采购项目电子交易管理暂行办法》等有关法律、法规、规章、文件的规定组织和实施。</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1.2、采购人式：公开招标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1.3、定义</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采购人：是指依法进行政府采购的国家机关、事业单位、团体组织，见“投标人须知前附表”；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采购代理机构：受采购人委托，在委托的范围内办理政府采购事宜的机构，见“投标人须知前附表”；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投标人：是指参加本政府采购项目投标的供应商；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投标人代表：是指参加本项目投标活动的投标人法定代表人或法定代表人授权代表；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投标联合体：是指两个以上供应商组成联合体，以一个投标人的身份参加投标；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甲方：是指合同签订的一方，一般与采购人、用户相同；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乙方：是指合同签订的另一方，与中标人相同；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制造商：是指拥有投标产品自主知识产权的单位；</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中小企业（含中型、小型、微型）指符合中小企业划分标准（工信部联企业[2011]300号），在本项目政府采购活动中</w:t>
      </w:r>
      <w:r>
        <w:rPr>
          <w:rFonts w:hint="eastAsia" w:ascii="宋体" w:hAnsi="宋体" w:eastAsia="宋体" w:cs="宋体"/>
          <w:color w:val="auto"/>
          <w:kern w:val="0"/>
          <w:szCs w:val="21"/>
          <w:highlight w:val="none"/>
          <w:lang w:bidi="ar"/>
        </w:rPr>
        <w:t>工程的施工单位全部为符合政策要求的中小企业（或者：服务全部由符合政策要求的中小企业承接）</w:t>
      </w:r>
      <w:r>
        <w:rPr>
          <w:rFonts w:hint="eastAsia" w:ascii="宋体" w:hAnsi="宋体" w:eastAsia="宋体" w:cs="宋体"/>
          <w:color w:val="auto"/>
          <w:highlight w:val="none"/>
        </w:rPr>
        <w:t>；</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监狱企业、残疾人福利性单位视同小微企业；</w:t>
      </w:r>
    </w:p>
    <w:p>
      <w:pPr>
        <w:pStyle w:val="142"/>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w:t>
      </w:r>
      <w:r>
        <w:rPr>
          <w:rFonts w:hint="eastAsia" w:ascii="宋体" w:hAnsi="宋体" w:eastAsia="宋体" w:cs="宋体"/>
          <w:color w:val="auto"/>
          <w:szCs w:val="21"/>
          <w:highlight w:val="none"/>
        </w:rPr>
        <w:t>符合《关于政府采购支持监狱企业发展有关问题的通知》（财库[2014]68号）的规定的单位</w:t>
      </w:r>
      <w:r>
        <w:rPr>
          <w:rFonts w:hint="eastAsia" w:ascii="宋体" w:hAnsi="宋体" w:eastAsia="宋体" w:cs="宋体"/>
          <w:color w:val="auto"/>
          <w:kern w:val="0"/>
          <w:szCs w:val="21"/>
          <w:highlight w:val="none"/>
        </w:rPr>
        <w:t>；</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残疾人福利性单位：符合《财政部 民政部 中国残疾人联合会关于促进残疾人就业政府采购政策的通知》（财库〔2017〕141号）的规定的单位；</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政府采购监管部门：浙江省财政厅政府采购监管处；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电子签章：本采购文件所称电子签章是指投标人单位法定名称电子公章；</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公章：本采购文件所称公章是指投标人单位法定名称章或者单位法定名称电子公章（即电子签章）。</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1.4、联合体</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本项目不接受联合体投标。</w:t>
      </w:r>
    </w:p>
    <w:p>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1.5、费用</w:t>
      </w:r>
    </w:p>
    <w:p>
      <w:pPr>
        <w:adjustRightInd w:val="0"/>
        <w:snapToGrid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无论招投标过程中的做法和结果如何，投标人自行承担招投标活动中所发生的全部费用。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1.6、保密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参与招标投标活动的各方应对采购文件和投标文件中的商业和技术等秘密保密，违者应对此造成的后果承担法律责任。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1.7、语言文字</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除专用术语外，与招标投标有关的语言使用中文。专用术语应附有中文注释。</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1.8、计量单位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1.9、踏勘现场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1.9.1投标人须知前附表规定组织踏勘现场的，采购人按投标人须知前附表规定的时间、地点组织投标人踏勘项目现场。</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1.9.3除采购人的原因外，投标人自行负责在踏勘现场中所发生的人员伤亡和财产损失。</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1.9.4采购人在踏勘现场中介绍的场地和相关的周边环境情况，供投标人在编制投标文件时参考，采购人不对投标人据此作出的判断和决策负责。</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1.10、答疑会（不召开）</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1.10.1投标人须知前附表规定召开答疑会的，采购人按投标人须知前附表规定的时间和地点召开答疑会，澄清投标人提出的问题。</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1.10.2投标人应在答疑会时间的前一天，以书面形式将提出的问题送达采购人，以便采购人在会议期间澄清。</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1.10.3答疑会后，采购人按本章2.4款规定对投标人所提问题进行澄清答复。</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1.11、偏离</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投标文件应完全响应采购文件规定的实质性内容和条件。</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1.12、其他</w:t>
      </w:r>
    </w:p>
    <w:p>
      <w:pPr>
        <w:pStyle w:val="142"/>
        <w:spacing w:line="360" w:lineRule="auto"/>
        <w:ind w:firstLine="420"/>
        <w:rPr>
          <w:rFonts w:hint="eastAsia" w:ascii="宋体" w:hAnsi="宋体" w:eastAsia="宋体" w:cs="宋体"/>
          <w:b/>
          <w:color w:val="auto"/>
          <w:highlight w:val="none"/>
          <w:u w:val="single"/>
        </w:rPr>
      </w:pPr>
      <w:r>
        <w:rPr>
          <w:rFonts w:hint="eastAsia" w:ascii="宋体" w:hAnsi="宋体" w:eastAsia="宋体" w:cs="宋体"/>
          <w:color w:val="auto"/>
          <w:highlight w:val="none"/>
        </w:rPr>
        <w:t>1.12.1▲</w:t>
      </w:r>
      <w:r>
        <w:rPr>
          <w:rFonts w:hint="eastAsia" w:ascii="宋体" w:hAnsi="宋体" w:eastAsia="宋体" w:cs="宋体"/>
          <w:b/>
          <w:color w:val="auto"/>
          <w:highlight w:val="none"/>
          <w:u w:val="single"/>
        </w:rPr>
        <w:t>投标人的法定代表人作为投标全权代表参加投标，投标人须在投标文件中提供《法定代表人资格证明书》；法定代表人授权投标人在职职工作为投标全权代表参加投标，投标人须在投标文件中提供附有《法定代表人资格证明书》的《法定代表人授权书》。</w:t>
      </w:r>
    </w:p>
    <w:p>
      <w:pPr>
        <w:pStyle w:val="142"/>
        <w:spacing w:line="360" w:lineRule="auto"/>
        <w:ind w:firstLine="422"/>
        <w:rPr>
          <w:rFonts w:hint="eastAsia" w:ascii="宋体" w:hAnsi="宋体" w:eastAsia="宋体" w:cs="宋体"/>
          <w:color w:val="auto"/>
          <w:highlight w:val="none"/>
        </w:rPr>
      </w:pPr>
      <w:r>
        <w:rPr>
          <w:rFonts w:hint="eastAsia" w:ascii="宋体" w:hAnsi="宋体" w:eastAsia="宋体" w:cs="宋体"/>
          <w:b/>
          <w:color w:val="auto"/>
          <w:highlight w:val="none"/>
        </w:rPr>
        <w:t>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文件材料具有同等效力。</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1.12.2▲</w:t>
      </w:r>
      <w:r>
        <w:rPr>
          <w:rFonts w:hint="eastAsia" w:ascii="宋体" w:hAnsi="宋体" w:eastAsia="宋体" w:cs="宋体"/>
          <w:b/>
          <w:bCs/>
          <w:color w:val="auto"/>
          <w:highlight w:val="none"/>
          <w:u w:val="single"/>
        </w:rPr>
        <w:t>投标人对所投标项内的采购内容必须全部进行投标。</w:t>
      </w:r>
      <w:r>
        <w:rPr>
          <w:rFonts w:hint="eastAsia" w:ascii="宋体" w:hAnsi="宋体" w:eastAsia="宋体" w:cs="宋体"/>
          <w:color w:val="auto"/>
          <w:highlight w:val="none"/>
        </w:rPr>
        <w:t>投标人根据采购文件的要求完成所有工作内容并达到使用要求及质量标准所需费用、质保期服务所需的费用均包含在总价之中。</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1.12.3采购文件中如有描述歧义或前后不一致的地方，评标委员会有权按公平、合理的原则进行评判，但对同一条款的评判适用于每个投标人。</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bCs/>
          <w:color w:val="auto"/>
          <w:highlight w:val="none"/>
        </w:rPr>
        <w:t>1.12.4投标文件的响应内容必须真实、明确、准确。否则，评标委员会将对其作出不利的评审。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highlight w:val="none"/>
        </w:rPr>
        <w:t>12.5乙</w:t>
      </w:r>
      <w:r>
        <w:rPr>
          <w:rFonts w:hint="eastAsia" w:ascii="宋体" w:hAnsi="宋体" w:eastAsia="宋体" w:cs="宋体"/>
          <w:color w:val="auto"/>
          <w:highlight w:val="none"/>
        </w:rPr>
        <w:t>方为履行合同引起的相关人员的差旅费、食宿费以及其它不可预知的费用由乙方自理。合同实施过程中，须与甲方积极配合。</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1.12.6项目资金为财政性投资，资金已落实。</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1.12.7投标人须对所投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pPr>
        <w:adjustRightInd w:val="0"/>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1.12.8投标所使用的资格、资信、业绩、企业认证等证明材料必须为投标人自身所拥有，不同法人、其他组织资料与投标人无关，评审时不作为该投标人的依据。</w:t>
      </w:r>
    </w:p>
    <w:p>
      <w:pPr>
        <w:pStyle w:val="5"/>
        <w:ind w:firstLine="422"/>
        <w:rPr>
          <w:rFonts w:hint="eastAsia" w:ascii="宋体" w:hAnsi="宋体" w:eastAsia="宋体" w:cs="宋体"/>
          <w:color w:val="auto"/>
          <w:highlight w:val="none"/>
        </w:rPr>
      </w:pPr>
      <w:bookmarkStart w:id="123" w:name="_Toc19692"/>
      <w:bookmarkStart w:id="124" w:name="_Toc26547"/>
      <w:bookmarkStart w:id="125" w:name="_Toc22592"/>
      <w:bookmarkStart w:id="126" w:name="_Toc9229"/>
      <w:bookmarkStart w:id="127" w:name="_Toc35524549"/>
      <w:bookmarkStart w:id="128" w:name="_Toc22303"/>
      <w:bookmarkStart w:id="129" w:name="_Toc27228"/>
      <w:bookmarkStart w:id="130" w:name="_Toc25055"/>
      <w:bookmarkStart w:id="131" w:name="_Toc10881"/>
      <w:bookmarkStart w:id="132" w:name="_Toc942"/>
      <w:bookmarkStart w:id="133" w:name="_Toc6383"/>
      <w:bookmarkStart w:id="134" w:name="_Toc29762"/>
      <w:bookmarkStart w:id="135" w:name="_Toc15429"/>
      <w:bookmarkStart w:id="136" w:name="_Toc14464"/>
      <w:r>
        <w:rPr>
          <w:rFonts w:hint="eastAsia" w:ascii="宋体" w:hAnsi="宋体" w:eastAsia="宋体" w:cs="宋体"/>
          <w:color w:val="auto"/>
          <w:highlight w:val="none"/>
        </w:rPr>
        <w:t>二、采购文件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142"/>
        <w:spacing w:line="360" w:lineRule="auto"/>
        <w:ind w:firstLine="420"/>
        <w:rPr>
          <w:rFonts w:hint="eastAsia" w:ascii="宋体" w:hAnsi="宋体" w:eastAsia="宋体" w:cs="宋体"/>
          <w:color w:val="auto"/>
          <w:highlight w:val="none"/>
        </w:rPr>
      </w:pPr>
      <w:bookmarkStart w:id="137" w:name="_Toc82338241"/>
      <w:bookmarkStart w:id="138" w:name="_Toc82873324"/>
      <w:r>
        <w:rPr>
          <w:rFonts w:hint="eastAsia" w:ascii="宋体" w:hAnsi="宋体" w:eastAsia="宋体" w:cs="宋体"/>
          <w:color w:val="auto"/>
          <w:highlight w:val="none"/>
        </w:rPr>
        <w:t>2.1、采购文件组成</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2.1.1第一章 招标公告</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2.1.2第二章 采购内容及技术要求</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2.1.3第三章 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2.1.4第四章 采购合同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2.1.5第五章 投标人须知前附表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2.1.6第六章 投标人须知</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2.1.7第七章 投标文件格式</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2.1.8补充文件（如有）</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2.2、采购文件的解释权</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采购文件的解释权归采购人和采购代理机构所有。</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2.3、采购文件的质疑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2.3.1投标人认为采购文件规定内容使自己的合法权益受到损害的，投标人可以提出书面质疑。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2.3.2供应商提出质疑应当提交质疑函和必要的证明材料。质疑函应当包括下列内容：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2.3.3质疑期限自投标人获得采购文件之日起7个工作日内且在投标截止时间前向采购代理机构提出。供应商须在法定质疑期内一次性提出针对采购文件的质疑。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2.3.4质疑书中涉及的相关材料中有外文资料的，应当将与质疑相关的外文资料完整、客观、真实地翻译为中文，并注明翻译人员姓名、工作单位、联系方式等信息。</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2.3.5质疑书以直接提交、传真或邮寄方式提交（一式三份）。</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2.3.6质疑书以传真形式提交后，同时须向采购代理机构提交质疑书原件，实际收到原件之日作为收到质疑的日期。</w:t>
      </w:r>
    </w:p>
    <w:p>
      <w:pPr>
        <w:pStyle w:val="142"/>
        <w:spacing w:line="360" w:lineRule="auto"/>
        <w:ind w:firstLine="409" w:firstLineChars="195"/>
        <w:rPr>
          <w:rFonts w:hint="eastAsia" w:ascii="宋体" w:hAnsi="宋体" w:eastAsia="宋体" w:cs="宋体"/>
          <w:color w:val="auto"/>
          <w:highlight w:val="none"/>
        </w:rPr>
      </w:pPr>
      <w:r>
        <w:rPr>
          <w:rFonts w:hint="eastAsia" w:ascii="宋体" w:hAnsi="宋体" w:eastAsia="宋体" w:cs="宋体"/>
          <w:color w:val="auto"/>
          <w:highlight w:val="none"/>
        </w:rPr>
        <w:t>2.4、采购文件的澄清</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2.4.1投标人对采购文件如有疑问要求澄清，或认为有必要与采购代理机构进行技术交流，投标人需将书面资料在“投标人须知前附表”规定提疑截止时间前传真至采购代理机构，同时将电子文件发至“投标人须知前附表”注明的邮箱（电子邮件与书面文件有不一致的，以书面文件为准），并与采购代理机构进行确认。采购代理机构有权对提疑截止时间后的收到疑问将不予受理、答复。</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2.4.2 投标人要求澄清的资料应加盖单位公章、写明日期。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2.4.3 如有必要，采购代理机构和采购人对投标人所有要求澄清的问题都予以解答，澄清答复的文件为补充文件，作为采购文件的组成部分，补充文件将在“投标人须知前附表”规定的时间前以网上更正公告形式告知所有获取采购文件的投标人，补充文件对投标人均有约束力。</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2.4.4补充文件发出后，采购人原则上不改变采购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2.4.5投标人在采购文件规定的提疑截止时间前内未对采购文件提出疑问的，采购代理机构将视其为无异议。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2.4.6当采购文件与补充文件就同一内容的表述不一致时，以最后发出的文件为准。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2.5、采购文件的修改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2.5.1 在投标截止时间前，由于各种原因采购人可能以补充文件的形式修改完善采购文件。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2.5.2补充文件作为采购文件组成部分，补充文件将在“投标人须知前附表”规定的时间前以网上更正公告形式告知所有获取采购文件的投标人，补充文件对投标人均有约束力。</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2.5.3补充文件发出后，采购人原则上不改变本文件规定的投标截止时间及开标时间。投标人如认为补充文件内容影响投标文件编制，须延长投标截止时间的，必须在更正公告发布补充文件后24小时内将意见和理由以书面形式向采购代理机构提出，否则，采购代理机构视投标人完全接受并有足够的时间编制投标文件且按规定时间进行投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2.5.4更正公告发布后，对补充文件如有疑问要求澄清，应在24小时内将书面资料传真至采购代理机构，同时将电子文件发至“投标人须知前附表”注明的邮箱（电子邮件与传真文件有不一致的，以传真文件为准），并与采购代理机构进行确认。</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2.5.5投标人要求澄清的资料应加盖单位公章、写明日期。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2.5.6对补充文件的澄清答复按2.4款规定。</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2.5.7当采购文件与补充文件就同一内容的表述不一致时，以最后发出的文件为准。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2.5.8任何口头答复均不属于采购文件的组成部分。</w:t>
      </w:r>
    </w:p>
    <w:p>
      <w:pPr>
        <w:pStyle w:val="5"/>
        <w:ind w:firstLine="422"/>
        <w:rPr>
          <w:rFonts w:hint="eastAsia" w:ascii="宋体" w:hAnsi="宋体" w:eastAsia="宋体" w:cs="宋体"/>
          <w:color w:val="auto"/>
          <w:highlight w:val="none"/>
        </w:rPr>
      </w:pPr>
      <w:bookmarkStart w:id="139" w:name="_Toc29601"/>
      <w:bookmarkStart w:id="140" w:name="_Toc20346"/>
      <w:bookmarkStart w:id="141" w:name="_Toc35524550"/>
      <w:bookmarkStart w:id="142" w:name="_Toc10398"/>
      <w:bookmarkStart w:id="143" w:name="_Toc3162"/>
      <w:bookmarkStart w:id="144" w:name="_Toc24031"/>
      <w:bookmarkStart w:id="145" w:name="_Toc4312"/>
      <w:bookmarkStart w:id="146" w:name="_Toc12259"/>
      <w:bookmarkStart w:id="147" w:name="_Toc526"/>
      <w:bookmarkStart w:id="148" w:name="_Toc8145"/>
      <w:bookmarkStart w:id="149" w:name="_Toc29214"/>
      <w:bookmarkStart w:id="150" w:name="_Toc27562"/>
      <w:bookmarkStart w:id="151" w:name="_Toc21022"/>
      <w:bookmarkStart w:id="152" w:name="_Toc17903"/>
      <w:r>
        <w:rPr>
          <w:rFonts w:hint="eastAsia" w:ascii="宋体" w:hAnsi="宋体" w:eastAsia="宋体" w:cs="宋体"/>
          <w:color w:val="auto"/>
          <w:highlight w:val="none"/>
        </w:rPr>
        <w:t>三、投标文件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3.1.1投标文件的形式：详见投标须知前附表要求。</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3.1.2投标人应仔细阅读采购文件规定的所有内容，以保证能全面准确理解采购文件，并按照采购文件要求，详细编制投标文件，投标文件内容必须针对本次招标响应。</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color w:val="auto"/>
          <w:highlight w:val="none"/>
        </w:rPr>
        <w:t>3.1.3投标人必须按采购文件的要求提供相关资料，并对采购文件中提出的所有内容要求给予实质性响应，须保证投标文件的准确、真实、明确</w:t>
      </w:r>
      <w:r>
        <w:rPr>
          <w:rFonts w:hint="eastAsia" w:ascii="宋体" w:hAnsi="宋体" w:eastAsia="宋体" w:cs="宋体"/>
          <w:bCs/>
          <w:color w:val="auto"/>
          <w:highlight w:val="none"/>
        </w:rPr>
        <w:t>。投标文件响应内容对采购文件要求如有偏离均应填写偏离表，如不填写，采购人有权视作投标文件完全响应采购文件要求。</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3.2、投标文件组成</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3.2.1投标文件报价文件部分</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投标函；（附件一）</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szCs w:val="20"/>
          <w:highlight w:val="none"/>
        </w:rPr>
        <w:t>开标</w:t>
      </w:r>
      <w:r>
        <w:rPr>
          <w:rFonts w:hint="eastAsia" w:ascii="宋体" w:hAnsi="宋体" w:eastAsia="宋体" w:cs="宋体"/>
          <w:color w:val="auto"/>
          <w:highlight w:val="none"/>
        </w:rPr>
        <w:t>一览表；（附件二-1）</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投标价格组成明细表；（附件二-2）</w:t>
      </w:r>
    </w:p>
    <w:p>
      <w:pPr>
        <w:numPr>
          <w:ilvl w:val="0"/>
          <w:numId w:val="3"/>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缴纳采购代理服务费承诺书。（附件二-3）</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3.2.2投标文件资格文件部分</w:t>
      </w:r>
    </w:p>
    <w:p>
      <w:pPr>
        <w:pStyle w:val="142"/>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详见“第七章  投标文件格式”要求。</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3.2.3投标文件商务、技术文件部分</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法定代表人资格证明书或附有法定代表人资格证明书的法定代表人授权书；（附件三）</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廉洁承诺书；（附件四）</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类似项目</w:t>
      </w:r>
      <w:r>
        <w:rPr>
          <w:rFonts w:hint="eastAsia" w:ascii="宋体" w:hAnsi="宋体" w:eastAsia="宋体" w:cs="宋体"/>
          <w:color w:val="auto"/>
          <w:highlight w:val="none"/>
        </w:rPr>
        <w:t>业绩表格式；（附件五）</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投标人声明函；（附件六）</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偏离表；（附件七）</w:t>
      </w:r>
    </w:p>
    <w:p>
      <w:pPr>
        <w:numPr>
          <w:ilvl w:val="0"/>
          <w:numId w:val="4"/>
        </w:numPr>
        <w:tabs>
          <w:tab w:val="left" w:pos="743"/>
          <w:tab w:val="clear" w:pos="744"/>
        </w:tabs>
        <w:spacing w:line="360" w:lineRule="auto"/>
        <w:rPr>
          <w:rFonts w:hint="eastAsia" w:ascii="宋体" w:hAnsi="宋体" w:eastAsia="宋体" w:cs="宋体"/>
          <w:color w:val="auto"/>
          <w:highlight w:val="none"/>
        </w:rPr>
      </w:pPr>
      <w:bookmarkStart w:id="153" w:name="_Toc370395606"/>
      <w:bookmarkStart w:id="154" w:name="_Toc358992081"/>
      <w:bookmarkStart w:id="155" w:name="_Toc452553249"/>
      <w:r>
        <w:rPr>
          <w:rFonts w:hint="eastAsia" w:ascii="宋体" w:hAnsi="宋体" w:eastAsia="宋体" w:cs="宋体"/>
          <w:color w:val="auto"/>
          <w:highlight w:val="none"/>
        </w:rPr>
        <w:t>设备、器材、工具配备表</w:t>
      </w:r>
      <w:bookmarkEnd w:id="153"/>
      <w:bookmarkEnd w:id="154"/>
      <w:bookmarkEnd w:id="155"/>
      <w:r>
        <w:rPr>
          <w:rFonts w:hint="eastAsia" w:ascii="宋体" w:hAnsi="宋体" w:eastAsia="宋体" w:cs="宋体"/>
          <w:color w:val="auto"/>
          <w:highlight w:val="none"/>
        </w:rPr>
        <w:t>；（附件八）</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项目负责人简历表；（附件九）</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参加本项目人员汇总表；</w:t>
      </w:r>
      <w:r>
        <w:rPr>
          <w:rFonts w:hint="eastAsia" w:ascii="宋体" w:hAnsi="宋体" w:eastAsia="宋体" w:cs="宋体"/>
          <w:color w:val="auto"/>
          <w:highlight w:val="none"/>
        </w:rPr>
        <w:t>（附件十）</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技术部分组成；（附件十一）</w:t>
      </w:r>
    </w:p>
    <w:p>
      <w:pPr>
        <w:numPr>
          <w:ilvl w:val="0"/>
          <w:numId w:val="4"/>
        </w:numPr>
        <w:tabs>
          <w:tab w:val="left" w:pos="743"/>
          <w:tab w:val="clear" w:pos="744"/>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投标人认为需要提供的其他资料</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。（附件十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3.3、投标文件的编制</w:t>
      </w:r>
    </w:p>
    <w:p>
      <w:pPr>
        <w:pStyle w:val="142"/>
        <w:spacing w:line="360" w:lineRule="auto"/>
        <w:ind w:firstLine="420"/>
        <w:rPr>
          <w:rFonts w:hint="eastAsia" w:ascii="宋体" w:hAnsi="宋体" w:eastAsia="宋体" w:cs="宋体"/>
          <w:color w:val="auto"/>
          <w:sz w:val="20"/>
          <w:highlight w:val="none"/>
        </w:rPr>
      </w:pPr>
      <w:r>
        <w:rPr>
          <w:rFonts w:hint="eastAsia" w:ascii="宋体" w:hAnsi="宋体" w:eastAsia="宋体" w:cs="宋体"/>
          <w:color w:val="auto"/>
          <w:highlight w:val="none"/>
        </w:rPr>
        <w:t>3.3.1投标人应先安装“政采云电子交易客户端”，并按照采购文件中规定的 “投标文件格式”中提供的格式和“政府采购云平台”的要求，通过“政采云电子交易客户端”编制并加密投标文件。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3.3.2投标文件应当对采购文件规定的内容进行明确，对采购文件规定的实质性内容应当作出响应。</w:t>
      </w:r>
    </w:p>
    <w:p>
      <w:pPr>
        <w:pStyle w:val="7"/>
        <w:adjustRightInd w:val="0"/>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3.3.3投标文件由投标人的法定代表人或其委托代理人签字（或盖章）、盖单位公章。投标文件应尽量避免涂改、行间插字或删除，如果出现上述情况，改动之处应加盖单位公章或由投标文件签署人签字（或盖章）确认。签字或盖章的具体要求见“投标人须知前附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3.3.4投标文件份数要求详见“投标人须知前附表”。</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3.3.5投标文件应编制目录，投标人没有按照本章3.2款的要求提供全部资料，或者没有仔细阅读采购文件，或者没有对采购文件在各方面的要求作出实质性响应是投标人的风险，由此造成的一切后果由投标人自行承担。</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3.3.6由于字迹模糊或表达不清引起的后果由投标人负责。</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3.4、投标报价</w:t>
      </w:r>
    </w:p>
    <w:p>
      <w:pPr>
        <w:pStyle w:val="142"/>
        <w:spacing w:line="360" w:lineRule="auto"/>
        <w:ind w:firstLine="420"/>
        <w:rPr>
          <w:rFonts w:hint="eastAsia" w:ascii="宋体" w:hAnsi="宋体" w:eastAsia="宋体" w:cs="宋体"/>
          <w:color w:val="auto"/>
          <w:highlight w:val="none"/>
          <w:u w:val="thick"/>
        </w:rPr>
      </w:pPr>
      <w:r>
        <w:rPr>
          <w:rFonts w:hint="eastAsia" w:ascii="宋体" w:hAnsi="宋体" w:eastAsia="宋体" w:cs="宋体"/>
          <w:color w:val="auto"/>
          <w:highlight w:val="none"/>
        </w:rPr>
        <w:t>3.4.1 ▲</w:t>
      </w:r>
      <w:r>
        <w:rPr>
          <w:rFonts w:hint="eastAsia" w:ascii="宋体" w:hAnsi="宋体" w:eastAsia="宋体" w:cs="宋体"/>
          <w:b/>
          <w:color w:val="auto"/>
          <w:highlight w:val="none"/>
          <w:u w:val="thick"/>
        </w:rPr>
        <w:t>本次投标报价为含税人民币价</w:t>
      </w:r>
      <w:r>
        <w:rPr>
          <w:rFonts w:hint="eastAsia" w:ascii="宋体" w:hAnsi="宋体" w:eastAsia="宋体" w:cs="宋体"/>
          <w:color w:val="auto"/>
          <w:highlight w:val="none"/>
          <w:u w:val="thick"/>
        </w:rPr>
        <w:t>。</w:t>
      </w:r>
    </w:p>
    <w:p>
      <w:pPr>
        <w:pStyle w:val="142"/>
        <w:spacing w:line="360" w:lineRule="auto"/>
        <w:ind w:firstLine="420"/>
        <w:rPr>
          <w:rFonts w:hint="eastAsia" w:ascii="宋体" w:hAnsi="宋体" w:eastAsia="宋体" w:cs="宋体"/>
          <w:b/>
          <w:bCs/>
          <w:color w:val="auto"/>
          <w:szCs w:val="21"/>
          <w:highlight w:val="none"/>
          <w:u w:val="thick"/>
        </w:rPr>
      </w:pPr>
      <w:r>
        <w:rPr>
          <w:rFonts w:hint="eastAsia" w:ascii="宋体" w:hAnsi="宋体" w:eastAsia="宋体" w:cs="宋体"/>
          <w:color w:val="auto"/>
          <w:highlight w:val="none"/>
        </w:rPr>
        <w:t>3.4.2 投标报价包括完成履行所有规定服务所产生的全部费用及采购代理服务费。服务须达到采购文件规定的质量标准及使用要求</w:t>
      </w:r>
      <w:r>
        <w:rPr>
          <w:rFonts w:hint="eastAsia" w:ascii="宋体" w:hAnsi="宋体" w:eastAsia="宋体" w:cs="宋体"/>
          <w:color w:val="auto"/>
          <w:szCs w:val="21"/>
          <w:highlight w:val="none"/>
        </w:rPr>
        <w:t>。</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3.4.3 ▲</w:t>
      </w:r>
      <w:r>
        <w:rPr>
          <w:rFonts w:hint="eastAsia" w:ascii="宋体" w:hAnsi="宋体" w:eastAsia="宋体" w:cs="宋体"/>
          <w:b/>
          <w:color w:val="auto"/>
          <w:highlight w:val="none"/>
          <w:u w:val="single"/>
        </w:rPr>
        <w:t>所投标项只允许有一个报价，不接受有选择报价的投标文件。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3.5、投标文件有效期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3.5.1 投标文件有效期按“投标人须知前附表”规定，投标文件应在该有效期内保持有效。合同签订后，投标文件作为合同附件，投标文件有效期同合同有效期。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3.5.2 在特殊情况下，采购人可与投标人协商延长投标文件有效期，这种要求和答复均应以网上公告或书面形式进行。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3.5.3 投标人可拒绝接受延期要求。同意延长有效期的投标人不能修改投标文件。</w:t>
      </w:r>
    </w:p>
    <w:p>
      <w:pPr>
        <w:pStyle w:val="5"/>
        <w:ind w:firstLine="422"/>
        <w:rPr>
          <w:rFonts w:hint="eastAsia" w:ascii="宋体" w:hAnsi="宋体" w:eastAsia="宋体" w:cs="宋体"/>
          <w:color w:val="auto"/>
          <w:highlight w:val="none"/>
        </w:rPr>
      </w:pPr>
      <w:bookmarkStart w:id="156" w:name="_Toc27415"/>
      <w:bookmarkStart w:id="157" w:name="_Toc29887"/>
      <w:bookmarkStart w:id="158" w:name="_Toc233"/>
      <w:bookmarkStart w:id="159" w:name="_Toc10703"/>
      <w:bookmarkStart w:id="160" w:name="_Toc3230"/>
      <w:bookmarkStart w:id="161" w:name="_Toc20841"/>
      <w:bookmarkStart w:id="162" w:name="_Toc26326"/>
      <w:bookmarkStart w:id="163" w:name="_Toc32349"/>
      <w:bookmarkStart w:id="164" w:name="_Toc20069"/>
      <w:bookmarkStart w:id="165" w:name="_Toc82873325"/>
      <w:bookmarkStart w:id="166" w:name="_Toc35524551"/>
      <w:bookmarkStart w:id="167" w:name="_Toc17341"/>
      <w:bookmarkStart w:id="168" w:name="_Toc19259"/>
      <w:bookmarkStart w:id="169" w:name="_Toc11958"/>
      <w:bookmarkStart w:id="170" w:name="_Toc6132"/>
      <w:bookmarkStart w:id="171" w:name="_Toc82338242"/>
      <w:r>
        <w:rPr>
          <w:rFonts w:hint="eastAsia" w:ascii="宋体" w:hAnsi="宋体" w:eastAsia="宋体" w:cs="宋体"/>
          <w:color w:val="auto"/>
          <w:highlight w:val="none"/>
        </w:rPr>
        <w:t>四、投标</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142"/>
        <w:spacing w:line="360" w:lineRule="auto"/>
        <w:ind w:firstLine="422"/>
        <w:rPr>
          <w:rFonts w:hint="eastAsia" w:ascii="宋体" w:hAnsi="宋体" w:eastAsia="宋体" w:cs="宋体"/>
          <w:color w:val="auto"/>
          <w:sz w:val="24"/>
          <w:highlight w:val="none"/>
        </w:rPr>
      </w:pPr>
      <w:r>
        <w:rPr>
          <w:rFonts w:hint="eastAsia" w:ascii="宋体" w:hAnsi="宋体" w:eastAsia="宋体" w:cs="宋体"/>
          <w:b/>
          <w:color w:val="auto"/>
          <w:highlight w:val="none"/>
        </w:rPr>
        <w:t>4.1、“电子加密投标文件”的上传、递交时间及地点：</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b/>
          <w:bCs/>
          <w:color w:val="auto"/>
          <w:highlight w:val="none"/>
        </w:rPr>
        <w:t>.1投标供应商应在投标截止时间前将“电子加密投标文件”成功上传递交至“政府采购云平台”，否则投标无效。</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bCs/>
          <w:color w:val="auto"/>
          <w:highlight w:val="none"/>
        </w:rPr>
        <w:t>4.</w:t>
      </w:r>
      <w:r>
        <w:rPr>
          <w:rFonts w:hint="eastAsia" w:ascii="宋体" w:hAnsi="宋体" w:eastAsia="宋体" w:cs="宋体"/>
          <w:b/>
          <w:bCs/>
          <w:color w:val="auto"/>
          <w:szCs w:val="32"/>
          <w:highlight w:val="none"/>
        </w:rPr>
        <w:t>1</w:t>
      </w:r>
      <w:r>
        <w:rPr>
          <w:rFonts w:hint="eastAsia" w:ascii="宋体" w:hAnsi="宋体" w:eastAsia="宋体" w:cs="宋体"/>
          <w:b/>
          <w:bCs/>
          <w:color w:val="auto"/>
          <w:highlight w:val="none"/>
        </w:rPr>
        <w:t>.2</w:t>
      </w:r>
      <w:r>
        <w:rPr>
          <w:rFonts w:hint="eastAsia" w:ascii="宋体" w:hAnsi="宋体" w:eastAsia="宋体" w:cs="宋体"/>
          <w:b/>
          <w:color w:val="auto"/>
          <w:highlight w:val="none"/>
        </w:rPr>
        <w:t>“电子加密投标文件”成功上传递交后，供应商可自行打印投标文件接收回执。</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4.2、“备份投标文件”的密封包装、递交：</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4.2.1投标供应商在“政府采购云平台”完成“电子加密投标文件”的上传递交后，还可以（邮寄形式）在投标截止时间前递交以介质（U盘）存储的 “备份投标文件”（一份）。</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4.2.2 “备份投标文件”应当密封包装，并在包装上标注投标项目名称、</w:t>
      </w:r>
      <w:r>
        <w:rPr>
          <w:rFonts w:hint="eastAsia" w:ascii="宋体" w:hAnsi="宋体" w:eastAsia="宋体" w:cs="宋体"/>
          <w:color w:val="auto"/>
          <w:highlight w:val="none"/>
          <w:lang w:val="en-US" w:eastAsia="zh-CN"/>
        </w:rPr>
        <w:t>标项号、</w:t>
      </w:r>
      <w:r>
        <w:rPr>
          <w:rFonts w:hint="eastAsia" w:ascii="宋体" w:hAnsi="宋体" w:eastAsia="宋体" w:cs="宋体"/>
          <w:color w:val="auto"/>
          <w:highlight w:val="none"/>
        </w:rPr>
        <w:t>投标单位名称并加盖公章。没有密封包装或者逾期邮寄送达至投标地点的“备份投标文件”将不予接收。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4.2.4采购人如因故推迟投标截止时间，应以更正公告形式在原公告发布网站通知所有投标人。在这种情况下，采购人和投标人的权利和义务将受到新的投标截止时间的约束。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4.3、投标文件的修改和撤回</w:t>
      </w:r>
    </w:p>
    <w:p>
      <w:pPr>
        <w:pStyle w:val="142"/>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highlight w:val="none"/>
        </w:rPr>
        <w:t>4.3.1投标人在网上递交投标文件以后如必须修改或撤回投标文件，必须在投标截止时间以前在网上撤回投标文件，修改并重新递交电子投标文件，如已递交备份投标文件的，应同时将撤标通知邮寄到达或送达采购代理机构，并同时重新邮寄备份投标文件。</w:t>
      </w:r>
      <w:r>
        <w:rPr>
          <w:rFonts w:hint="eastAsia" w:ascii="宋体" w:hAnsi="宋体" w:eastAsia="宋体" w:cs="宋体"/>
          <w:b/>
          <w:color w:val="auto"/>
          <w:kern w:val="0"/>
          <w:szCs w:val="21"/>
          <w:highlight w:val="none"/>
        </w:rPr>
        <w:t>投标截止时间后，投标人不得撤回、修改《投标文件》。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4.4、备选投标方案</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投标人不得提交备选投标方案，否则，投标文件将被判定为无效标。与“电子加密投标文件”同时生成的“备份投标文件”不是投标备选（替代）方案。</w:t>
      </w:r>
    </w:p>
    <w:p>
      <w:pPr>
        <w:pStyle w:val="5"/>
        <w:ind w:firstLine="422"/>
        <w:rPr>
          <w:rFonts w:hint="eastAsia" w:ascii="宋体" w:hAnsi="宋体" w:eastAsia="宋体" w:cs="宋体"/>
          <w:color w:val="auto"/>
          <w:highlight w:val="none"/>
        </w:rPr>
      </w:pPr>
      <w:bookmarkStart w:id="172" w:name="_Toc82873326"/>
      <w:bookmarkStart w:id="173" w:name="_Toc82338243"/>
      <w:bookmarkStart w:id="174" w:name="_Toc22406"/>
      <w:bookmarkStart w:id="175" w:name="_Toc12238"/>
      <w:bookmarkStart w:id="176" w:name="_Toc17224"/>
      <w:bookmarkStart w:id="177" w:name="_Toc19258"/>
      <w:bookmarkStart w:id="178" w:name="_Toc35524552"/>
      <w:bookmarkStart w:id="179" w:name="_Toc10878"/>
      <w:bookmarkStart w:id="180" w:name="_Toc25082"/>
      <w:bookmarkStart w:id="181" w:name="_Toc29504"/>
      <w:bookmarkStart w:id="182" w:name="_Toc27638"/>
      <w:bookmarkStart w:id="183" w:name="_Toc17305"/>
      <w:bookmarkStart w:id="184" w:name="_Toc3987"/>
      <w:bookmarkStart w:id="185" w:name="_Toc10707"/>
      <w:bookmarkStart w:id="186" w:name="_Toc24899"/>
      <w:bookmarkStart w:id="187" w:name="_Toc5814"/>
      <w:r>
        <w:rPr>
          <w:rFonts w:hint="eastAsia" w:ascii="宋体" w:hAnsi="宋体" w:eastAsia="宋体" w:cs="宋体"/>
          <w:color w:val="auto"/>
          <w:highlight w:val="none"/>
        </w:rPr>
        <w:t>五、开标、评标</w:t>
      </w:r>
      <w:bookmarkEnd w:id="172"/>
      <w:bookmarkEnd w:id="173"/>
      <w:r>
        <w:rPr>
          <w:rFonts w:hint="eastAsia" w:ascii="宋体" w:hAnsi="宋体" w:eastAsia="宋体" w:cs="宋体"/>
          <w:color w:val="auto"/>
          <w:highlight w:val="none"/>
        </w:rPr>
        <w:t>及合同签订</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5.1、开标</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5.1.1开标形式</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w:t>
      </w:r>
    </w:p>
    <w:p>
      <w:pPr>
        <w:pStyle w:val="142"/>
        <w:spacing w:line="360" w:lineRule="auto"/>
        <w:ind w:firstLine="422"/>
        <w:rPr>
          <w:rFonts w:hint="eastAsia" w:ascii="宋体" w:hAnsi="宋体" w:eastAsia="宋体" w:cs="宋体"/>
          <w:color w:val="auto"/>
          <w:highlight w:val="none"/>
          <w:u w:val="thick"/>
        </w:rPr>
      </w:pPr>
      <w:r>
        <w:rPr>
          <w:rFonts w:hint="eastAsia" w:ascii="宋体" w:hAnsi="宋体" w:eastAsia="宋体" w:cs="宋体"/>
          <w:b/>
          <w:bCs/>
          <w:color w:val="auto"/>
          <w:highlight w:val="none"/>
        </w:rPr>
        <w:t>5.</w:t>
      </w:r>
      <w:r>
        <w:rPr>
          <w:rFonts w:hint="eastAsia" w:ascii="宋体" w:hAnsi="宋体" w:eastAsia="宋体" w:cs="宋体"/>
          <w:b/>
          <w:color w:val="auto"/>
          <w:highlight w:val="none"/>
        </w:rPr>
        <w:t xml:space="preserve">1.2开标准备 </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开标的准备工作由采购组织机构负责落实；</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采购组织机构将按照采购文件规定的时间通过“政府采购云平台”组织开标、开启投标文件，所有投标人均应当准时在线参加（因投标人需要及时进行标书在线解密）。投标人如不在线参加的，视同认可开标结果，事后不得对开标结果提出异议，同时投标人因未在线参加开标而导致投标文件无法按时解密等一切后果由投标人自己承担。</w:t>
      </w:r>
    </w:p>
    <w:p>
      <w:pPr>
        <w:pStyle w:val="142"/>
        <w:spacing w:line="360" w:lineRule="auto"/>
        <w:ind w:firstLine="422"/>
        <w:rPr>
          <w:rFonts w:hint="eastAsia" w:ascii="宋体" w:hAnsi="宋体" w:eastAsia="宋体" w:cs="宋体"/>
          <w:b/>
          <w:bCs/>
          <w:color w:val="auto"/>
          <w:highlight w:val="none"/>
        </w:rPr>
      </w:pPr>
      <w:r>
        <w:rPr>
          <w:rFonts w:hint="eastAsia" w:ascii="宋体" w:hAnsi="宋体" w:eastAsia="宋体" w:cs="宋体"/>
          <w:b/>
          <w:bCs/>
          <w:color w:val="auto"/>
          <w:highlight w:val="none"/>
        </w:rPr>
        <w:t>5.1.3开标流程(两阶段)</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5.1.3.1开标第一阶段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360" w:lineRule="auto"/>
        <w:ind w:firstLine="371" w:firstLineChars="177"/>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（2）投标文件解密结束，通过邮件形式发送各投标人组织签署《政府采购活动现场确认声明书》及《商务技术开标标录》。</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（3）开启投标文件，进入资格审查。 </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（4）开启资格审查通过的投标人的商务技术文件进入符合性审查、商务技术评审。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（5）第一阶段开标结束。</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备注：开标大会的第一阶段结束后，采购人或采购代理机构将依法对投标人的资格进行审查，资格审查结束后进入符合性审查和商务技术的评审工作，具体见本章节“投标文件资格审查”相关规定。</w:t>
      </w:r>
    </w:p>
    <w:p>
      <w:pPr>
        <w:pStyle w:val="142"/>
        <w:spacing w:line="360" w:lineRule="auto"/>
        <w:ind w:firstLine="422"/>
        <w:rPr>
          <w:rFonts w:hint="eastAsia" w:ascii="宋体" w:hAnsi="宋体" w:eastAsia="宋体" w:cs="宋体"/>
          <w:b/>
          <w:color w:val="auto"/>
          <w:highlight w:val="none"/>
        </w:rPr>
      </w:pPr>
      <w:r>
        <w:rPr>
          <w:rFonts w:hint="eastAsia" w:ascii="宋体" w:hAnsi="宋体" w:eastAsia="宋体" w:cs="宋体"/>
          <w:b/>
          <w:color w:val="auto"/>
          <w:highlight w:val="none"/>
        </w:rPr>
        <w:t>5.1.3.2开标第二阶段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（1）符合性审查、商务技术评审结束后，举行开标第二阶段会议。首先通过发送邮件形式公布符合性审查、商务技术评审无效投标人名称及理由。</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（2）在线公布商务技术部分得分情况。</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（3）开启符合性审查、商务技术评审有效投标人的《报价文件》（投标人在线确认）。结束后，由评标委员会对报价的合理性、准确性等进行审查核实，并进行报价评审。</w:t>
      </w:r>
    </w:p>
    <w:p>
      <w:pPr>
        <w:spacing w:line="360" w:lineRule="auto"/>
        <w:ind w:firstLine="371" w:firstLineChars="17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（4）评审结束后，</w:t>
      </w:r>
      <w:r>
        <w:rPr>
          <w:rFonts w:hint="eastAsia" w:ascii="宋体" w:hAnsi="宋体" w:eastAsia="宋体" w:cs="宋体"/>
          <w:color w:val="auto"/>
          <w:highlight w:val="none"/>
        </w:rPr>
        <w:t>投标人可自行</w:t>
      </w:r>
      <w:r>
        <w:rPr>
          <w:rFonts w:hint="eastAsia" w:ascii="宋体" w:hAnsi="宋体" w:eastAsia="宋体" w:cs="宋体"/>
          <w:color w:val="auto"/>
          <w:kern w:val="0"/>
          <w:szCs w:val="21"/>
          <w:highlight w:val="none"/>
        </w:rPr>
        <w:t>在线查看报价、得分、排序等信息。</w:t>
      </w:r>
    </w:p>
    <w:p>
      <w:pPr>
        <w:spacing w:line="360" w:lineRule="auto"/>
        <w:ind w:firstLine="373" w:firstLineChars="177"/>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特别说明：如遇“政府采购云平台”电子化开标或评审程序调整的，按调整后程序执行。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5.2投标文件的资格审查</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szCs w:val="21"/>
          <w:highlight w:val="none"/>
        </w:rPr>
        <w:t>5.2.1</w:t>
      </w:r>
      <w:r>
        <w:rPr>
          <w:rFonts w:hint="eastAsia" w:ascii="宋体" w:hAnsi="宋体" w:eastAsia="宋体" w:cs="宋体"/>
          <w:bCs/>
          <w:color w:val="auto"/>
          <w:szCs w:val="21"/>
          <w:highlight w:val="none"/>
        </w:rPr>
        <w:t>开标大会第一阶段结束后，</w:t>
      </w:r>
      <w:r>
        <w:rPr>
          <w:rFonts w:hint="eastAsia" w:ascii="宋体" w:hAnsi="宋体" w:eastAsia="宋体" w:cs="宋体"/>
          <w:color w:val="auto"/>
          <w:highlight w:val="none"/>
        </w:rPr>
        <w:t>采购人或采购代理机构依据法律法规及采购文件的规定，对投标文件中的提供的资格证明材料进行审查，以确定投标人的资格是否满足采购文件的要求，采购人或采购代理机构对投标人所提供的资格证明材料仅负审核的责任。中标后如发现投标人所提供的资格证明材料不合法或不真实，采购人可取消中标资格并追究投标人的法律责任。</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5.2.2投标人提交的资格证明材料无法证明其符合采购文件规定的“投标人资格要求”的，采购人或采购代理机构将对其作资格审查不通过处理（无效投标），并不再将其投标提交评标委员会进行后续评审。</w:t>
      </w:r>
    </w:p>
    <w:p>
      <w:pPr>
        <w:pStyle w:val="142"/>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highlight w:val="none"/>
        </w:rPr>
        <w:t>5.2.3单位负责人为同一人或者存在直接控股、管理关系的不同投标人参加同一合同项下的政府采购活动的，相关投标人均作资格无效处理。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5.3投标文件符合性评审</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5.3.1评标委员会将首先审查每份投标文件是否实质上响应了采购文件的要求，实质性响应的投标文件是指投标文件符合采购文件规定的实质性内容、条件和规定。</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5.3.2重大偏离或保留是指将会影响到采购文件规定的服务范围、质量标准，或会给合同中规定的采购人的权利和投标人的责任造成实质性限制，而纠正这些偏离或保留将对其他提交了实质性响应的投标文件的投标人产生不公平影响的。</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5.3.3细微偏离是指投标文件对采购文件的非实质性内容存在不完全响应或不响应。</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5.3.4重大偏离和保留、细微偏离由评标委员会界定。符合性评审时如发现投标文件与采购文件要求有重大偏离和保留，其投标文件将被作无效标处理。投标人不得通过修正或撤销不符合采购文件要求的重大偏离和保留从而使其投标文件实质性响应采购文件要求。但允许投标文件在实质性满足采购文件要求的前提下出现的细微偏差，在详细评审时可按评标办法对细微偏差做出不利于该投标人的评审。</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5.3.5 符合性审查内容：详见“第三章  评标办法”。</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5.3.6除符合5.5款规定外，评标委员会对投标文件的判定，只依据投标文件内容本身，不依靠开标后的任何外来证明。如投标人提交的资质证明或其他内容不齐全，由此造成的后果由投标人自己负责。  </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5.4、投标文件的澄清</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5.4.1评标委员会可要求投标人对投标文件中含义不明确、同类问题表述不一致、有明显的文字和计算错误的内容等进行澄清并做出答复。答复须由投标人签章并作为投标文件的一部分。澄清以通过“政府采购云平台”在线询标的形式进行。要求投标人在规定的时间内作出必要的澄清、说明或者补正，投标人澄清、说明或补正时间为30分钟以内。</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5.4.2 投标人对投标文件的澄清不得超出投标文件的范围或者改变投标文件的实质性内容。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5.5 错误修正</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5.6、评标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5.6.1 采购人将按相关规定组织评标委员会，对投标文件进行审查、比较和评价。</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5.6.2 评标原则</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在最大限度的满足采购文件实质性要求的前提下，按采购文件中规定各项评标因素进行综合评审后，以评标总得分最高的投标人作为中标候选人或中标人。采购人将把中标通知书授予最佳投标人，但最低报价不是中标的保证。</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5.6.3评标办法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5.6.4 有效投标人少于三家的情况处理</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5.7、废标</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详见“第三章 评标办法”</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5.8、确认采购结果</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评标结束后，根据评标委员会推荐，采购人按政府采购有关规定确定中标人。</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5.9、结果公告</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在采购人确认采购结果后，采购代理机构按相关政府采购规定将中标结果发布在政府采购网上进行公告，公告期为1个工作日。采购人、采购代理机构及评标委员会对未中标的投标人不作落标原因解释。</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bCs/>
          <w:color w:val="auto"/>
          <w:highlight w:val="none"/>
        </w:rPr>
        <w:t>10、</w:t>
      </w:r>
      <w:r>
        <w:rPr>
          <w:rFonts w:hint="eastAsia" w:ascii="宋体" w:hAnsi="宋体" w:eastAsia="宋体" w:cs="宋体"/>
          <w:color w:val="auto"/>
          <w:highlight w:val="none"/>
        </w:rPr>
        <w:t>采购过程、采购结果质疑</w:t>
      </w:r>
    </w:p>
    <w:p>
      <w:pPr>
        <w:widowControl/>
        <w:adjustRightInd w:val="0"/>
        <w:snapToGrid w:val="0"/>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5.10.1投标人认为采购过程、采购结果使自己的合法权益受到损害的，投标人可以提出书面质疑。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5.10.2供应商提出质疑应当提交质疑函和必要的证明材料。质疑函应当包括下列内容：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供应商为自然人的，应当由本人签字；供应商为法人或者其他组织的，应当由法定代表人、主要负责人，或者其授权代表签字或者盖章，并加盖公章。</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5.10.3采购过程的质疑期限自各采购程序环节结束之日起计算，7个工作日内向采购代理机构提出，逾期提出不予受理。供应商须在法定质疑期内一次性提出针对采购过程的质疑。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采购结果的质疑期限自采购结果公告（包括结果公告、结果变更公告等）之日起计算，7个工作日内向采购代理机构提出，逾期提出不予受理。供应商须在法定质疑期内一次性提出针对采购结果的质疑。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5.10.4质疑书中涉及的相关材料中有外文资料的，应当将与质疑相关的外文资料完整、客观、真实地翻译为中文，并注明翻译人员姓名、工作单位、联系方式等信息。</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5.10.5质疑书以直接提交、传真或邮寄方式提交（一式三份）。</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5.10.6质疑书以传真形式提交后，同时须向采购代理机构提交质疑书原件，采购代理机构以收到原件之日作为收到质疑日。</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5.11、发出中标通知书</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5.11.1采购人及采购代理机构将以书面形式向中标人发出中标通知书。</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5.12、签订合同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5.12.1 中标人应在接到中标通知书后按中标通知书规定的时间、地点与采购人签订合同。</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5.12.2采购文件及补充文件、中标人的投标文件及投标修改文件、评标过程中有关澄清文件和中标通知书均作为合同附件。</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5.12.3拒签合同的责任</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中标人接到中标通知书后，在规定时间内无正当理由拒不与采购人签订政府采购合同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5.13、履约保证金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5.13.1中标人在签订合同前按“投标人须知前附表”规定的缴纳履约保证金。</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5.13.2履约保证金有效期按“投标人须知前附表”规定。</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5.14、采购代理服务费</w:t>
      </w:r>
    </w:p>
    <w:p>
      <w:pPr>
        <w:pStyle w:val="142"/>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本次采购代理服务费按“投标人须知前附表”规定收取。</w:t>
      </w:r>
    </w:p>
    <w:p>
      <w:pPr>
        <w:pStyle w:val="7"/>
        <w:adjustRightInd w:val="0"/>
        <w:snapToGrid w:val="0"/>
        <w:spacing w:line="360" w:lineRule="auto"/>
        <w:rPr>
          <w:rFonts w:hint="eastAsia" w:ascii="宋体" w:hAnsi="宋体" w:eastAsia="宋体" w:cs="宋体"/>
          <w:color w:val="auto"/>
          <w:highlight w:val="none"/>
        </w:rPr>
      </w:pPr>
    </w:p>
    <w:p>
      <w:pPr>
        <w:pStyle w:val="7"/>
        <w:adjustRightInd w:val="0"/>
        <w:snapToGrid w:val="0"/>
        <w:spacing w:line="360" w:lineRule="auto"/>
        <w:rPr>
          <w:rFonts w:hint="eastAsia" w:ascii="宋体" w:hAnsi="宋体" w:eastAsia="宋体" w:cs="宋体"/>
          <w:color w:val="auto"/>
          <w:highlight w:val="none"/>
        </w:rPr>
      </w:pPr>
      <w:bookmarkStart w:id="188" w:name="_Toc211745570"/>
      <w:bookmarkStart w:id="189" w:name="_Toc82338246"/>
      <w:bookmarkStart w:id="190" w:name="_Toc82873329"/>
    </w:p>
    <w:p>
      <w:pPr>
        <w:spacing w:line="360" w:lineRule="auto"/>
        <w:ind w:firstLine="436" w:firstLineChars="20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p>
      <w:pPr>
        <w:pStyle w:val="4"/>
        <w:rPr>
          <w:rFonts w:hint="eastAsia" w:ascii="宋体" w:hAnsi="宋体" w:eastAsia="宋体" w:cs="宋体"/>
          <w:color w:val="auto"/>
          <w:highlight w:val="none"/>
        </w:rPr>
      </w:pPr>
      <w:bookmarkStart w:id="191" w:name="_Toc27170"/>
      <w:r>
        <w:rPr>
          <w:rFonts w:hint="eastAsia" w:ascii="宋体" w:hAnsi="宋体" w:eastAsia="宋体" w:cs="宋体"/>
          <w:color w:val="auto"/>
          <w:highlight w:val="none"/>
        </w:rPr>
        <w:t>第七章  投标文件格式</w:t>
      </w:r>
      <w:bookmarkEnd w:id="188"/>
      <w:bookmarkEnd w:id="189"/>
      <w:bookmarkEnd w:id="190"/>
      <w:bookmarkEnd w:id="191"/>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（未提供格式的由投标人自拟）</w:t>
      </w: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bookmarkStart w:id="192" w:name="_Toc422431990"/>
      <w:bookmarkStart w:id="193" w:name="_Toc345575534"/>
      <w:r>
        <w:rPr>
          <w:rFonts w:hint="eastAsia" w:ascii="宋体" w:hAnsi="宋体" w:eastAsia="宋体" w:cs="宋体"/>
          <w:color w:val="auto"/>
          <w:kern w:val="0"/>
          <w:sz w:val="28"/>
          <w:highlight w:val="none"/>
        </w:rPr>
        <w:t>报价文件封面</w:t>
      </w:r>
      <w:bookmarkEnd w:id="192"/>
      <w:bookmarkEnd w:id="193"/>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lang w:eastAsia="zh-CN"/>
        </w:rPr>
        <w:t>浙江理工大学招生宣传短视频制作及运营项目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CTZB-2021110689</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lang w:eastAsia="zh-CN"/>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none"/>
          <w:lang w:val="en-US" w:eastAsia="zh-CN"/>
        </w:rPr>
      </w:pPr>
      <w:r>
        <w:rPr>
          <w:rFonts w:hint="eastAsia" w:ascii="宋体" w:hAnsi="宋体" w:eastAsia="宋体" w:cs="宋体"/>
          <w:color w:val="auto"/>
          <w:kern w:val="0"/>
          <w:sz w:val="28"/>
          <w:highlight w:val="none"/>
          <w:u w:val="none"/>
          <w:lang w:val="en-US" w:eastAsia="zh-CN"/>
        </w:rPr>
        <w:t>标项号：</w:t>
      </w:r>
      <w:r>
        <w:rPr>
          <w:rFonts w:hint="eastAsia" w:ascii="宋体" w:hAnsi="宋体" w:eastAsia="宋体" w:cs="宋体"/>
          <w:color w:val="auto"/>
          <w:kern w:val="0"/>
          <w:sz w:val="28"/>
          <w:highlight w:val="none"/>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（报价文件）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投标人名称：</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spacing w:line="360" w:lineRule="auto"/>
        <w:ind w:firstLine="2800" w:firstLineChars="1000"/>
        <w:rPr>
          <w:rFonts w:hint="eastAsia" w:ascii="宋体" w:hAnsi="宋体" w:eastAsia="宋体" w:cs="宋体"/>
          <w:color w:val="auto"/>
          <w:spacing w:val="4"/>
          <w:szCs w:val="20"/>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r>
        <w:rPr>
          <w:rFonts w:hint="eastAsia" w:ascii="宋体" w:hAnsi="宋体" w:eastAsia="宋体" w:cs="宋体"/>
          <w:color w:val="auto"/>
          <w:spacing w:val="4"/>
          <w:szCs w:val="20"/>
          <w:highlight w:val="none"/>
        </w:rPr>
        <w:t xml:space="preserve"> </w:t>
      </w:r>
      <w:bookmarkStart w:id="194" w:name="_Toc336683578"/>
      <w:bookmarkStart w:id="195" w:name="_Toc345575538"/>
    </w:p>
    <w:p>
      <w:pPr>
        <w:pStyle w:val="5"/>
        <w:ind w:firstLine="0" w:firstLineChars="0"/>
        <w:rPr>
          <w:rFonts w:hint="eastAsia" w:ascii="宋体" w:hAnsi="宋体" w:eastAsia="宋体" w:cs="宋体"/>
          <w:color w:val="auto"/>
          <w:szCs w:val="20"/>
          <w:highlight w:val="none"/>
        </w:rPr>
      </w:pPr>
      <w:r>
        <w:rPr>
          <w:rFonts w:hint="eastAsia" w:ascii="宋体" w:hAnsi="宋体" w:eastAsia="宋体" w:cs="宋体"/>
          <w:color w:val="auto"/>
          <w:szCs w:val="20"/>
          <w:highlight w:val="none"/>
        </w:rPr>
        <w:br w:type="page"/>
      </w:r>
      <w:bookmarkStart w:id="196" w:name="_Toc847"/>
      <w:bookmarkStart w:id="197" w:name="_Toc10675"/>
      <w:bookmarkStart w:id="198" w:name="_Toc8336"/>
      <w:bookmarkStart w:id="199" w:name="_Toc29256"/>
      <w:bookmarkStart w:id="200" w:name="_Toc12598"/>
      <w:bookmarkStart w:id="201" w:name="_Toc19268"/>
      <w:bookmarkStart w:id="202" w:name="_Toc31499"/>
      <w:bookmarkStart w:id="203" w:name="_Toc27189"/>
      <w:bookmarkStart w:id="204" w:name="_Toc31359"/>
      <w:r>
        <w:rPr>
          <w:rFonts w:hint="eastAsia" w:ascii="宋体" w:hAnsi="宋体" w:eastAsia="宋体" w:cs="宋体"/>
          <w:color w:val="auto"/>
          <w:szCs w:val="20"/>
          <w:highlight w:val="none"/>
        </w:rPr>
        <w:t>附件一、投标函格式</w:t>
      </w:r>
      <w:bookmarkEnd w:id="196"/>
      <w:bookmarkEnd w:id="197"/>
      <w:bookmarkEnd w:id="198"/>
      <w:bookmarkEnd w:id="199"/>
      <w:bookmarkEnd w:id="200"/>
      <w:bookmarkEnd w:id="201"/>
      <w:bookmarkEnd w:id="202"/>
      <w:bookmarkEnd w:id="203"/>
      <w:bookmarkEnd w:id="204"/>
      <w:r>
        <w:rPr>
          <w:rFonts w:hint="eastAsia" w:ascii="宋体" w:hAnsi="宋体" w:eastAsia="宋体" w:cs="宋体"/>
          <w:color w:val="auto"/>
          <w:szCs w:val="20"/>
          <w:highlight w:val="none"/>
        </w:rPr>
        <w:t xml:space="preserve"> </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lang w:eastAsia="zh-CN"/>
        </w:rPr>
        <w:t>浙江理工大学</w:t>
      </w:r>
      <w:r>
        <w:rPr>
          <w:rFonts w:hint="eastAsia" w:ascii="宋体" w:hAnsi="宋体" w:eastAsia="宋体" w:cs="宋体"/>
          <w:color w:val="auto"/>
          <w:szCs w:val="20"/>
          <w:highlight w:val="none"/>
        </w:rPr>
        <w:t>：</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浙江省成套招标代理有限公司</w:t>
      </w:r>
      <w:r>
        <w:rPr>
          <w:rFonts w:hint="eastAsia" w:ascii="宋体" w:hAnsi="宋体" w:eastAsia="宋体" w:cs="宋体"/>
          <w:color w:val="auto"/>
          <w:szCs w:val="20"/>
          <w:highlight w:val="none"/>
        </w:rPr>
        <w:t>：</w:t>
      </w:r>
    </w:p>
    <w:p>
      <w:pPr>
        <w:adjustRightInd w:val="0"/>
        <w:snapToGrid w:val="0"/>
        <w:spacing w:line="360" w:lineRule="auto"/>
        <w:ind w:firstLine="411" w:firstLineChars="196"/>
        <w:rPr>
          <w:rFonts w:hint="eastAsia" w:ascii="宋体" w:hAnsi="宋体" w:eastAsia="宋体" w:cs="宋体"/>
          <w:color w:val="auto"/>
          <w:szCs w:val="20"/>
          <w:highlight w:val="none"/>
        </w:rPr>
      </w:pP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（投标人全称）参加贵方组织的（项目名称：</w:t>
      </w:r>
      <w:r>
        <w:rPr>
          <w:rFonts w:hint="eastAsia" w:ascii="宋体" w:hAnsi="宋体" w:eastAsia="宋体" w:cs="宋体"/>
          <w:color w:val="auto"/>
          <w:szCs w:val="20"/>
          <w:highlight w:val="none"/>
          <w:u w:val="single"/>
          <w:lang w:eastAsia="zh-CN"/>
        </w:rPr>
        <w:t>浙江理工大学招生宣传短视频制作及运营项目</w:t>
      </w: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CTZB-2021110689</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lang w:val="en-US" w:eastAsia="zh-CN"/>
        </w:rPr>
        <w:t xml:space="preserve">  标项号及内容  </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采购的有关活动，并对此进行投标。为此我方：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1、承诺在投标人</w:t>
      </w:r>
      <w:r>
        <w:rPr>
          <w:rFonts w:hint="eastAsia" w:ascii="宋体" w:hAnsi="宋体" w:eastAsia="宋体" w:cs="宋体"/>
          <w:color w:val="auto"/>
          <w:kern w:val="44"/>
          <w:szCs w:val="21"/>
          <w:highlight w:val="none"/>
        </w:rPr>
        <w:t>须知</w:t>
      </w:r>
      <w:r>
        <w:rPr>
          <w:rFonts w:hint="eastAsia" w:ascii="宋体" w:hAnsi="宋体" w:eastAsia="宋体" w:cs="宋体"/>
          <w:color w:val="auto"/>
          <w:szCs w:val="21"/>
          <w:highlight w:val="none"/>
        </w:rPr>
        <w:t>规定的投标截止日起遵守本投标文件中的承诺，且在投标有效期满之前均具有约束力。</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2、承诺已经具备《中华人民共和国政府采购法》中规定的参加政府采购活动的投标人应当具备的条件及采购人规定的特定条件。</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3、已详细审核全部采购文件，包括采购文件补充（如果有）、参考资料及有关附件，确认无误。</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4、提供</w:t>
      </w:r>
      <w:r>
        <w:rPr>
          <w:rFonts w:hint="eastAsia" w:ascii="宋体" w:hAnsi="宋体" w:eastAsia="宋体" w:cs="宋体"/>
          <w:color w:val="auto"/>
          <w:kern w:val="44"/>
          <w:szCs w:val="21"/>
          <w:highlight w:val="none"/>
        </w:rPr>
        <w:t>投标人须知</w:t>
      </w:r>
      <w:r>
        <w:rPr>
          <w:rFonts w:hint="eastAsia" w:ascii="宋体" w:hAnsi="宋体" w:eastAsia="宋体" w:cs="宋体"/>
          <w:color w:val="auto"/>
          <w:szCs w:val="21"/>
          <w:highlight w:val="none"/>
        </w:rPr>
        <w:t>规定的全部投标文件，详见投标人须知前附表。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5、投标</w:t>
      </w:r>
      <w:r>
        <w:rPr>
          <w:rFonts w:hint="eastAsia" w:ascii="宋体" w:hAnsi="宋体" w:eastAsia="宋体" w:cs="宋体"/>
          <w:color w:val="auto"/>
          <w:highlight w:val="none"/>
        </w:rPr>
        <w:t>报价详见《开标一览表》。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6、保证遵守采购文件中的其他有关规定。</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7、完全理解不一定接受最低价中标。</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8、愿意向贵方提供任何与该项目投标有关的数据、情况和技术资料。若贵方需要，愿意提供我方做出的一切承诺的证明材料。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9、保证忠实地执行双方所签订的合同，并承担合同规定的责任和义务。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a）提供虚假材料谋取中标、成交的；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b）采取不正当手段诋毁、排挤其他供应商的；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c）与采购人、其它供应商或者采购代理机构恶意串通的；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d）向采购人、采购代理机构行贿或者提供其他不正当利益的；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e）在招标采购过程中与采购人进行协商谈判的；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f）拒绝有关部门监督检查或提供虚假情况的。</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投标人有前款第a）至f）项情形之一的，中标、成交无效。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11、本投标文件的有效期为</w:t>
      </w:r>
      <w:r>
        <w:rPr>
          <w:rFonts w:hint="eastAsia" w:ascii="宋体" w:hAnsi="宋体" w:eastAsia="宋体" w:cs="宋体"/>
          <w:color w:val="auto"/>
          <w:highlight w:val="none"/>
        </w:rPr>
        <w:t>自投标截止时间起120天。</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12、其他承诺：</w:t>
      </w:r>
    </w:p>
    <w:p>
      <w:pPr>
        <w:adjustRightInd w:val="0"/>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a）投标有效期内不撤回投标文件；</w:t>
      </w:r>
    </w:p>
    <w:p>
      <w:pPr>
        <w:adjustRightInd w:val="0"/>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b）中标或者成交后，按采购文件规定的采购代理服务费标准，承诺在签订合同前向采购代理机构支付采购代理服务费。</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adjustRightInd w:val="0"/>
        <w:snapToGrid w:val="0"/>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单位地址：</w:t>
      </w:r>
      <w:r>
        <w:rPr>
          <w:rFonts w:hint="eastAsia" w:ascii="宋体" w:hAnsi="宋体" w:eastAsia="宋体" w:cs="宋体"/>
          <w:color w:val="auto"/>
          <w:szCs w:val="20"/>
          <w:highlight w:val="none"/>
          <w:u w:val="single"/>
        </w:rPr>
        <w:t xml:space="preserve">                                                </w:t>
      </w:r>
    </w:p>
    <w:p>
      <w:pPr>
        <w:adjustRightInd w:val="0"/>
        <w:snapToGrid w:val="0"/>
        <w:spacing w:line="360" w:lineRule="auto"/>
        <w:ind w:firstLine="48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rPr>
        <w:t>邮编：</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电话：</w:t>
      </w:r>
      <w:r>
        <w:rPr>
          <w:rFonts w:hint="eastAsia"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传真：</w:t>
      </w:r>
      <w:r>
        <w:rPr>
          <w:rFonts w:hint="eastAsia" w:ascii="宋体" w:hAnsi="宋体" w:eastAsia="宋体" w:cs="宋体"/>
          <w:color w:val="auto"/>
          <w:szCs w:val="20"/>
          <w:highlight w:val="none"/>
          <w:u w:val="single"/>
        </w:rPr>
        <w:t xml:space="preserve">              </w:t>
      </w:r>
      <w:bookmarkStart w:id="205" w:name="_Toc324232659"/>
      <w:bookmarkStart w:id="206" w:name="_Toc18424"/>
      <w:bookmarkStart w:id="207" w:name="_Toc16568"/>
      <w:bookmarkStart w:id="208" w:name="_Toc11032"/>
      <w:bookmarkStart w:id="209" w:name="_Toc24147"/>
      <w:bookmarkStart w:id="210" w:name="_Toc6928"/>
      <w:bookmarkStart w:id="211" w:name="_Toc11028"/>
      <w:bookmarkStart w:id="212" w:name="_Toc704"/>
      <w:bookmarkStart w:id="213" w:name="_Toc6330"/>
      <w:bookmarkStart w:id="214" w:name="_Toc32225"/>
      <w:bookmarkStart w:id="215" w:name="_Toc20955"/>
      <w:bookmarkStart w:id="216" w:name="_Toc27400"/>
      <w:bookmarkStart w:id="217" w:name="_Toc336683579"/>
      <w:bookmarkStart w:id="218" w:name="_Toc345575539"/>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szCs w:val="20"/>
          <w:highlight w:val="none"/>
          <w:u w:val="single"/>
        </w:rPr>
        <w:br w:type="page"/>
      </w:r>
      <w:bookmarkStart w:id="219" w:name="_Toc18984"/>
      <w:bookmarkStart w:id="220" w:name="_Toc5283"/>
      <w:bookmarkStart w:id="221" w:name="_Toc14910"/>
      <w:bookmarkStart w:id="222" w:name="_Toc8701"/>
      <w:bookmarkStart w:id="223" w:name="_Toc3364"/>
      <w:r>
        <w:rPr>
          <w:rFonts w:hint="eastAsia" w:ascii="宋体" w:hAnsi="宋体" w:eastAsia="宋体" w:cs="宋体"/>
          <w:color w:val="auto"/>
          <w:highlight w:val="none"/>
        </w:rPr>
        <w:t>附件二-1、</w:t>
      </w:r>
      <w:bookmarkEnd w:id="205"/>
      <w:bookmarkEnd w:id="206"/>
      <w:bookmarkEnd w:id="207"/>
      <w:bookmarkEnd w:id="208"/>
      <w:bookmarkEnd w:id="209"/>
      <w:bookmarkEnd w:id="210"/>
      <w:r>
        <w:rPr>
          <w:rFonts w:hint="eastAsia" w:ascii="宋体" w:hAnsi="宋体" w:eastAsia="宋体" w:cs="宋体"/>
          <w:color w:val="auto"/>
          <w:szCs w:val="20"/>
          <w:highlight w:val="none"/>
        </w:rPr>
        <w:t>开标</w:t>
      </w:r>
      <w:r>
        <w:rPr>
          <w:rFonts w:hint="eastAsia" w:ascii="宋体" w:hAnsi="宋体" w:eastAsia="宋体" w:cs="宋体"/>
          <w:color w:val="auto"/>
          <w:highlight w:val="none"/>
        </w:rPr>
        <w:t>一览表</w:t>
      </w:r>
      <w:bookmarkEnd w:id="211"/>
      <w:bookmarkEnd w:id="212"/>
      <w:bookmarkEnd w:id="213"/>
      <w:bookmarkEnd w:id="214"/>
      <w:bookmarkEnd w:id="215"/>
      <w:bookmarkEnd w:id="216"/>
      <w:bookmarkEnd w:id="219"/>
      <w:bookmarkEnd w:id="220"/>
      <w:bookmarkEnd w:id="221"/>
      <w:bookmarkEnd w:id="222"/>
      <w:bookmarkEnd w:id="223"/>
    </w:p>
    <w:p>
      <w:pPr>
        <w:spacing w:line="360" w:lineRule="auto"/>
        <w:rPr>
          <w:rFonts w:hint="eastAsia" w:ascii="宋体" w:hAnsi="宋体" w:eastAsia="宋体" w:cs="宋体"/>
          <w:b/>
          <w:bCs/>
          <w:color w:val="auto"/>
          <w:szCs w:val="32"/>
          <w:highlight w:val="none"/>
        </w:rPr>
      </w:pPr>
    </w:p>
    <w:p>
      <w:pPr>
        <w:spacing w:line="360" w:lineRule="auto"/>
        <w:ind w:left="321" w:hanging="321" w:hangingChars="1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pPr>
        <w:pStyle w:val="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p>
    <w:p>
      <w:pPr>
        <w:pStyle w:val="7"/>
        <w:adjustRightInd w:val="0"/>
        <w:snapToGrid w:val="0"/>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p>
    <w:p>
      <w:pPr>
        <w:pStyle w:val="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标项号：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（价格单位：元人民币）</w:t>
      </w:r>
    </w:p>
    <w:tbl>
      <w:tblPr>
        <w:tblStyle w:val="5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101"/>
        <w:gridCol w:w="3111"/>
        <w:gridCol w:w="1729"/>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873" w:type="dxa"/>
            <w:vAlign w:val="center"/>
          </w:tcPr>
          <w:p>
            <w:pPr>
              <w:spacing w:line="360" w:lineRule="auto"/>
              <w:jc w:val="center"/>
              <w:outlineLvl w:val="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标项号</w:t>
            </w:r>
          </w:p>
        </w:tc>
        <w:tc>
          <w:tcPr>
            <w:tcW w:w="2101" w:type="dxa"/>
            <w:vAlign w:val="center"/>
          </w:tcPr>
          <w:p>
            <w:pPr>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标项名称</w:t>
            </w:r>
          </w:p>
        </w:tc>
        <w:tc>
          <w:tcPr>
            <w:tcW w:w="3111" w:type="dxa"/>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投标报价（元）</w:t>
            </w:r>
          </w:p>
        </w:tc>
        <w:tc>
          <w:tcPr>
            <w:tcW w:w="1729" w:type="dxa"/>
            <w:vAlign w:val="center"/>
          </w:tcPr>
          <w:p>
            <w:pPr>
              <w:spacing w:line="360" w:lineRule="auto"/>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项目完成时间</w:t>
            </w:r>
          </w:p>
        </w:tc>
        <w:tc>
          <w:tcPr>
            <w:tcW w:w="711" w:type="dxa"/>
            <w:vAlign w:val="center"/>
          </w:tcPr>
          <w:p>
            <w:pPr>
              <w:spacing w:line="360" w:lineRule="auto"/>
              <w:jc w:val="center"/>
              <w:outlineLvl w:val="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873" w:type="dxa"/>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p>
        </w:tc>
        <w:tc>
          <w:tcPr>
            <w:tcW w:w="2101" w:type="dxa"/>
            <w:vAlign w:val="center"/>
          </w:tcPr>
          <w:p>
            <w:pPr>
              <w:spacing w:line="360" w:lineRule="auto"/>
              <w:jc w:val="center"/>
              <w:outlineLvl w:val="0"/>
              <w:rPr>
                <w:rFonts w:hint="eastAsia" w:ascii="宋体" w:hAnsi="宋体" w:eastAsia="宋体" w:cs="宋体"/>
                <w:color w:val="auto"/>
                <w:szCs w:val="21"/>
                <w:highlight w:val="none"/>
              </w:rPr>
            </w:pPr>
          </w:p>
        </w:tc>
        <w:tc>
          <w:tcPr>
            <w:tcW w:w="3111" w:type="dxa"/>
            <w:vAlign w:val="center"/>
          </w:tcPr>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p>
          <w:p>
            <w:pPr>
              <w:tabs>
                <w:tab w:val="left" w:pos="360"/>
                <w:tab w:val="left" w:pos="540"/>
                <w:tab w:val="left" w:pos="840"/>
                <w:tab w:val="left" w:pos="892"/>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p>
        </w:tc>
        <w:tc>
          <w:tcPr>
            <w:tcW w:w="1729" w:type="dxa"/>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p>
        </w:tc>
        <w:tc>
          <w:tcPr>
            <w:tcW w:w="711" w:type="dxa"/>
            <w:vAlign w:val="center"/>
          </w:tcPr>
          <w:p>
            <w:pPr>
              <w:tabs>
                <w:tab w:val="left" w:pos="360"/>
                <w:tab w:val="left" w:pos="540"/>
                <w:tab w:val="left" w:pos="840"/>
                <w:tab w:val="left" w:pos="892"/>
              </w:tabs>
              <w:spacing w:line="360" w:lineRule="auto"/>
              <w:jc w:val="center"/>
              <w:rPr>
                <w:rFonts w:hint="eastAsia" w:ascii="宋体" w:hAnsi="宋体" w:eastAsia="宋体" w:cs="宋体"/>
                <w:color w:val="auto"/>
                <w:szCs w:val="21"/>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注：1、具体价格明细详见《投标价格组成明细表》。</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2、大写金额与小写金额不一致时，以大写金额为准。</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投标报价应与“投标价格组成明细表”中的“合计”金额相一致。</w:t>
      </w:r>
      <w:r>
        <w:rPr>
          <w:rFonts w:hint="eastAsia" w:ascii="宋体" w:hAnsi="宋体" w:eastAsia="宋体" w:cs="宋体"/>
          <w:color w:val="auto"/>
          <w:highlight w:val="none"/>
        </w:rPr>
        <w:t>。</w:t>
      </w:r>
    </w:p>
    <w:p>
      <w:p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w:t>
      </w:r>
      <w:r>
        <w:rPr>
          <w:rFonts w:hint="eastAsia" w:ascii="宋体" w:hAnsi="宋体" w:eastAsia="宋体" w:cs="宋体"/>
          <w:bCs/>
          <w:color w:val="auto"/>
          <w:highlight w:val="none"/>
        </w:rPr>
        <w:t>投标报价</w:t>
      </w:r>
      <w:r>
        <w:rPr>
          <w:rFonts w:hint="eastAsia" w:ascii="宋体" w:hAnsi="宋体" w:eastAsia="宋体" w:cs="宋体"/>
          <w:bCs/>
          <w:color w:val="auto"/>
          <w:kern w:val="0"/>
          <w:szCs w:val="21"/>
          <w:highlight w:val="none"/>
        </w:rPr>
        <w:t>包含人工、服务、材料费、管理费、利润、规费、保险、税金及完成本项目所涉及的所有费用</w:t>
      </w:r>
      <w:r>
        <w:rPr>
          <w:rFonts w:hint="eastAsia" w:ascii="宋体" w:hAnsi="宋体" w:eastAsia="宋体" w:cs="宋体"/>
          <w:color w:val="auto"/>
          <w:highlight w:val="none"/>
        </w:rPr>
        <w:t>及采购代理服务费</w:t>
      </w:r>
      <w:r>
        <w:rPr>
          <w:rFonts w:hint="eastAsia" w:ascii="宋体" w:hAnsi="宋体" w:eastAsia="宋体" w:cs="宋体"/>
          <w:bCs/>
          <w:color w:val="auto"/>
          <w:kern w:val="0"/>
          <w:szCs w:val="21"/>
          <w:highlight w:val="none"/>
        </w:rPr>
        <w:t>。</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sz w:val="30"/>
          <w:szCs w:val="30"/>
          <w:highlight w:val="none"/>
        </w:rPr>
      </w:pPr>
      <w:r>
        <w:rPr>
          <w:rFonts w:hint="eastAsia" w:ascii="宋体" w:hAnsi="宋体" w:eastAsia="宋体" w:cs="宋体"/>
          <w:color w:val="auto"/>
          <w:szCs w:val="20"/>
          <w:highlight w:val="none"/>
        </w:rPr>
        <w:br w:type="page"/>
      </w:r>
      <w:bookmarkStart w:id="224" w:name="_Toc8347"/>
      <w:bookmarkStart w:id="225" w:name="_Toc18512"/>
      <w:bookmarkStart w:id="226" w:name="_Toc25777"/>
      <w:bookmarkStart w:id="227" w:name="_Toc2639"/>
      <w:bookmarkStart w:id="228" w:name="_Toc21123"/>
      <w:bookmarkStart w:id="229" w:name="_Toc12664"/>
      <w:bookmarkStart w:id="230" w:name="_Toc1764"/>
      <w:bookmarkStart w:id="231" w:name="_Toc5141"/>
      <w:bookmarkStart w:id="232" w:name="_Toc1133"/>
      <w:r>
        <w:rPr>
          <w:rFonts w:hint="eastAsia" w:ascii="宋体" w:hAnsi="宋体" w:eastAsia="宋体" w:cs="宋体"/>
          <w:color w:val="auto"/>
          <w:szCs w:val="20"/>
          <w:highlight w:val="none"/>
        </w:rPr>
        <w:t>附件二-2、</w:t>
      </w:r>
      <w:bookmarkEnd w:id="224"/>
      <w:bookmarkEnd w:id="225"/>
      <w:bookmarkEnd w:id="226"/>
      <w:r>
        <w:rPr>
          <w:rFonts w:hint="eastAsia" w:ascii="宋体" w:hAnsi="宋体" w:eastAsia="宋体" w:cs="宋体"/>
          <w:color w:val="auto"/>
          <w:highlight w:val="none"/>
        </w:rPr>
        <w:t>投标价格组成明细表</w:t>
      </w:r>
      <w:bookmarkEnd w:id="227"/>
      <w:bookmarkEnd w:id="228"/>
      <w:bookmarkEnd w:id="229"/>
      <w:bookmarkEnd w:id="230"/>
      <w:bookmarkEnd w:id="231"/>
      <w:bookmarkEnd w:id="232"/>
    </w:p>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 w:val="32"/>
          <w:szCs w:val="32"/>
          <w:highlight w:val="none"/>
        </w:rPr>
        <w:t>投标价格组成明细表</w:t>
      </w:r>
    </w:p>
    <w:p>
      <w:pPr>
        <w:pStyle w:val="7"/>
        <w:adjustRightInd w:val="0"/>
        <w:snapToGrid w:val="0"/>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p>
    <w:p>
      <w:pPr>
        <w:pStyle w:val="7"/>
        <w:adjustRightInd w:val="0"/>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r>
        <w:rPr>
          <w:rFonts w:hint="eastAsia" w:ascii="宋体" w:hAnsi="宋体" w:eastAsia="宋体" w:cs="宋体"/>
          <w:color w:val="auto"/>
          <w:highlight w:val="none"/>
        </w:rPr>
        <w:t xml:space="preserve"> </w:t>
      </w:r>
    </w:p>
    <w:p>
      <w:pPr>
        <w:pStyle w:val="7"/>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标项号：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（价格单位：元人民币）</w:t>
      </w:r>
    </w:p>
    <w:tbl>
      <w:tblPr>
        <w:tblStyle w:val="5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916"/>
        <w:gridCol w:w="1870"/>
        <w:gridCol w:w="737"/>
        <w:gridCol w:w="747"/>
        <w:gridCol w:w="1110"/>
        <w:gridCol w:w="682"/>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内容名称</w:t>
            </w: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详细说明</w:t>
            </w: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综合单价</w:t>
            </w: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小计</w:t>
            </w: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9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8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70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auto"/>
                <w:highlight w:val="none"/>
              </w:rPr>
            </w:pPr>
            <w:r>
              <w:rPr>
                <w:rFonts w:hint="eastAsia" w:ascii="宋体" w:hAnsi="宋体" w:eastAsia="宋体" w:cs="宋体"/>
                <w:b/>
                <w:color w:val="auto"/>
                <w:szCs w:val="22"/>
                <w:highlight w:val="none"/>
              </w:rPr>
              <w:t>合计</w:t>
            </w:r>
          </w:p>
        </w:tc>
        <w:tc>
          <w:tcPr>
            <w:tcW w:w="5819"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auto"/>
                <w:kern w:val="0"/>
                <w:highlight w:val="none"/>
              </w:rPr>
            </w:pPr>
          </w:p>
        </w:tc>
      </w:tr>
    </w:tbl>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注：1、本表格式可根据实际情况填写。</w:t>
      </w:r>
    </w:p>
    <w:p>
      <w:p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bCs/>
          <w:color w:val="auto"/>
          <w:highlight w:val="none"/>
        </w:rPr>
        <w:t>投标报价</w:t>
      </w:r>
      <w:r>
        <w:rPr>
          <w:rFonts w:hint="eastAsia" w:ascii="宋体" w:hAnsi="宋体" w:eastAsia="宋体" w:cs="宋体"/>
          <w:bCs/>
          <w:color w:val="auto"/>
          <w:kern w:val="0"/>
          <w:szCs w:val="21"/>
          <w:highlight w:val="none"/>
        </w:rPr>
        <w:t>包含人工、服务、材料费、管理费、利润、规费、保险、税金及完成本项目所涉及的所有费用</w:t>
      </w:r>
      <w:r>
        <w:rPr>
          <w:rFonts w:hint="eastAsia" w:ascii="宋体" w:hAnsi="宋体" w:eastAsia="宋体" w:cs="宋体"/>
          <w:color w:val="auto"/>
          <w:highlight w:val="none"/>
        </w:rPr>
        <w:t>及采购代理服务费</w:t>
      </w:r>
      <w:r>
        <w:rPr>
          <w:rFonts w:hint="eastAsia" w:ascii="宋体" w:hAnsi="宋体" w:eastAsia="宋体" w:cs="宋体"/>
          <w:bCs/>
          <w:color w:val="auto"/>
          <w:kern w:val="0"/>
          <w:szCs w:val="21"/>
          <w:highlight w:val="none"/>
        </w:rPr>
        <w:t>。</w:t>
      </w:r>
    </w:p>
    <w:p>
      <w:pPr>
        <w:numPr>
          <w:ilvl w:val="0"/>
          <w:numId w:val="5"/>
        </w:numPr>
        <w:adjustRightInd w:val="0"/>
        <w:snapToGrid w:val="0"/>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此表“合计”金额应与《开标一览表》中“投标报价”相一致。</w:t>
      </w:r>
    </w:p>
    <w:p>
      <w:pPr>
        <w:adjustRightInd w:val="0"/>
        <w:snapToGrid w:val="0"/>
        <w:spacing w:line="360" w:lineRule="auto"/>
        <w:ind w:firstLine="420" w:firstLineChars="200"/>
        <w:rPr>
          <w:rFonts w:hint="eastAsia" w:ascii="宋体" w:hAnsi="宋体" w:eastAsia="宋体" w:cs="宋体"/>
          <w:color w:val="auto"/>
          <w:szCs w:val="20"/>
          <w:highlight w:val="none"/>
        </w:rPr>
      </w:pPr>
    </w:p>
    <w:p>
      <w:pPr>
        <w:adjustRightInd w:val="0"/>
        <w:snapToGrid w:val="0"/>
        <w:spacing w:line="360" w:lineRule="auto"/>
        <w:ind w:firstLine="480"/>
        <w:rPr>
          <w:rFonts w:hint="eastAsia" w:ascii="宋体" w:hAnsi="宋体" w:eastAsia="宋体" w:cs="宋体"/>
          <w:color w:val="auto"/>
          <w:szCs w:val="20"/>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ind w:firstLine="0" w:firstLineChars="0"/>
        <w:rPr>
          <w:rFonts w:hint="eastAsia" w:ascii="宋体" w:hAnsi="宋体" w:eastAsia="宋体" w:cs="宋体"/>
          <w:color w:val="auto"/>
          <w:highlight w:val="none"/>
        </w:rPr>
      </w:pPr>
      <w:bookmarkStart w:id="233" w:name="_Toc22063"/>
      <w:bookmarkStart w:id="234" w:name="_Toc28113"/>
      <w:bookmarkStart w:id="235" w:name="_Toc11170"/>
      <w:bookmarkStart w:id="236" w:name="_Toc8626"/>
      <w:bookmarkStart w:id="237" w:name="_Toc14797"/>
      <w:r>
        <w:rPr>
          <w:rFonts w:hint="eastAsia" w:ascii="宋体" w:hAnsi="宋体" w:eastAsia="宋体" w:cs="宋体"/>
          <w:color w:val="auto"/>
          <w:highlight w:val="none"/>
        </w:rPr>
        <w:t>附件二-3、缴纳采购代理服务费承诺书</w:t>
      </w:r>
      <w:bookmarkEnd w:id="233"/>
      <w:bookmarkEnd w:id="234"/>
      <w:bookmarkEnd w:id="235"/>
      <w:bookmarkEnd w:id="236"/>
      <w:bookmarkEnd w:id="237"/>
    </w:p>
    <w:p>
      <w:pPr>
        <w:adjustRightInd w:val="0"/>
        <w:snapToGrid w:val="0"/>
        <w:spacing w:line="300" w:lineRule="auto"/>
        <w:ind w:firstLine="422"/>
        <w:jc w:val="center"/>
        <w:rPr>
          <w:rFonts w:hint="eastAsia" w:ascii="宋体" w:hAnsi="宋体" w:eastAsia="宋体" w:cs="宋体"/>
          <w:b/>
          <w:bCs/>
          <w:color w:val="auto"/>
          <w:sz w:val="24"/>
          <w:highlight w:val="none"/>
        </w:rPr>
      </w:pP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缴纳采购代理服务费承诺书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浙江省成套招标代理有限公司：</w:t>
      </w:r>
    </w:p>
    <w:p>
      <w:pPr>
        <w:adjustRightInd w:val="0"/>
        <w:snapToGri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我公司在贵公司组织的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项目名称）的采购中若获中标，我公司保证在</w:t>
      </w:r>
      <w:r>
        <w:rPr>
          <w:rFonts w:hint="eastAsia" w:ascii="宋体" w:hAnsi="宋体" w:eastAsia="宋体" w:cs="宋体"/>
          <w:b/>
          <w:color w:val="auto"/>
          <w:szCs w:val="21"/>
          <w:highlight w:val="none"/>
        </w:rPr>
        <w:t>收到贵公司通知后</w:t>
      </w:r>
      <w:r>
        <w:rPr>
          <w:rFonts w:hint="eastAsia" w:ascii="宋体" w:hAnsi="宋体" w:eastAsia="宋体" w:cs="宋体"/>
          <w:color w:val="auto"/>
          <w:szCs w:val="21"/>
          <w:highlight w:val="none"/>
        </w:rPr>
        <w:t>按</w:t>
      </w:r>
      <w:r>
        <w:rPr>
          <w:rFonts w:hint="eastAsia" w:ascii="宋体" w:hAnsi="宋体" w:eastAsia="宋体" w:cs="宋体"/>
          <w:b/>
          <w:color w:val="auto"/>
          <w:szCs w:val="21"/>
          <w:highlight w:val="none"/>
        </w:rPr>
        <w:t>投标人须知前附表</w:t>
      </w:r>
      <w:r>
        <w:rPr>
          <w:rFonts w:hint="eastAsia" w:ascii="宋体" w:hAnsi="宋体" w:eastAsia="宋体" w:cs="宋体"/>
          <w:color w:val="auto"/>
          <w:szCs w:val="21"/>
          <w:highlight w:val="none"/>
        </w:rPr>
        <w:t>的规定，向贵公司即浙江省成套招标代理有限公司支付采购代理费。如我公司未按上述承诺支付采购代理费，由此产生的一切法律后果和责任由我公司承担。我公司声明放弃对此提出任何异议和追索的权利。</w:t>
      </w:r>
    </w:p>
    <w:p>
      <w:pPr>
        <w:pStyle w:val="7"/>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color w:val="auto"/>
          <w:spacing w:val="20"/>
          <w:highlight w:val="none"/>
          <w:u w:val="single"/>
        </w:rPr>
      </w:pPr>
      <w:r>
        <w:rPr>
          <w:rFonts w:hint="eastAsia" w:ascii="宋体" w:hAnsi="宋体" w:eastAsia="宋体" w:cs="宋体"/>
          <w:b/>
          <w:color w:val="auto"/>
          <w:highlight w:val="none"/>
        </w:rPr>
        <w:t>供应商全称（盖单位公章）：</w:t>
      </w:r>
    </w:p>
    <w:p>
      <w:pPr>
        <w:spacing w:line="360" w:lineRule="auto"/>
        <w:rPr>
          <w:rFonts w:hint="eastAsia" w:ascii="宋体" w:hAnsi="宋体" w:eastAsia="宋体" w:cs="宋体"/>
          <w:b/>
          <w:color w:val="auto"/>
          <w:spacing w:val="20"/>
          <w:highlight w:val="none"/>
          <w:u w:val="single"/>
        </w:rPr>
      </w:pPr>
      <w:r>
        <w:rPr>
          <w:rFonts w:hint="eastAsia" w:ascii="宋体" w:hAnsi="宋体" w:eastAsia="宋体" w:cs="宋体"/>
          <w:b/>
          <w:color w:val="auto"/>
          <w:highlight w:val="none"/>
        </w:rPr>
        <w:t xml:space="preserve"> </w:t>
      </w:r>
    </w:p>
    <w:p>
      <w:pPr>
        <w:spacing w:line="360" w:lineRule="auto"/>
        <w:rPr>
          <w:rFonts w:hint="eastAsia" w:ascii="宋体" w:hAnsi="宋体" w:eastAsia="宋体" w:cs="宋体"/>
          <w:b/>
          <w:color w:val="auto"/>
          <w:spacing w:val="20"/>
          <w:highlight w:val="none"/>
        </w:rPr>
      </w:pPr>
      <w:r>
        <w:rPr>
          <w:rFonts w:hint="eastAsia" w:ascii="宋体" w:hAnsi="宋体" w:eastAsia="宋体" w:cs="宋体"/>
          <w:b/>
          <w:color w:val="auto"/>
          <w:spacing w:val="20"/>
          <w:highlight w:val="none"/>
        </w:rPr>
        <w:t>日期：</w:t>
      </w:r>
      <w:r>
        <w:rPr>
          <w:rFonts w:hint="eastAsia" w:ascii="宋体" w:hAnsi="宋体" w:eastAsia="宋体" w:cs="宋体"/>
          <w:b/>
          <w:color w:val="auto"/>
          <w:highlight w:val="none"/>
        </w:rPr>
        <w:t xml:space="preserve">   年  月  日</w:t>
      </w:r>
    </w:p>
    <w:p>
      <w:pPr>
        <w:adjustRightInd w:val="0"/>
        <w:snapToGrid w:val="0"/>
        <w:spacing w:line="360" w:lineRule="auto"/>
        <w:ind w:firstLine="420" w:firstLineChars="200"/>
        <w:rPr>
          <w:rFonts w:hint="eastAsia" w:ascii="宋体" w:hAnsi="宋体" w:eastAsia="宋体" w:cs="宋体"/>
          <w:b/>
          <w:color w:val="auto"/>
          <w:szCs w:val="20"/>
          <w:highlight w:val="none"/>
        </w:rPr>
        <w:sectPr>
          <w:headerReference r:id="rId3" w:type="default"/>
          <w:footerReference r:id="rId4" w:type="default"/>
          <w:pgSz w:w="11906" w:h="16838"/>
          <w:pgMar w:top="1440" w:right="1797" w:bottom="1440" w:left="1797" w:header="720" w:footer="720" w:gutter="0"/>
          <w:cols w:space="720" w:num="1"/>
          <w:docGrid w:linePitch="272" w:charSpace="-3831"/>
        </w:sectPr>
      </w:pPr>
      <w:r>
        <w:rPr>
          <w:rFonts w:hint="eastAsia" w:ascii="宋体" w:hAnsi="宋体" w:eastAsia="宋体" w:cs="宋体"/>
          <w:color w:val="auto"/>
          <w:highlight w:val="none"/>
        </w:rPr>
        <w:br w:type="page"/>
      </w:r>
    </w:p>
    <w:bookmarkEnd w:id="217"/>
    <w:bookmarkEnd w:id="218"/>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bookmarkStart w:id="238" w:name="_Toc336683576"/>
      <w:bookmarkStart w:id="239" w:name="_Toc345575535"/>
      <w:r>
        <w:rPr>
          <w:rFonts w:hint="eastAsia" w:ascii="宋体" w:hAnsi="宋体" w:eastAsia="宋体" w:cs="宋体"/>
          <w:color w:val="auto"/>
          <w:kern w:val="0"/>
          <w:sz w:val="28"/>
          <w:highlight w:val="none"/>
        </w:rPr>
        <w:t>资格文件封面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lang w:eastAsia="zh-CN"/>
        </w:rPr>
        <w:t>浙江理工大学招生宣传短视频制作及运营项目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CTZB-2021110689</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none"/>
          <w:lang w:val="en-US" w:eastAsia="zh-CN"/>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44"/>
          <w:szCs w:val="44"/>
          <w:highlight w:val="none"/>
        </w:rPr>
      </w:pPr>
      <w:r>
        <w:rPr>
          <w:rFonts w:hint="eastAsia" w:ascii="宋体" w:hAnsi="宋体" w:eastAsia="宋体" w:cs="宋体"/>
          <w:color w:val="auto"/>
          <w:kern w:val="0"/>
          <w:sz w:val="28"/>
          <w:highlight w:val="none"/>
          <w:u w:val="none"/>
          <w:lang w:val="en-US" w:eastAsia="zh-CN"/>
        </w:rPr>
        <w:t>标项号：</w:t>
      </w:r>
      <w:r>
        <w:rPr>
          <w:rFonts w:hint="eastAsia" w:ascii="宋体" w:hAnsi="宋体" w:eastAsia="宋体" w:cs="宋体"/>
          <w:color w:val="auto"/>
          <w:kern w:val="0"/>
          <w:sz w:val="28"/>
          <w:highlight w:val="none"/>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（资格文件）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2520" w:firstLineChars="90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spacing w:line="360" w:lineRule="auto"/>
        <w:ind w:left="280" w:hanging="280" w:hangingChars="100"/>
        <w:jc w:val="center"/>
        <w:rPr>
          <w:rFonts w:hint="eastAsia" w:ascii="宋体" w:hAnsi="宋体" w:eastAsia="宋体" w:cs="宋体"/>
          <w:b/>
          <w:bCs/>
          <w:color w:val="auto"/>
          <w:sz w:val="32"/>
          <w:szCs w:val="3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bCs/>
          <w:color w:val="auto"/>
          <w:sz w:val="32"/>
          <w:szCs w:val="32"/>
          <w:highlight w:val="none"/>
        </w:rPr>
        <w:t>资格审查资料</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资格审查须知</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1、投标人必须认真填写采购文件规定的所有表格，并对其真实性负责，采购人有权对其进行调查核实和要求澄清。</w:t>
      </w:r>
    </w:p>
    <w:p>
      <w:pPr>
        <w:autoSpaceDE w:val="0"/>
        <w:autoSpaceDN w:val="0"/>
        <w:adjustRightInd w:val="0"/>
        <w:spacing w:line="360" w:lineRule="auto"/>
        <w:ind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强制性资格条件</w:t>
      </w:r>
    </w:p>
    <w:tbl>
      <w:tblPr>
        <w:tblStyle w:val="55"/>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4362"/>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362"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强制性资格条件</w:t>
            </w:r>
          </w:p>
        </w:tc>
        <w:tc>
          <w:tcPr>
            <w:tcW w:w="3653"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证明资料附后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62" w:type="dxa"/>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highlight w:val="none"/>
              </w:rPr>
              <w:t>具有独立承担民事责任的能力</w:t>
            </w:r>
          </w:p>
        </w:tc>
        <w:tc>
          <w:tcPr>
            <w:tcW w:w="3653" w:type="dxa"/>
            <w:vAlign w:val="center"/>
          </w:tcPr>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营业执照(或事业法人登记证书或其它工商等登记证明材料；自然人参与政府采购，提供身份证)复印件、实施“五证合一、一照一码”登记制度改革的，只需提供改革后取得的营业执照复印件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362"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具有良好的商业信誉和健全的财务会计制度</w:t>
            </w:r>
          </w:p>
        </w:tc>
        <w:tc>
          <w:tcPr>
            <w:tcW w:w="3653" w:type="dxa"/>
            <w:vMerge w:val="restart"/>
            <w:vAlign w:val="center"/>
          </w:tcPr>
          <w:p>
            <w:pPr>
              <w:jc w:val="left"/>
              <w:rPr>
                <w:rFonts w:hint="eastAsia" w:ascii="宋体" w:hAnsi="宋体" w:eastAsia="宋体" w:cs="宋体"/>
                <w:color w:val="auto"/>
                <w:highlight w:val="none"/>
              </w:rPr>
            </w:pPr>
            <w:r>
              <w:rPr>
                <w:rFonts w:hint="eastAsia" w:ascii="宋体" w:hAnsi="宋体" w:eastAsia="宋体" w:cs="宋体"/>
                <w:color w:val="auto"/>
                <w:highlight w:val="none"/>
              </w:rPr>
              <w:t>详见承诺函格式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362"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具有履行合同所必需的设备和专业技术能力</w:t>
            </w:r>
          </w:p>
        </w:tc>
        <w:tc>
          <w:tcPr>
            <w:tcW w:w="3653" w:type="dxa"/>
            <w:vMerge w:val="continue"/>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362"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有依法缴纳税收和社会保障资金的良好记录</w:t>
            </w:r>
          </w:p>
        </w:tc>
        <w:tc>
          <w:tcPr>
            <w:tcW w:w="3653" w:type="dxa"/>
            <w:vMerge w:val="continue"/>
            <w:vAlign w:val="center"/>
          </w:tcPr>
          <w:p>
            <w:pPr>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362"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w:t>
            </w:r>
          </w:p>
        </w:tc>
        <w:tc>
          <w:tcPr>
            <w:tcW w:w="3653" w:type="dxa"/>
            <w:vMerge w:val="continue"/>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362" w:type="dxa"/>
            <w:vAlign w:val="center"/>
          </w:tcPr>
          <w:p>
            <w:pPr>
              <w:wordWrap w:val="0"/>
              <w:rPr>
                <w:rFonts w:hint="eastAsia" w:ascii="宋体" w:hAnsi="宋体" w:eastAsia="宋体" w:cs="宋体"/>
                <w:color w:val="auto"/>
                <w:highlight w:val="none"/>
              </w:rPr>
            </w:pPr>
            <w:r>
              <w:rPr>
                <w:rFonts w:hint="eastAsia" w:ascii="宋体" w:hAnsi="宋体" w:eastAsia="宋体" w:cs="宋体"/>
                <w:color w:val="auto"/>
                <w:kern w:val="0"/>
                <w:szCs w:val="21"/>
                <w:highlight w:val="none"/>
              </w:rPr>
              <w:t>未被“信用中国”（www.creditchina.gov.cn）、中国政府采购网（www.ccgp.gov.cn）列入失信被执行人、重大税收违法案件当事人名单、政府采购严重违法失信行为记录名单</w:t>
            </w:r>
          </w:p>
        </w:tc>
        <w:tc>
          <w:tcPr>
            <w:tcW w:w="3653" w:type="dxa"/>
            <w:vMerge w:val="continue"/>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4362" w:type="dxa"/>
            <w:vAlign w:val="center"/>
          </w:tcPr>
          <w:p>
            <w:pPr>
              <w:wordWrap w:val="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单位负责人为同一人或者存在直接控股、管理关系的不同投标人，不得参加同一合同项下的政府采购活动</w:t>
            </w:r>
          </w:p>
        </w:tc>
        <w:tc>
          <w:tcPr>
            <w:tcW w:w="3653" w:type="dxa"/>
            <w:vMerge w:val="continue"/>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4362" w:type="dxa"/>
            <w:vAlign w:val="center"/>
          </w:tcPr>
          <w:p>
            <w:pPr>
              <w:wordWrap w:val="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本项目不接受联合体投标</w:t>
            </w:r>
          </w:p>
        </w:tc>
        <w:tc>
          <w:tcPr>
            <w:tcW w:w="3653" w:type="dxa"/>
            <w:vMerge w:val="continue"/>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4362" w:type="dxa"/>
            <w:vAlign w:val="center"/>
          </w:tcPr>
          <w:p>
            <w:pPr>
              <w:wordWrap w:val="0"/>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落实政府采购政策需满足的资格要求：</w:t>
            </w:r>
            <w:r>
              <w:rPr>
                <w:rFonts w:hint="eastAsia" w:ascii="宋体" w:hAnsi="宋体" w:eastAsia="宋体" w:cs="宋体"/>
                <w:color w:val="auto"/>
                <w:highlight w:val="none"/>
              </w:rPr>
              <w:t>本项目专门面向中小企业采购</w:t>
            </w:r>
          </w:p>
        </w:tc>
        <w:tc>
          <w:tcPr>
            <w:tcW w:w="3653" w:type="dxa"/>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中小企业（监狱企业、残疾人福利性单位）声明函</w:t>
            </w:r>
          </w:p>
        </w:tc>
      </w:tr>
    </w:tbl>
    <w:p>
      <w:pPr>
        <w:snapToGrid w:val="0"/>
        <w:spacing w:line="360" w:lineRule="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注：1、证明材料复印件需齐全，不得缺页，否则证明无效。</w:t>
      </w:r>
    </w:p>
    <w:p>
      <w:pPr>
        <w:snapToGrid w:val="0"/>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2、证明材料应具备充分性，在电子标中与要求相对应部分进行关联，否则由此产生的责任和风险投标人承担。</w:t>
      </w:r>
    </w:p>
    <w:p>
      <w:pPr>
        <w:snapToGrid w:val="0"/>
        <w:spacing w:line="360" w:lineRule="auto"/>
        <w:rPr>
          <w:rFonts w:hint="eastAsia" w:ascii="宋体" w:hAnsi="宋体" w:eastAsia="宋体" w:cs="宋体"/>
          <w:color w:val="auto"/>
          <w:szCs w:val="21"/>
          <w:highlight w:val="none"/>
        </w:rPr>
      </w:pPr>
    </w:p>
    <w:p>
      <w:pPr>
        <w:adjustRightInd w:val="0"/>
        <w:snapToGrid w:val="0"/>
        <w:spacing w:line="360" w:lineRule="auto"/>
        <w:ind w:left="105" w:leftChars="50" w:firstLine="560" w:firstLineChars="200"/>
        <w:rPr>
          <w:rFonts w:hint="eastAsia" w:ascii="宋体" w:hAnsi="宋体" w:eastAsia="宋体" w:cs="宋体"/>
          <w:b/>
          <w:color w:val="auto"/>
          <w:sz w:val="22"/>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sz w:val="28"/>
          <w:highlight w:val="none"/>
        </w:rPr>
        <w:t>资格要求审查材料：</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【即证明其符合《中华人民共和国政府采购法》规定的供应商基本条件的有关资格证明文件。以联合体形式参加政府采购的，联合体成员各方均应提供如下资格证明文件。】</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包括：</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 </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如有）。</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（2）承诺函</w:t>
      </w:r>
    </w:p>
    <w:p>
      <w:pPr>
        <w:adjustRightInd w:val="0"/>
        <w:snapToGrid w:val="0"/>
        <w:spacing w:line="360" w:lineRule="auto"/>
        <w:ind w:left="105" w:leftChars="50" w:firstLine="420" w:firstLineChars="200"/>
        <w:rPr>
          <w:rFonts w:hint="eastAsia" w:ascii="宋体" w:hAnsi="宋体" w:eastAsia="宋体" w:cs="宋体"/>
          <w:color w:val="auto"/>
          <w:szCs w:val="21"/>
          <w:highlight w:val="none"/>
        </w:rPr>
      </w:pPr>
    </w:p>
    <w:p>
      <w:pPr>
        <w:widowControl/>
        <w:adjustRightInd w:val="0"/>
        <w:snapToGrid w:val="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承诺函</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rPr>
        <w:t>（采购人）</w:t>
      </w:r>
      <w:r>
        <w:rPr>
          <w:rFonts w:hint="eastAsia" w:ascii="宋体" w:hAnsi="宋体" w:eastAsia="宋体" w:cs="宋体"/>
          <w:color w:val="auto"/>
          <w:kern w:val="0"/>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（供应商）</w:t>
      </w:r>
      <w:r>
        <w:rPr>
          <w:rFonts w:hint="eastAsia" w:ascii="宋体" w:hAnsi="宋体" w:eastAsia="宋体" w:cs="宋体"/>
          <w:color w:val="auto"/>
          <w:kern w:val="0"/>
          <w:szCs w:val="21"/>
          <w:highlight w:val="none"/>
        </w:rPr>
        <w:t>承诺：</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具有良好的商业信誉和健全的财务会计制度</w:t>
      </w:r>
      <w:r>
        <w:rPr>
          <w:rFonts w:hint="eastAsia" w:ascii="宋体" w:hAnsi="宋体" w:eastAsia="宋体" w:cs="宋体"/>
          <w:color w:val="auto"/>
          <w:kern w:val="0"/>
          <w:szCs w:val="21"/>
          <w:highlight w:val="none"/>
        </w:rPr>
        <w:t>；</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严格依法缴纳税收和社会保障资金；</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未被列入失信被执行人名单、重大税收违法案件当事人名单、政府采购严重违法失信行为记录名单；</w:t>
      </w:r>
    </w:p>
    <w:p>
      <w:pPr>
        <w:widowControl/>
        <w:numPr>
          <w:ilvl w:val="0"/>
          <w:numId w:val="6"/>
        </w:numPr>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与参加本次项目同一合同项下采购活动的其他供应商不存在单位负责人为同一人或者直接控股、管理关系；</w:t>
      </w:r>
    </w:p>
    <w:p>
      <w:pPr>
        <w:widowControl/>
        <w:adjustRightInd w:val="0"/>
        <w:snapToGrid w:val="0"/>
        <w:spacing w:line="360" w:lineRule="auto"/>
        <w:ind w:left="420" w:leftChars="200"/>
        <w:jc w:val="left"/>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kern w:val="0"/>
          <w:szCs w:val="21"/>
          <w:highlight w:val="none"/>
        </w:rPr>
        <w:t>此次参加本项目的投标，为非联合体投标。</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如有虚假，采购人可取消我方任何资格（投标/中标/签订合同），我方对此无任何异议，并承担一切后果。</w:t>
      </w:r>
    </w:p>
    <w:p>
      <w:pPr>
        <w:widowControl/>
        <w:snapToGrid w:val="0"/>
        <w:spacing w:line="360" w:lineRule="auto"/>
        <w:ind w:firstLine="420" w:firstLineChars="200"/>
        <w:jc w:val="left"/>
        <w:rPr>
          <w:rFonts w:hint="eastAsia" w:ascii="宋体" w:hAnsi="宋体" w:eastAsia="宋体" w:cs="宋体"/>
          <w:color w:val="auto"/>
          <w:kern w:val="0"/>
          <w:szCs w:val="21"/>
          <w:highlight w:val="none"/>
        </w:rPr>
      </w:pPr>
    </w:p>
    <w:p>
      <w:pPr>
        <w:widowControl/>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特此承诺！</w:t>
      </w:r>
    </w:p>
    <w:p>
      <w:pPr>
        <w:adjustRightInd w:val="0"/>
        <w:snapToGrid w:val="0"/>
        <w:spacing w:line="360" w:lineRule="auto"/>
        <w:ind w:left="525" w:leftChars="250"/>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供应商全称（盖章）：</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bookmarkStart w:id="240" w:name="_Toc3771"/>
      <w:bookmarkStart w:id="241" w:name="_Toc17180"/>
      <w:bookmarkStart w:id="242" w:name="_Toc15588"/>
      <w:bookmarkStart w:id="243" w:name="_Toc4859"/>
      <w:r>
        <w:rPr>
          <w:rFonts w:hint="eastAsia" w:ascii="宋体" w:hAnsi="宋体" w:eastAsia="宋体" w:cs="宋体"/>
          <w:color w:val="auto"/>
          <w:kern w:val="0"/>
          <w:szCs w:val="21"/>
          <w:highlight w:val="none"/>
        </w:rPr>
        <w:br w:type="page"/>
      </w:r>
    </w:p>
    <w:p>
      <w:pPr>
        <w:pStyle w:val="5"/>
        <w:ind w:firstLine="0" w:firstLineChars="0"/>
        <w:rPr>
          <w:rFonts w:hint="eastAsia" w:ascii="宋体" w:hAnsi="宋体" w:eastAsia="宋体" w:cs="宋体"/>
          <w:color w:val="auto"/>
          <w:sz w:val="30"/>
          <w:szCs w:val="30"/>
          <w:highlight w:val="none"/>
        </w:rPr>
      </w:pPr>
      <w:bookmarkStart w:id="244" w:name="_Toc23058"/>
      <w:r>
        <w:rPr>
          <w:rFonts w:hint="eastAsia" w:ascii="宋体" w:hAnsi="宋体" w:eastAsia="宋体" w:cs="宋体"/>
          <w:color w:val="auto"/>
          <w:kern w:val="0"/>
          <w:szCs w:val="21"/>
          <w:highlight w:val="none"/>
        </w:rPr>
        <w:t>（3）落实政府采购政策需满足的资格要求：中小企业（</w:t>
      </w:r>
      <w:r>
        <w:rPr>
          <w:rFonts w:hint="eastAsia" w:ascii="宋体" w:hAnsi="宋体" w:eastAsia="宋体" w:cs="宋体"/>
          <w:color w:val="auto"/>
          <w:highlight w:val="none"/>
        </w:rPr>
        <w:t>监狱</w:t>
      </w:r>
      <w:r>
        <w:rPr>
          <w:rFonts w:hint="eastAsia" w:ascii="宋体" w:hAnsi="宋体" w:eastAsia="宋体" w:cs="宋体"/>
          <w:color w:val="auto"/>
          <w:kern w:val="0"/>
          <w:szCs w:val="21"/>
          <w:highlight w:val="none"/>
        </w:rPr>
        <w:t>企业、残疾人福利性单位）声明函</w:t>
      </w:r>
      <w:bookmarkEnd w:id="240"/>
      <w:bookmarkEnd w:id="241"/>
      <w:bookmarkEnd w:id="242"/>
      <w:bookmarkEnd w:id="243"/>
      <w:bookmarkEnd w:id="244"/>
    </w:p>
    <w:p>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中小企业声明函（服务）</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lang w:bidi="ar"/>
        </w:rPr>
        <w:t xml:space="preserve"> （单位名称） </w:t>
      </w:r>
      <w:r>
        <w:rPr>
          <w:rFonts w:hint="eastAsia" w:ascii="宋体" w:hAnsi="宋体" w:eastAsia="宋体" w:cs="宋体"/>
          <w:color w:val="auto"/>
          <w:kern w:val="0"/>
          <w:szCs w:val="21"/>
          <w:highlight w:val="none"/>
          <w:lang w:bidi="ar"/>
        </w:rPr>
        <w:t>的</w:t>
      </w:r>
      <w:r>
        <w:rPr>
          <w:rFonts w:hint="eastAsia" w:ascii="宋体" w:hAnsi="宋体" w:eastAsia="宋体" w:cs="宋体"/>
          <w:color w:val="auto"/>
          <w:kern w:val="0"/>
          <w:szCs w:val="21"/>
          <w:highlight w:val="none"/>
          <w:u w:val="single"/>
          <w:lang w:bidi="ar"/>
        </w:rPr>
        <w:t xml:space="preserve"> （项目名称）</w:t>
      </w:r>
      <w:r>
        <w:rPr>
          <w:rFonts w:hint="eastAsia" w:ascii="宋体" w:hAnsi="宋体" w:eastAsia="宋体" w:cs="宋体"/>
          <w:color w:val="auto"/>
          <w:kern w:val="0"/>
          <w:szCs w:val="21"/>
          <w:highlight w:val="none"/>
          <w:lang w:bidi="ar"/>
        </w:rPr>
        <w:t xml:space="preserve"> 采购活动，工程的施工单位全部为符合政策要求的中小企业</w:t>
      </w:r>
      <w:r>
        <w:rPr>
          <w:rFonts w:hint="eastAsia" w:ascii="宋体" w:hAnsi="宋体" w:eastAsia="宋体" w:cs="宋体"/>
          <w:b/>
          <w:bCs/>
          <w:color w:val="auto"/>
          <w:kern w:val="0"/>
          <w:szCs w:val="21"/>
          <w:highlight w:val="none"/>
          <w:lang w:bidi="ar"/>
        </w:rPr>
        <w:t>（或者：服务全部由符合政策要求的中小企业承接）</w:t>
      </w:r>
      <w:r>
        <w:rPr>
          <w:rFonts w:hint="eastAsia" w:ascii="宋体" w:hAnsi="宋体" w:eastAsia="宋体" w:cs="宋体"/>
          <w:color w:val="auto"/>
          <w:kern w:val="0"/>
          <w:szCs w:val="21"/>
          <w:highlight w:val="none"/>
          <w:lang w:bidi="ar"/>
        </w:rPr>
        <w:t>。相关企业（含联合体中的中小企业、签订分包意向协议的中小企业）的具体情况如下：</w:t>
      </w:r>
    </w:p>
    <w:p>
      <w:pPr>
        <w:widowControl/>
        <w:numPr>
          <w:ilvl w:val="0"/>
          <w:numId w:val="7"/>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（标的名称） </w:t>
      </w:r>
      <w:r>
        <w:rPr>
          <w:rFonts w:hint="eastAsia" w:ascii="宋体" w:hAnsi="宋体" w:eastAsia="宋体" w:cs="宋体"/>
          <w:color w:val="auto"/>
          <w:kern w:val="0"/>
          <w:szCs w:val="21"/>
          <w:highlight w:val="none"/>
          <w:lang w:bidi="ar"/>
        </w:rPr>
        <w:t>，属于</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u w:val="single"/>
          <w:lang w:eastAsia="zh-CN" w:bidi="ar"/>
        </w:rPr>
        <w:t>其他未列明行业</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；承建（承接）企业为</w:t>
      </w:r>
      <w:r>
        <w:rPr>
          <w:rFonts w:hint="eastAsia" w:ascii="宋体" w:hAnsi="宋体" w:eastAsia="宋体" w:cs="宋体"/>
          <w:color w:val="auto"/>
          <w:kern w:val="0"/>
          <w:szCs w:val="21"/>
          <w:highlight w:val="none"/>
          <w:u w:val="single"/>
          <w:lang w:bidi="ar"/>
        </w:rPr>
        <w:t>（企业名称）</w:t>
      </w:r>
      <w:r>
        <w:rPr>
          <w:rFonts w:hint="eastAsia" w:ascii="宋体" w:hAnsi="宋体" w:eastAsia="宋体" w:cs="宋体"/>
          <w:color w:val="auto"/>
          <w:kern w:val="0"/>
          <w:szCs w:val="21"/>
          <w:highlight w:val="none"/>
          <w:lang w:bidi="ar"/>
        </w:rPr>
        <w:t>，从业人员</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人，营业收入为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万元，资产总额为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万元，属于</w:t>
      </w:r>
      <w:r>
        <w:rPr>
          <w:rFonts w:hint="eastAsia" w:ascii="宋体" w:hAnsi="宋体" w:eastAsia="宋体" w:cs="宋体"/>
          <w:color w:val="auto"/>
          <w:kern w:val="0"/>
          <w:szCs w:val="21"/>
          <w:highlight w:val="none"/>
          <w:u w:val="single"/>
          <w:lang w:bidi="ar"/>
        </w:rPr>
        <w:t>（中型企业、小型企业、微型企业）</w:t>
      </w:r>
      <w:r>
        <w:rPr>
          <w:rFonts w:hint="eastAsia" w:ascii="宋体" w:hAnsi="宋体" w:eastAsia="宋体" w:cs="宋体"/>
          <w:color w:val="auto"/>
          <w:kern w:val="0"/>
          <w:szCs w:val="21"/>
          <w:highlight w:val="none"/>
          <w:lang w:bidi="ar"/>
        </w:rPr>
        <w:t xml:space="preserve">； </w:t>
      </w:r>
    </w:p>
    <w:p>
      <w:pPr>
        <w:widowControl/>
        <w:numPr>
          <w:ilvl w:val="0"/>
          <w:numId w:val="7"/>
        </w:num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（标的名称） </w:t>
      </w:r>
      <w:r>
        <w:rPr>
          <w:rFonts w:hint="eastAsia" w:ascii="宋体" w:hAnsi="宋体" w:eastAsia="宋体" w:cs="宋体"/>
          <w:color w:val="auto"/>
          <w:kern w:val="0"/>
          <w:szCs w:val="21"/>
          <w:highlight w:val="none"/>
          <w:lang w:bidi="ar"/>
        </w:rPr>
        <w:t>，属于</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u w:val="single"/>
          <w:lang w:eastAsia="zh-CN" w:bidi="ar"/>
        </w:rPr>
        <w:t>其他未列明行业</w:t>
      </w:r>
      <w:r>
        <w:rPr>
          <w:rFonts w:hint="eastAsia" w:ascii="宋体" w:hAnsi="宋体" w:eastAsia="宋体" w:cs="宋体"/>
          <w:color w:val="auto"/>
          <w:kern w:val="0"/>
          <w:szCs w:val="21"/>
          <w:highlight w:val="none"/>
          <w:u w:val="single"/>
          <w:lang w:bidi="ar"/>
        </w:rPr>
        <w:t>）</w:t>
      </w:r>
      <w:r>
        <w:rPr>
          <w:rFonts w:hint="eastAsia" w:ascii="宋体" w:hAnsi="宋体" w:eastAsia="宋体" w:cs="宋体"/>
          <w:color w:val="auto"/>
          <w:kern w:val="0"/>
          <w:szCs w:val="21"/>
          <w:highlight w:val="none"/>
          <w:lang w:bidi="ar"/>
        </w:rPr>
        <w:t>；承建（承接）企业为</w:t>
      </w:r>
      <w:r>
        <w:rPr>
          <w:rFonts w:hint="eastAsia" w:ascii="宋体" w:hAnsi="宋体" w:eastAsia="宋体" w:cs="宋体"/>
          <w:color w:val="auto"/>
          <w:kern w:val="0"/>
          <w:szCs w:val="21"/>
          <w:highlight w:val="none"/>
          <w:u w:val="single"/>
          <w:lang w:bidi="ar"/>
        </w:rPr>
        <w:t>（企业名称）</w:t>
      </w:r>
      <w:r>
        <w:rPr>
          <w:rFonts w:hint="eastAsia" w:ascii="宋体" w:hAnsi="宋体" w:eastAsia="宋体" w:cs="宋体"/>
          <w:color w:val="auto"/>
          <w:kern w:val="0"/>
          <w:szCs w:val="21"/>
          <w:highlight w:val="none"/>
          <w:lang w:bidi="ar"/>
        </w:rPr>
        <w:t>，从业人员</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人，营业收入为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万元，资产总额为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万元，属于</w:t>
      </w:r>
      <w:r>
        <w:rPr>
          <w:rFonts w:hint="eastAsia" w:ascii="宋体" w:hAnsi="宋体" w:eastAsia="宋体" w:cs="宋体"/>
          <w:color w:val="auto"/>
          <w:kern w:val="0"/>
          <w:szCs w:val="21"/>
          <w:highlight w:val="none"/>
          <w:u w:val="single"/>
          <w:lang w:bidi="ar"/>
        </w:rPr>
        <w:t>（中型企业、小型企业、微型企业）</w:t>
      </w:r>
      <w:r>
        <w:rPr>
          <w:rFonts w:hint="eastAsia" w:ascii="宋体" w:hAnsi="宋体" w:eastAsia="宋体" w:cs="宋体"/>
          <w:color w:val="auto"/>
          <w:kern w:val="0"/>
          <w:szCs w:val="21"/>
          <w:highlight w:val="none"/>
          <w:lang w:bidi="ar"/>
        </w:rPr>
        <w:t xml:space="preserve">； </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以上企业，不属于大企业的分支机构，不存在控股股东为大企业的情形，也不存在与大企业的负责人为同一人的情形。</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本企业对上述声明内容的真实性负责。如有虚假，将依法承担相应责任。 </w:t>
      </w:r>
    </w:p>
    <w:p>
      <w:pPr>
        <w:widowControl/>
        <w:spacing w:line="360" w:lineRule="auto"/>
        <w:jc w:val="left"/>
        <w:rPr>
          <w:rFonts w:hint="eastAsia" w:ascii="宋体" w:hAnsi="宋体" w:eastAsia="宋体" w:cs="宋体"/>
          <w:color w:val="auto"/>
          <w:kern w:val="0"/>
          <w:szCs w:val="21"/>
          <w:highlight w:val="none"/>
          <w:lang w:bidi="ar"/>
        </w:rPr>
      </w:pPr>
    </w:p>
    <w:p>
      <w:pPr>
        <w:widowControl/>
        <w:spacing w:line="360" w:lineRule="auto"/>
        <w:ind w:firstLine="5250" w:firstLineChars="2500"/>
        <w:jc w:val="left"/>
        <w:rPr>
          <w:rFonts w:hint="eastAsia" w:ascii="宋体" w:hAnsi="宋体" w:eastAsia="宋体" w:cs="宋体"/>
          <w:color w:val="auto"/>
          <w:kern w:val="0"/>
          <w:szCs w:val="21"/>
          <w:highlight w:val="none"/>
          <w:lang w:bidi="ar"/>
        </w:rPr>
      </w:pPr>
    </w:p>
    <w:p>
      <w:pPr>
        <w:widowControl/>
        <w:spacing w:line="360" w:lineRule="auto"/>
        <w:ind w:firstLine="5250" w:firstLineChars="25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企业名称（盖章）： </w:t>
      </w:r>
    </w:p>
    <w:p>
      <w:pPr>
        <w:widowControl/>
        <w:spacing w:line="360" w:lineRule="auto"/>
        <w:ind w:firstLine="5250" w:firstLineChars="25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w:t>
      </w:r>
    </w:p>
    <w:p>
      <w:pPr>
        <w:snapToGrid w:val="0"/>
        <w:spacing w:line="360" w:lineRule="auto"/>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pPr>
        <w:snapToGrid w:val="0"/>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1.从业人员、营业收入、资产总额填报上一年度数据，无上一年度数据的新成立企业可不填报。</w:t>
      </w:r>
    </w:p>
    <w:p>
      <w:pPr>
        <w:tabs>
          <w:tab w:val="left" w:pos="2580"/>
          <w:tab w:val="left" w:pos="5940"/>
        </w:tabs>
        <w:autoSpaceDE w:val="0"/>
        <w:autoSpaceDN w:val="0"/>
        <w:adjustRightInd w:val="0"/>
        <w:snapToGrid w:val="0"/>
        <w:spacing w:line="360" w:lineRule="auto"/>
        <w:ind w:right="-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2.本项目所属行业见前附表</w:t>
      </w:r>
    </w:p>
    <w:p>
      <w:pPr>
        <w:widowControl/>
        <w:spacing w:line="360" w:lineRule="auto"/>
        <w:jc w:val="center"/>
        <w:rPr>
          <w:rFonts w:hint="eastAsia" w:ascii="宋体" w:hAnsi="宋体" w:eastAsia="宋体" w:cs="宋体"/>
          <w:b/>
          <w:bCs/>
          <w:color w:val="auto"/>
          <w:sz w:val="32"/>
          <w:highlight w:val="none"/>
        </w:rPr>
      </w:pPr>
      <w:r>
        <w:rPr>
          <w:rFonts w:hint="eastAsia" w:ascii="宋体" w:hAnsi="宋体" w:eastAsia="宋体" w:cs="宋体"/>
          <w:bCs/>
          <w:color w:val="auto"/>
          <w:szCs w:val="21"/>
          <w:highlight w:val="none"/>
        </w:rPr>
        <w:br w:type="page"/>
      </w:r>
      <w:r>
        <w:rPr>
          <w:rFonts w:hint="eastAsia" w:ascii="宋体" w:hAnsi="宋体" w:eastAsia="宋体" w:cs="宋体"/>
          <w:b/>
          <w:bCs/>
          <w:color w:val="auto"/>
          <w:sz w:val="32"/>
          <w:highlight w:val="none"/>
        </w:rPr>
        <w:t>监狱企业声明函</w:t>
      </w:r>
    </w:p>
    <w:p>
      <w:pPr>
        <w:adjustRightInd w:val="0"/>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【不属于监狱企业的无需填写、递交】</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本企业郑重声明，根据《关于政府采购支持监狱企业发展有关问题的通知》（财库[2014]68号）的规定，本企业为</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根据上述标准，我企业属于</w:t>
      </w:r>
      <w:r>
        <w:rPr>
          <w:rFonts w:hint="eastAsia" w:ascii="宋体" w:hAnsi="宋体" w:eastAsia="宋体" w:cs="宋体"/>
          <w:color w:val="auto"/>
          <w:szCs w:val="21"/>
          <w:highlight w:val="none"/>
          <w:u w:val="single"/>
        </w:rPr>
        <w:t>监狱企业</w:t>
      </w:r>
      <w:r>
        <w:rPr>
          <w:rFonts w:hint="eastAsia" w:ascii="宋体" w:hAnsi="宋体" w:eastAsia="宋体" w:cs="宋体"/>
          <w:color w:val="auto"/>
          <w:szCs w:val="21"/>
          <w:highlight w:val="none"/>
        </w:rPr>
        <w:t>的理由为：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本企业为参加（项目名称：              ）（项目编号：        ）采购活动提供本企业的产品。</w:t>
      </w: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p>
    <w:p>
      <w:pPr>
        <w:widowControl/>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本企业对上述声明的真实性负责。如有虚假，将依法承担相应责任。</w:t>
      </w:r>
    </w:p>
    <w:p>
      <w:pPr>
        <w:adjustRightInd w:val="0"/>
        <w:snapToGrid w:val="0"/>
        <w:spacing w:line="360" w:lineRule="auto"/>
        <w:ind w:firstLine="420" w:firstLineChars="200"/>
        <w:jc w:val="center"/>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投标人（盖章）：</w:t>
      </w:r>
      <w:r>
        <w:rPr>
          <w:rFonts w:hint="eastAsia" w:ascii="宋体" w:hAnsi="宋体" w:eastAsia="宋体" w:cs="宋体"/>
          <w:color w:val="auto"/>
          <w:kern w:val="0"/>
          <w:szCs w:val="21"/>
          <w:highlight w:val="none"/>
          <w:u w:val="single"/>
        </w:rPr>
        <w:t xml:space="preserve">            </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p>
    <w:p>
      <w:pPr>
        <w:widowControl/>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监狱企业参加政府采购活动时，应当提供由省级以上监狱管理局、戒毒管理局（含新疆生产建设兵团）出具的属于监狱企业的证明文件。</w:t>
      </w:r>
    </w:p>
    <w:p>
      <w:pPr>
        <w:pStyle w:val="7"/>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adjustRightInd w:val="0"/>
        <w:snapToGrid w:val="0"/>
        <w:spacing w:line="360" w:lineRule="auto"/>
        <w:jc w:val="center"/>
        <w:rPr>
          <w:rFonts w:hint="eastAsia" w:ascii="宋体" w:hAnsi="宋体" w:eastAsia="宋体" w:cs="宋体"/>
          <w:b/>
          <w:color w:val="auto"/>
          <w:kern w:val="0"/>
          <w:sz w:val="32"/>
          <w:szCs w:val="21"/>
          <w:highlight w:val="none"/>
        </w:rPr>
      </w:pPr>
      <w:r>
        <w:rPr>
          <w:rFonts w:hint="eastAsia" w:ascii="宋体" w:hAnsi="宋体" w:eastAsia="宋体" w:cs="宋体"/>
          <w:color w:val="auto"/>
          <w:kern w:val="0"/>
          <w:sz w:val="28"/>
          <w:highlight w:val="none"/>
        </w:rPr>
        <w:br w:type="page"/>
      </w:r>
      <w:r>
        <w:rPr>
          <w:rFonts w:hint="eastAsia" w:ascii="宋体" w:hAnsi="宋体" w:eastAsia="宋体" w:cs="宋体"/>
          <w:b/>
          <w:color w:val="auto"/>
          <w:kern w:val="0"/>
          <w:sz w:val="32"/>
          <w:szCs w:val="21"/>
          <w:highlight w:val="none"/>
        </w:rPr>
        <w:t>残疾人福利性单位声明函</w:t>
      </w:r>
    </w:p>
    <w:p>
      <w:pPr>
        <w:widowControl/>
        <w:adjustRightInd w:val="0"/>
        <w:snapToGrid w:val="0"/>
        <w:spacing w:line="360" w:lineRule="auto"/>
        <w:ind w:firstLine="422" w:firstLineChars="200"/>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【不属于残疾人福利性单位的无需填写、递交】</w:t>
      </w: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ind w:firstLine="444"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w:t>
      </w:r>
      <w:r>
        <w:rPr>
          <w:rFonts w:hint="eastAsia" w:ascii="宋体" w:hAnsi="宋体" w:eastAsia="宋体" w:cs="宋体"/>
          <w:color w:val="auto"/>
          <w:szCs w:val="21"/>
          <w:highlight w:val="none"/>
        </w:rPr>
        <w:t>〔2017〕141</w:t>
      </w:r>
      <w:r>
        <w:rPr>
          <w:rFonts w:hint="eastAsia" w:ascii="宋体" w:hAnsi="宋体" w:eastAsia="宋体" w:cs="宋体"/>
          <w:color w:val="auto"/>
          <w:spacing w:val="6"/>
          <w:szCs w:val="21"/>
          <w:highlight w:val="none"/>
        </w:rPr>
        <w:t>号）的规定，本单位为符合条件的残疾人福利性单位，且本单位参加</w:t>
      </w:r>
      <w:r>
        <w:rPr>
          <w:rFonts w:hint="eastAsia" w:ascii="宋体" w:hAnsi="宋体" w:eastAsia="宋体" w:cs="宋体"/>
          <w:color w:val="auto"/>
          <w:spacing w:val="6"/>
          <w:szCs w:val="21"/>
          <w:highlight w:val="none"/>
          <w:u w:val="single"/>
        </w:rPr>
        <w:t>（采购人名称）</w:t>
      </w:r>
      <w:r>
        <w:rPr>
          <w:rFonts w:hint="eastAsia" w:ascii="宋体" w:hAnsi="宋体" w:eastAsia="宋体" w:cs="宋体"/>
          <w:color w:val="auto"/>
          <w:spacing w:val="6"/>
          <w:szCs w:val="21"/>
          <w:highlight w:val="none"/>
        </w:rPr>
        <w:t>单位的</w:t>
      </w:r>
      <w:r>
        <w:rPr>
          <w:rFonts w:hint="eastAsia" w:ascii="宋体" w:hAnsi="宋体" w:eastAsia="宋体" w:cs="宋体"/>
          <w:color w:val="auto"/>
          <w:spacing w:val="6"/>
          <w:szCs w:val="21"/>
          <w:highlight w:val="none"/>
          <w:u w:val="single"/>
        </w:rPr>
        <w:t>（项目名称）</w:t>
      </w:r>
      <w:r>
        <w:rPr>
          <w:rFonts w:hint="eastAsia" w:ascii="宋体" w:hAnsi="宋体" w:eastAsia="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6" w:firstLineChars="200"/>
        <w:rPr>
          <w:rFonts w:hint="eastAsia" w:ascii="宋体" w:hAnsi="宋体" w:eastAsia="宋体" w:cs="宋体"/>
          <w:b/>
          <w:bCs/>
          <w:color w:val="auto"/>
          <w:spacing w:val="6"/>
          <w:sz w:val="24"/>
          <w:highlight w:val="none"/>
        </w:rPr>
      </w:pPr>
    </w:p>
    <w:p>
      <w:pPr>
        <w:snapToGrid w:val="0"/>
        <w:spacing w:line="360" w:lineRule="auto"/>
        <w:ind w:firstLine="506" w:firstLineChars="200"/>
        <w:rPr>
          <w:rFonts w:hint="eastAsia"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本单位对上述声明的真实性负责。如有虚假，将依法承担相应责任。</w:t>
      </w:r>
    </w:p>
    <w:p>
      <w:pPr>
        <w:snapToGrid w:val="0"/>
        <w:spacing w:line="360" w:lineRule="auto"/>
        <w:rPr>
          <w:rFonts w:hint="eastAsia" w:ascii="宋体" w:hAnsi="宋体" w:eastAsia="宋体" w:cs="宋体"/>
          <w:color w:val="auto"/>
          <w:spacing w:val="6"/>
          <w:szCs w:val="21"/>
          <w:highlight w:val="none"/>
        </w:rPr>
      </w:pPr>
    </w:p>
    <w:p>
      <w:pPr>
        <w:snapToGrid w:val="0"/>
        <w:spacing w:line="360" w:lineRule="auto"/>
        <w:rPr>
          <w:rFonts w:hint="eastAsia" w:ascii="宋体" w:hAnsi="宋体" w:eastAsia="宋体" w:cs="宋体"/>
          <w:color w:val="auto"/>
          <w:spacing w:val="6"/>
          <w:szCs w:val="21"/>
          <w:highlight w:val="none"/>
        </w:rPr>
      </w:pPr>
    </w:p>
    <w:p>
      <w:pPr>
        <w:adjustRightInd w:val="0"/>
        <w:snapToGrid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投标人（盖章）：</w:t>
      </w:r>
      <w:r>
        <w:rPr>
          <w:rFonts w:hint="eastAsia" w:ascii="宋体" w:hAnsi="宋体" w:eastAsia="宋体" w:cs="宋体"/>
          <w:color w:val="auto"/>
          <w:kern w:val="0"/>
          <w:szCs w:val="21"/>
          <w:highlight w:val="none"/>
          <w:u w:val="single"/>
        </w:rPr>
        <w:t xml:space="preserve">                    </w:t>
      </w:r>
    </w:p>
    <w:p>
      <w:pPr>
        <w:adjustRightInd w:val="0"/>
        <w:snapToGrid w:val="0"/>
        <w:spacing w:line="276" w:lineRule="auto"/>
        <w:ind w:left="105" w:leftChars="50" w:firstLine="420" w:firstLineChars="200"/>
        <w:rPr>
          <w:rFonts w:hint="eastAsia" w:ascii="宋体" w:hAnsi="宋体" w:eastAsia="宋体" w:cs="宋体"/>
          <w:color w:val="auto"/>
          <w:sz w:val="22"/>
          <w:highlight w:val="none"/>
        </w:rPr>
      </w:pPr>
      <w:r>
        <w:rPr>
          <w:rFonts w:hint="eastAsia" w:ascii="宋体" w:hAnsi="宋体" w:eastAsia="宋体" w:cs="宋体"/>
          <w:color w:val="auto"/>
          <w:kern w:val="0"/>
          <w:szCs w:val="21"/>
          <w:highlight w:val="none"/>
        </w:rPr>
        <w:t>日期：    年   月  日</w:t>
      </w: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adjustRightInd w:val="0"/>
        <w:snapToGrid w:val="0"/>
        <w:spacing w:line="360" w:lineRule="auto"/>
        <w:jc w:val="left"/>
        <w:rPr>
          <w:rFonts w:hint="eastAsia" w:ascii="宋体" w:hAnsi="宋体" w:eastAsia="宋体" w:cs="宋体"/>
          <w:color w:val="auto"/>
          <w:szCs w:val="21"/>
          <w:highlight w:val="none"/>
        </w:rPr>
      </w:pPr>
    </w:p>
    <w:p>
      <w:pPr>
        <w:tabs>
          <w:tab w:val="left" w:pos="2580"/>
          <w:tab w:val="left" w:pos="5940"/>
        </w:tabs>
        <w:autoSpaceDE w:val="0"/>
        <w:autoSpaceDN w:val="0"/>
        <w:adjustRightInd w:val="0"/>
        <w:snapToGrid w:val="0"/>
        <w:spacing w:line="360" w:lineRule="auto"/>
        <w:ind w:right="-20"/>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br w:type="page"/>
      </w:r>
      <w:r>
        <w:rPr>
          <w:rFonts w:hint="eastAsia" w:ascii="宋体" w:hAnsi="宋体" w:eastAsia="宋体" w:cs="宋体"/>
          <w:color w:val="auto"/>
          <w:kern w:val="0"/>
          <w:sz w:val="28"/>
          <w:highlight w:val="none"/>
        </w:rPr>
        <w:t>商务技术文件封面</w:t>
      </w:r>
    </w:p>
    <w:p>
      <w:pPr>
        <w:tabs>
          <w:tab w:val="left" w:pos="2580"/>
          <w:tab w:val="left" w:pos="5940"/>
        </w:tabs>
        <w:autoSpaceDE w:val="0"/>
        <w:autoSpaceDN w:val="0"/>
        <w:adjustRightInd w:val="0"/>
        <w:spacing w:line="360" w:lineRule="auto"/>
        <w:ind w:right="-2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rPr>
      </w:pPr>
      <w:r>
        <w:rPr>
          <w:rFonts w:hint="eastAsia" w:ascii="宋体" w:hAnsi="宋体" w:eastAsia="宋体" w:cs="宋体"/>
          <w:color w:val="auto"/>
          <w:kern w:val="0"/>
          <w:sz w:val="28"/>
          <w:highlight w:val="none"/>
        </w:rPr>
        <w:t>项目名称：</w:t>
      </w:r>
      <w:r>
        <w:rPr>
          <w:rFonts w:hint="eastAsia" w:ascii="宋体" w:hAnsi="宋体" w:eastAsia="宋体" w:cs="宋体"/>
          <w:color w:val="auto"/>
          <w:kern w:val="0"/>
          <w:sz w:val="28"/>
          <w:highlight w:val="none"/>
          <w:u w:val="single"/>
          <w:lang w:eastAsia="zh-CN"/>
        </w:rPr>
        <w:t>浙江理工大学招生宣传短视频制作及运营项目</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lang w:eastAsia="zh-CN"/>
        </w:rPr>
      </w:pPr>
      <w:r>
        <w:rPr>
          <w:rFonts w:hint="eastAsia" w:ascii="宋体" w:hAnsi="宋体" w:eastAsia="宋体" w:cs="宋体"/>
          <w:color w:val="auto"/>
          <w:kern w:val="0"/>
          <w:sz w:val="28"/>
          <w:highlight w:val="none"/>
        </w:rPr>
        <w:t>项目编号：</w:t>
      </w:r>
      <w:r>
        <w:rPr>
          <w:rFonts w:hint="eastAsia" w:ascii="宋体" w:hAnsi="宋体" w:eastAsia="宋体" w:cs="宋体"/>
          <w:color w:val="auto"/>
          <w:kern w:val="0"/>
          <w:sz w:val="28"/>
          <w:highlight w:val="none"/>
          <w:u w:val="single"/>
          <w:lang w:eastAsia="zh-CN"/>
        </w:rPr>
        <w:t>CTZB-2021110689</w:t>
      </w: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color w:val="auto"/>
          <w:kern w:val="0"/>
          <w:sz w:val="28"/>
          <w:highlight w:val="none"/>
          <w:u w:val="single"/>
          <w:lang w:eastAsia="zh-CN"/>
        </w:rPr>
      </w:pPr>
    </w:p>
    <w:p>
      <w:pPr>
        <w:tabs>
          <w:tab w:val="left" w:pos="2580"/>
          <w:tab w:val="left" w:pos="5940"/>
        </w:tabs>
        <w:autoSpaceDE w:val="0"/>
        <w:autoSpaceDN w:val="0"/>
        <w:adjustRightInd w:val="0"/>
        <w:snapToGrid w:val="0"/>
        <w:spacing w:line="360" w:lineRule="auto"/>
        <w:ind w:right="-20" w:firstLine="980" w:firstLineChars="350"/>
        <w:rPr>
          <w:rFonts w:hint="eastAsia" w:ascii="宋体" w:hAnsi="宋体" w:eastAsia="宋体" w:cs="宋体"/>
          <w:b/>
          <w:bCs/>
          <w:color w:val="auto"/>
          <w:kern w:val="0"/>
          <w:sz w:val="32"/>
          <w:szCs w:val="32"/>
          <w:highlight w:val="none"/>
          <w:u w:val="single"/>
          <w:lang w:eastAsia="zh-CN"/>
        </w:rPr>
      </w:pPr>
      <w:r>
        <w:rPr>
          <w:rFonts w:hint="eastAsia" w:ascii="宋体" w:hAnsi="宋体" w:eastAsia="宋体" w:cs="宋体"/>
          <w:color w:val="auto"/>
          <w:kern w:val="0"/>
          <w:sz w:val="28"/>
          <w:highlight w:val="none"/>
          <w:u w:val="none"/>
          <w:lang w:val="en-US" w:eastAsia="zh-CN"/>
        </w:rPr>
        <w:t>标项号：</w:t>
      </w:r>
      <w:r>
        <w:rPr>
          <w:rFonts w:hint="eastAsia" w:ascii="宋体" w:hAnsi="宋体" w:eastAsia="宋体" w:cs="宋体"/>
          <w:color w:val="auto"/>
          <w:kern w:val="0"/>
          <w:sz w:val="28"/>
          <w:highlight w:val="none"/>
          <w:u w:val="single"/>
          <w:lang w:val="en-US" w:eastAsia="zh-CN"/>
        </w:rPr>
        <w:t xml:space="preserve">          </w:t>
      </w: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4"/>
          <w:highlight w:val="none"/>
        </w:rPr>
      </w:pP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投 标 文 件</w:t>
      </w:r>
    </w:p>
    <w:p>
      <w:pPr>
        <w:tabs>
          <w:tab w:val="left" w:pos="1805"/>
          <w:tab w:val="left" w:pos="5360"/>
        </w:tabs>
        <w:autoSpaceDE w:val="0"/>
        <w:autoSpaceDN w:val="0"/>
        <w:adjustRightInd w:val="0"/>
        <w:snapToGrid w:val="0"/>
        <w:spacing w:line="360" w:lineRule="auto"/>
        <w:ind w:right="-20"/>
        <w:jc w:val="center"/>
        <w:rPr>
          <w:rFonts w:hint="eastAsia" w:ascii="宋体" w:hAnsi="宋体" w:eastAsia="宋体" w:cs="宋体"/>
          <w:color w:val="auto"/>
          <w:kern w:val="0"/>
          <w:sz w:val="72"/>
          <w:highlight w:val="none"/>
        </w:rPr>
      </w:pPr>
      <w:r>
        <w:rPr>
          <w:rFonts w:hint="eastAsia" w:ascii="宋体" w:hAnsi="宋体" w:eastAsia="宋体" w:cs="宋体"/>
          <w:color w:val="auto"/>
          <w:kern w:val="0"/>
          <w:sz w:val="72"/>
          <w:highlight w:val="none"/>
        </w:rPr>
        <w:t>（商务技术文件）</w:t>
      </w:r>
    </w:p>
    <w:p>
      <w:pPr>
        <w:autoSpaceDE w:val="0"/>
        <w:autoSpaceDN w:val="0"/>
        <w:adjustRightInd w:val="0"/>
        <w:snapToGrid w:val="0"/>
        <w:spacing w:line="360" w:lineRule="auto"/>
        <w:jc w:val="left"/>
        <w:rPr>
          <w:rFonts w:hint="eastAsia" w:ascii="宋体" w:hAnsi="宋体" w:eastAsia="宋体" w:cs="宋体"/>
          <w:color w:val="auto"/>
          <w:kern w:val="0"/>
          <w:sz w:val="16"/>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highlight w:val="none"/>
        </w:rPr>
      </w:pP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投标人：</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（盖单位公章）</w:t>
      </w:r>
    </w:p>
    <w:p>
      <w:pPr>
        <w:tabs>
          <w:tab w:val="left" w:pos="6080"/>
          <w:tab w:val="left" w:pos="6640"/>
        </w:tabs>
        <w:autoSpaceDE w:val="0"/>
        <w:autoSpaceDN w:val="0"/>
        <w:adjustRightInd w:val="0"/>
        <w:snapToGrid w:val="0"/>
        <w:spacing w:line="360" w:lineRule="auto"/>
        <w:ind w:left="774" w:right="403"/>
        <w:jc w:val="left"/>
        <w:rPr>
          <w:rFonts w:hint="eastAsia" w:ascii="宋体" w:hAnsi="宋体" w:eastAsia="宋体" w:cs="宋体"/>
          <w:color w:val="auto"/>
          <w:kern w:val="0"/>
          <w:sz w:val="28"/>
          <w:highlight w:val="none"/>
        </w:rPr>
      </w:pPr>
    </w:p>
    <w:p>
      <w:pPr>
        <w:tabs>
          <w:tab w:val="left" w:pos="3280"/>
          <w:tab w:val="left" w:pos="4680"/>
          <w:tab w:val="left" w:pos="6080"/>
        </w:tabs>
        <w:autoSpaceDE w:val="0"/>
        <w:autoSpaceDN w:val="0"/>
        <w:adjustRightInd w:val="0"/>
        <w:snapToGrid w:val="0"/>
        <w:spacing w:line="360" w:lineRule="auto"/>
        <w:ind w:left="2173" w:leftChars="1035" w:right="-20" w:firstLine="546" w:firstLineChars="195"/>
        <w:jc w:val="left"/>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年</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月</w:t>
      </w:r>
      <w:r>
        <w:rPr>
          <w:rFonts w:hint="eastAsia" w:ascii="宋体" w:hAnsi="宋体" w:eastAsia="宋体" w:cs="宋体"/>
          <w:color w:val="auto"/>
          <w:kern w:val="0"/>
          <w:sz w:val="28"/>
          <w:highlight w:val="none"/>
          <w:u w:val="single"/>
        </w:rPr>
        <w:t xml:space="preserve">   </w:t>
      </w:r>
      <w:r>
        <w:rPr>
          <w:rFonts w:hint="eastAsia" w:ascii="宋体" w:hAnsi="宋体" w:eastAsia="宋体" w:cs="宋体"/>
          <w:color w:val="auto"/>
          <w:kern w:val="0"/>
          <w:sz w:val="28"/>
          <w:highlight w:val="none"/>
        </w:rPr>
        <w:t>日</w:t>
      </w:r>
    </w:p>
    <w:p>
      <w:pPr>
        <w:adjustRightInd w:val="0"/>
        <w:snapToGrid w:val="0"/>
        <w:spacing w:line="360" w:lineRule="auto"/>
        <w:rPr>
          <w:rFonts w:hint="eastAsia" w:ascii="宋体" w:hAnsi="宋体" w:eastAsia="宋体" w:cs="宋体"/>
          <w:color w:val="auto"/>
          <w:highlight w:val="none"/>
        </w:rPr>
      </w:pPr>
      <w:bookmarkStart w:id="245" w:name="_Toc477357154"/>
      <w:bookmarkStart w:id="246" w:name="_Toc16957"/>
      <w:bookmarkStart w:id="247" w:name="_Toc3696"/>
      <w:bookmarkStart w:id="248" w:name="_Toc21976"/>
      <w:bookmarkStart w:id="249" w:name="_Toc31910"/>
      <w:bookmarkStart w:id="250" w:name="_Toc11567"/>
      <w:bookmarkStart w:id="251" w:name="_Toc28370"/>
      <w:bookmarkStart w:id="252" w:name="_Toc9064"/>
      <w:bookmarkStart w:id="253" w:name="_Toc30371"/>
    </w:p>
    <w:p>
      <w:pPr>
        <w:spacing w:line="360" w:lineRule="auto"/>
        <w:outlineLvl w:val="1"/>
        <w:rPr>
          <w:rFonts w:hint="eastAsia" w:ascii="宋体" w:hAnsi="宋体" w:eastAsia="宋体" w:cs="宋体"/>
          <w:b/>
          <w:color w:val="auto"/>
          <w:szCs w:val="20"/>
          <w:highlight w:val="none"/>
        </w:rPr>
        <w:sectPr>
          <w:footerReference r:id="rId8" w:type="first"/>
          <w:headerReference r:id="rId5" w:type="default"/>
          <w:footerReference r:id="rId6" w:type="default"/>
          <w:footerReference r:id="rId7" w:type="even"/>
          <w:pgSz w:w="11906" w:h="16838"/>
          <w:pgMar w:top="1440" w:right="1797" w:bottom="1440" w:left="1797" w:header="720" w:footer="720" w:gutter="0"/>
          <w:cols w:space="720" w:num="1"/>
          <w:docGrid w:linePitch="272" w:charSpace="-3831"/>
        </w:sectPr>
      </w:pPr>
    </w:p>
    <w:p>
      <w:pPr>
        <w:pStyle w:val="5"/>
        <w:ind w:firstLine="0" w:firstLineChars="0"/>
        <w:rPr>
          <w:rFonts w:hint="eastAsia" w:ascii="宋体" w:hAnsi="宋体" w:eastAsia="宋体" w:cs="宋体"/>
          <w:color w:val="auto"/>
          <w:highlight w:val="none"/>
        </w:rPr>
      </w:pPr>
      <w:bookmarkStart w:id="254" w:name="_Toc18246"/>
      <w:bookmarkStart w:id="255" w:name="_Toc2872"/>
      <w:bookmarkStart w:id="256" w:name="_Toc5687"/>
      <w:bookmarkStart w:id="257" w:name="_Toc2666"/>
      <w:bookmarkStart w:id="258" w:name="_Toc3210"/>
      <w:bookmarkStart w:id="259" w:name="_Toc20910"/>
      <w:bookmarkStart w:id="260" w:name="_Toc5223"/>
      <w:bookmarkStart w:id="261" w:name="_Toc6790"/>
      <w:bookmarkStart w:id="262" w:name="_Toc24136"/>
      <w:r>
        <w:rPr>
          <w:rFonts w:hint="eastAsia" w:ascii="宋体" w:hAnsi="宋体" w:eastAsia="宋体" w:cs="宋体"/>
          <w:color w:val="auto"/>
          <w:highlight w:val="none"/>
        </w:rPr>
        <w:t>附件三、</w:t>
      </w:r>
      <w:bookmarkEnd w:id="238"/>
      <w:bookmarkEnd w:id="239"/>
      <w:bookmarkEnd w:id="245"/>
      <w:r>
        <w:rPr>
          <w:rFonts w:hint="eastAsia" w:ascii="宋体" w:hAnsi="宋体" w:eastAsia="宋体" w:cs="宋体"/>
          <w:color w:val="auto"/>
          <w:highlight w:val="none"/>
        </w:rPr>
        <w:t>法定代表人资格证明书或附有法定代表人资格证明书的法定代表人授权书</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Pr>
          <w:rFonts w:hint="eastAsia" w:ascii="宋体" w:hAnsi="宋体" w:eastAsia="宋体" w:cs="宋体"/>
          <w:color w:val="auto"/>
          <w:highlight w:val="none"/>
        </w:rPr>
        <w:t xml:space="preserve">  </w:t>
      </w: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t>法定代表人资格证明书</w:t>
      </w:r>
    </w:p>
    <w:p>
      <w:pPr>
        <w:adjustRightInd w:val="0"/>
        <w:spacing w:line="360" w:lineRule="auto"/>
        <w:ind w:firstLine="480" w:firstLineChars="229"/>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lang w:eastAsia="zh-CN"/>
        </w:rPr>
        <w:t>浙江理工大学</w:t>
      </w:r>
      <w:r>
        <w:rPr>
          <w:rFonts w:hint="eastAsia" w:ascii="宋体" w:hAnsi="宋体" w:eastAsia="宋体" w:cs="宋体"/>
          <w:color w:val="auto"/>
          <w:szCs w:val="20"/>
          <w:highlight w:val="none"/>
          <w:u w:val="single"/>
        </w:rPr>
        <w:t>：</w:t>
      </w:r>
    </w:p>
    <w:p>
      <w:pPr>
        <w:adjustRightInd w:val="0"/>
        <w:spacing w:line="360" w:lineRule="auto"/>
        <w:ind w:firstLine="482"/>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adjustRightInd w:val="0"/>
        <w:spacing w:line="360" w:lineRule="auto"/>
        <w:ind w:firstLine="482"/>
        <w:rPr>
          <w:rFonts w:hint="eastAsia" w:ascii="宋体" w:hAnsi="宋体" w:eastAsia="宋体" w:cs="宋体"/>
          <w:color w:val="auto"/>
          <w:szCs w:val="20"/>
          <w:highlight w:val="none"/>
        </w:rPr>
      </w:pP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 xml:space="preserve">     （姓名）    </w:t>
      </w:r>
      <w:r>
        <w:rPr>
          <w:rFonts w:hint="eastAsia" w:ascii="宋体" w:hAnsi="宋体" w:eastAsia="宋体" w:cs="宋体"/>
          <w:snapToGrid w:val="0"/>
          <w:color w:val="auto"/>
          <w:kern w:val="0"/>
          <w:szCs w:val="21"/>
          <w:highlight w:val="none"/>
        </w:rPr>
        <w:t>系</w:t>
      </w:r>
      <w:r>
        <w:rPr>
          <w:rFonts w:hint="eastAsia" w:ascii="宋体" w:hAnsi="宋体" w:eastAsia="宋体" w:cs="宋体"/>
          <w:snapToGrid w:val="0"/>
          <w:color w:val="auto"/>
          <w:kern w:val="0"/>
          <w:szCs w:val="21"/>
          <w:highlight w:val="none"/>
          <w:u w:val="single"/>
        </w:rPr>
        <w:t xml:space="preserve">  （单位名称）  </w:t>
      </w:r>
      <w:r>
        <w:rPr>
          <w:rFonts w:hint="eastAsia" w:ascii="宋体" w:hAnsi="宋体" w:eastAsia="宋体" w:cs="宋体"/>
          <w:snapToGrid w:val="0"/>
          <w:color w:val="auto"/>
          <w:kern w:val="0"/>
          <w:szCs w:val="21"/>
          <w:highlight w:val="none"/>
        </w:rPr>
        <w:t>的法定代表人，</w:t>
      </w:r>
      <w:r>
        <w:rPr>
          <w:rFonts w:hint="eastAsia" w:ascii="宋体" w:hAnsi="宋体" w:eastAsia="宋体" w:cs="宋体"/>
          <w:snapToGrid w:val="0"/>
          <w:color w:val="auto"/>
          <w:kern w:val="0"/>
          <w:szCs w:val="21"/>
          <w:highlight w:val="none"/>
          <w:u w:val="single"/>
        </w:rPr>
        <w:t xml:space="preserve">   （身份证号）     </w:t>
      </w:r>
      <w:r>
        <w:rPr>
          <w:rFonts w:hint="eastAsia" w:ascii="宋体" w:hAnsi="宋体" w:eastAsia="宋体" w:cs="宋体"/>
          <w:snapToGrid w:val="0"/>
          <w:color w:val="auto"/>
          <w:kern w:val="0"/>
          <w:szCs w:val="21"/>
          <w:highlight w:val="none"/>
        </w:rPr>
        <w:t>。</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特此证明。</w:t>
      </w:r>
    </w:p>
    <w:p>
      <w:pPr>
        <w:widowControl/>
        <w:autoSpaceDE w:val="0"/>
        <w:autoSpaceDN w:val="0"/>
        <w:adjustRightInd w:val="0"/>
        <w:snapToGrid w:val="0"/>
        <w:spacing w:line="360" w:lineRule="auto"/>
        <w:ind w:firstLine="420" w:firstLineChars="200"/>
        <w:textAlignment w:val="bottom"/>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投标人：（盖单位公章）</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日期：</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附：</w:t>
      </w:r>
    </w:p>
    <w:p>
      <w:pPr>
        <w:adjustRightInd w:val="0"/>
        <w:snapToGrid w:val="0"/>
        <w:spacing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法定代表人联系方式、身份证复印件（正反两面）</w:t>
      </w: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p>
    <w:p>
      <w:pPr>
        <w:adjustRightInd w:val="0"/>
        <w:snapToGrid w:val="0"/>
        <w:spacing w:line="360" w:lineRule="auto"/>
        <w:ind w:firstLine="422" w:firstLineChars="200"/>
        <w:rPr>
          <w:rFonts w:hint="eastAsia" w:ascii="宋体" w:hAnsi="宋体" w:eastAsia="宋体" w:cs="宋体"/>
          <w:b/>
          <w:snapToGrid w:val="0"/>
          <w:color w:val="auto"/>
          <w:kern w:val="0"/>
          <w:szCs w:val="21"/>
          <w:highlight w:val="none"/>
        </w:rPr>
      </w:pPr>
      <w:r>
        <w:rPr>
          <w:rFonts w:hint="eastAsia" w:ascii="宋体" w:hAnsi="宋体" w:eastAsia="宋体" w:cs="宋体"/>
          <w:b/>
          <w:snapToGrid w:val="0"/>
          <w:color w:val="auto"/>
          <w:kern w:val="0"/>
          <w:szCs w:val="21"/>
          <w:highlight w:val="none"/>
        </w:rPr>
        <w:t>注：法定代表人直接签署投标文件并参加投标的，在投标文件中出具此资格证明书及身份证复印件。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643"/>
        <w:jc w:val="center"/>
        <w:rPr>
          <w:rFonts w:hint="eastAsia" w:ascii="宋体" w:hAnsi="宋体" w:eastAsia="宋体" w:cs="宋体"/>
          <w:b/>
          <w:bCs/>
          <w:color w:val="auto"/>
          <w:sz w:val="32"/>
          <w:szCs w:val="20"/>
          <w:highlight w:val="none"/>
        </w:rPr>
      </w:pPr>
      <w:r>
        <w:rPr>
          <w:rFonts w:hint="eastAsia" w:ascii="宋体" w:hAnsi="宋体" w:eastAsia="宋体" w:cs="宋体"/>
          <w:b/>
          <w:bCs/>
          <w:color w:val="auto"/>
          <w:sz w:val="32"/>
          <w:szCs w:val="20"/>
          <w:highlight w:val="none"/>
        </w:rPr>
        <w:br w:type="page"/>
      </w:r>
      <w:r>
        <w:rPr>
          <w:rFonts w:hint="eastAsia" w:ascii="宋体" w:hAnsi="宋体" w:eastAsia="宋体" w:cs="宋体"/>
          <w:b/>
          <w:bCs/>
          <w:color w:val="auto"/>
          <w:sz w:val="32"/>
          <w:szCs w:val="20"/>
          <w:highlight w:val="none"/>
        </w:rPr>
        <w:t>法定代表人授权委托书</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lang w:eastAsia="zh-CN"/>
        </w:rPr>
        <w:t>浙江理工大学</w:t>
      </w:r>
      <w:r>
        <w:rPr>
          <w:rFonts w:hint="eastAsia" w:ascii="宋体" w:hAnsi="宋体" w:eastAsia="宋体" w:cs="宋体"/>
          <w:color w:val="auto"/>
          <w:szCs w:val="20"/>
          <w:highlight w:val="none"/>
          <w:u w:val="single"/>
        </w:rPr>
        <w:t>：</w:t>
      </w:r>
    </w:p>
    <w:p>
      <w:pPr>
        <w:adjustRightInd w:val="0"/>
        <w:spacing w:line="360" w:lineRule="auto"/>
        <w:ind w:firstLine="420" w:firstLineChars="200"/>
        <w:rPr>
          <w:rFonts w:hint="eastAsia" w:ascii="宋体" w:hAnsi="宋体" w:eastAsia="宋体" w:cs="宋体"/>
          <w:color w:val="auto"/>
          <w:szCs w:val="20"/>
          <w:highlight w:val="none"/>
          <w:u w:val="single"/>
        </w:rPr>
      </w:pPr>
      <w:r>
        <w:rPr>
          <w:rFonts w:hint="eastAsia" w:ascii="宋体" w:hAnsi="宋体" w:eastAsia="宋体" w:cs="宋体"/>
          <w:color w:val="auto"/>
          <w:szCs w:val="20"/>
          <w:highlight w:val="none"/>
          <w:u w:val="single"/>
        </w:rPr>
        <w:t>浙江省成套招标代理有限公司：</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我以</w:t>
      </w:r>
      <w:r>
        <w:rPr>
          <w:rFonts w:hint="eastAsia" w:ascii="宋体" w:hAnsi="宋体" w:eastAsia="宋体" w:cs="宋体"/>
          <w:color w:val="auto"/>
          <w:szCs w:val="20"/>
          <w:highlight w:val="none"/>
          <w:u w:val="single"/>
        </w:rPr>
        <w:t xml:space="preserve">        （投标人全称）    </w:t>
      </w:r>
      <w:r>
        <w:rPr>
          <w:rFonts w:hint="eastAsia" w:ascii="宋体" w:hAnsi="宋体" w:eastAsia="宋体" w:cs="宋体"/>
          <w:color w:val="auto"/>
          <w:szCs w:val="20"/>
          <w:highlight w:val="none"/>
        </w:rPr>
        <w:t>法定代表人的身份授权</w:t>
      </w:r>
      <w:r>
        <w:rPr>
          <w:rFonts w:hint="eastAsia" w:ascii="宋体" w:hAnsi="宋体" w:eastAsia="宋体" w:cs="宋体"/>
          <w:color w:val="auto"/>
          <w:szCs w:val="20"/>
          <w:highlight w:val="none"/>
          <w:u w:val="single"/>
        </w:rPr>
        <w:t>（全权代表姓名）</w:t>
      </w:r>
      <w:r>
        <w:rPr>
          <w:rFonts w:hint="eastAsia" w:ascii="宋体" w:hAnsi="宋体" w:eastAsia="宋体" w:cs="宋体"/>
          <w:color w:val="auto"/>
          <w:szCs w:val="20"/>
          <w:highlight w:val="none"/>
        </w:rPr>
        <w:t>，为我单位的全权代表，参加贵处组织的（项目名称：</w:t>
      </w:r>
      <w:r>
        <w:rPr>
          <w:rFonts w:hint="eastAsia" w:ascii="宋体" w:hAnsi="宋体" w:eastAsia="宋体" w:cs="宋体"/>
          <w:color w:val="auto"/>
          <w:szCs w:val="20"/>
          <w:highlight w:val="none"/>
          <w:u w:val="single"/>
          <w:lang w:eastAsia="zh-CN"/>
        </w:rPr>
        <w:t>浙江理工大学招生宣传短视频制作及运营项目</w:t>
      </w:r>
      <w:r>
        <w:rPr>
          <w:rFonts w:hint="eastAsia" w:ascii="宋体" w:hAnsi="宋体" w:eastAsia="宋体" w:cs="宋体"/>
          <w:color w:val="auto"/>
          <w:szCs w:val="20"/>
          <w:highlight w:val="none"/>
        </w:rPr>
        <w:t>）（项目编号：</w:t>
      </w:r>
      <w:r>
        <w:rPr>
          <w:rFonts w:hint="eastAsia" w:ascii="宋体" w:hAnsi="宋体" w:eastAsia="宋体" w:cs="宋体"/>
          <w:color w:val="auto"/>
          <w:szCs w:val="20"/>
          <w:highlight w:val="none"/>
          <w:u w:val="single"/>
          <w:lang w:eastAsia="zh-CN"/>
        </w:rPr>
        <w:t>CTZB-2021110689</w:t>
      </w:r>
      <w:r>
        <w:rPr>
          <w:rFonts w:hint="eastAsia" w:ascii="宋体" w:hAnsi="宋体" w:eastAsia="宋体" w:cs="宋体"/>
          <w:color w:val="auto"/>
          <w:szCs w:val="20"/>
          <w:highlight w:val="none"/>
        </w:rPr>
        <w:t>）</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u w:val="single"/>
          <w:lang w:val="en-US" w:eastAsia="zh-CN"/>
        </w:rPr>
        <w:t xml:space="preserve">  标项号及内容  </w:t>
      </w:r>
      <w:r>
        <w:rPr>
          <w:rFonts w:hint="eastAsia" w:ascii="宋体" w:hAnsi="宋体" w:eastAsia="宋体" w:cs="宋体"/>
          <w:color w:val="auto"/>
          <w:szCs w:val="20"/>
          <w:highlight w:val="none"/>
          <w:lang w:eastAsia="zh-CN"/>
        </w:rPr>
        <w:t>）</w:t>
      </w:r>
      <w:r>
        <w:rPr>
          <w:rFonts w:hint="eastAsia" w:ascii="宋体" w:hAnsi="宋体" w:eastAsia="宋体" w:cs="宋体"/>
          <w:color w:val="auto"/>
          <w:szCs w:val="20"/>
          <w:highlight w:val="none"/>
        </w:rPr>
        <w:t>的采购，签署本项目相关投标文件并全权处理投标活动中的一切事宜。我单位承认全权代表做出的与本项目招投标活动有关的全部行为。</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投标人全称（盖单位公章）：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法定代表人（签字或盖章）：</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电话：</w:t>
      </w:r>
    </w:p>
    <w:p>
      <w:pPr>
        <w:spacing w:line="360" w:lineRule="auto"/>
        <w:ind w:firstLine="420" w:firstLineChars="200"/>
        <w:rPr>
          <w:rFonts w:hint="eastAsia" w:ascii="宋体" w:hAnsi="宋体" w:eastAsia="宋体" w:cs="宋体"/>
          <w:color w:val="auto"/>
          <w:szCs w:val="20"/>
          <w:highlight w:val="none"/>
        </w:rPr>
      </w:pPr>
      <w:r>
        <w:rPr>
          <w:rFonts w:hint="eastAsia" w:ascii="宋体" w:hAnsi="宋体" w:eastAsia="宋体" w:cs="宋体"/>
          <w:color w:val="auto"/>
          <w:szCs w:val="20"/>
          <w:highlight w:val="none"/>
        </w:rPr>
        <w:t>日期：</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附：</w:t>
      </w:r>
    </w:p>
    <w:p>
      <w:pPr>
        <w:spacing w:line="360" w:lineRule="auto"/>
        <w:ind w:firstLine="480"/>
        <w:rPr>
          <w:rFonts w:hint="eastAsia" w:ascii="宋体" w:hAnsi="宋体" w:eastAsia="宋体" w:cs="宋体"/>
          <w:color w:val="auto"/>
          <w:szCs w:val="20"/>
          <w:highlight w:val="none"/>
        </w:rPr>
      </w:pPr>
      <w:r>
        <w:rPr>
          <w:rFonts w:hint="eastAsia" w:ascii="宋体" w:hAnsi="宋体" w:eastAsia="宋体" w:cs="宋体"/>
          <w:color w:val="auto"/>
          <w:szCs w:val="20"/>
          <w:highlight w:val="none"/>
        </w:rPr>
        <w:t>全权代表姓名：             职  务：           电  话：</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全权代表身份证复印件（正反两面）：</w:t>
      </w:r>
    </w:p>
    <w:p>
      <w:pPr>
        <w:spacing w:line="360" w:lineRule="auto"/>
        <w:ind w:firstLine="422" w:firstLineChars="200"/>
        <w:rPr>
          <w:rFonts w:hint="eastAsia" w:ascii="宋体" w:hAnsi="宋体" w:eastAsia="宋体" w:cs="宋体"/>
          <w:b/>
          <w:color w:val="auto"/>
          <w:highlight w:val="none"/>
        </w:rPr>
      </w:pP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注：法定代表人授权其公司员工签署及参加投标的，在投标文件中同时出具法定代表人资格证明书及此授权书，并附身份证复印件。</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投标文件格式中所提到的投标文件签署人是指以上两文件确定的签署人员。</w:t>
      </w:r>
    </w:p>
    <w:p>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如参加开标并在开评标过程中签署文件的人员与投标文件签署人不一致，须另行提供授权书。</w:t>
      </w:r>
    </w:p>
    <w:p>
      <w:pPr>
        <w:spacing w:line="360" w:lineRule="auto"/>
        <w:ind w:firstLine="422" w:firstLineChars="200"/>
        <w:rPr>
          <w:rFonts w:hint="eastAsia" w:ascii="宋体" w:hAnsi="宋体" w:eastAsia="宋体" w:cs="宋体"/>
          <w:b/>
          <w:color w:val="auto"/>
          <w:highlight w:val="none"/>
        </w:rPr>
      </w:pPr>
    </w:p>
    <w:p>
      <w:pPr>
        <w:pStyle w:val="5"/>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63" w:name="_Toc3888"/>
      <w:bookmarkStart w:id="264" w:name="_Toc477357155"/>
      <w:bookmarkStart w:id="265" w:name="_Toc3493"/>
      <w:bookmarkStart w:id="266" w:name="_Toc3513"/>
      <w:bookmarkStart w:id="267" w:name="_Toc22918"/>
      <w:bookmarkStart w:id="268" w:name="_Toc25342"/>
      <w:bookmarkStart w:id="269" w:name="_Toc10071"/>
      <w:bookmarkStart w:id="270" w:name="_Toc16451"/>
      <w:bookmarkStart w:id="271" w:name="_Toc8075"/>
      <w:bookmarkStart w:id="272" w:name="_Toc1895"/>
      <w:bookmarkStart w:id="273" w:name="_Toc14369"/>
      <w:bookmarkStart w:id="274" w:name="_Toc27561"/>
      <w:bookmarkStart w:id="275" w:name="_Toc5362"/>
      <w:bookmarkStart w:id="276" w:name="_Toc25313"/>
      <w:bookmarkStart w:id="277" w:name="_Toc29956"/>
      <w:bookmarkStart w:id="278" w:name="_Toc29451"/>
      <w:bookmarkStart w:id="279" w:name="_Toc15478"/>
      <w:bookmarkStart w:id="280" w:name="_Toc13301"/>
      <w:r>
        <w:rPr>
          <w:rFonts w:hint="eastAsia" w:ascii="宋体" w:hAnsi="宋体" w:eastAsia="宋体" w:cs="宋体"/>
          <w:color w:val="auto"/>
          <w:highlight w:val="none"/>
        </w:rPr>
        <w:t>附件四、廉洁承诺书</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lang w:eastAsia="zh-CN"/>
        </w:rPr>
        <w:t>浙江理工大学</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我单位响应你单位项目采购要求参加投标。在这次投标过程中和中标后，我们将严格遵守国家法律法规要求，并郑重承诺：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一、不向标项有关人员及部门赠送礼金礼物、有价证券、回扣以及中介费、介绍费、咨询费等好处费；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二、不为标项有关人员及部门报销应由你方单位或个人支付的费用；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三、不向标项有关人员及部门提供有可能影响公正的宴请和健身娱乐等活动；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四、不为标项有关人员及部门出国（境）、旅游等提供资助；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五、不为标项有关人员个人装修住房、婚丧嫁娶、配偶子女工作安排等提供好处；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六、严格遵守政府采购法、民法典等法律，诚实守信，合法经营，坚决抵制各种违法违纪行为。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履约项目的资格，有权拒绝我单位在一定时期内进入你单位进行医疗设备招投标或其他经营活动，并将通报相关部门及被列入商业贿赂不良记录。由此引起的相应损失均由我单位承担。</w:t>
      </w:r>
    </w:p>
    <w:p>
      <w:pPr>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spacing w:line="360" w:lineRule="auto"/>
        <w:rPr>
          <w:rFonts w:hint="eastAsia" w:ascii="宋体" w:hAnsi="宋体" w:eastAsia="宋体" w:cs="宋体"/>
          <w:b/>
          <w:color w:val="auto"/>
          <w:highlight w:val="none"/>
        </w:rPr>
      </w:pPr>
    </w:p>
    <w:p>
      <w:pPr>
        <w:snapToGrid w:val="0"/>
        <w:spacing w:line="360" w:lineRule="auto"/>
        <w:rPr>
          <w:rFonts w:hint="eastAsia" w:ascii="宋体" w:hAnsi="宋体" w:eastAsia="宋体" w:cs="宋体"/>
          <w:b/>
          <w:bCs/>
          <w:color w:val="auto"/>
          <w:sz w:val="32"/>
          <w:highlight w:val="none"/>
        </w:rPr>
      </w:pPr>
      <w:bookmarkStart w:id="281" w:name="_Toc245088215"/>
      <w:bookmarkStart w:id="282" w:name="_Toc345575550"/>
    </w:p>
    <w:p>
      <w:pPr>
        <w:snapToGrid w:val="0"/>
        <w:spacing w:line="360" w:lineRule="auto"/>
        <w:rPr>
          <w:rFonts w:hint="eastAsia" w:ascii="宋体" w:hAnsi="宋体" w:eastAsia="宋体" w:cs="宋体"/>
          <w:b/>
          <w:bCs/>
          <w:color w:val="auto"/>
          <w:sz w:val="32"/>
          <w:highlight w:val="none"/>
        </w:rPr>
      </w:pPr>
    </w:p>
    <w:p>
      <w:pPr>
        <w:adjustRightInd w:val="0"/>
        <w:snapToGrid w:val="0"/>
        <w:spacing w:line="360" w:lineRule="auto"/>
        <w:rPr>
          <w:rFonts w:hint="eastAsia" w:ascii="宋体" w:hAnsi="宋体" w:eastAsia="宋体" w:cs="宋体"/>
          <w:color w:val="auto"/>
          <w:spacing w:val="4"/>
          <w:highlight w:val="none"/>
        </w:rPr>
      </w:pPr>
    </w:p>
    <w:p>
      <w:pPr>
        <w:pStyle w:val="5"/>
        <w:ind w:firstLine="0" w:firstLineChars="0"/>
        <w:rPr>
          <w:rFonts w:hint="eastAsia" w:ascii="宋体" w:hAnsi="宋体" w:eastAsia="宋体" w:cs="宋体"/>
          <w:b w:val="0"/>
          <w:color w:val="auto"/>
          <w:spacing w:val="20"/>
          <w:sz w:val="24"/>
          <w:highlight w:val="none"/>
        </w:rPr>
      </w:pPr>
      <w:r>
        <w:rPr>
          <w:rFonts w:hint="eastAsia" w:ascii="宋体" w:hAnsi="宋体" w:eastAsia="宋体" w:cs="宋体"/>
          <w:color w:val="auto"/>
          <w:spacing w:val="4"/>
          <w:highlight w:val="none"/>
        </w:rPr>
        <w:br w:type="page"/>
      </w:r>
      <w:bookmarkStart w:id="283" w:name="_Toc350862156"/>
      <w:bookmarkStart w:id="284" w:name="_Toc17136"/>
      <w:bookmarkStart w:id="285" w:name="_Toc18286"/>
      <w:bookmarkStart w:id="286" w:name="_Toc17816"/>
      <w:bookmarkStart w:id="287" w:name="_Toc25874"/>
      <w:bookmarkStart w:id="288" w:name="_Toc17773"/>
      <w:bookmarkStart w:id="289" w:name="_Toc20774"/>
      <w:bookmarkStart w:id="290" w:name="_Toc28579"/>
      <w:bookmarkStart w:id="291" w:name="_Toc30686"/>
      <w:bookmarkStart w:id="292" w:name="_Toc26135"/>
      <w:bookmarkStart w:id="293" w:name="_Toc22761"/>
      <w:bookmarkStart w:id="294" w:name="_Toc9066"/>
      <w:bookmarkStart w:id="295" w:name="_Toc14290"/>
      <w:bookmarkStart w:id="296" w:name="_Toc21876"/>
      <w:bookmarkStart w:id="297" w:name="_Toc3342"/>
      <w:bookmarkStart w:id="298" w:name="_Toc11621"/>
      <w:bookmarkStart w:id="299" w:name="_Toc543"/>
      <w:bookmarkStart w:id="300" w:name="_Toc18504"/>
      <w:r>
        <w:rPr>
          <w:rFonts w:hint="eastAsia" w:ascii="宋体" w:hAnsi="宋体" w:eastAsia="宋体" w:cs="宋体"/>
          <w:bCs w:val="0"/>
          <w:color w:val="auto"/>
          <w:highlight w:val="none"/>
        </w:rPr>
        <w:t>附件</w:t>
      </w:r>
      <w:r>
        <w:rPr>
          <w:rFonts w:hint="eastAsia" w:ascii="宋体" w:hAnsi="宋体" w:eastAsia="宋体" w:cs="宋体"/>
          <w:bCs w:val="0"/>
          <w:color w:val="auto"/>
          <w:spacing w:val="20"/>
          <w:highlight w:val="none"/>
        </w:rPr>
        <w:t>五、</w:t>
      </w:r>
      <w:r>
        <w:rPr>
          <w:rFonts w:hint="eastAsia" w:ascii="宋体" w:hAnsi="宋体" w:eastAsia="宋体" w:cs="宋体"/>
          <w:bCs w:val="0"/>
          <w:color w:val="auto"/>
          <w:szCs w:val="21"/>
          <w:highlight w:val="none"/>
          <w:lang w:eastAsia="zh-CN"/>
        </w:rPr>
        <w:t>类似项目</w:t>
      </w:r>
      <w:r>
        <w:rPr>
          <w:rFonts w:hint="eastAsia" w:ascii="宋体" w:hAnsi="宋体" w:eastAsia="宋体" w:cs="宋体"/>
          <w:bCs w:val="0"/>
          <w:color w:val="auto"/>
          <w:szCs w:val="21"/>
          <w:highlight w:val="none"/>
        </w:rPr>
        <w:t>业绩表</w:t>
      </w:r>
      <w:bookmarkEnd w:id="283"/>
      <w:r>
        <w:rPr>
          <w:rFonts w:hint="eastAsia" w:ascii="宋体" w:hAnsi="宋体" w:eastAsia="宋体" w:cs="宋体"/>
          <w:bCs w:val="0"/>
          <w:color w:val="auto"/>
          <w:szCs w:val="21"/>
          <w:highlight w:val="none"/>
        </w:rPr>
        <w:t>格式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pPr>
        <w:spacing w:line="360" w:lineRule="auto"/>
        <w:ind w:left="361" w:hanging="361" w:hangingChars="100"/>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lang w:eastAsia="zh-CN"/>
        </w:rPr>
        <w:t>类似项目</w:t>
      </w:r>
      <w:r>
        <w:rPr>
          <w:rFonts w:hint="eastAsia" w:ascii="宋体" w:hAnsi="宋体" w:eastAsia="宋体" w:cs="宋体"/>
          <w:b/>
          <w:bCs/>
          <w:color w:val="auto"/>
          <w:spacing w:val="20"/>
          <w:sz w:val="32"/>
          <w:szCs w:val="32"/>
          <w:highlight w:val="none"/>
        </w:rPr>
        <w:t>业绩表</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r>
        <w:rPr>
          <w:rFonts w:hint="eastAsia" w:ascii="宋体" w:hAnsi="宋体" w:eastAsia="宋体" w:cs="宋体"/>
          <w:color w:val="auto"/>
          <w:highlight w:val="none"/>
        </w:rPr>
        <w:t xml:space="preserve">                                                       </w:t>
      </w:r>
    </w:p>
    <w:p>
      <w:pPr>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p>
    <w:p>
      <w:pPr>
        <w:spacing w:line="360" w:lineRule="auto"/>
        <w:rPr>
          <w:rFonts w:hint="eastAsia" w:ascii="宋体" w:hAnsi="宋体" w:eastAsia="宋体" w:cs="宋体"/>
          <w:b/>
          <w:bCs/>
          <w:color w:val="auto"/>
          <w:spacing w:val="20"/>
          <w:sz w:val="24"/>
          <w:highlight w:val="none"/>
          <w:u w:val="none"/>
          <w:lang w:val="en-US" w:eastAsia="zh-CN"/>
        </w:rPr>
      </w:pPr>
      <w:r>
        <w:rPr>
          <w:rFonts w:hint="eastAsia" w:ascii="宋体" w:hAnsi="宋体" w:eastAsia="宋体" w:cs="宋体"/>
          <w:color w:val="auto"/>
          <w:highlight w:val="none"/>
          <w:u w:val="none"/>
          <w:lang w:val="en-US" w:eastAsia="zh-CN"/>
        </w:rPr>
        <w:t>标项号：</w:t>
      </w:r>
      <w:r>
        <w:rPr>
          <w:rFonts w:hint="eastAsia" w:ascii="宋体" w:hAnsi="宋体" w:eastAsia="宋体" w:cs="宋体"/>
          <w:color w:val="auto"/>
          <w:highlight w:val="none"/>
          <w:u w:val="single"/>
          <w:lang w:val="en-US" w:eastAsia="zh-CN"/>
        </w:rPr>
        <w:t xml:space="preserve">       </w:t>
      </w:r>
    </w:p>
    <w:tbl>
      <w:tblPr>
        <w:tblStyle w:val="5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954"/>
        <w:gridCol w:w="1273"/>
        <w:gridCol w:w="1273"/>
        <w:gridCol w:w="477"/>
        <w:gridCol w:w="955"/>
        <w:gridCol w:w="955"/>
        <w:gridCol w:w="795"/>
        <w:gridCol w:w="79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aps/>
                <w:color w:val="auto"/>
                <w:highlight w:val="none"/>
              </w:rPr>
              <w:t>序号</w:t>
            </w:r>
          </w:p>
        </w:tc>
        <w:tc>
          <w:tcPr>
            <w:tcW w:w="954"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olor w:val="auto"/>
                <w:highlight w:val="none"/>
              </w:rPr>
              <w:t>合同编号</w:t>
            </w:r>
          </w:p>
        </w:tc>
        <w:tc>
          <w:tcPr>
            <w:tcW w:w="1273"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aps/>
                <w:color w:val="auto"/>
                <w:highlight w:val="none"/>
              </w:rPr>
              <w:t>用户名称</w:t>
            </w:r>
          </w:p>
        </w:tc>
        <w:tc>
          <w:tcPr>
            <w:tcW w:w="1273"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aps/>
                <w:color w:val="auto"/>
                <w:highlight w:val="none"/>
              </w:rPr>
              <w:t>项目名称</w:t>
            </w:r>
          </w:p>
        </w:tc>
        <w:tc>
          <w:tcPr>
            <w:tcW w:w="477"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aps/>
                <w:color w:val="auto"/>
                <w:highlight w:val="none"/>
              </w:rPr>
              <w:t>数量</w:t>
            </w:r>
          </w:p>
        </w:tc>
        <w:tc>
          <w:tcPr>
            <w:tcW w:w="955"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aps/>
                <w:color w:val="auto"/>
                <w:highlight w:val="none"/>
              </w:rPr>
              <w:t>合同金额</w:t>
            </w:r>
          </w:p>
        </w:tc>
        <w:tc>
          <w:tcPr>
            <w:tcW w:w="955" w:type="dxa"/>
            <w:vAlign w:val="center"/>
          </w:tcPr>
          <w:p>
            <w:pPr>
              <w:spacing w:line="360" w:lineRule="auto"/>
              <w:jc w:val="center"/>
              <w:rPr>
                <w:rFonts w:hint="eastAsia" w:ascii="宋体" w:hAnsi="宋体" w:eastAsia="宋体" w:cs="宋体"/>
                <w:caps/>
                <w:color w:val="auto"/>
                <w:highlight w:val="none"/>
              </w:rPr>
            </w:pPr>
            <w:r>
              <w:rPr>
                <w:rFonts w:hint="eastAsia" w:ascii="宋体" w:hAnsi="宋体" w:eastAsia="宋体" w:cs="宋体"/>
                <w:color w:val="auto"/>
                <w:highlight w:val="none"/>
              </w:rPr>
              <w:t>签约日期</w:t>
            </w:r>
          </w:p>
        </w:tc>
        <w:tc>
          <w:tcPr>
            <w:tcW w:w="795"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796"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477" w:type="dxa"/>
            <w:vAlign w:val="center"/>
          </w:tcPr>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3" w:type="dxa"/>
            <w:vAlign w:val="center"/>
          </w:tcPr>
          <w:p>
            <w:pPr>
              <w:spacing w:line="360" w:lineRule="auto"/>
              <w:jc w:val="center"/>
              <w:rPr>
                <w:rFonts w:hint="eastAsia" w:ascii="宋体" w:hAnsi="宋体" w:eastAsia="宋体" w:cs="宋体"/>
                <w:color w:val="auto"/>
                <w:spacing w:val="20"/>
                <w:highlight w:val="none"/>
              </w:rPr>
            </w:pPr>
          </w:p>
        </w:tc>
        <w:tc>
          <w:tcPr>
            <w:tcW w:w="954"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1273"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955" w:type="dxa"/>
            <w:vAlign w:val="center"/>
          </w:tcPr>
          <w:p>
            <w:pPr>
              <w:spacing w:line="360" w:lineRule="auto"/>
              <w:jc w:val="center"/>
              <w:rPr>
                <w:rFonts w:hint="eastAsia" w:ascii="宋体" w:hAnsi="宋体" w:eastAsia="宋体" w:cs="宋体"/>
                <w:color w:val="auto"/>
                <w:spacing w:val="20"/>
                <w:highlight w:val="none"/>
              </w:rPr>
            </w:pPr>
          </w:p>
        </w:tc>
        <w:tc>
          <w:tcPr>
            <w:tcW w:w="795" w:type="dxa"/>
            <w:vAlign w:val="center"/>
          </w:tcPr>
          <w:p>
            <w:pPr>
              <w:spacing w:line="360" w:lineRule="auto"/>
              <w:jc w:val="center"/>
              <w:rPr>
                <w:rFonts w:hint="eastAsia" w:ascii="宋体" w:hAnsi="宋体" w:eastAsia="宋体" w:cs="宋体"/>
                <w:color w:val="auto"/>
                <w:spacing w:val="20"/>
                <w:highlight w:val="none"/>
              </w:rPr>
            </w:pPr>
          </w:p>
        </w:tc>
        <w:tc>
          <w:tcPr>
            <w:tcW w:w="796" w:type="dxa"/>
            <w:vAlign w:val="center"/>
          </w:tcPr>
          <w:p>
            <w:pPr>
              <w:spacing w:line="360" w:lineRule="auto"/>
              <w:jc w:val="center"/>
              <w:rPr>
                <w:rFonts w:hint="eastAsia" w:ascii="宋体" w:hAnsi="宋体" w:eastAsia="宋体" w:cs="宋体"/>
                <w:color w:val="auto"/>
                <w:spacing w:val="20"/>
                <w:highlight w:val="none"/>
              </w:rPr>
            </w:pPr>
          </w:p>
        </w:tc>
        <w:tc>
          <w:tcPr>
            <w:tcW w:w="477" w:type="dxa"/>
            <w:vAlign w:val="center"/>
          </w:tcPr>
          <w:p>
            <w:pPr>
              <w:spacing w:line="360" w:lineRule="auto"/>
              <w:jc w:val="center"/>
              <w:rPr>
                <w:rFonts w:hint="eastAsia" w:ascii="宋体" w:hAnsi="宋体" w:eastAsia="宋体" w:cs="宋体"/>
                <w:color w:val="auto"/>
                <w:spacing w:val="20"/>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填表说明：</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1、此表不提供，可视为无业绩。</w:t>
      </w:r>
    </w:p>
    <w:p>
      <w:pPr>
        <w:adjustRightInd w:val="0"/>
        <w:snapToGrid w:val="0"/>
        <w:spacing w:line="360" w:lineRule="auto"/>
        <w:ind w:left="454"/>
        <w:rPr>
          <w:rFonts w:hint="eastAsia" w:ascii="宋体" w:hAnsi="宋体" w:eastAsia="宋体" w:cs="宋体"/>
          <w:color w:val="auto"/>
          <w:highlight w:val="none"/>
        </w:rPr>
      </w:pPr>
      <w:r>
        <w:rPr>
          <w:rFonts w:hint="eastAsia" w:ascii="宋体" w:hAnsi="宋体" w:eastAsia="宋体" w:cs="宋体"/>
          <w:color w:val="auto"/>
          <w:highlight w:val="none"/>
        </w:rPr>
        <w:t>2、此表仅提供了格式，表格不够可自行增加。</w:t>
      </w:r>
    </w:p>
    <w:p>
      <w:pPr>
        <w:adjustRightInd w:val="0"/>
        <w:snapToGrid w:val="0"/>
        <w:spacing w:line="360" w:lineRule="auto"/>
        <w:ind w:left="454"/>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eastAsia="宋体" w:cs="宋体"/>
          <w:color w:val="auto"/>
          <w:szCs w:val="21"/>
          <w:highlight w:val="none"/>
        </w:rPr>
        <w:t>提供合同复印件，合同内容无法体现的可另行提供业主证明材料</w:t>
      </w:r>
      <w:r>
        <w:rPr>
          <w:rFonts w:hint="eastAsia" w:ascii="宋体" w:hAnsi="宋体" w:eastAsia="宋体" w:cs="宋体"/>
          <w:color w:val="auto"/>
          <w:highlight w:val="none"/>
          <w:lang w:eastAsia="zh-CN"/>
        </w:rPr>
        <w:t>。</w:t>
      </w: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p>
    <w:p>
      <w:pPr>
        <w:spacing w:line="360" w:lineRule="auto"/>
        <w:rPr>
          <w:rFonts w:hint="eastAsia" w:ascii="宋体" w:hAnsi="宋体" w:eastAsia="宋体" w:cs="宋体"/>
          <w:color w:val="auto"/>
          <w:highlight w:val="none"/>
        </w:rPr>
        <w:sectPr>
          <w:pgSz w:w="11906" w:h="16838"/>
          <w:pgMar w:top="1440" w:right="1797" w:bottom="1440" w:left="1797" w:header="720" w:footer="720" w:gutter="0"/>
          <w:cols w:space="720" w:num="1"/>
          <w:docGrid w:linePitch="272" w:charSpace="-3831"/>
        </w:sectPr>
      </w:pPr>
    </w:p>
    <w:p>
      <w:pPr>
        <w:pStyle w:val="5"/>
        <w:ind w:firstLine="0" w:firstLineChars="0"/>
        <w:rPr>
          <w:rFonts w:hint="eastAsia" w:ascii="宋体" w:hAnsi="宋体" w:eastAsia="宋体" w:cs="宋体"/>
          <w:color w:val="auto"/>
          <w:highlight w:val="none"/>
        </w:rPr>
      </w:pPr>
      <w:bookmarkStart w:id="301" w:name="_Toc477357157"/>
      <w:bookmarkStart w:id="302" w:name="_Toc17492"/>
      <w:bookmarkStart w:id="303" w:name="_Toc7173"/>
      <w:bookmarkStart w:id="304" w:name="_Toc29219"/>
      <w:bookmarkStart w:id="305" w:name="_Toc23643"/>
      <w:bookmarkStart w:id="306" w:name="_Toc19480"/>
      <w:bookmarkStart w:id="307" w:name="_Toc32315"/>
      <w:bookmarkStart w:id="308" w:name="_Toc17150"/>
      <w:bookmarkStart w:id="309" w:name="_Toc8819"/>
      <w:bookmarkStart w:id="310" w:name="_Toc2665"/>
      <w:bookmarkStart w:id="311" w:name="_Toc1605"/>
      <w:bookmarkStart w:id="312" w:name="_Toc2778"/>
      <w:bookmarkStart w:id="313" w:name="_Toc29539"/>
      <w:bookmarkStart w:id="314" w:name="_Toc32079"/>
      <w:bookmarkStart w:id="315" w:name="_Toc28857"/>
      <w:bookmarkStart w:id="316" w:name="_Toc6422"/>
      <w:bookmarkStart w:id="317" w:name="_Toc20514"/>
      <w:bookmarkStart w:id="318" w:name="_Toc6610"/>
      <w:r>
        <w:rPr>
          <w:rFonts w:hint="eastAsia" w:ascii="宋体" w:hAnsi="宋体" w:eastAsia="宋体" w:cs="宋体"/>
          <w:color w:val="auto"/>
          <w:szCs w:val="21"/>
          <w:highlight w:val="none"/>
        </w:rPr>
        <w:t>附件</w:t>
      </w:r>
      <w:r>
        <w:rPr>
          <w:rFonts w:hint="eastAsia" w:ascii="宋体" w:hAnsi="宋体" w:eastAsia="宋体" w:cs="宋体"/>
          <w:color w:val="auto"/>
          <w:highlight w:val="none"/>
        </w:rPr>
        <w:t>六、投标人声明</w:t>
      </w:r>
      <w:bookmarkEnd w:id="281"/>
      <w:r>
        <w:rPr>
          <w:rFonts w:hint="eastAsia" w:ascii="宋体" w:hAnsi="宋体" w:eastAsia="宋体" w:cs="宋体"/>
          <w:color w:val="auto"/>
          <w:highlight w:val="none"/>
        </w:rPr>
        <w:t>函</w:t>
      </w:r>
      <w:bookmarkEnd w:id="282"/>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本投标人在本投标文件中所提供的内容均为真实有效，如经采购人的核查存在有弄虚作假情况，愿按有关法律法规接受处罚。</w:t>
      </w:r>
    </w:p>
    <w:p>
      <w:pPr>
        <w:adjustRightIn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adjustRightInd w:val="0"/>
        <w:snapToGrid w:val="0"/>
        <w:spacing w:line="360" w:lineRule="auto"/>
        <w:ind w:firstLine="420" w:firstLineChars="200"/>
        <w:rPr>
          <w:rFonts w:hint="eastAsia" w:ascii="宋体" w:hAnsi="宋体" w:eastAsia="宋体" w:cs="宋体"/>
          <w:color w:val="auto"/>
          <w:highlight w:val="none"/>
        </w:rPr>
      </w:pPr>
      <w:bookmarkStart w:id="319" w:name="_Toc350862152"/>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5"/>
        <w:ind w:firstLine="0" w:firstLineChars="0"/>
        <w:rPr>
          <w:rFonts w:hint="eastAsia" w:ascii="宋体" w:hAnsi="宋体" w:eastAsia="宋体" w:cs="宋体"/>
          <w:color w:val="auto"/>
          <w:szCs w:val="21"/>
          <w:highlight w:val="none"/>
        </w:rPr>
      </w:pPr>
      <w:r>
        <w:rPr>
          <w:rFonts w:hint="eastAsia" w:ascii="宋体" w:hAnsi="宋体" w:eastAsia="宋体" w:cs="宋体"/>
          <w:color w:val="auto"/>
          <w:highlight w:val="none"/>
        </w:rPr>
        <w:br w:type="page"/>
      </w:r>
      <w:bookmarkStart w:id="320" w:name="_Toc27573"/>
      <w:bookmarkStart w:id="321" w:name="_Toc403"/>
      <w:bookmarkStart w:id="322" w:name="_Toc16621"/>
      <w:bookmarkStart w:id="323" w:name="_Toc12427"/>
      <w:bookmarkStart w:id="324" w:name="_Toc6719"/>
      <w:bookmarkStart w:id="325" w:name="_Toc16540"/>
      <w:bookmarkStart w:id="326" w:name="_Toc19279"/>
      <w:bookmarkStart w:id="327" w:name="_Toc32277"/>
      <w:bookmarkStart w:id="328" w:name="_Toc31301"/>
      <w:bookmarkStart w:id="329" w:name="_Toc477357158"/>
      <w:bookmarkStart w:id="330" w:name="_Toc8704"/>
      <w:bookmarkStart w:id="331" w:name="_Toc1629"/>
      <w:bookmarkStart w:id="332" w:name="_Toc24362"/>
      <w:bookmarkStart w:id="333" w:name="_Toc18909"/>
      <w:bookmarkStart w:id="334" w:name="_Toc4818"/>
      <w:bookmarkStart w:id="335" w:name="_Toc9216"/>
      <w:bookmarkStart w:id="336" w:name="_Toc18488"/>
      <w:bookmarkStart w:id="337" w:name="_Toc1398"/>
      <w:r>
        <w:rPr>
          <w:rFonts w:hint="eastAsia" w:ascii="宋体" w:hAnsi="宋体" w:eastAsia="宋体" w:cs="宋体"/>
          <w:color w:val="auto"/>
          <w:highlight w:val="none"/>
        </w:rPr>
        <w:t>附件</w:t>
      </w:r>
      <w:bookmarkEnd w:id="319"/>
      <w:r>
        <w:rPr>
          <w:rFonts w:hint="eastAsia" w:ascii="宋体" w:hAnsi="宋体" w:eastAsia="宋体" w:cs="宋体"/>
          <w:color w:val="auto"/>
          <w:highlight w:val="none"/>
        </w:rPr>
        <w:t>七、偏离表</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before="120" w:beforeLines="50" w:after="240"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偏离表</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p>
    <w:p>
      <w:pPr>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color w:val="auto"/>
          <w:highlight w:val="none"/>
          <w:u w:val="none"/>
          <w:lang w:val="en-US" w:eastAsia="zh-CN"/>
        </w:rPr>
        <w:t>标项号：</w:t>
      </w:r>
      <w:r>
        <w:rPr>
          <w:rFonts w:hint="eastAsia" w:ascii="宋体" w:hAnsi="宋体" w:eastAsia="宋体" w:cs="宋体"/>
          <w:color w:val="auto"/>
          <w:highlight w:val="none"/>
          <w:u w:val="single"/>
          <w:lang w:val="en-US" w:eastAsia="zh-CN"/>
        </w:rPr>
        <w:t xml:space="preserve">      </w:t>
      </w:r>
    </w:p>
    <w:tbl>
      <w:tblPr>
        <w:tblStyle w:val="55"/>
        <w:tblW w:w="962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729"/>
        <w:gridCol w:w="2198"/>
        <w:gridCol w:w="2196"/>
        <w:gridCol w:w="2015"/>
        <w:gridCol w:w="183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729" w:type="dxa"/>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类别</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采购要求</w:t>
            </w:r>
          </w:p>
        </w:tc>
        <w:tc>
          <w:tcPr>
            <w:tcW w:w="2196" w:type="dxa"/>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015" w:type="dxa"/>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是否偏离</w:t>
            </w:r>
          </w:p>
        </w:tc>
        <w:tc>
          <w:tcPr>
            <w:tcW w:w="1830" w:type="dxa"/>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商务偏离</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技术偏离</w:t>
            </w: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56" w:type="dxa"/>
            <w:vAlign w:val="center"/>
          </w:tcPr>
          <w:p>
            <w:pPr>
              <w:snapToGrid w:val="0"/>
              <w:spacing w:line="360" w:lineRule="auto"/>
              <w:jc w:val="center"/>
              <w:rPr>
                <w:rFonts w:hint="eastAsia" w:ascii="宋体" w:hAnsi="宋体" w:eastAsia="宋体" w:cs="宋体"/>
                <w:color w:val="auto"/>
                <w:highlight w:val="none"/>
              </w:rPr>
            </w:pPr>
          </w:p>
        </w:tc>
        <w:tc>
          <w:tcPr>
            <w:tcW w:w="729" w:type="dxa"/>
            <w:vMerge w:val="continue"/>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8" w:type="dxa"/>
            <w:tcBorders>
              <w:left w:val="single" w:color="auto" w:sz="4" w:space="0"/>
            </w:tcBorders>
            <w:vAlign w:val="center"/>
          </w:tcPr>
          <w:p>
            <w:pPr>
              <w:snapToGrid w:val="0"/>
              <w:spacing w:line="360" w:lineRule="auto"/>
              <w:jc w:val="center"/>
              <w:rPr>
                <w:rFonts w:hint="eastAsia" w:ascii="宋体" w:hAnsi="宋体" w:eastAsia="宋体" w:cs="宋体"/>
                <w:color w:val="auto"/>
                <w:highlight w:val="none"/>
              </w:rPr>
            </w:pPr>
          </w:p>
        </w:tc>
        <w:tc>
          <w:tcPr>
            <w:tcW w:w="2196" w:type="dxa"/>
            <w:vAlign w:val="center"/>
          </w:tcPr>
          <w:p>
            <w:pPr>
              <w:snapToGrid w:val="0"/>
              <w:spacing w:line="360" w:lineRule="auto"/>
              <w:jc w:val="center"/>
              <w:rPr>
                <w:rFonts w:hint="eastAsia" w:ascii="宋体" w:hAnsi="宋体" w:eastAsia="宋体" w:cs="宋体"/>
                <w:color w:val="auto"/>
                <w:highlight w:val="none"/>
              </w:rPr>
            </w:pPr>
          </w:p>
        </w:tc>
        <w:tc>
          <w:tcPr>
            <w:tcW w:w="2015" w:type="dxa"/>
            <w:vAlign w:val="center"/>
          </w:tcPr>
          <w:p>
            <w:pPr>
              <w:snapToGrid w:val="0"/>
              <w:spacing w:line="360" w:lineRule="auto"/>
              <w:jc w:val="center"/>
              <w:rPr>
                <w:rFonts w:hint="eastAsia" w:ascii="宋体" w:hAnsi="宋体" w:eastAsia="宋体" w:cs="宋体"/>
                <w:color w:val="auto"/>
                <w:highlight w:val="none"/>
              </w:rPr>
            </w:pPr>
          </w:p>
        </w:tc>
        <w:tc>
          <w:tcPr>
            <w:tcW w:w="1830" w:type="dxa"/>
            <w:vAlign w:val="center"/>
          </w:tcPr>
          <w:p>
            <w:pPr>
              <w:snapToGrid w:val="0"/>
              <w:spacing w:line="360" w:lineRule="auto"/>
              <w:jc w:val="center"/>
              <w:rPr>
                <w:rFonts w:hint="eastAsia" w:ascii="宋体" w:hAnsi="宋体" w:eastAsia="宋体" w:cs="宋体"/>
                <w:color w:val="auto"/>
                <w:highlight w:val="none"/>
              </w:rPr>
            </w:pPr>
          </w:p>
        </w:tc>
      </w:tr>
    </w:tbl>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highlight w:val="none"/>
        </w:rPr>
        <w:t>对采购文件有任何偏离（包括正偏离及负偏离）均应汇总并填写在此表中，不填写此表视作完全响应本采购文件要求。</w:t>
      </w:r>
    </w:p>
    <w:p>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、投标人提供的建议（如有）。</w:t>
      </w:r>
    </w:p>
    <w:p>
      <w:pPr>
        <w:adjustRightInd w:val="0"/>
        <w:snapToGrid w:val="0"/>
        <w:spacing w:line="360" w:lineRule="auto"/>
        <w:ind w:left="755"/>
        <w:rPr>
          <w:rFonts w:hint="eastAsia" w:ascii="宋体" w:hAnsi="宋体" w:eastAsia="宋体" w:cs="宋体"/>
          <w:color w:val="auto"/>
          <w:szCs w:val="20"/>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pStyle w:val="5"/>
        <w:ind w:firstLine="0" w:firstLineChars="0"/>
        <w:rPr>
          <w:rFonts w:hint="eastAsia" w:ascii="宋体" w:hAnsi="宋体" w:eastAsia="宋体" w:cs="宋体"/>
          <w:color w:val="auto"/>
          <w:szCs w:val="21"/>
          <w:highlight w:val="none"/>
        </w:rPr>
      </w:pPr>
      <w:bookmarkStart w:id="338" w:name="_Toc7491"/>
      <w:bookmarkStart w:id="339" w:name="_Toc9135"/>
      <w:bookmarkStart w:id="340" w:name="_Toc25496"/>
      <w:bookmarkStart w:id="341" w:name="_Toc11142"/>
      <w:bookmarkStart w:id="342" w:name="_Toc477357159"/>
      <w:bookmarkStart w:id="343" w:name="_Toc26895"/>
      <w:bookmarkStart w:id="344" w:name="_Toc7814"/>
      <w:r>
        <w:rPr>
          <w:rFonts w:hint="eastAsia" w:ascii="宋体" w:hAnsi="宋体" w:eastAsia="宋体" w:cs="宋体"/>
          <w:color w:val="auto"/>
          <w:highlight w:val="none"/>
        </w:rPr>
        <w:br w:type="page"/>
      </w:r>
      <w:bookmarkEnd w:id="194"/>
      <w:bookmarkEnd w:id="195"/>
      <w:bookmarkEnd w:id="338"/>
      <w:bookmarkEnd w:id="339"/>
      <w:bookmarkEnd w:id="340"/>
      <w:bookmarkEnd w:id="341"/>
      <w:bookmarkEnd w:id="342"/>
      <w:bookmarkEnd w:id="343"/>
      <w:bookmarkEnd w:id="344"/>
      <w:bookmarkStart w:id="345" w:name="_Toc18005"/>
      <w:bookmarkStart w:id="346" w:name="_Toc10425"/>
      <w:bookmarkStart w:id="347" w:name="_Toc31762"/>
      <w:bookmarkStart w:id="348" w:name="_Toc27134"/>
      <w:bookmarkStart w:id="349" w:name="_Toc4340"/>
      <w:bookmarkStart w:id="350" w:name="_Toc20816"/>
      <w:bookmarkStart w:id="351" w:name="_Toc19705"/>
      <w:bookmarkStart w:id="352" w:name="_Toc26138"/>
      <w:r>
        <w:rPr>
          <w:rFonts w:hint="eastAsia" w:ascii="宋体" w:hAnsi="宋体" w:eastAsia="宋体" w:cs="宋体"/>
          <w:color w:val="auto"/>
          <w:highlight w:val="none"/>
        </w:rPr>
        <w:t>附件八、</w:t>
      </w:r>
      <w:bookmarkEnd w:id="345"/>
      <w:bookmarkEnd w:id="346"/>
      <w:bookmarkEnd w:id="347"/>
      <w:bookmarkEnd w:id="348"/>
      <w:bookmarkEnd w:id="349"/>
      <w:bookmarkEnd w:id="350"/>
      <w:r>
        <w:rPr>
          <w:rFonts w:hint="eastAsia" w:ascii="宋体" w:hAnsi="宋体" w:eastAsia="宋体" w:cs="宋体"/>
          <w:color w:val="auto"/>
          <w:szCs w:val="21"/>
          <w:highlight w:val="none"/>
        </w:rPr>
        <w:t>设备、器材、工具配备表</w:t>
      </w:r>
      <w:bookmarkEnd w:id="351"/>
      <w:bookmarkEnd w:id="352"/>
    </w:p>
    <w:p>
      <w:pPr>
        <w:spacing w:before="120" w:beforeLines="50" w:after="240"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设备、器材、工具配备表</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color w:val="auto"/>
          <w:szCs w:val="20"/>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r>
        <w:rPr>
          <w:rFonts w:hint="eastAsia" w:ascii="宋体" w:hAnsi="宋体" w:eastAsia="宋体" w:cs="宋体"/>
          <w:color w:val="auto"/>
          <w:szCs w:val="20"/>
          <w:highlight w:val="none"/>
        </w:rPr>
        <w:t xml:space="preserve"> </w:t>
      </w:r>
    </w:p>
    <w:p>
      <w:pPr>
        <w:adjustRightInd w:val="0"/>
        <w:snapToGrid w:val="0"/>
        <w:spacing w:line="360" w:lineRule="auto"/>
        <w:rPr>
          <w:rFonts w:hint="eastAsia" w:ascii="宋体" w:hAnsi="宋体" w:eastAsia="宋体" w:cs="宋体"/>
          <w:color w:val="auto"/>
          <w:sz w:val="28"/>
          <w:highlight w:val="none"/>
        </w:rPr>
      </w:pPr>
      <w:r>
        <w:rPr>
          <w:rFonts w:hint="eastAsia" w:ascii="宋体" w:hAnsi="宋体" w:eastAsia="宋体" w:cs="宋体"/>
          <w:color w:val="auto"/>
          <w:highlight w:val="none"/>
          <w:u w:val="none"/>
          <w:lang w:val="en-US" w:eastAsia="zh-CN"/>
        </w:rPr>
        <w:t>标项号：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Cs w:val="20"/>
          <w:highlight w:val="none"/>
        </w:rPr>
        <w:t xml:space="preserve">                 </w:t>
      </w:r>
    </w:p>
    <w:tbl>
      <w:tblPr>
        <w:tblStyle w:val="5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12"/>
        <w:gridCol w:w="1187"/>
        <w:gridCol w:w="1100"/>
        <w:gridCol w:w="165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412"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18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tc>
        <w:tc>
          <w:tcPr>
            <w:tcW w:w="110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53"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161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666" w:type="dxa"/>
            <w:vAlign w:val="center"/>
          </w:tcPr>
          <w:p>
            <w:pPr>
              <w:spacing w:line="360" w:lineRule="auto"/>
              <w:ind w:firstLine="443"/>
              <w:jc w:val="center"/>
              <w:rPr>
                <w:rFonts w:hint="eastAsia" w:ascii="宋体" w:hAnsi="宋体" w:eastAsia="宋体" w:cs="宋体"/>
                <w:color w:val="auto"/>
                <w:szCs w:val="21"/>
                <w:highlight w:val="none"/>
              </w:rPr>
            </w:pPr>
          </w:p>
        </w:tc>
        <w:tc>
          <w:tcPr>
            <w:tcW w:w="2412" w:type="dxa"/>
            <w:vAlign w:val="center"/>
          </w:tcPr>
          <w:p>
            <w:pPr>
              <w:spacing w:line="360" w:lineRule="auto"/>
              <w:ind w:firstLine="443"/>
              <w:jc w:val="center"/>
              <w:rPr>
                <w:rFonts w:hint="eastAsia" w:ascii="宋体" w:hAnsi="宋体" w:eastAsia="宋体" w:cs="宋体"/>
                <w:color w:val="auto"/>
                <w:szCs w:val="21"/>
                <w:highlight w:val="none"/>
              </w:rPr>
            </w:pPr>
          </w:p>
        </w:tc>
        <w:tc>
          <w:tcPr>
            <w:tcW w:w="1187" w:type="dxa"/>
            <w:vAlign w:val="center"/>
          </w:tcPr>
          <w:p>
            <w:pPr>
              <w:spacing w:line="360" w:lineRule="auto"/>
              <w:ind w:firstLine="443"/>
              <w:jc w:val="center"/>
              <w:rPr>
                <w:rFonts w:hint="eastAsia" w:ascii="宋体" w:hAnsi="宋体" w:eastAsia="宋体" w:cs="宋体"/>
                <w:color w:val="auto"/>
                <w:szCs w:val="21"/>
                <w:highlight w:val="none"/>
              </w:rPr>
            </w:pPr>
          </w:p>
        </w:tc>
        <w:tc>
          <w:tcPr>
            <w:tcW w:w="1100" w:type="dxa"/>
            <w:vAlign w:val="center"/>
          </w:tcPr>
          <w:p>
            <w:pPr>
              <w:spacing w:line="360" w:lineRule="auto"/>
              <w:ind w:firstLine="443"/>
              <w:jc w:val="center"/>
              <w:rPr>
                <w:rFonts w:hint="eastAsia" w:ascii="宋体" w:hAnsi="宋体" w:eastAsia="宋体" w:cs="宋体"/>
                <w:color w:val="auto"/>
                <w:szCs w:val="21"/>
                <w:highlight w:val="none"/>
              </w:rPr>
            </w:pPr>
          </w:p>
        </w:tc>
        <w:tc>
          <w:tcPr>
            <w:tcW w:w="1653" w:type="dxa"/>
            <w:vAlign w:val="center"/>
          </w:tcPr>
          <w:p>
            <w:pPr>
              <w:spacing w:line="360" w:lineRule="auto"/>
              <w:ind w:firstLine="443"/>
              <w:jc w:val="center"/>
              <w:rPr>
                <w:rFonts w:hint="eastAsia" w:ascii="宋体" w:hAnsi="宋体" w:eastAsia="宋体" w:cs="宋体"/>
                <w:color w:val="auto"/>
                <w:szCs w:val="21"/>
                <w:highlight w:val="none"/>
              </w:rPr>
            </w:pPr>
          </w:p>
        </w:tc>
        <w:tc>
          <w:tcPr>
            <w:tcW w:w="1610" w:type="dxa"/>
            <w:vAlign w:val="center"/>
          </w:tcPr>
          <w:p>
            <w:pPr>
              <w:spacing w:line="360" w:lineRule="auto"/>
              <w:ind w:firstLine="443"/>
              <w:jc w:val="center"/>
              <w:rPr>
                <w:rFonts w:hint="eastAsia" w:ascii="宋体" w:hAnsi="宋体" w:eastAsia="宋体" w:cs="宋体"/>
                <w:color w:val="auto"/>
                <w:szCs w:val="21"/>
                <w:highlight w:val="none"/>
              </w:rPr>
            </w:pPr>
          </w:p>
        </w:tc>
      </w:tr>
    </w:tbl>
    <w:p>
      <w:pPr>
        <w:adjustRightInd w:val="0"/>
        <w:snapToGrid w:val="0"/>
        <w:spacing w:line="360" w:lineRule="auto"/>
        <w:ind w:left="755"/>
        <w:rPr>
          <w:rFonts w:hint="eastAsia" w:ascii="宋体" w:hAnsi="宋体" w:eastAsia="宋体" w:cs="宋体"/>
          <w:color w:val="auto"/>
          <w:szCs w:val="20"/>
          <w:highlight w:val="none"/>
        </w:rPr>
      </w:pPr>
    </w:p>
    <w:p>
      <w:pPr>
        <w:adjustRightInd w:val="0"/>
        <w:snapToGrid w:val="0"/>
        <w:spacing w:line="360" w:lineRule="auto"/>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383"/>
        <w:spacing w:line="360" w:lineRule="auto"/>
        <w:ind w:firstLine="0" w:firstLineChars="0"/>
        <w:rPr>
          <w:rFonts w:hint="eastAsia" w:ascii="宋体" w:hAnsi="宋体" w:eastAsia="宋体" w:cs="宋体"/>
          <w:iCs/>
          <w:color w:val="auto"/>
          <w:szCs w:val="21"/>
          <w:highlight w:val="none"/>
        </w:rPr>
      </w:pPr>
    </w:p>
    <w:p>
      <w:pPr>
        <w:pStyle w:val="5"/>
        <w:ind w:firstLine="0" w:firstLineChars="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br w:type="page"/>
      </w:r>
      <w:bookmarkStart w:id="353" w:name="_Toc9735"/>
      <w:bookmarkStart w:id="354" w:name="_Toc9976"/>
      <w:bookmarkStart w:id="355" w:name="_Toc25984"/>
      <w:bookmarkStart w:id="356" w:name="_Toc32705"/>
      <w:bookmarkStart w:id="357" w:name="_Toc12483"/>
      <w:r>
        <w:rPr>
          <w:rFonts w:hint="eastAsia" w:ascii="宋体" w:hAnsi="宋体" w:eastAsia="宋体" w:cs="宋体"/>
          <w:color w:val="auto"/>
          <w:szCs w:val="21"/>
          <w:highlight w:val="none"/>
        </w:rPr>
        <w:t>附件</w:t>
      </w:r>
      <w:r>
        <w:rPr>
          <w:rFonts w:hint="eastAsia" w:ascii="宋体" w:hAnsi="宋体" w:eastAsia="宋体" w:cs="宋体"/>
          <w:color w:val="auto"/>
          <w:kern w:val="0"/>
          <w:szCs w:val="21"/>
          <w:highlight w:val="none"/>
          <w:lang w:bidi="ar"/>
        </w:rPr>
        <w:t>九、</w:t>
      </w:r>
      <w:bookmarkEnd w:id="353"/>
      <w:bookmarkEnd w:id="354"/>
      <w:bookmarkEnd w:id="355"/>
      <w:r>
        <w:rPr>
          <w:rFonts w:hint="eastAsia" w:ascii="宋体" w:hAnsi="宋体" w:eastAsia="宋体" w:cs="宋体"/>
          <w:color w:val="auto"/>
          <w:szCs w:val="21"/>
          <w:highlight w:val="none"/>
        </w:rPr>
        <w:t>项目负责人简历表</w:t>
      </w:r>
      <w:bookmarkEnd w:id="356"/>
      <w:bookmarkEnd w:id="357"/>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项目负责人简历表</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p>
    <w:p>
      <w:pPr>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highlight w:val="none"/>
          <w:u w:val="none"/>
          <w:lang w:val="en-US" w:eastAsia="zh-CN"/>
        </w:rPr>
        <w:t>标项号：</w:t>
      </w:r>
      <w:r>
        <w:rPr>
          <w:rFonts w:hint="eastAsia" w:ascii="宋体" w:hAnsi="宋体" w:eastAsia="宋体" w:cs="宋体"/>
          <w:color w:val="auto"/>
          <w:highlight w:val="none"/>
          <w:u w:val="single"/>
          <w:lang w:val="en-US" w:eastAsia="zh-CN"/>
        </w:rPr>
        <w:t xml:space="preserve">      </w:t>
      </w:r>
    </w:p>
    <w:tbl>
      <w:tblPr>
        <w:tblStyle w:val="5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598"/>
        <w:gridCol w:w="1592"/>
        <w:gridCol w:w="1703"/>
        <w:gridCol w:w="1592"/>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6"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598"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170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57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6"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格</w:t>
            </w:r>
          </w:p>
        </w:tc>
        <w:tc>
          <w:tcPr>
            <w:tcW w:w="1598"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70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57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6"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598"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70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592"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1573" w:type="dxa"/>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566"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3190" w:type="dxa"/>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c>
          <w:tcPr>
            <w:tcW w:w="1703" w:type="dxa"/>
            <w:vAlign w:val="center"/>
          </w:tcPr>
          <w:p>
            <w:pPr>
              <w:spacing w:line="360" w:lineRule="auto"/>
              <w:ind w:left="630" w:hanging="630" w:hangingChars="3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手 机</w:t>
            </w:r>
          </w:p>
        </w:tc>
        <w:tc>
          <w:tcPr>
            <w:tcW w:w="3165" w:type="dxa"/>
            <w:gridSpan w:val="2"/>
            <w:vAlign w:val="center"/>
          </w:tcPr>
          <w:p>
            <w:pPr>
              <w:spacing w:line="360" w:lineRule="auto"/>
              <w:ind w:left="630" w:hanging="630" w:hangingChars="30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624" w:type="dxa"/>
            <w:gridSpan w:val="6"/>
          </w:tcPr>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从事相关工作经历及业绩：</w:t>
            </w:r>
          </w:p>
        </w:tc>
      </w:tr>
    </w:tbl>
    <w:p>
      <w:pPr>
        <w:spacing w:line="360" w:lineRule="auto"/>
        <w:ind w:left="630" w:hanging="630" w:hanging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附身份证及相关证书</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复印件。</w:t>
      </w: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ind w:firstLine="420" w:firstLineChars="200"/>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ind w:left="755"/>
        <w:rPr>
          <w:rFonts w:hint="eastAsia" w:ascii="宋体" w:hAnsi="宋体" w:eastAsia="宋体" w:cs="宋体"/>
          <w:b/>
          <w:bCs/>
          <w:color w:val="auto"/>
          <w:szCs w:val="21"/>
          <w:highlight w:val="none"/>
        </w:rPr>
      </w:pPr>
    </w:p>
    <w:p>
      <w:pPr>
        <w:adjustRightInd w:val="0"/>
        <w:snapToGrid w:val="0"/>
        <w:spacing w:line="360" w:lineRule="auto"/>
        <w:rPr>
          <w:rFonts w:hint="eastAsia" w:ascii="宋体" w:hAnsi="宋体" w:eastAsia="宋体" w:cs="宋体"/>
          <w:b/>
          <w:bCs/>
          <w:color w:val="auto"/>
          <w:szCs w:val="21"/>
          <w:highlight w:val="none"/>
        </w:rPr>
      </w:pPr>
    </w:p>
    <w:p>
      <w:pPr>
        <w:rPr>
          <w:rFonts w:hint="eastAsia" w:ascii="宋体" w:hAnsi="宋体" w:eastAsia="宋体" w:cs="宋体"/>
          <w:color w:val="auto"/>
          <w:highlight w:val="none"/>
        </w:rPr>
      </w:pPr>
      <w:bookmarkStart w:id="358" w:name="_Toc152042593"/>
      <w:bookmarkStart w:id="359" w:name="_Toc152045804"/>
      <w:bookmarkStart w:id="360" w:name="_Toc144974872"/>
      <w:bookmarkStart w:id="361" w:name="_Toc179632824"/>
      <w:bookmarkStart w:id="362" w:name="_Toc246997113"/>
      <w:bookmarkStart w:id="363" w:name="_Toc9916"/>
      <w:bookmarkStart w:id="364" w:name="_Toc31033"/>
      <w:bookmarkStart w:id="365" w:name="_Toc247085888"/>
      <w:bookmarkStart w:id="366" w:name="_Toc421605465"/>
      <w:bookmarkStart w:id="367" w:name="_Toc246996370"/>
      <w:bookmarkStart w:id="368" w:name="_Toc296602615"/>
      <w:bookmarkStart w:id="369" w:name="_Toc27969"/>
      <w:bookmarkStart w:id="370" w:name="_Toc22894"/>
      <w:bookmarkStart w:id="371" w:name="_Toc25833"/>
      <w:bookmarkStart w:id="372" w:name="_Toc350862154"/>
      <w:bookmarkStart w:id="373" w:name="_Toc422431991"/>
      <w:r>
        <w:rPr>
          <w:rFonts w:hint="eastAsia" w:ascii="宋体" w:hAnsi="宋体" w:eastAsia="宋体" w:cs="宋体"/>
          <w:color w:val="auto"/>
          <w:highlight w:val="none"/>
        </w:rPr>
        <w:br w:type="page"/>
      </w:r>
    </w:p>
    <w:p>
      <w:pPr>
        <w:pStyle w:val="5"/>
        <w:ind w:firstLine="0" w:firstLineChars="0"/>
        <w:rPr>
          <w:rFonts w:hint="eastAsia" w:ascii="宋体" w:hAnsi="宋体" w:eastAsia="宋体" w:cs="宋体"/>
          <w:bCs w:val="0"/>
          <w:color w:val="auto"/>
          <w:kern w:val="0"/>
          <w:szCs w:val="21"/>
          <w:highlight w:val="none"/>
        </w:rPr>
      </w:pPr>
      <w:bookmarkStart w:id="374" w:name="_Toc1330"/>
      <w:bookmarkStart w:id="375" w:name="_Toc1980"/>
      <w:r>
        <w:rPr>
          <w:rFonts w:hint="eastAsia" w:ascii="宋体" w:hAnsi="宋体" w:eastAsia="宋体" w:cs="宋体"/>
          <w:color w:val="auto"/>
          <w:highlight w:val="none"/>
        </w:rPr>
        <w:t>附件十</w:t>
      </w:r>
      <w:r>
        <w:rPr>
          <w:rFonts w:hint="eastAsia" w:ascii="宋体" w:hAnsi="宋体" w:eastAsia="宋体" w:cs="宋体"/>
          <w:bCs w:val="0"/>
          <w:color w:val="auto"/>
          <w:kern w:val="0"/>
          <w:szCs w:val="21"/>
          <w:highlight w:val="none"/>
        </w:rPr>
        <w:t>、</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4"/>
      <w:r>
        <w:rPr>
          <w:rFonts w:hint="eastAsia" w:ascii="宋体" w:hAnsi="宋体" w:eastAsia="宋体" w:cs="宋体"/>
          <w:bCs w:val="0"/>
          <w:color w:val="auto"/>
          <w:kern w:val="0"/>
          <w:szCs w:val="21"/>
          <w:highlight w:val="none"/>
        </w:rPr>
        <w:t>参加本项目人员汇总表</w:t>
      </w:r>
      <w:bookmarkEnd w:id="375"/>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参加本项目人员汇总表</w:t>
      </w:r>
    </w:p>
    <w:p>
      <w:pPr>
        <w:pStyle w:val="2"/>
        <w:rPr>
          <w:rFonts w:hint="eastAsia" w:ascii="宋体" w:hAnsi="宋体" w:eastAsia="宋体" w:cs="宋体"/>
          <w:color w:val="auto"/>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lang w:eastAsia="zh-CN"/>
        </w:rPr>
        <w:t>浙江理工大学招生宣传短视频制作及运营项目</w:t>
      </w:r>
      <w:r>
        <w:rPr>
          <w:rFonts w:hint="eastAsia" w:ascii="宋体" w:hAnsi="宋体" w:eastAsia="宋体" w:cs="宋体"/>
          <w:color w:val="auto"/>
          <w:highlight w:val="none"/>
        </w:rPr>
        <w:t xml:space="preserve">                                                       </w:t>
      </w:r>
    </w:p>
    <w:p>
      <w:pPr>
        <w:adjustRightInd w:val="0"/>
        <w:snapToGrid w:val="0"/>
        <w:spacing w:line="360" w:lineRule="auto"/>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lang w:eastAsia="zh-CN"/>
        </w:rPr>
        <w:t>CTZB-2021110689</w:t>
      </w:r>
    </w:p>
    <w:p>
      <w:pPr>
        <w:adjustRightInd w:val="0"/>
        <w:snapToGrid w:val="0"/>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u w:val="none"/>
          <w:lang w:val="en-US" w:eastAsia="zh-CN"/>
        </w:rPr>
        <w:t>标项号：</w:t>
      </w:r>
      <w:r>
        <w:rPr>
          <w:rFonts w:hint="eastAsia" w:ascii="宋体" w:hAnsi="宋体" w:eastAsia="宋体" w:cs="宋体"/>
          <w:color w:val="auto"/>
          <w:highlight w:val="none"/>
          <w:u w:val="single"/>
          <w:lang w:val="en-US" w:eastAsia="zh-CN"/>
        </w:rPr>
        <w:t xml:space="preserve">      </w:t>
      </w:r>
    </w:p>
    <w:tbl>
      <w:tblPr>
        <w:tblStyle w:val="55"/>
        <w:tblW w:w="9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67"/>
        <w:gridCol w:w="1304"/>
        <w:gridCol w:w="867"/>
        <w:gridCol w:w="869"/>
        <w:gridCol w:w="867"/>
        <w:gridCol w:w="1535"/>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vMerge w:val="restar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867" w:type="dxa"/>
            <w:vMerge w:val="restart"/>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5442" w:type="dxa"/>
            <w:gridSpan w:val="5"/>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执业或职业资格证明</w:t>
            </w:r>
          </w:p>
        </w:tc>
        <w:tc>
          <w:tcPr>
            <w:tcW w:w="2448"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vMerge w:val="continue"/>
            <w:vAlign w:val="center"/>
          </w:tcPr>
          <w:p>
            <w:pPr>
              <w:snapToGrid w:val="0"/>
              <w:jc w:val="center"/>
              <w:rPr>
                <w:rFonts w:hint="eastAsia" w:ascii="宋体" w:hAnsi="宋体" w:eastAsia="宋体" w:cs="宋体"/>
                <w:color w:val="auto"/>
                <w:szCs w:val="21"/>
                <w:highlight w:val="none"/>
              </w:rPr>
            </w:pPr>
          </w:p>
        </w:tc>
        <w:tc>
          <w:tcPr>
            <w:tcW w:w="867" w:type="dxa"/>
            <w:vMerge w:val="continue"/>
            <w:vAlign w:val="center"/>
          </w:tcPr>
          <w:p>
            <w:pPr>
              <w:snapToGrid w:val="0"/>
              <w:jc w:val="center"/>
              <w:rPr>
                <w:rFonts w:hint="eastAsia" w:ascii="宋体" w:hAnsi="宋体" w:eastAsia="宋体" w:cs="宋体"/>
                <w:color w:val="auto"/>
                <w:szCs w:val="21"/>
                <w:highlight w:val="none"/>
              </w:rPr>
            </w:pPr>
          </w:p>
        </w:tc>
        <w:tc>
          <w:tcPr>
            <w:tcW w:w="1304"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867"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869"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867"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535" w:type="dxa"/>
            <w:vAlign w:val="center"/>
          </w:tcPr>
          <w:p>
            <w:pPr>
              <w:snapToGrid w:val="0"/>
              <w:jc w:val="center"/>
              <w:rPr>
                <w:rFonts w:hint="eastAsia" w:ascii="宋体" w:hAnsi="宋体" w:eastAsia="宋体" w:cs="宋体"/>
                <w:color w:val="auto"/>
                <w:szCs w:val="21"/>
                <w:highlight w:val="none"/>
              </w:rPr>
            </w:pPr>
          </w:p>
        </w:tc>
        <w:tc>
          <w:tcPr>
            <w:tcW w:w="2448" w:type="dxa"/>
            <w:vAlign w:val="center"/>
          </w:tcPr>
          <w:p>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实施经验说明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vAlign w:val="center"/>
          </w:tcPr>
          <w:p>
            <w:pPr>
              <w:snapToGrid w:val="0"/>
              <w:jc w:val="center"/>
              <w:rPr>
                <w:rFonts w:hint="eastAsia" w:ascii="宋体" w:hAnsi="宋体" w:eastAsia="宋体" w:cs="宋体"/>
                <w:color w:val="auto"/>
                <w:szCs w:val="21"/>
                <w:highlight w:val="none"/>
              </w:rPr>
            </w:pPr>
          </w:p>
        </w:tc>
        <w:tc>
          <w:tcPr>
            <w:tcW w:w="867" w:type="dxa"/>
            <w:vAlign w:val="center"/>
          </w:tcPr>
          <w:p>
            <w:pPr>
              <w:snapToGrid w:val="0"/>
              <w:jc w:val="center"/>
              <w:rPr>
                <w:rFonts w:hint="eastAsia" w:ascii="宋体" w:hAnsi="宋体" w:eastAsia="宋体" w:cs="宋体"/>
                <w:color w:val="auto"/>
                <w:szCs w:val="21"/>
                <w:highlight w:val="none"/>
              </w:rPr>
            </w:pPr>
          </w:p>
        </w:tc>
        <w:tc>
          <w:tcPr>
            <w:tcW w:w="1304" w:type="dxa"/>
            <w:vAlign w:val="center"/>
          </w:tcPr>
          <w:p>
            <w:pPr>
              <w:snapToGrid w:val="0"/>
              <w:jc w:val="center"/>
              <w:rPr>
                <w:rFonts w:hint="eastAsia" w:ascii="宋体" w:hAnsi="宋体" w:eastAsia="宋体" w:cs="宋体"/>
                <w:color w:val="auto"/>
                <w:szCs w:val="21"/>
                <w:highlight w:val="none"/>
              </w:rPr>
            </w:pPr>
          </w:p>
        </w:tc>
        <w:tc>
          <w:tcPr>
            <w:tcW w:w="867" w:type="dxa"/>
            <w:vAlign w:val="center"/>
          </w:tcPr>
          <w:p>
            <w:pPr>
              <w:snapToGrid w:val="0"/>
              <w:jc w:val="center"/>
              <w:rPr>
                <w:rFonts w:hint="eastAsia" w:ascii="宋体" w:hAnsi="宋体" w:eastAsia="宋体" w:cs="宋体"/>
                <w:color w:val="auto"/>
                <w:szCs w:val="21"/>
                <w:highlight w:val="none"/>
              </w:rPr>
            </w:pPr>
          </w:p>
        </w:tc>
        <w:tc>
          <w:tcPr>
            <w:tcW w:w="869" w:type="dxa"/>
            <w:vAlign w:val="center"/>
          </w:tcPr>
          <w:p>
            <w:pPr>
              <w:snapToGrid w:val="0"/>
              <w:jc w:val="center"/>
              <w:rPr>
                <w:rFonts w:hint="eastAsia" w:ascii="宋体" w:hAnsi="宋体" w:eastAsia="宋体" w:cs="宋体"/>
                <w:color w:val="auto"/>
                <w:szCs w:val="21"/>
                <w:highlight w:val="none"/>
              </w:rPr>
            </w:pPr>
          </w:p>
        </w:tc>
        <w:tc>
          <w:tcPr>
            <w:tcW w:w="867" w:type="dxa"/>
            <w:vAlign w:val="center"/>
          </w:tcPr>
          <w:p>
            <w:pPr>
              <w:snapToGrid w:val="0"/>
              <w:jc w:val="center"/>
              <w:rPr>
                <w:rFonts w:hint="eastAsia" w:ascii="宋体" w:hAnsi="宋体" w:eastAsia="宋体" w:cs="宋体"/>
                <w:color w:val="auto"/>
                <w:szCs w:val="21"/>
                <w:highlight w:val="none"/>
              </w:rPr>
            </w:pPr>
          </w:p>
        </w:tc>
        <w:tc>
          <w:tcPr>
            <w:tcW w:w="1535" w:type="dxa"/>
            <w:vAlign w:val="center"/>
          </w:tcPr>
          <w:p>
            <w:pPr>
              <w:snapToGrid w:val="0"/>
              <w:jc w:val="center"/>
              <w:rPr>
                <w:rFonts w:hint="eastAsia" w:ascii="宋体" w:hAnsi="宋体" w:eastAsia="宋体" w:cs="宋体"/>
                <w:color w:val="auto"/>
                <w:szCs w:val="21"/>
                <w:highlight w:val="none"/>
              </w:rPr>
            </w:pPr>
          </w:p>
        </w:tc>
        <w:tc>
          <w:tcPr>
            <w:tcW w:w="2448" w:type="dxa"/>
            <w:vAlign w:val="center"/>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304"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869" w:type="dxa"/>
          </w:tcPr>
          <w:p>
            <w:pPr>
              <w:snapToGrid w:val="0"/>
              <w:jc w:val="center"/>
              <w:rPr>
                <w:rFonts w:hint="eastAsia" w:ascii="宋体" w:hAnsi="宋体" w:eastAsia="宋体" w:cs="宋体"/>
                <w:color w:val="auto"/>
                <w:szCs w:val="21"/>
                <w:highlight w:val="none"/>
              </w:rPr>
            </w:pPr>
          </w:p>
        </w:tc>
        <w:tc>
          <w:tcPr>
            <w:tcW w:w="867" w:type="dxa"/>
          </w:tcPr>
          <w:p>
            <w:pPr>
              <w:snapToGrid w:val="0"/>
              <w:jc w:val="center"/>
              <w:rPr>
                <w:rFonts w:hint="eastAsia" w:ascii="宋体" w:hAnsi="宋体" w:eastAsia="宋体" w:cs="宋体"/>
                <w:color w:val="auto"/>
                <w:szCs w:val="21"/>
                <w:highlight w:val="none"/>
              </w:rPr>
            </w:pPr>
          </w:p>
        </w:tc>
        <w:tc>
          <w:tcPr>
            <w:tcW w:w="1535" w:type="dxa"/>
          </w:tcPr>
          <w:p>
            <w:pPr>
              <w:snapToGrid w:val="0"/>
              <w:jc w:val="center"/>
              <w:rPr>
                <w:rFonts w:hint="eastAsia" w:ascii="宋体" w:hAnsi="宋体" w:eastAsia="宋体" w:cs="宋体"/>
                <w:color w:val="auto"/>
                <w:szCs w:val="21"/>
                <w:highlight w:val="none"/>
              </w:rPr>
            </w:pPr>
          </w:p>
        </w:tc>
        <w:tc>
          <w:tcPr>
            <w:tcW w:w="2448" w:type="dxa"/>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9"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867"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1535"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c>
          <w:tcPr>
            <w:tcW w:w="2448" w:type="dxa"/>
            <w:tcBorders>
              <w:top w:val="single" w:color="auto" w:sz="4" w:space="0"/>
              <w:left w:val="single" w:color="auto" w:sz="4" w:space="0"/>
              <w:bottom w:val="single" w:color="auto" w:sz="4" w:space="0"/>
              <w:right w:val="single" w:color="auto" w:sz="4" w:space="0"/>
            </w:tcBorders>
          </w:tcPr>
          <w:p>
            <w:pPr>
              <w:snapToGrid w:val="0"/>
              <w:jc w:val="center"/>
              <w:rPr>
                <w:rFonts w:hint="eastAsia" w:ascii="宋体" w:hAnsi="宋体" w:eastAsia="宋体" w:cs="宋体"/>
                <w:color w:val="auto"/>
                <w:szCs w:val="21"/>
                <w:highlight w:val="none"/>
              </w:rPr>
            </w:pPr>
          </w:p>
        </w:tc>
      </w:tr>
    </w:tbl>
    <w:p>
      <w:pPr>
        <w:topLinePunct/>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附：相关人员的职称、执业证书等复印件证明材料</w:t>
      </w:r>
    </w:p>
    <w:p>
      <w:pPr>
        <w:adjustRightInd w:val="0"/>
        <w:spacing w:line="360" w:lineRule="auto"/>
        <w:ind w:firstLine="420" w:firstLineChars="200"/>
        <w:rPr>
          <w:rFonts w:hint="eastAsia" w:ascii="宋体" w:hAnsi="宋体" w:eastAsia="宋体" w:cs="宋体"/>
          <w:color w:val="auto"/>
          <w:szCs w:val="21"/>
          <w:highlight w:val="none"/>
        </w:rPr>
      </w:pPr>
    </w:p>
    <w:p>
      <w:pPr>
        <w:adjustRightInd w:val="0"/>
        <w:spacing w:line="360" w:lineRule="auto"/>
        <w:ind w:firstLine="420" w:firstLineChars="200"/>
        <w:rPr>
          <w:rFonts w:hint="eastAsia" w:ascii="宋体" w:hAnsi="宋体" w:eastAsia="宋体" w:cs="宋体"/>
          <w:color w:val="auto"/>
          <w:szCs w:val="21"/>
          <w:highlight w:val="none"/>
        </w:rPr>
      </w:pP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投标人全称（盖单位公章）：                                                                    </w:t>
      </w:r>
    </w:p>
    <w:p>
      <w:pPr>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日期：</w:t>
      </w:r>
    </w:p>
    <w:p>
      <w:pPr>
        <w:jc w:val="left"/>
        <w:rPr>
          <w:rFonts w:hint="eastAsia" w:ascii="宋体" w:hAnsi="宋体" w:eastAsia="宋体" w:cs="宋体"/>
          <w:color w:val="auto"/>
          <w:sz w:val="20"/>
          <w:highlight w:val="none"/>
        </w:rPr>
      </w:pPr>
      <w:r>
        <w:rPr>
          <w:rFonts w:hint="eastAsia" w:ascii="宋体" w:hAnsi="宋体" w:eastAsia="宋体" w:cs="宋体"/>
          <w:color w:val="auto"/>
          <w:sz w:val="20"/>
          <w:highlight w:val="none"/>
        </w:rPr>
        <w:br w:type="page"/>
      </w:r>
    </w:p>
    <w:p>
      <w:pPr>
        <w:pStyle w:val="5"/>
        <w:ind w:firstLine="0" w:firstLineChars="0"/>
        <w:rPr>
          <w:rFonts w:hint="eastAsia" w:ascii="宋体" w:hAnsi="宋体" w:eastAsia="宋体" w:cs="宋体"/>
          <w:color w:val="auto"/>
          <w:highlight w:val="none"/>
        </w:rPr>
      </w:pPr>
      <w:bookmarkStart w:id="376" w:name="_Toc27990"/>
      <w:bookmarkStart w:id="377" w:name="_Toc32124"/>
      <w:bookmarkStart w:id="378" w:name="_Toc28944"/>
      <w:bookmarkStart w:id="379" w:name="_Toc8712"/>
      <w:bookmarkStart w:id="380" w:name="_Toc28026"/>
      <w:bookmarkStart w:id="381" w:name="_Toc29869"/>
      <w:bookmarkStart w:id="382" w:name="_Toc25257"/>
      <w:r>
        <w:rPr>
          <w:rFonts w:hint="eastAsia" w:ascii="宋体" w:hAnsi="宋体" w:eastAsia="宋体" w:cs="宋体"/>
          <w:color w:val="auto"/>
          <w:kern w:val="0"/>
          <w:szCs w:val="21"/>
          <w:highlight w:val="none"/>
        </w:rPr>
        <w:t>附件十一、</w:t>
      </w:r>
      <w:bookmarkEnd w:id="376"/>
      <w:bookmarkEnd w:id="377"/>
      <w:bookmarkEnd w:id="378"/>
      <w:bookmarkEnd w:id="379"/>
      <w:bookmarkEnd w:id="380"/>
      <w:r>
        <w:rPr>
          <w:rFonts w:hint="eastAsia" w:ascii="宋体" w:hAnsi="宋体" w:eastAsia="宋体" w:cs="宋体"/>
          <w:color w:val="auto"/>
          <w:szCs w:val="21"/>
          <w:highlight w:val="none"/>
        </w:rPr>
        <w:t>技术部分组成（</w:t>
      </w:r>
      <w:r>
        <w:rPr>
          <w:rFonts w:hint="eastAsia" w:ascii="宋体" w:hAnsi="宋体" w:eastAsia="宋体" w:cs="宋体"/>
          <w:color w:val="auto"/>
          <w:highlight w:val="none"/>
        </w:rPr>
        <w:t>具体结合“采购内容及技术要求”及“评标办法”中的要求）</w:t>
      </w:r>
      <w:bookmarkEnd w:id="381"/>
      <w:bookmarkEnd w:id="382"/>
    </w:p>
    <w:p>
      <w:p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包括但不限于以下内容：</w:t>
      </w:r>
    </w:p>
    <w:p>
      <w:pPr>
        <w:topLinePunct/>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标项一：</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项目整体理解</w:t>
      </w:r>
      <w:r>
        <w:rPr>
          <w:rFonts w:hint="eastAsia" w:ascii="宋体" w:hAnsi="宋体" w:eastAsia="宋体" w:cs="宋体"/>
          <w:color w:val="auto"/>
          <w:highlight w:val="none"/>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r>
        <w:rPr>
          <w:rFonts w:hint="eastAsia" w:ascii="宋体" w:hAnsi="宋体" w:eastAsia="宋体" w:cs="宋体"/>
          <w:color w:val="auto"/>
          <w:highlight w:val="none"/>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视频号规划、运营方案</w:t>
      </w:r>
      <w:r>
        <w:rPr>
          <w:rFonts w:hint="eastAsia" w:ascii="宋体" w:hAnsi="宋体" w:eastAsia="宋体" w:cs="宋体"/>
          <w:color w:val="auto"/>
          <w:szCs w:val="21"/>
          <w:highlight w:val="none"/>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及时响应情况</w:t>
      </w:r>
      <w:r>
        <w:rPr>
          <w:rFonts w:hint="eastAsia" w:ascii="宋体" w:hAnsi="宋体" w:eastAsia="宋体" w:cs="宋体"/>
          <w:color w:val="auto"/>
          <w:szCs w:val="21"/>
          <w:highlight w:val="none"/>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设施设备</w:t>
      </w:r>
      <w:r>
        <w:rPr>
          <w:rFonts w:hint="eastAsia" w:ascii="宋体" w:hAnsi="宋体" w:eastAsia="宋体" w:cs="宋体"/>
          <w:color w:val="auto"/>
          <w:szCs w:val="21"/>
          <w:highlight w:val="none"/>
          <w:lang w:eastAsia="zh-CN"/>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项目组人员情况</w:t>
      </w:r>
      <w:r>
        <w:rPr>
          <w:rFonts w:hint="eastAsia" w:ascii="宋体" w:hAnsi="宋体" w:eastAsia="宋体" w:cs="宋体"/>
          <w:color w:val="auto"/>
          <w:szCs w:val="21"/>
          <w:highlight w:val="none"/>
          <w:lang w:eastAsia="zh-CN"/>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 w:val="0"/>
          <w:bCs/>
          <w:color w:val="auto"/>
          <w:kern w:val="1"/>
          <w:sz w:val="21"/>
          <w:szCs w:val="21"/>
          <w:highlight w:val="none"/>
          <w:lang w:eastAsia="zh-CN"/>
        </w:rPr>
        <w:t>售后及预案服务；</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优惠和承诺</w:t>
      </w:r>
      <w:r>
        <w:rPr>
          <w:rFonts w:hint="eastAsia" w:ascii="宋体" w:hAnsi="宋体" w:eastAsia="宋体" w:cs="宋体"/>
          <w:color w:val="auto"/>
          <w:szCs w:val="21"/>
          <w:highlight w:val="none"/>
          <w:lang w:eastAsia="zh-CN"/>
        </w:rPr>
        <w:t>；</w:t>
      </w:r>
    </w:p>
    <w:p>
      <w:pPr>
        <w:numPr>
          <w:ilvl w:val="0"/>
          <w:numId w:val="8"/>
        </w:numPr>
        <w:topLinePunct/>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其他（如有）。</w:t>
      </w:r>
    </w:p>
    <w:p>
      <w:pPr>
        <w:topLinePunct/>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标项二：</w:t>
      </w:r>
    </w:p>
    <w:p>
      <w:pPr>
        <w:numPr>
          <w:ilvl w:val="0"/>
          <w:numId w:val="9"/>
        </w:numPr>
        <w:topLinePunct/>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bCs/>
          <w:color w:val="auto"/>
          <w:szCs w:val="21"/>
          <w:highlight w:val="none"/>
          <w:lang w:val="en-US" w:eastAsia="zh-CN"/>
        </w:rPr>
        <w:t>直播情况；</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项目整体理解；</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招生宣传重要资讯宣传展播；</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考生社群运营服务；</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招生资讯发布平台；</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实施方案</w:t>
      </w:r>
      <w:r>
        <w:rPr>
          <w:rFonts w:hint="eastAsia" w:ascii="宋体" w:hAnsi="宋体" w:eastAsia="宋体" w:cs="宋体"/>
          <w:color w:val="auto"/>
          <w:szCs w:val="21"/>
          <w:highlight w:val="none"/>
          <w:lang w:eastAsia="zh-CN"/>
        </w:rPr>
        <w:t>；</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及时响应情况；</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设施设备</w:t>
      </w:r>
      <w:r>
        <w:rPr>
          <w:rFonts w:hint="eastAsia" w:ascii="宋体" w:hAnsi="宋体" w:eastAsia="宋体" w:cs="宋体"/>
          <w:color w:val="auto"/>
          <w:szCs w:val="21"/>
          <w:highlight w:val="none"/>
          <w:lang w:eastAsia="zh-CN"/>
        </w:rPr>
        <w:t>；</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项目组人员情况</w:t>
      </w:r>
      <w:r>
        <w:rPr>
          <w:rFonts w:hint="eastAsia" w:ascii="宋体" w:hAnsi="宋体" w:eastAsia="宋体" w:cs="宋体"/>
          <w:color w:val="auto"/>
          <w:szCs w:val="21"/>
          <w:highlight w:val="none"/>
          <w:lang w:eastAsia="zh-CN"/>
        </w:rPr>
        <w:t>；</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 w:val="0"/>
          <w:bCs/>
          <w:color w:val="auto"/>
          <w:kern w:val="1"/>
          <w:sz w:val="21"/>
          <w:szCs w:val="21"/>
          <w:highlight w:val="none"/>
          <w:lang w:eastAsia="zh-CN"/>
        </w:rPr>
        <w:t>售后及预案服务；</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rPr>
        <w:t>优惠和承诺</w:t>
      </w:r>
      <w:r>
        <w:rPr>
          <w:rFonts w:hint="eastAsia" w:ascii="宋体" w:hAnsi="宋体" w:eastAsia="宋体" w:cs="宋体"/>
          <w:color w:val="auto"/>
          <w:szCs w:val="21"/>
          <w:highlight w:val="none"/>
          <w:lang w:eastAsia="zh-CN"/>
        </w:rPr>
        <w:t>；</w:t>
      </w:r>
    </w:p>
    <w:p>
      <w:pPr>
        <w:numPr>
          <w:ilvl w:val="0"/>
          <w:numId w:val="9"/>
        </w:numPr>
        <w:topLinePunct/>
        <w:spacing w:line="360" w:lineRule="auto"/>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1"/>
          <w:highlight w:val="none"/>
          <w:lang w:val="en-US" w:eastAsia="zh-CN"/>
        </w:rPr>
        <w:t>其他（如有）。</w:t>
      </w:r>
    </w:p>
    <w:bookmarkEnd w:id="372"/>
    <w:bookmarkEnd w:id="373"/>
    <w:p>
      <w:pPr>
        <w:pStyle w:val="5"/>
        <w:ind w:firstLine="0" w:firstLineChars="0"/>
        <w:rPr>
          <w:rFonts w:hint="eastAsia" w:ascii="宋体" w:hAnsi="宋体" w:eastAsia="宋体" w:cs="宋体"/>
          <w:color w:val="auto"/>
          <w:kern w:val="0"/>
          <w:szCs w:val="21"/>
          <w:highlight w:val="none"/>
        </w:rPr>
      </w:pPr>
    </w:p>
    <w:p>
      <w:pPr>
        <w:spacing w:line="360" w:lineRule="auto"/>
        <w:rPr>
          <w:rFonts w:hint="eastAsia" w:ascii="宋体" w:hAnsi="宋体" w:eastAsia="宋体" w:cs="宋体"/>
          <w:b/>
          <w:color w:val="auto"/>
          <w:highlight w:val="none"/>
        </w:rPr>
      </w:pPr>
    </w:p>
    <w:p>
      <w:pPr>
        <w:pStyle w:val="64"/>
        <w:ind w:firstLine="420"/>
        <w:rPr>
          <w:rFonts w:hint="eastAsia" w:ascii="宋体" w:hAnsi="宋体" w:eastAsia="宋体" w:cs="宋体"/>
          <w:color w:val="auto"/>
          <w:highlight w:val="none"/>
        </w:rPr>
      </w:pPr>
    </w:p>
    <w:p>
      <w:pPr>
        <w:pStyle w:val="5"/>
        <w:ind w:firstLine="0" w:firstLineChars="0"/>
        <w:rPr>
          <w:rFonts w:hint="eastAsia" w:ascii="宋体" w:hAnsi="宋体" w:eastAsia="宋体" w:cs="宋体"/>
          <w:color w:val="auto"/>
          <w:highlight w:val="none"/>
          <w:lang w:eastAsia="zh-CN"/>
        </w:rPr>
      </w:pPr>
      <w:bookmarkStart w:id="383" w:name="_Toc25907"/>
      <w:bookmarkStart w:id="384" w:name="_Toc8918"/>
      <w:bookmarkStart w:id="385" w:name="_Toc12034"/>
      <w:bookmarkStart w:id="386" w:name="_Toc31452"/>
      <w:bookmarkStart w:id="387" w:name="_Toc10173"/>
      <w:bookmarkStart w:id="388" w:name="_Toc21962"/>
      <w:r>
        <w:rPr>
          <w:rFonts w:hint="eastAsia" w:ascii="宋体" w:hAnsi="宋体" w:eastAsia="宋体" w:cs="宋体"/>
          <w:color w:val="auto"/>
          <w:highlight w:val="none"/>
        </w:rPr>
        <w:t>附件十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bookmarkEnd w:id="383"/>
      <w:bookmarkEnd w:id="384"/>
      <w:bookmarkEnd w:id="385"/>
      <w:bookmarkEnd w:id="386"/>
      <w:r>
        <w:rPr>
          <w:rFonts w:hint="eastAsia" w:ascii="宋体" w:hAnsi="宋体" w:eastAsia="宋体" w:cs="宋体"/>
          <w:color w:val="auto"/>
          <w:szCs w:val="21"/>
          <w:highlight w:val="none"/>
        </w:rPr>
        <w:t>投标人认为需要提供的其他资料</w:t>
      </w:r>
      <w:bookmarkEnd w:id="387"/>
      <w:bookmarkEnd w:id="388"/>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如有</w:t>
      </w:r>
      <w:r>
        <w:rPr>
          <w:rFonts w:hint="eastAsia" w:ascii="宋体" w:hAnsi="宋体" w:eastAsia="宋体" w:cs="宋体"/>
          <w:color w:val="auto"/>
          <w:szCs w:val="21"/>
          <w:highlight w:val="none"/>
          <w:lang w:eastAsia="zh-CN"/>
        </w:rPr>
        <w:t>）</w:t>
      </w:r>
    </w:p>
    <w:p>
      <w:pPr>
        <w:rPr>
          <w:rFonts w:hint="eastAsia" w:ascii="宋体" w:hAnsi="宋体" w:eastAsia="宋体" w:cs="宋体"/>
          <w:color w:val="auto"/>
          <w:highlight w:val="none"/>
        </w:rPr>
      </w:pPr>
    </w:p>
    <w:sectPr>
      <w:footerReference r:id="rId9" w:type="default"/>
      <w:footerReference r:id="rId10" w:type="even"/>
      <w:pgSz w:w="11906" w:h="16838"/>
      <w:pgMar w:top="1247" w:right="1247" w:bottom="1247" w:left="124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auto"/>
    <w:pitch w:val="default"/>
    <w:sig w:usb0="00000000" w:usb1="00000000" w:usb2="00000000" w:usb3="00000000" w:csb0="0000019F" w:csb1="00000000"/>
  </w:font>
  <w:font w:name="媅SO">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DejaVu Serif Condensed">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Optima">
    <w:altName w:val="Segoe Print"/>
    <w:panose1 w:val="00000000000000000000"/>
    <w:charset w:val="00"/>
    <w:family w:val="auto"/>
    <w:pitch w:val="default"/>
    <w:sig w:usb0="00000000" w:usb1="00000000" w:usb2="00000000" w:usb3="00000000" w:csb0="00000001" w:csb1="00000000"/>
  </w:font>
  <w:font w:name="MS UI Gothic">
    <w:panose1 w:val="020B0600070205080204"/>
    <w:charset w:val="80"/>
    <w:family w:val="swiss"/>
    <w:pitch w:val="default"/>
    <w:sig w:usb0="E00002FF" w:usb1="6AC7FDFB" w:usb2="08000012" w:usb3="00000000" w:csb0="4002009F" w:csb1="DFD70000"/>
  </w:font>
  <w:font w:name="Romantic">
    <w:panose1 w:val="00000400000000000000"/>
    <w:charset w:val="02"/>
    <w:family w:val="auto"/>
    <w:pitch w:val="default"/>
    <w:sig w:usb0="00000000" w:usb1="00000000" w:usb2="00000000" w:usb3="00000000" w:csb0="00000000" w:csb1="00000000"/>
  </w:font>
  <w:font w:name="微软大黑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901"/>
      </w:tabs>
      <w:ind w:right="105"/>
      <w:rPr>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tabs>
        <w:tab w:val="right" w:pos="9901"/>
      </w:tabs>
      <w:ind w:right="105"/>
      <w:rPr>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p>
  <w:p>
    <w:pPr>
      <w:pStyle w:val="33"/>
      <w:framePr w:wrap="around" w:vAnchor="text" w:hAnchor="page" w:x="6439" w:y="332"/>
      <w:jc w:val="center"/>
      <w:rPr>
        <w:rStyle w:val="59"/>
      </w:rPr>
    </w:pPr>
  </w:p>
  <w:p>
    <w:pPr>
      <w:pStyle w:val="33"/>
    </w:pPr>
    <w:r>
      <mc:AlternateContent>
        <mc:Choice Requires="wps">
          <w:drawing>
            <wp:anchor distT="0" distB="0" distL="114300" distR="114300" simplePos="0" relativeHeight="251659264" behindDoc="0" locked="0" layoutInCell="1" allowOverlap="1">
              <wp:simplePos x="0" y="0"/>
              <wp:positionH relativeFrom="column">
                <wp:posOffset>-7467600</wp:posOffset>
              </wp:positionH>
              <wp:positionV relativeFrom="paragraph">
                <wp:posOffset>142875</wp:posOffset>
              </wp:positionV>
              <wp:extent cx="6067425" cy="0"/>
              <wp:effectExtent l="0" t="0" r="0" b="0"/>
              <wp:wrapNone/>
              <wp:docPr id="3" name="直线 1"/>
              <wp:cNvGraphicFramePr/>
              <a:graphic xmlns:a="http://schemas.openxmlformats.org/drawingml/2006/main">
                <a:graphicData uri="http://schemas.microsoft.com/office/word/2010/wordprocessingShape">
                  <wps:wsp>
                    <wps:cNvCnPr/>
                    <wps:spPr>
                      <a:xfrm>
                        <a:off x="0" y="0"/>
                        <a:ext cx="6067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588pt;margin-top:11.25pt;height:0pt;width:477.75pt;z-index:251659264;mso-width-relative:page;mso-height-relative:page;" filled="f" stroked="t" coordsize="21600,21600" o:gfxdata="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7Pw+dkAAAAMAQAA&#10;DwAAAAAAAAABACAAAAAiAAAAZHJzL2Rvd25yZXYueG1sUEsBAhQAFAAAAAgAh07iQOVwR0ffAQAA&#10;zwMAAA4AAAAAAAAAAQAgAAAAKAEAAGRycy9lMm9Eb2MueG1sUEsFBgAAAAAGAAYAWQEAAHkFAAAA&#10;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3"/>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9"/>
      </w:rPr>
    </w:pPr>
    <w:r>
      <w:fldChar w:fldCharType="begin"/>
    </w:r>
    <w:r>
      <w:rPr>
        <w:rStyle w:val="59"/>
      </w:rPr>
      <w:instrText xml:space="preserve">PAGE  </w:instrText>
    </w:r>
    <w:r>
      <w:fldChar w:fldCharType="end"/>
    </w:r>
  </w:p>
  <w:p>
    <w:pPr>
      <w:pStyle w:val="3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2"/>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0F1EB"/>
    <w:multiLevelType w:val="singleLevel"/>
    <w:tmpl w:val="8360F1EB"/>
    <w:lvl w:ilvl="0" w:tentative="0">
      <w:start w:val="1"/>
      <w:numFmt w:val="decimal"/>
      <w:suff w:val="space"/>
      <w:lvlText w:val="%1."/>
      <w:lvlJc w:val="left"/>
    </w:lvl>
  </w:abstractNum>
  <w:abstractNum w:abstractNumId="1">
    <w:nsid w:val="A24CE045"/>
    <w:multiLevelType w:val="singleLevel"/>
    <w:tmpl w:val="A24CE045"/>
    <w:lvl w:ilvl="0" w:tentative="0">
      <w:start w:val="1"/>
      <w:numFmt w:val="decimal"/>
      <w:suff w:val="nothing"/>
      <w:lvlText w:val="（%1）"/>
      <w:lvlJc w:val="left"/>
    </w:lvl>
  </w:abstractNum>
  <w:abstractNum w:abstractNumId="2">
    <w:nsid w:val="B5DFFFB5"/>
    <w:multiLevelType w:val="singleLevel"/>
    <w:tmpl w:val="B5DFFFB5"/>
    <w:lvl w:ilvl="0" w:tentative="0">
      <w:start w:val="1"/>
      <w:numFmt w:val="decimal"/>
      <w:suff w:val="nothing"/>
      <w:lvlText w:val="（%1）"/>
      <w:lvlJc w:val="left"/>
    </w:lvl>
  </w:abstractNum>
  <w:abstractNum w:abstractNumId="3">
    <w:nsid w:val="C6C28C6D"/>
    <w:multiLevelType w:val="singleLevel"/>
    <w:tmpl w:val="C6C28C6D"/>
    <w:lvl w:ilvl="0" w:tentative="0">
      <w:start w:val="4"/>
      <w:numFmt w:val="chineseCounting"/>
      <w:suff w:val="nothing"/>
      <w:lvlText w:val="%1、"/>
      <w:lvlJc w:val="left"/>
      <w:rPr>
        <w:rFonts w:hint="eastAsia"/>
      </w:rPr>
    </w:lvl>
  </w:abstractNum>
  <w:abstractNum w:abstractNumId="4">
    <w:nsid w:val="F9ED193D"/>
    <w:multiLevelType w:val="singleLevel"/>
    <w:tmpl w:val="F9ED193D"/>
    <w:lvl w:ilvl="0" w:tentative="0">
      <w:start w:val="1"/>
      <w:numFmt w:val="decimal"/>
      <w:suff w:val="nothing"/>
      <w:lvlText w:val="%1、"/>
      <w:lvlJc w:val="left"/>
    </w:lvl>
  </w:abstractNum>
  <w:abstractNum w:abstractNumId="5">
    <w:nsid w:val="0000001F"/>
    <w:multiLevelType w:val="multilevel"/>
    <w:tmpl w:val="0000001F"/>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13F7EDCC"/>
    <w:multiLevelType w:val="singleLevel"/>
    <w:tmpl w:val="13F7EDCC"/>
    <w:lvl w:ilvl="0" w:tentative="0">
      <w:start w:val="10"/>
      <w:numFmt w:val="chineseCounting"/>
      <w:suff w:val="nothing"/>
      <w:lvlText w:val="%1、"/>
      <w:lvlJc w:val="left"/>
      <w:rPr>
        <w:rFonts w:hint="eastAsia"/>
      </w:rPr>
    </w:lvl>
  </w:abstractNum>
  <w:abstractNum w:abstractNumId="7">
    <w:nsid w:val="5EAEB1CF"/>
    <w:multiLevelType w:val="singleLevel"/>
    <w:tmpl w:val="5EAEB1CF"/>
    <w:lvl w:ilvl="0" w:tentative="0">
      <w:start w:val="2"/>
      <w:numFmt w:val="decimal"/>
      <w:suff w:val="nothing"/>
      <w:lvlText w:val="%1、"/>
      <w:lvlJc w:val="left"/>
    </w:lvl>
  </w:abstractNum>
  <w:abstractNum w:abstractNumId="8">
    <w:nsid w:val="6F45371A"/>
    <w:multiLevelType w:val="multilevel"/>
    <w:tmpl w:val="6F45371A"/>
    <w:lvl w:ilvl="0" w:tentative="0">
      <w:start w:val="1"/>
      <w:numFmt w:val="decimal"/>
      <w:lvlText w:val="%1） "/>
      <w:lvlJc w:val="left"/>
      <w:pPr>
        <w:tabs>
          <w:tab w:val="left" w:pos="744"/>
        </w:tabs>
        <w:ind w:left="290" w:firstLine="420"/>
      </w:pPr>
      <w:rPr>
        <w:rFonts w:hint="eastAsia" w:ascii="宋体" w:hAnsi="宋体"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A9"/>
    <w:rsid w:val="00003D9D"/>
    <w:rsid w:val="00004C03"/>
    <w:rsid w:val="00004F21"/>
    <w:rsid w:val="00005314"/>
    <w:rsid w:val="00005745"/>
    <w:rsid w:val="00007262"/>
    <w:rsid w:val="00011008"/>
    <w:rsid w:val="000112DE"/>
    <w:rsid w:val="000125C5"/>
    <w:rsid w:val="00012903"/>
    <w:rsid w:val="00012B45"/>
    <w:rsid w:val="00013BB8"/>
    <w:rsid w:val="00013BC2"/>
    <w:rsid w:val="000142FB"/>
    <w:rsid w:val="000155DC"/>
    <w:rsid w:val="00015A0F"/>
    <w:rsid w:val="00016B37"/>
    <w:rsid w:val="000173BA"/>
    <w:rsid w:val="00017A51"/>
    <w:rsid w:val="000204E7"/>
    <w:rsid w:val="000238C5"/>
    <w:rsid w:val="00024958"/>
    <w:rsid w:val="00024CFF"/>
    <w:rsid w:val="00027B81"/>
    <w:rsid w:val="00030CD7"/>
    <w:rsid w:val="00030DC7"/>
    <w:rsid w:val="00030E2E"/>
    <w:rsid w:val="00032C8C"/>
    <w:rsid w:val="000330F8"/>
    <w:rsid w:val="00033CE3"/>
    <w:rsid w:val="0003418A"/>
    <w:rsid w:val="00034B8C"/>
    <w:rsid w:val="00036C4A"/>
    <w:rsid w:val="000372CB"/>
    <w:rsid w:val="0003745E"/>
    <w:rsid w:val="000377FE"/>
    <w:rsid w:val="00037F88"/>
    <w:rsid w:val="000435BF"/>
    <w:rsid w:val="00043755"/>
    <w:rsid w:val="000441A9"/>
    <w:rsid w:val="00044C9F"/>
    <w:rsid w:val="00046E25"/>
    <w:rsid w:val="00050207"/>
    <w:rsid w:val="000505C6"/>
    <w:rsid w:val="00053255"/>
    <w:rsid w:val="000538BB"/>
    <w:rsid w:val="00053C5A"/>
    <w:rsid w:val="00053DE2"/>
    <w:rsid w:val="0005465A"/>
    <w:rsid w:val="00054941"/>
    <w:rsid w:val="000570B3"/>
    <w:rsid w:val="00057BC0"/>
    <w:rsid w:val="00057E66"/>
    <w:rsid w:val="00057F4D"/>
    <w:rsid w:val="000616C5"/>
    <w:rsid w:val="00061EB1"/>
    <w:rsid w:val="00061F88"/>
    <w:rsid w:val="000622F9"/>
    <w:rsid w:val="00066C2F"/>
    <w:rsid w:val="000671E8"/>
    <w:rsid w:val="00067991"/>
    <w:rsid w:val="00071099"/>
    <w:rsid w:val="000732EE"/>
    <w:rsid w:val="00073F05"/>
    <w:rsid w:val="00073F49"/>
    <w:rsid w:val="00075695"/>
    <w:rsid w:val="00076574"/>
    <w:rsid w:val="000779F3"/>
    <w:rsid w:val="00081B8F"/>
    <w:rsid w:val="00081E67"/>
    <w:rsid w:val="000854BE"/>
    <w:rsid w:val="000858D4"/>
    <w:rsid w:val="00086CE2"/>
    <w:rsid w:val="0009036C"/>
    <w:rsid w:val="00090482"/>
    <w:rsid w:val="00092BF0"/>
    <w:rsid w:val="000938FB"/>
    <w:rsid w:val="00096B06"/>
    <w:rsid w:val="000A0A92"/>
    <w:rsid w:val="000A0D78"/>
    <w:rsid w:val="000A25A7"/>
    <w:rsid w:val="000A2741"/>
    <w:rsid w:val="000A3AE2"/>
    <w:rsid w:val="000A4409"/>
    <w:rsid w:val="000A475D"/>
    <w:rsid w:val="000A5B93"/>
    <w:rsid w:val="000A5E17"/>
    <w:rsid w:val="000A7057"/>
    <w:rsid w:val="000A7899"/>
    <w:rsid w:val="000B22D5"/>
    <w:rsid w:val="000B2BF3"/>
    <w:rsid w:val="000B2C14"/>
    <w:rsid w:val="000B353A"/>
    <w:rsid w:val="000B4AF9"/>
    <w:rsid w:val="000C0C04"/>
    <w:rsid w:val="000C1181"/>
    <w:rsid w:val="000C1BDE"/>
    <w:rsid w:val="000C1E8F"/>
    <w:rsid w:val="000C21C8"/>
    <w:rsid w:val="000C339C"/>
    <w:rsid w:val="000C4224"/>
    <w:rsid w:val="000C6ED8"/>
    <w:rsid w:val="000C7B9A"/>
    <w:rsid w:val="000D0AC9"/>
    <w:rsid w:val="000D118E"/>
    <w:rsid w:val="000D11C8"/>
    <w:rsid w:val="000D2736"/>
    <w:rsid w:val="000D2BF4"/>
    <w:rsid w:val="000D328C"/>
    <w:rsid w:val="000D3409"/>
    <w:rsid w:val="000E01AF"/>
    <w:rsid w:val="000E1DAD"/>
    <w:rsid w:val="000E25FD"/>
    <w:rsid w:val="000E28A3"/>
    <w:rsid w:val="000E3A64"/>
    <w:rsid w:val="000E3D90"/>
    <w:rsid w:val="000E4DCC"/>
    <w:rsid w:val="000E4E81"/>
    <w:rsid w:val="000E7604"/>
    <w:rsid w:val="000F0C5E"/>
    <w:rsid w:val="000F1004"/>
    <w:rsid w:val="000F1AA6"/>
    <w:rsid w:val="000F3B14"/>
    <w:rsid w:val="000F4255"/>
    <w:rsid w:val="000F63DA"/>
    <w:rsid w:val="000F7CE8"/>
    <w:rsid w:val="00101AAC"/>
    <w:rsid w:val="00101D53"/>
    <w:rsid w:val="00101E76"/>
    <w:rsid w:val="00104B0E"/>
    <w:rsid w:val="001105B7"/>
    <w:rsid w:val="00111333"/>
    <w:rsid w:val="00111536"/>
    <w:rsid w:val="00111F77"/>
    <w:rsid w:val="00112757"/>
    <w:rsid w:val="00112BE8"/>
    <w:rsid w:val="00112E46"/>
    <w:rsid w:val="001130C9"/>
    <w:rsid w:val="001133C9"/>
    <w:rsid w:val="0011392A"/>
    <w:rsid w:val="00113D02"/>
    <w:rsid w:val="00115FBF"/>
    <w:rsid w:val="00116E73"/>
    <w:rsid w:val="00117820"/>
    <w:rsid w:val="00120ECD"/>
    <w:rsid w:val="00121BFA"/>
    <w:rsid w:val="00123652"/>
    <w:rsid w:val="001237F8"/>
    <w:rsid w:val="001239EF"/>
    <w:rsid w:val="00124441"/>
    <w:rsid w:val="0012546F"/>
    <w:rsid w:val="001279F3"/>
    <w:rsid w:val="00127F70"/>
    <w:rsid w:val="00131131"/>
    <w:rsid w:val="00131AA7"/>
    <w:rsid w:val="00131B43"/>
    <w:rsid w:val="0013241D"/>
    <w:rsid w:val="0013278C"/>
    <w:rsid w:val="00132ACE"/>
    <w:rsid w:val="00134C8B"/>
    <w:rsid w:val="00135AC9"/>
    <w:rsid w:val="0013720E"/>
    <w:rsid w:val="00141C2D"/>
    <w:rsid w:val="00141D9C"/>
    <w:rsid w:val="00141FDE"/>
    <w:rsid w:val="00142092"/>
    <w:rsid w:val="001457F4"/>
    <w:rsid w:val="00145AB3"/>
    <w:rsid w:val="00146AE3"/>
    <w:rsid w:val="00146EB9"/>
    <w:rsid w:val="00147C36"/>
    <w:rsid w:val="00150E35"/>
    <w:rsid w:val="00151042"/>
    <w:rsid w:val="00151BEF"/>
    <w:rsid w:val="00152261"/>
    <w:rsid w:val="0015430F"/>
    <w:rsid w:val="00154C82"/>
    <w:rsid w:val="00156F82"/>
    <w:rsid w:val="00157220"/>
    <w:rsid w:val="001578F1"/>
    <w:rsid w:val="00157E3F"/>
    <w:rsid w:val="0016053C"/>
    <w:rsid w:val="001609C4"/>
    <w:rsid w:val="0016131B"/>
    <w:rsid w:val="001617A6"/>
    <w:rsid w:val="00162C2E"/>
    <w:rsid w:val="00166219"/>
    <w:rsid w:val="00166710"/>
    <w:rsid w:val="001669C6"/>
    <w:rsid w:val="00166D2C"/>
    <w:rsid w:val="00170591"/>
    <w:rsid w:val="00172A27"/>
    <w:rsid w:val="00172F14"/>
    <w:rsid w:val="00174EFF"/>
    <w:rsid w:val="00177FEE"/>
    <w:rsid w:val="0018042F"/>
    <w:rsid w:val="00180448"/>
    <w:rsid w:val="00181238"/>
    <w:rsid w:val="0018127A"/>
    <w:rsid w:val="00181435"/>
    <w:rsid w:val="00181612"/>
    <w:rsid w:val="0018329A"/>
    <w:rsid w:val="0018347A"/>
    <w:rsid w:val="0018541B"/>
    <w:rsid w:val="00185656"/>
    <w:rsid w:val="00185C8C"/>
    <w:rsid w:val="00185FCB"/>
    <w:rsid w:val="00186EED"/>
    <w:rsid w:val="00187021"/>
    <w:rsid w:val="00187AB1"/>
    <w:rsid w:val="0019168F"/>
    <w:rsid w:val="001926BD"/>
    <w:rsid w:val="00193AC3"/>
    <w:rsid w:val="001967A2"/>
    <w:rsid w:val="00197DEB"/>
    <w:rsid w:val="00197F91"/>
    <w:rsid w:val="001A1126"/>
    <w:rsid w:val="001A1332"/>
    <w:rsid w:val="001A1FFA"/>
    <w:rsid w:val="001A4B82"/>
    <w:rsid w:val="001A4C27"/>
    <w:rsid w:val="001A4E17"/>
    <w:rsid w:val="001A5668"/>
    <w:rsid w:val="001A6E27"/>
    <w:rsid w:val="001B00BE"/>
    <w:rsid w:val="001B09F1"/>
    <w:rsid w:val="001B12E3"/>
    <w:rsid w:val="001B24D8"/>
    <w:rsid w:val="001B603D"/>
    <w:rsid w:val="001B67FE"/>
    <w:rsid w:val="001B69B1"/>
    <w:rsid w:val="001C0138"/>
    <w:rsid w:val="001C015D"/>
    <w:rsid w:val="001C073E"/>
    <w:rsid w:val="001C17C0"/>
    <w:rsid w:val="001C207E"/>
    <w:rsid w:val="001C2270"/>
    <w:rsid w:val="001C2C5B"/>
    <w:rsid w:val="001C516C"/>
    <w:rsid w:val="001C527B"/>
    <w:rsid w:val="001C52E1"/>
    <w:rsid w:val="001C79F9"/>
    <w:rsid w:val="001D04BB"/>
    <w:rsid w:val="001D1F3F"/>
    <w:rsid w:val="001D31A0"/>
    <w:rsid w:val="001D3405"/>
    <w:rsid w:val="001D39CA"/>
    <w:rsid w:val="001D4A32"/>
    <w:rsid w:val="001D4AD3"/>
    <w:rsid w:val="001D5625"/>
    <w:rsid w:val="001D60A9"/>
    <w:rsid w:val="001D67F8"/>
    <w:rsid w:val="001E0AF8"/>
    <w:rsid w:val="001E2480"/>
    <w:rsid w:val="001E2CD7"/>
    <w:rsid w:val="001E3289"/>
    <w:rsid w:val="001E3E2A"/>
    <w:rsid w:val="001E4734"/>
    <w:rsid w:val="001E58E7"/>
    <w:rsid w:val="001E72D1"/>
    <w:rsid w:val="001E7A26"/>
    <w:rsid w:val="001E7F6D"/>
    <w:rsid w:val="001E7FB0"/>
    <w:rsid w:val="001F017F"/>
    <w:rsid w:val="001F01E8"/>
    <w:rsid w:val="001F1F20"/>
    <w:rsid w:val="001F23FF"/>
    <w:rsid w:val="001F3724"/>
    <w:rsid w:val="001F4EBA"/>
    <w:rsid w:val="00200D62"/>
    <w:rsid w:val="00201286"/>
    <w:rsid w:val="00201713"/>
    <w:rsid w:val="0020196C"/>
    <w:rsid w:val="00201DA0"/>
    <w:rsid w:val="0020203B"/>
    <w:rsid w:val="00204611"/>
    <w:rsid w:val="00205C90"/>
    <w:rsid w:val="0020683B"/>
    <w:rsid w:val="002077CB"/>
    <w:rsid w:val="0021194D"/>
    <w:rsid w:val="00213A60"/>
    <w:rsid w:val="00213D80"/>
    <w:rsid w:val="002149C4"/>
    <w:rsid w:val="00215D4B"/>
    <w:rsid w:val="0021699F"/>
    <w:rsid w:val="00217736"/>
    <w:rsid w:val="00222314"/>
    <w:rsid w:val="00222BF7"/>
    <w:rsid w:val="0022435F"/>
    <w:rsid w:val="002262DA"/>
    <w:rsid w:val="00227924"/>
    <w:rsid w:val="00230170"/>
    <w:rsid w:val="00230346"/>
    <w:rsid w:val="00230C8B"/>
    <w:rsid w:val="002310CE"/>
    <w:rsid w:val="00231B6F"/>
    <w:rsid w:val="00231EFA"/>
    <w:rsid w:val="0023280F"/>
    <w:rsid w:val="00232D93"/>
    <w:rsid w:val="002333CE"/>
    <w:rsid w:val="002344CE"/>
    <w:rsid w:val="00235AD8"/>
    <w:rsid w:val="00236496"/>
    <w:rsid w:val="00236BFF"/>
    <w:rsid w:val="00241A1D"/>
    <w:rsid w:val="00241B08"/>
    <w:rsid w:val="00241C10"/>
    <w:rsid w:val="002420F6"/>
    <w:rsid w:val="00242664"/>
    <w:rsid w:val="00245586"/>
    <w:rsid w:val="002455DB"/>
    <w:rsid w:val="0024715B"/>
    <w:rsid w:val="00247345"/>
    <w:rsid w:val="00251CD6"/>
    <w:rsid w:val="00253693"/>
    <w:rsid w:val="00253C2C"/>
    <w:rsid w:val="002546E8"/>
    <w:rsid w:val="002550EF"/>
    <w:rsid w:val="00255786"/>
    <w:rsid w:val="00256C97"/>
    <w:rsid w:val="00260515"/>
    <w:rsid w:val="00260C14"/>
    <w:rsid w:val="00262DD1"/>
    <w:rsid w:val="00263C18"/>
    <w:rsid w:val="0026422E"/>
    <w:rsid w:val="00265346"/>
    <w:rsid w:val="002668C0"/>
    <w:rsid w:val="00266D73"/>
    <w:rsid w:val="00267FE1"/>
    <w:rsid w:val="00270497"/>
    <w:rsid w:val="002708A2"/>
    <w:rsid w:val="00270B85"/>
    <w:rsid w:val="00270C00"/>
    <w:rsid w:val="00270EB2"/>
    <w:rsid w:val="00271222"/>
    <w:rsid w:val="002715DD"/>
    <w:rsid w:val="002722FD"/>
    <w:rsid w:val="00272FFD"/>
    <w:rsid w:val="00274A0F"/>
    <w:rsid w:val="0027669F"/>
    <w:rsid w:val="0027731A"/>
    <w:rsid w:val="00277D65"/>
    <w:rsid w:val="00280B0C"/>
    <w:rsid w:val="00281D25"/>
    <w:rsid w:val="00282EDE"/>
    <w:rsid w:val="00284DEA"/>
    <w:rsid w:val="002857AA"/>
    <w:rsid w:val="00285F13"/>
    <w:rsid w:val="00286E93"/>
    <w:rsid w:val="00290065"/>
    <w:rsid w:val="00295434"/>
    <w:rsid w:val="00295CF2"/>
    <w:rsid w:val="002970F1"/>
    <w:rsid w:val="002A1558"/>
    <w:rsid w:val="002A1FA3"/>
    <w:rsid w:val="002A3875"/>
    <w:rsid w:val="002A5CF6"/>
    <w:rsid w:val="002A76C3"/>
    <w:rsid w:val="002A7A84"/>
    <w:rsid w:val="002B3533"/>
    <w:rsid w:val="002B5AF5"/>
    <w:rsid w:val="002B5ED9"/>
    <w:rsid w:val="002B6274"/>
    <w:rsid w:val="002C19DF"/>
    <w:rsid w:val="002C2234"/>
    <w:rsid w:val="002C391A"/>
    <w:rsid w:val="002C512D"/>
    <w:rsid w:val="002C5501"/>
    <w:rsid w:val="002C59C8"/>
    <w:rsid w:val="002C5CED"/>
    <w:rsid w:val="002D0490"/>
    <w:rsid w:val="002D0F52"/>
    <w:rsid w:val="002D0FBA"/>
    <w:rsid w:val="002D335B"/>
    <w:rsid w:val="002D3637"/>
    <w:rsid w:val="002D4FB0"/>
    <w:rsid w:val="002D5EF6"/>
    <w:rsid w:val="002D7148"/>
    <w:rsid w:val="002E19A3"/>
    <w:rsid w:val="002E21E9"/>
    <w:rsid w:val="002E3062"/>
    <w:rsid w:val="002E3BCC"/>
    <w:rsid w:val="002E6037"/>
    <w:rsid w:val="002E6D90"/>
    <w:rsid w:val="002F0142"/>
    <w:rsid w:val="002F0305"/>
    <w:rsid w:val="002F0366"/>
    <w:rsid w:val="002F05E4"/>
    <w:rsid w:val="002F23E2"/>
    <w:rsid w:val="002F28BA"/>
    <w:rsid w:val="002F3F57"/>
    <w:rsid w:val="002F6D28"/>
    <w:rsid w:val="003001AA"/>
    <w:rsid w:val="00300C48"/>
    <w:rsid w:val="00300FAD"/>
    <w:rsid w:val="00303A18"/>
    <w:rsid w:val="00303FEA"/>
    <w:rsid w:val="00307F01"/>
    <w:rsid w:val="00310DC2"/>
    <w:rsid w:val="00310EB0"/>
    <w:rsid w:val="003119D4"/>
    <w:rsid w:val="00311A34"/>
    <w:rsid w:val="00312F41"/>
    <w:rsid w:val="003135E4"/>
    <w:rsid w:val="0031436F"/>
    <w:rsid w:val="00314DA7"/>
    <w:rsid w:val="00315C12"/>
    <w:rsid w:val="00316130"/>
    <w:rsid w:val="0031719C"/>
    <w:rsid w:val="0031798B"/>
    <w:rsid w:val="00317BF9"/>
    <w:rsid w:val="00320C62"/>
    <w:rsid w:val="0032130A"/>
    <w:rsid w:val="00321512"/>
    <w:rsid w:val="0032155E"/>
    <w:rsid w:val="00323456"/>
    <w:rsid w:val="00325005"/>
    <w:rsid w:val="00326389"/>
    <w:rsid w:val="00330DD4"/>
    <w:rsid w:val="0033546F"/>
    <w:rsid w:val="00335804"/>
    <w:rsid w:val="0033649B"/>
    <w:rsid w:val="00340485"/>
    <w:rsid w:val="00340578"/>
    <w:rsid w:val="00342EC1"/>
    <w:rsid w:val="00343041"/>
    <w:rsid w:val="00343BCF"/>
    <w:rsid w:val="0034552F"/>
    <w:rsid w:val="00346086"/>
    <w:rsid w:val="00346F10"/>
    <w:rsid w:val="00347881"/>
    <w:rsid w:val="003478B5"/>
    <w:rsid w:val="00347EC9"/>
    <w:rsid w:val="00352475"/>
    <w:rsid w:val="00352DA0"/>
    <w:rsid w:val="00355BA2"/>
    <w:rsid w:val="00356D62"/>
    <w:rsid w:val="0035705D"/>
    <w:rsid w:val="003576A2"/>
    <w:rsid w:val="003578A4"/>
    <w:rsid w:val="00357E81"/>
    <w:rsid w:val="00361547"/>
    <w:rsid w:val="00361BAB"/>
    <w:rsid w:val="00362600"/>
    <w:rsid w:val="0036273D"/>
    <w:rsid w:val="003648BC"/>
    <w:rsid w:val="003678F8"/>
    <w:rsid w:val="00367F1B"/>
    <w:rsid w:val="003705C1"/>
    <w:rsid w:val="00370F55"/>
    <w:rsid w:val="00371C74"/>
    <w:rsid w:val="00371D69"/>
    <w:rsid w:val="003734C3"/>
    <w:rsid w:val="00373D53"/>
    <w:rsid w:val="00374252"/>
    <w:rsid w:val="00374A59"/>
    <w:rsid w:val="00380484"/>
    <w:rsid w:val="003806A4"/>
    <w:rsid w:val="0038125E"/>
    <w:rsid w:val="003816E8"/>
    <w:rsid w:val="00381834"/>
    <w:rsid w:val="003823E1"/>
    <w:rsid w:val="00383E1E"/>
    <w:rsid w:val="00383F63"/>
    <w:rsid w:val="00384ACA"/>
    <w:rsid w:val="00384FFD"/>
    <w:rsid w:val="00385FC9"/>
    <w:rsid w:val="003869C4"/>
    <w:rsid w:val="00386F23"/>
    <w:rsid w:val="00387D20"/>
    <w:rsid w:val="00390B88"/>
    <w:rsid w:val="00392290"/>
    <w:rsid w:val="00393458"/>
    <w:rsid w:val="003947B4"/>
    <w:rsid w:val="003959BD"/>
    <w:rsid w:val="003A0EC8"/>
    <w:rsid w:val="003A1C3C"/>
    <w:rsid w:val="003A2A0A"/>
    <w:rsid w:val="003A2CD4"/>
    <w:rsid w:val="003A2E40"/>
    <w:rsid w:val="003A303C"/>
    <w:rsid w:val="003A4D9A"/>
    <w:rsid w:val="003A4EF3"/>
    <w:rsid w:val="003A5912"/>
    <w:rsid w:val="003A7369"/>
    <w:rsid w:val="003B23A5"/>
    <w:rsid w:val="003B3AF4"/>
    <w:rsid w:val="003B4F6E"/>
    <w:rsid w:val="003B5397"/>
    <w:rsid w:val="003B5D0A"/>
    <w:rsid w:val="003B6468"/>
    <w:rsid w:val="003B6D1D"/>
    <w:rsid w:val="003B73F4"/>
    <w:rsid w:val="003B7557"/>
    <w:rsid w:val="003B782D"/>
    <w:rsid w:val="003C09AD"/>
    <w:rsid w:val="003C26DA"/>
    <w:rsid w:val="003C4935"/>
    <w:rsid w:val="003C5572"/>
    <w:rsid w:val="003C6D82"/>
    <w:rsid w:val="003C725B"/>
    <w:rsid w:val="003C7E14"/>
    <w:rsid w:val="003D054C"/>
    <w:rsid w:val="003D07E4"/>
    <w:rsid w:val="003D0868"/>
    <w:rsid w:val="003D0A89"/>
    <w:rsid w:val="003D27FC"/>
    <w:rsid w:val="003D3AB2"/>
    <w:rsid w:val="003D4DB5"/>
    <w:rsid w:val="003D678C"/>
    <w:rsid w:val="003D6A0A"/>
    <w:rsid w:val="003E24A2"/>
    <w:rsid w:val="003E3ED8"/>
    <w:rsid w:val="003E495C"/>
    <w:rsid w:val="003E5A2D"/>
    <w:rsid w:val="003E6A18"/>
    <w:rsid w:val="003E6DDE"/>
    <w:rsid w:val="003E6E5D"/>
    <w:rsid w:val="003F0EC8"/>
    <w:rsid w:val="003F20C3"/>
    <w:rsid w:val="003F2CE1"/>
    <w:rsid w:val="003F4234"/>
    <w:rsid w:val="003F432F"/>
    <w:rsid w:val="003F4494"/>
    <w:rsid w:val="003F4AFC"/>
    <w:rsid w:val="003F4BE4"/>
    <w:rsid w:val="003F4DAC"/>
    <w:rsid w:val="003F6742"/>
    <w:rsid w:val="003F7775"/>
    <w:rsid w:val="00400C53"/>
    <w:rsid w:val="00401716"/>
    <w:rsid w:val="00401E7B"/>
    <w:rsid w:val="004021F3"/>
    <w:rsid w:val="00402597"/>
    <w:rsid w:val="0040299B"/>
    <w:rsid w:val="00402C16"/>
    <w:rsid w:val="00404EF7"/>
    <w:rsid w:val="004066D0"/>
    <w:rsid w:val="004073A4"/>
    <w:rsid w:val="0040794A"/>
    <w:rsid w:val="0041019E"/>
    <w:rsid w:val="00410B30"/>
    <w:rsid w:val="004119A6"/>
    <w:rsid w:val="00412626"/>
    <w:rsid w:val="00414F5D"/>
    <w:rsid w:val="00415CAB"/>
    <w:rsid w:val="0041659B"/>
    <w:rsid w:val="004166F5"/>
    <w:rsid w:val="00416728"/>
    <w:rsid w:val="004167F0"/>
    <w:rsid w:val="004211B5"/>
    <w:rsid w:val="00423576"/>
    <w:rsid w:val="00423BBE"/>
    <w:rsid w:val="004243BA"/>
    <w:rsid w:val="004243DE"/>
    <w:rsid w:val="0042634E"/>
    <w:rsid w:val="00426A1F"/>
    <w:rsid w:val="00427F96"/>
    <w:rsid w:val="004308A2"/>
    <w:rsid w:val="00433344"/>
    <w:rsid w:val="004335BF"/>
    <w:rsid w:val="00433ECA"/>
    <w:rsid w:val="00434BBC"/>
    <w:rsid w:val="0043616F"/>
    <w:rsid w:val="00436796"/>
    <w:rsid w:val="0043736D"/>
    <w:rsid w:val="00440FD4"/>
    <w:rsid w:val="004424A5"/>
    <w:rsid w:val="00443E6A"/>
    <w:rsid w:val="00445435"/>
    <w:rsid w:val="00447EBF"/>
    <w:rsid w:val="004509CD"/>
    <w:rsid w:val="00450B84"/>
    <w:rsid w:val="0045146B"/>
    <w:rsid w:val="00451BBB"/>
    <w:rsid w:val="00452DEB"/>
    <w:rsid w:val="00453896"/>
    <w:rsid w:val="00453E8B"/>
    <w:rsid w:val="004546BF"/>
    <w:rsid w:val="00455F19"/>
    <w:rsid w:val="004574F0"/>
    <w:rsid w:val="00457945"/>
    <w:rsid w:val="004606E3"/>
    <w:rsid w:val="00460844"/>
    <w:rsid w:val="0046104D"/>
    <w:rsid w:val="00462676"/>
    <w:rsid w:val="004653EA"/>
    <w:rsid w:val="004679D8"/>
    <w:rsid w:val="00470BCF"/>
    <w:rsid w:val="00474535"/>
    <w:rsid w:val="0047520C"/>
    <w:rsid w:val="00475DFF"/>
    <w:rsid w:val="00476C28"/>
    <w:rsid w:val="004808E6"/>
    <w:rsid w:val="00480957"/>
    <w:rsid w:val="00483460"/>
    <w:rsid w:val="00485D5E"/>
    <w:rsid w:val="0048640F"/>
    <w:rsid w:val="00486CC5"/>
    <w:rsid w:val="00486E62"/>
    <w:rsid w:val="004910F1"/>
    <w:rsid w:val="004916A6"/>
    <w:rsid w:val="00492A90"/>
    <w:rsid w:val="004935EF"/>
    <w:rsid w:val="004941AD"/>
    <w:rsid w:val="00495343"/>
    <w:rsid w:val="004A001D"/>
    <w:rsid w:val="004A015A"/>
    <w:rsid w:val="004A19E9"/>
    <w:rsid w:val="004A22DC"/>
    <w:rsid w:val="004A3033"/>
    <w:rsid w:val="004A4002"/>
    <w:rsid w:val="004A45E9"/>
    <w:rsid w:val="004A5500"/>
    <w:rsid w:val="004A5A45"/>
    <w:rsid w:val="004A620C"/>
    <w:rsid w:val="004B0034"/>
    <w:rsid w:val="004B0FB0"/>
    <w:rsid w:val="004B220C"/>
    <w:rsid w:val="004B4752"/>
    <w:rsid w:val="004B4C01"/>
    <w:rsid w:val="004B55F3"/>
    <w:rsid w:val="004B6D3E"/>
    <w:rsid w:val="004C0A4E"/>
    <w:rsid w:val="004C0D78"/>
    <w:rsid w:val="004C1778"/>
    <w:rsid w:val="004C1A50"/>
    <w:rsid w:val="004C2841"/>
    <w:rsid w:val="004C32C0"/>
    <w:rsid w:val="004C509F"/>
    <w:rsid w:val="004C68AD"/>
    <w:rsid w:val="004C7489"/>
    <w:rsid w:val="004C7A6E"/>
    <w:rsid w:val="004C7C21"/>
    <w:rsid w:val="004D0B39"/>
    <w:rsid w:val="004D0CB0"/>
    <w:rsid w:val="004D1C9F"/>
    <w:rsid w:val="004D352F"/>
    <w:rsid w:val="004D4ADD"/>
    <w:rsid w:val="004D528F"/>
    <w:rsid w:val="004D5B71"/>
    <w:rsid w:val="004D613B"/>
    <w:rsid w:val="004D66A4"/>
    <w:rsid w:val="004D681D"/>
    <w:rsid w:val="004D6F13"/>
    <w:rsid w:val="004E0E82"/>
    <w:rsid w:val="004E0F52"/>
    <w:rsid w:val="004E26D0"/>
    <w:rsid w:val="004E344A"/>
    <w:rsid w:val="004E58C6"/>
    <w:rsid w:val="004E58F2"/>
    <w:rsid w:val="004E6708"/>
    <w:rsid w:val="004E72F7"/>
    <w:rsid w:val="004E7586"/>
    <w:rsid w:val="004E7F68"/>
    <w:rsid w:val="004F027B"/>
    <w:rsid w:val="004F0BF3"/>
    <w:rsid w:val="004F11F9"/>
    <w:rsid w:val="004F12AA"/>
    <w:rsid w:val="004F5BE6"/>
    <w:rsid w:val="00500979"/>
    <w:rsid w:val="0050184F"/>
    <w:rsid w:val="00501854"/>
    <w:rsid w:val="00502B08"/>
    <w:rsid w:val="005038D8"/>
    <w:rsid w:val="005041A1"/>
    <w:rsid w:val="005065A7"/>
    <w:rsid w:val="005073BA"/>
    <w:rsid w:val="00507E99"/>
    <w:rsid w:val="00510059"/>
    <w:rsid w:val="00510CB8"/>
    <w:rsid w:val="0051101D"/>
    <w:rsid w:val="005113E9"/>
    <w:rsid w:val="005122EF"/>
    <w:rsid w:val="005130EA"/>
    <w:rsid w:val="00513A95"/>
    <w:rsid w:val="00513BF6"/>
    <w:rsid w:val="0051461B"/>
    <w:rsid w:val="005174F2"/>
    <w:rsid w:val="0052064F"/>
    <w:rsid w:val="00520F60"/>
    <w:rsid w:val="00524851"/>
    <w:rsid w:val="00525097"/>
    <w:rsid w:val="005255EB"/>
    <w:rsid w:val="0052656D"/>
    <w:rsid w:val="005268ED"/>
    <w:rsid w:val="00527996"/>
    <w:rsid w:val="00527AAE"/>
    <w:rsid w:val="005302F2"/>
    <w:rsid w:val="0053045E"/>
    <w:rsid w:val="00530C2A"/>
    <w:rsid w:val="0053675A"/>
    <w:rsid w:val="00536A9C"/>
    <w:rsid w:val="00536CE9"/>
    <w:rsid w:val="00537624"/>
    <w:rsid w:val="00540387"/>
    <w:rsid w:val="00540FDF"/>
    <w:rsid w:val="005412BB"/>
    <w:rsid w:val="00541B37"/>
    <w:rsid w:val="005428AF"/>
    <w:rsid w:val="00542D47"/>
    <w:rsid w:val="005433FD"/>
    <w:rsid w:val="00544017"/>
    <w:rsid w:val="0054472B"/>
    <w:rsid w:val="0054649E"/>
    <w:rsid w:val="0054723E"/>
    <w:rsid w:val="0054759E"/>
    <w:rsid w:val="00547ED3"/>
    <w:rsid w:val="00552256"/>
    <w:rsid w:val="00552EB9"/>
    <w:rsid w:val="00555549"/>
    <w:rsid w:val="00555AA2"/>
    <w:rsid w:val="00555D1F"/>
    <w:rsid w:val="005564A8"/>
    <w:rsid w:val="00560167"/>
    <w:rsid w:val="00560270"/>
    <w:rsid w:val="005606FC"/>
    <w:rsid w:val="00563CD8"/>
    <w:rsid w:val="00564D40"/>
    <w:rsid w:val="00565C1D"/>
    <w:rsid w:val="00565E11"/>
    <w:rsid w:val="00567976"/>
    <w:rsid w:val="005705E5"/>
    <w:rsid w:val="00570A30"/>
    <w:rsid w:val="00571AC5"/>
    <w:rsid w:val="00572018"/>
    <w:rsid w:val="00573BAE"/>
    <w:rsid w:val="005745D9"/>
    <w:rsid w:val="00575BA2"/>
    <w:rsid w:val="00576452"/>
    <w:rsid w:val="005772E8"/>
    <w:rsid w:val="00581A76"/>
    <w:rsid w:val="00581CAC"/>
    <w:rsid w:val="005821B2"/>
    <w:rsid w:val="0058293E"/>
    <w:rsid w:val="00583263"/>
    <w:rsid w:val="00583545"/>
    <w:rsid w:val="00583B02"/>
    <w:rsid w:val="005844A0"/>
    <w:rsid w:val="00585C58"/>
    <w:rsid w:val="0058664A"/>
    <w:rsid w:val="00586C1E"/>
    <w:rsid w:val="0058700F"/>
    <w:rsid w:val="005872FF"/>
    <w:rsid w:val="0059061B"/>
    <w:rsid w:val="0059082E"/>
    <w:rsid w:val="005A0A1E"/>
    <w:rsid w:val="005A11D4"/>
    <w:rsid w:val="005A36FE"/>
    <w:rsid w:val="005A4E6A"/>
    <w:rsid w:val="005A4FA6"/>
    <w:rsid w:val="005A5BEF"/>
    <w:rsid w:val="005A67C4"/>
    <w:rsid w:val="005A6AFF"/>
    <w:rsid w:val="005B03EB"/>
    <w:rsid w:val="005B07B0"/>
    <w:rsid w:val="005B0F22"/>
    <w:rsid w:val="005B4166"/>
    <w:rsid w:val="005B5787"/>
    <w:rsid w:val="005B73AB"/>
    <w:rsid w:val="005B7448"/>
    <w:rsid w:val="005B7E68"/>
    <w:rsid w:val="005C0CAE"/>
    <w:rsid w:val="005C41D3"/>
    <w:rsid w:val="005C41E9"/>
    <w:rsid w:val="005C4492"/>
    <w:rsid w:val="005C46E3"/>
    <w:rsid w:val="005C4C36"/>
    <w:rsid w:val="005C4CBB"/>
    <w:rsid w:val="005D0685"/>
    <w:rsid w:val="005D2FF0"/>
    <w:rsid w:val="005D32A0"/>
    <w:rsid w:val="005D33F5"/>
    <w:rsid w:val="005D3BDF"/>
    <w:rsid w:val="005D4935"/>
    <w:rsid w:val="005D4AF2"/>
    <w:rsid w:val="005D5001"/>
    <w:rsid w:val="005E032F"/>
    <w:rsid w:val="005E3028"/>
    <w:rsid w:val="005E3052"/>
    <w:rsid w:val="005E38B6"/>
    <w:rsid w:val="005E4DCB"/>
    <w:rsid w:val="005E58CA"/>
    <w:rsid w:val="005E76B0"/>
    <w:rsid w:val="005E775B"/>
    <w:rsid w:val="005E7996"/>
    <w:rsid w:val="005F1C37"/>
    <w:rsid w:val="005F2E6D"/>
    <w:rsid w:val="005F3399"/>
    <w:rsid w:val="005F3FA3"/>
    <w:rsid w:val="005F4407"/>
    <w:rsid w:val="005F6685"/>
    <w:rsid w:val="005F7B17"/>
    <w:rsid w:val="0060039C"/>
    <w:rsid w:val="006004C9"/>
    <w:rsid w:val="0060329C"/>
    <w:rsid w:val="00603B85"/>
    <w:rsid w:val="00603C6B"/>
    <w:rsid w:val="006043F0"/>
    <w:rsid w:val="0061092C"/>
    <w:rsid w:val="00611624"/>
    <w:rsid w:val="006119B3"/>
    <w:rsid w:val="00612843"/>
    <w:rsid w:val="00612F63"/>
    <w:rsid w:val="00612FD8"/>
    <w:rsid w:val="0061417F"/>
    <w:rsid w:val="00614B98"/>
    <w:rsid w:val="00614DB2"/>
    <w:rsid w:val="00614DD0"/>
    <w:rsid w:val="00615013"/>
    <w:rsid w:val="0061567D"/>
    <w:rsid w:val="00615A80"/>
    <w:rsid w:val="006162B7"/>
    <w:rsid w:val="00616500"/>
    <w:rsid w:val="00623A01"/>
    <w:rsid w:val="00624B36"/>
    <w:rsid w:val="00625803"/>
    <w:rsid w:val="00625B45"/>
    <w:rsid w:val="006316B7"/>
    <w:rsid w:val="006319C5"/>
    <w:rsid w:val="0063264C"/>
    <w:rsid w:val="006326E7"/>
    <w:rsid w:val="00632EE7"/>
    <w:rsid w:val="006340E8"/>
    <w:rsid w:val="00635CDB"/>
    <w:rsid w:val="00635F09"/>
    <w:rsid w:val="00636F69"/>
    <w:rsid w:val="006402C1"/>
    <w:rsid w:val="00647CCA"/>
    <w:rsid w:val="00650152"/>
    <w:rsid w:val="00650570"/>
    <w:rsid w:val="0065153A"/>
    <w:rsid w:val="00653F2A"/>
    <w:rsid w:val="00654D0E"/>
    <w:rsid w:val="006559D2"/>
    <w:rsid w:val="00655BA4"/>
    <w:rsid w:val="00655C6E"/>
    <w:rsid w:val="00655F1D"/>
    <w:rsid w:val="00656EE3"/>
    <w:rsid w:val="0066055F"/>
    <w:rsid w:val="00664663"/>
    <w:rsid w:val="00664E64"/>
    <w:rsid w:val="006707DF"/>
    <w:rsid w:val="006717F5"/>
    <w:rsid w:val="00672467"/>
    <w:rsid w:val="00672688"/>
    <w:rsid w:val="00673462"/>
    <w:rsid w:val="00673515"/>
    <w:rsid w:val="006737E2"/>
    <w:rsid w:val="00673BF4"/>
    <w:rsid w:val="00674904"/>
    <w:rsid w:val="0067601A"/>
    <w:rsid w:val="00680584"/>
    <w:rsid w:val="0068442A"/>
    <w:rsid w:val="006847DE"/>
    <w:rsid w:val="006860BD"/>
    <w:rsid w:val="006874C3"/>
    <w:rsid w:val="00690887"/>
    <w:rsid w:val="00691A16"/>
    <w:rsid w:val="0069279B"/>
    <w:rsid w:val="006935B1"/>
    <w:rsid w:val="006941AB"/>
    <w:rsid w:val="00694261"/>
    <w:rsid w:val="0069457A"/>
    <w:rsid w:val="00694635"/>
    <w:rsid w:val="006948A8"/>
    <w:rsid w:val="00695A2A"/>
    <w:rsid w:val="00696BAB"/>
    <w:rsid w:val="00697F1A"/>
    <w:rsid w:val="006A4694"/>
    <w:rsid w:val="006A50A7"/>
    <w:rsid w:val="006A66AF"/>
    <w:rsid w:val="006A6F10"/>
    <w:rsid w:val="006B0C65"/>
    <w:rsid w:val="006B0D35"/>
    <w:rsid w:val="006B138B"/>
    <w:rsid w:val="006B1DA4"/>
    <w:rsid w:val="006B1E01"/>
    <w:rsid w:val="006B2F4E"/>
    <w:rsid w:val="006B309C"/>
    <w:rsid w:val="006B3387"/>
    <w:rsid w:val="006C152F"/>
    <w:rsid w:val="006C3F93"/>
    <w:rsid w:val="006C49C8"/>
    <w:rsid w:val="006C4B35"/>
    <w:rsid w:val="006C7100"/>
    <w:rsid w:val="006C778D"/>
    <w:rsid w:val="006D38AF"/>
    <w:rsid w:val="006D4B96"/>
    <w:rsid w:val="006D4F33"/>
    <w:rsid w:val="006D53D0"/>
    <w:rsid w:val="006D54FC"/>
    <w:rsid w:val="006D576F"/>
    <w:rsid w:val="006D59CD"/>
    <w:rsid w:val="006D5BA1"/>
    <w:rsid w:val="006D6021"/>
    <w:rsid w:val="006D67D3"/>
    <w:rsid w:val="006E2CCE"/>
    <w:rsid w:val="006E376C"/>
    <w:rsid w:val="006E3D25"/>
    <w:rsid w:val="006E51E8"/>
    <w:rsid w:val="006E5675"/>
    <w:rsid w:val="006E68CB"/>
    <w:rsid w:val="006E7FEA"/>
    <w:rsid w:val="006F0CED"/>
    <w:rsid w:val="006F0F61"/>
    <w:rsid w:val="006F1B05"/>
    <w:rsid w:val="006F1C75"/>
    <w:rsid w:val="006F23C2"/>
    <w:rsid w:val="006F2A67"/>
    <w:rsid w:val="006F3194"/>
    <w:rsid w:val="006F32F8"/>
    <w:rsid w:val="006F38D0"/>
    <w:rsid w:val="006F5B3E"/>
    <w:rsid w:val="006F7BB6"/>
    <w:rsid w:val="007007D4"/>
    <w:rsid w:val="00700F5D"/>
    <w:rsid w:val="007019DA"/>
    <w:rsid w:val="00701EC6"/>
    <w:rsid w:val="00702B3C"/>
    <w:rsid w:val="00702F80"/>
    <w:rsid w:val="00704436"/>
    <w:rsid w:val="00706A14"/>
    <w:rsid w:val="007070EB"/>
    <w:rsid w:val="00711A2B"/>
    <w:rsid w:val="00712F3E"/>
    <w:rsid w:val="0071315D"/>
    <w:rsid w:val="00714498"/>
    <w:rsid w:val="007156FE"/>
    <w:rsid w:val="00716261"/>
    <w:rsid w:val="007167A3"/>
    <w:rsid w:val="00716B2B"/>
    <w:rsid w:val="00716C1D"/>
    <w:rsid w:val="00716C93"/>
    <w:rsid w:val="0071790F"/>
    <w:rsid w:val="00721594"/>
    <w:rsid w:val="007217AC"/>
    <w:rsid w:val="007222C7"/>
    <w:rsid w:val="007227E6"/>
    <w:rsid w:val="00723D80"/>
    <w:rsid w:val="00727BEF"/>
    <w:rsid w:val="00730815"/>
    <w:rsid w:val="00731186"/>
    <w:rsid w:val="007319B6"/>
    <w:rsid w:val="00732AC7"/>
    <w:rsid w:val="00732D95"/>
    <w:rsid w:val="007331C6"/>
    <w:rsid w:val="0073333F"/>
    <w:rsid w:val="00733675"/>
    <w:rsid w:val="00734EF9"/>
    <w:rsid w:val="007356EE"/>
    <w:rsid w:val="00735BCF"/>
    <w:rsid w:val="00736D45"/>
    <w:rsid w:val="0073717D"/>
    <w:rsid w:val="007406F9"/>
    <w:rsid w:val="0074078F"/>
    <w:rsid w:val="007408BD"/>
    <w:rsid w:val="00740FE8"/>
    <w:rsid w:val="007416F8"/>
    <w:rsid w:val="00743E81"/>
    <w:rsid w:val="00744241"/>
    <w:rsid w:val="00745B5A"/>
    <w:rsid w:val="00745E98"/>
    <w:rsid w:val="00746C96"/>
    <w:rsid w:val="00751316"/>
    <w:rsid w:val="007538B2"/>
    <w:rsid w:val="00754B17"/>
    <w:rsid w:val="007565E2"/>
    <w:rsid w:val="0075699F"/>
    <w:rsid w:val="007616FC"/>
    <w:rsid w:val="00763580"/>
    <w:rsid w:val="00766594"/>
    <w:rsid w:val="00771733"/>
    <w:rsid w:val="00772FE0"/>
    <w:rsid w:val="0077323D"/>
    <w:rsid w:val="0077362F"/>
    <w:rsid w:val="0077468A"/>
    <w:rsid w:val="0077502C"/>
    <w:rsid w:val="00775303"/>
    <w:rsid w:val="00775E11"/>
    <w:rsid w:val="007761AA"/>
    <w:rsid w:val="00776C15"/>
    <w:rsid w:val="00776C35"/>
    <w:rsid w:val="00777E78"/>
    <w:rsid w:val="007813CE"/>
    <w:rsid w:val="00782018"/>
    <w:rsid w:val="0078310C"/>
    <w:rsid w:val="00783F08"/>
    <w:rsid w:val="007840ED"/>
    <w:rsid w:val="00784E77"/>
    <w:rsid w:val="0078584C"/>
    <w:rsid w:val="00787188"/>
    <w:rsid w:val="00787638"/>
    <w:rsid w:val="00790D55"/>
    <w:rsid w:val="007924BE"/>
    <w:rsid w:val="0079323C"/>
    <w:rsid w:val="00793C91"/>
    <w:rsid w:val="00793D10"/>
    <w:rsid w:val="00794397"/>
    <w:rsid w:val="0079456E"/>
    <w:rsid w:val="00797B52"/>
    <w:rsid w:val="00797D76"/>
    <w:rsid w:val="007A04CB"/>
    <w:rsid w:val="007A0F46"/>
    <w:rsid w:val="007A1303"/>
    <w:rsid w:val="007A254B"/>
    <w:rsid w:val="007A2F4E"/>
    <w:rsid w:val="007A2F5B"/>
    <w:rsid w:val="007A45BE"/>
    <w:rsid w:val="007A48E5"/>
    <w:rsid w:val="007A4D27"/>
    <w:rsid w:val="007A5029"/>
    <w:rsid w:val="007A53C3"/>
    <w:rsid w:val="007A682D"/>
    <w:rsid w:val="007A76B7"/>
    <w:rsid w:val="007A7FF6"/>
    <w:rsid w:val="007B2FC2"/>
    <w:rsid w:val="007B3C48"/>
    <w:rsid w:val="007B3DF1"/>
    <w:rsid w:val="007B4F9E"/>
    <w:rsid w:val="007B68BB"/>
    <w:rsid w:val="007C01EF"/>
    <w:rsid w:val="007C2708"/>
    <w:rsid w:val="007C27B5"/>
    <w:rsid w:val="007C35B7"/>
    <w:rsid w:val="007C6EF6"/>
    <w:rsid w:val="007C70DD"/>
    <w:rsid w:val="007D14AD"/>
    <w:rsid w:val="007D1969"/>
    <w:rsid w:val="007D4472"/>
    <w:rsid w:val="007D4506"/>
    <w:rsid w:val="007D5C99"/>
    <w:rsid w:val="007D5EA4"/>
    <w:rsid w:val="007D682D"/>
    <w:rsid w:val="007D6915"/>
    <w:rsid w:val="007E072A"/>
    <w:rsid w:val="007E166A"/>
    <w:rsid w:val="007E4214"/>
    <w:rsid w:val="007E6386"/>
    <w:rsid w:val="007E66F8"/>
    <w:rsid w:val="007E75DC"/>
    <w:rsid w:val="007E76F8"/>
    <w:rsid w:val="007F01BB"/>
    <w:rsid w:val="007F1488"/>
    <w:rsid w:val="007F34F5"/>
    <w:rsid w:val="007F513C"/>
    <w:rsid w:val="007F7495"/>
    <w:rsid w:val="007F751D"/>
    <w:rsid w:val="007F7FCE"/>
    <w:rsid w:val="00801576"/>
    <w:rsid w:val="00801862"/>
    <w:rsid w:val="00801B46"/>
    <w:rsid w:val="0080203D"/>
    <w:rsid w:val="00802140"/>
    <w:rsid w:val="00802F26"/>
    <w:rsid w:val="00803191"/>
    <w:rsid w:val="008036B1"/>
    <w:rsid w:val="00805925"/>
    <w:rsid w:val="00806551"/>
    <w:rsid w:val="0080655E"/>
    <w:rsid w:val="00806B5A"/>
    <w:rsid w:val="008071F5"/>
    <w:rsid w:val="0081022A"/>
    <w:rsid w:val="00810DA2"/>
    <w:rsid w:val="00811B19"/>
    <w:rsid w:val="008124B2"/>
    <w:rsid w:val="00813418"/>
    <w:rsid w:val="00815337"/>
    <w:rsid w:val="00815DAA"/>
    <w:rsid w:val="00816934"/>
    <w:rsid w:val="00816CB7"/>
    <w:rsid w:val="0082100A"/>
    <w:rsid w:val="00821D1B"/>
    <w:rsid w:val="00821EFC"/>
    <w:rsid w:val="008233B9"/>
    <w:rsid w:val="00824791"/>
    <w:rsid w:val="0082559F"/>
    <w:rsid w:val="00825900"/>
    <w:rsid w:val="0082662F"/>
    <w:rsid w:val="008266F6"/>
    <w:rsid w:val="0083505F"/>
    <w:rsid w:val="00836290"/>
    <w:rsid w:val="00836A04"/>
    <w:rsid w:val="00836E12"/>
    <w:rsid w:val="00837835"/>
    <w:rsid w:val="00837F43"/>
    <w:rsid w:val="0084087C"/>
    <w:rsid w:val="00841C68"/>
    <w:rsid w:val="00843E2D"/>
    <w:rsid w:val="008455AD"/>
    <w:rsid w:val="008468E0"/>
    <w:rsid w:val="0085004B"/>
    <w:rsid w:val="0085111C"/>
    <w:rsid w:val="0085488A"/>
    <w:rsid w:val="008600BD"/>
    <w:rsid w:val="00861E6C"/>
    <w:rsid w:val="00861EE2"/>
    <w:rsid w:val="008620C7"/>
    <w:rsid w:val="00862A30"/>
    <w:rsid w:val="00863B1F"/>
    <w:rsid w:val="00864414"/>
    <w:rsid w:val="0086527B"/>
    <w:rsid w:val="008662F8"/>
    <w:rsid w:val="00867F63"/>
    <w:rsid w:val="00871888"/>
    <w:rsid w:val="00871AD6"/>
    <w:rsid w:val="00871F65"/>
    <w:rsid w:val="00872E28"/>
    <w:rsid w:val="008734E1"/>
    <w:rsid w:val="00873BFE"/>
    <w:rsid w:val="00874C8D"/>
    <w:rsid w:val="00875A65"/>
    <w:rsid w:val="008778E5"/>
    <w:rsid w:val="00877E84"/>
    <w:rsid w:val="00881401"/>
    <w:rsid w:val="00881F1F"/>
    <w:rsid w:val="00881F89"/>
    <w:rsid w:val="00884BA1"/>
    <w:rsid w:val="008862F4"/>
    <w:rsid w:val="00886AE5"/>
    <w:rsid w:val="00886B7B"/>
    <w:rsid w:val="00887E45"/>
    <w:rsid w:val="00887F5D"/>
    <w:rsid w:val="0089048A"/>
    <w:rsid w:val="0089281C"/>
    <w:rsid w:val="00893E24"/>
    <w:rsid w:val="008950D9"/>
    <w:rsid w:val="00896610"/>
    <w:rsid w:val="00896DA6"/>
    <w:rsid w:val="00896E5F"/>
    <w:rsid w:val="00897A29"/>
    <w:rsid w:val="00897EDA"/>
    <w:rsid w:val="008A0598"/>
    <w:rsid w:val="008A0A76"/>
    <w:rsid w:val="008A1178"/>
    <w:rsid w:val="008A1663"/>
    <w:rsid w:val="008A2DDD"/>
    <w:rsid w:val="008A36F5"/>
    <w:rsid w:val="008A3D2F"/>
    <w:rsid w:val="008B07C1"/>
    <w:rsid w:val="008B19F9"/>
    <w:rsid w:val="008B21E0"/>
    <w:rsid w:val="008B3E90"/>
    <w:rsid w:val="008B4D11"/>
    <w:rsid w:val="008B4D91"/>
    <w:rsid w:val="008B59C1"/>
    <w:rsid w:val="008B62B6"/>
    <w:rsid w:val="008B71A4"/>
    <w:rsid w:val="008B734F"/>
    <w:rsid w:val="008C0498"/>
    <w:rsid w:val="008C09E5"/>
    <w:rsid w:val="008C12AD"/>
    <w:rsid w:val="008C288E"/>
    <w:rsid w:val="008C2EB3"/>
    <w:rsid w:val="008C3EE6"/>
    <w:rsid w:val="008C6E32"/>
    <w:rsid w:val="008C707B"/>
    <w:rsid w:val="008C7B82"/>
    <w:rsid w:val="008D2412"/>
    <w:rsid w:val="008D2BDF"/>
    <w:rsid w:val="008D2EEE"/>
    <w:rsid w:val="008D31C2"/>
    <w:rsid w:val="008D3228"/>
    <w:rsid w:val="008D45CB"/>
    <w:rsid w:val="008D48A9"/>
    <w:rsid w:val="008D5812"/>
    <w:rsid w:val="008D59F5"/>
    <w:rsid w:val="008D5F5C"/>
    <w:rsid w:val="008D73DA"/>
    <w:rsid w:val="008E0EC7"/>
    <w:rsid w:val="008E129A"/>
    <w:rsid w:val="008E1EDA"/>
    <w:rsid w:val="008E2349"/>
    <w:rsid w:val="008E4B25"/>
    <w:rsid w:val="008E4D07"/>
    <w:rsid w:val="008E59AB"/>
    <w:rsid w:val="008E7572"/>
    <w:rsid w:val="008F1CF6"/>
    <w:rsid w:val="008F1E03"/>
    <w:rsid w:val="008F409C"/>
    <w:rsid w:val="008F4A93"/>
    <w:rsid w:val="008F6629"/>
    <w:rsid w:val="0090333F"/>
    <w:rsid w:val="00903960"/>
    <w:rsid w:val="009041E9"/>
    <w:rsid w:val="00905DA4"/>
    <w:rsid w:val="00906391"/>
    <w:rsid w:val="0091001C"/>
    <w:rsid w:val="00911EAC"/>
    <w:rsid w:val="00912F6B"/>
    <w:rsid w:val="0091317D"/>
    <w:rsid w:val="00914773"/>
    <w:rsid w:val="00915A03"/>
    <w:rsid w:val="00916987"/>
    <w:rsid w:val="00916D5C"/>
    <w:rsid w:val="00916F88"/>
    <w:rsid w:val="009247EB"/>
    <w:rsid w:val="009256A4"/>
    <w:rsid w:val="009264C2"/>
    <w:rsid w:val="00931B3B"/>
    <w:rsid w:val="00932D41"/>
    <w:rsid w:val="00933562"/>
    <w:rsid w:val="00933DA0"/>
    <w:rsid w:val="00934906"/>
    <w:rsid w:val="009352AC"/>
    <w:rsid w:val="00935F58"/>
    <w:rsid w:val="009362A4"/>
    <w:rsid w:val="00936A5A"/>
    <w:rsid w:val="00936F11"/>
    <w:rsid w:val="00940B0D"/>
    <w:rsid w:val="009410F9"/>
    <w:rsid w:val="009425AE"/>
    <w:rsid w:val="00946D28"/>
    <w:rsid w:val="00950DD6"/>
    <w:rsid w:val="009526DC"/>
    <w:rsid w:val="00952A51"/>
    <w:rsid w:val="00954E55"/>
    <w:rsid w:val="00960531"/>
    <w:rsid w:val="009609AE"/>
    <w:rsid w:val="009613C2"/>
    <w:rsid w:val="00962488"/>
    <w:rsid w:val="00962897"/>
    <w:rsid w:val="00962CC2"/>
    <w:rsid w:val="009636CF"/>
    <w:rsid w:val="00963A9A"/>
    <w:rsid w:val="00965BF0"/>
    <w:rsid w:val="0096603F"/>
    <w:rsid w:val="0096784E"/>
    <w:rsid w:val="00970231"/>
    <w:rsid w:val="00970E19"/>
    <w:rsid w:val="00971F7C"/>
    <w:rsid w:val="00974167"/>
    <w:rsid w:val="00974400"/>
    <w:rsid w:val="00974834"/>
    <w:rsid w:val="00975CBA"/>
    <w:rsid w:val="00976954"/>
    <w:rsid w:val="00981A85"/>
    <w:rsid w:val="00984598"/>
    <w:rsid w:val="00985505"/>
    <w:rsid w:val="009862E1"/>
    <w:rsid w:val="009904AD"/>
    <w:rsid w:val="00992AD0"/>
    <w:rsid w:val="00993768"/>
    <w:rsid w:val="00993ACB"/>
    <w:rsid w:val="00993CD6"/>
    <w:rsid w:val="00995926"/>
    <w:rsid w:val="00996050"/>
    <w:rsid w:val="00997115"/>
    <w:rsid w:val="0099789A"/>
    <w:rsid w:val="00997E87"/>
    <w:rsid w:val="009A00D4"/>
    <w:rsid w:val="009A2600"/>
    <w:rsid w:val="009A2D1E"/>
    <w:rsid w:val="009A2DC3"/>
    <w:rsid w:val="009A3D0B"/>
    <w:rsid w:val="009A42A0"/>
    <w:rsid w:val="009A4A7E"/>
    <w:rsid w:val="009A574E"/>
    <w:rsid w:val="009A5EA3"/>
    <w:rsid w:val="009A73D6"/>
    <w:rsid w:val="009B02B2"/>
    <w:rsid w:val="009B17E5"/>
    <w:rsid w:val="009B6CE4"/>
    <w:rsid w:val="009B6D56"/>
    <w:rsid w:val="009C0606"/>
    <w:rsid w:val="009C1887"/>
    <w:rsid w:val="009C4119"/>
    <w:rsid w:val="009C50A1"/>
    <w:rsid w:val="009C6196"/>
    <w:rsid w:val="009C6A3C"/>
    <w:rsid w:val="009C7DF6"/>
    <w:rsid w:val="009D1406"/>
    <w:rsid w:val="009D2FCF"/>
    <w:rsid w:val="009D3664"/>
    <w:rsid w:val="009D5022"/>
    <w:rsid w:val="009D531C"/>
    <w:rsid w:val="009D5995"/>
    <w:rsid w:val="009D73A3"/>
    <w:rsid w:val="009D778C"/>
    <w:rsid w:val="009E03F9"/>
    <w:rsid w:val="009E0BC8"/>
    <w:rsid w:val="009E0E9A"/>
    <w:rsid w:val="009E1AAF"/>
    <w:rsid w:val="009E2478"/>
    <w:rsid w:val="009E27E3"/>
    <w:rsid w:val="009E2C0C"/>
    <w:rsid w:val="009E7B45"/>
    <w:rsid w:val="009F0469"/>
    <w:rsid w:val="009F1676"/>
    <w:rsid w:val="009F1A1B"/>
    <w:rsid w:val="009F1DCE"/>
    <w:rsid w:val="009F3DF1"/>
    <w:rsid w:val="009F5236"/>
    <w:rsid w:val="009F596B"/>
    <w:rsid w:val="009F597A"/>
    <w:rsid w:val="009F61A1"/>
    <w:rsid w:val="009F748C"/>
    <w:rsid w:val="009F7CB2"/>
    <w:rsid w:val="00A014B5"/>
    <w:rsid w:val="00A02ADA"/>
    <w:rsid w:val="00A03BBF"/>
    <w:rsid w:val="00A03C10"/>
    <w:rsid w:val="00A04514"/>
    <w:rsid w:val="00A04A48"/>
    <w:rsid w:val="00A04F3D"/>
    <w:rsid w:val="00A06126"/>
    <w:rsid w:val="00A0658A"/>
    <w:rsid w:val="00A069B9"/>
    <w:rsid w:val="00A06E6E"/>
    <w:rsid w:val="00A12528"/>
    <w:rsid w:val="00A12EDF"/>
    <w:rsid w:val="00A12FBA"/>
    <w:rsid w:val="00A134D4"/>
    <w:rsid w:val="00A147B1"/>
    <w:rsid w:val="00A15E53"/>
    <w:rsid w:val="00A202B0"/>
    <w:rsid w:val="00A20BA9"/>
    <w:rsid w:val="00A2107F"/>
    <w:rsid w:val="00A216A3"/>
    <w:rsid w:val="00A222AF"/>
    <w:rsid w:val="00A22F9A"/>
    <w:rsid w:val="00A23703"/>
    <w:rsid w:val="00A24C0E"/>
    <w:rsid w:val="00A25467"/>
    <w:rsid w:val="00A25EA2"/>
    <w:rsid w:val="00A25FF6"/>
    <w:rsid w:val="00A260FD"/>
    <w:rsid w:val="00A270E9"/>
    <w:rsid w:val="00A2711D"/>
    <w:rsid w:val="00A30464"/>
    <w:rsid w:val="00A31B45"/>
    <w:rsid w:val="00A326CD"/>
    <w:rsid w:val="00A32883"/>
    <w:rsid w:val="00A33454"/>
    <w:rsid w:val="00A355BF"/>
    <w:rsid w:val="00A3566F"/>
    <w:rsid w:val="00A412F2"/>
    <w:rsid w:val="00A423BE"/>
    <w:rsid w:val="00A43611"/>
    <w:rsid w:val="00A454CC"/>
    <w:rsid w:val="00A513CE"/>
    <w:rsid w:val="00A524FB"/>
    <w:rsid w:val="00A526D9"/>
    <w:rsid w:val="00A55BE1"/>
    <w:rsid w:val="00A560D4"/>
    <w:rsid w:val="00A577CF"/>
    <w:rsid w:val="00A57D2C"/>
    <w:rsid w:val="00A60054"/>
    <w:rsid w:val="00A60089"/>
    <w:rsid w:val="00A60FEC"/>
    <w:rsid w:val="00A620AA"/>
    <w:rsid w:val="00A62D8D"/>
    <w:rsid w:val="00A66F0A"/>
    <w:rsid w:val="00A703EE"/>
    <w:rsid w:val="00A71A06"/>
    <w:rsid w:val="00A71E4A"/>
    <w:rsid w:val="00A73D12"/>
    <w:rsid w:val="00A747AA"/>
    <w:rsid w:val="00A80454"/>
    <w:rsid w:val="00A80927"/>
    <w:rsid w:val="00A84633"/>
    <w:rsid w:val="00A846EF"/>
    <w:rsid w:val="00A86381"/>
    <w:rsid w:val="00A87B8A"/>
    <w:rsid w:val="00A908F7"/>
    <w:rsid w:val="00A90BCF"/>
    <w:rsid w:val="00A92AB7"/>
    <w:rsid w:val="00A93EB2"/>
    <w:rsid w:val="00A943C0"/>
    <w:rsid w:val="00A94680"/>
    <w:rsid w:val="00A94A13"/>
    <w:rsid w:val="00A97C37"/>
    <w:rsid w:val="00AA01DE"/>
    <w:rsid w:val="00AA0AFC"/>
    <w:rsid w:val="00AA1E7D"/>
    <w:rsid w:val="00AA3238"/>
    <w:rsid w:val="00AA507E"/>
    <w:rsid w:val="00AA53AE"/>
    <w:rsid w:val="00AA5D32"/>
    <w:rsid w:val="00AA69D8"/>
    <w:rsid w:val="00AB2352"/>
    <w:rsid w:val="00AB24EC"/>
    <w:rsid w:val="00AB2A49"/>
    <w:rsid w:val="00AB31C7"/>
    <w:rsid w:val="00AB374E"/>
    <w:rsid w:val="00AB4567"/>
    <w:rsid w:val="00AB4E4E"/>
    <w:rsid w:val="00AC1950"/>
    <w:rsid w:val="00AC1E50"/>
    <w:rsid w:val="00AC34D6"/>
    <w:rsid w:val="00AC3B04"/>
    <w:rsid w:val="00AC3CEF"/>
    <w:rsid w:val="00AC6BE9"/>
    <w:rsid w:val="00AC6C1E"/>
    <w:rsid w:val="00AC76DF"/>
    <w:rsid w:val="00AC79C1"/>
    <w:rsid w:val="00AD1249"/>
    <w:rsid w:val="00AD231D"/>
    <w:rsid w:val="00AD25B1"/>
    <w:rsid w:val="00AD2F2A"/>
    <w:rsid w:val="00AD4319"/>
    <w:rsid w:val="00AD5184"/>
    <w:rsid w:val="00AD7746"/>
    <w:rsid w:val="00AD7B2A"/>
    <w:rsid w:val="00AE1D48"/>
    <w:rsid w:val="00AE2054"/>
    <w:rsid w:val="00AE27A9"/>
    <w:rsid w:val="00AE3280"/>
    <w:rsid w:val="00AE43FD"/>
    <w:rsid w:val="00AE4526"/>
    <w:rsid w:val="00AE49A8"/>
    <w:rsid w:val="00AE4FB4"/>
    <w:rsid w:val="00AE5421"/>
    <w:rsid w:val="00AE5588"/>
    <w:rsid w:val="00AE6C02"/>
    <w:rsid w:val="00AF0B15"/>
    <w:rsid w:val="00AF0C5D"/>
    <w:rsid w:val="00AF0DA7"/>
    <w:rsid w:val="00AF1928"/>
    <w:rsid w:val="00AF1FF1"/>
    <w:rsid w:val="00AF318C"/>
    <w:rsid w:val="00AF3EAB"/>
    <w:rsid w:val="00AF56FD"/>
    <w:rsid w:val="00AF685B"/>
    <w:rsid w:val="00B0019A"/>
    <w:rsid w:val="00B01176"/>
    <w:rsid w:val="00B013EF"/>
    <w:rsid w:val="00B01FC4"/>
    <w:rsid w:val="00B03504"/>
    <w:rsid w:val="00B03FEC"/>
    <w:rsid w:val="00B0638D"/>
    <w:rsid w:val="00B10491"/>
    <w:rsid w:val="00B11988"/>
    <w:rsid w:val="00B12FB7"/>
    <w:rsid w:val="00B13E43"/>
    <w:rsid w:val="00B140E4"/>
    <w:rsid w:val="00B146C6"/>
    <w:rsid w:val="00B14BD0"/>
    <w:rsid w:val="00B150DD"/>
    <w:rsid w:val="00B167D5"/>
    <w:rsid w:val="00B16B18"/>
    <w:rsid w:val="00B16E77"/>
    <w:rsid w:val="00B17B5E"/>
    <w:rsid w:val="00B21606"/>
    <w:rsid w:val="00B22F20"/>
    <w:rsid w:val="00B23228"/>
    <w:rsid w:val="00B236BE"/>
    <w:rsid w:val="00B23FFD"/>
    <w:rsid w:val="00B24C4E"/>
    <w:rsid w:val="00B24D5E"/>
    <w:rsid w:val="00B25926"/>
    <w:rsid w:val="00B26FB1"/>
    <w:rsid w:val="00B275F0"/>
    <w:rsid w:val="00B27651"/>
    <w:rsid w:val="00B30471"/>
    <w:rsid w:val="00B31D6F"/>
    <w:rsid w:val="00B32209"/>
    <w:rsid w:val="00B34048"/>
    <w:rsid w:val="00B36294"/>
    <w:rsid w:val="00B4051D"/>
    <w:rsid w:val="00B40879"/>
    <w:rsid w:val="00B4147A"/>
    <w:rsid w:val="00B417EF"/>
    <w:rsid w:val="00B43015"/>
    <w:rsid w:val="00B4646C"/>
    <w:rsid w:val="00B46826"/>
    <w:rsid w:val="00B46D52"/>
    <w:rsid w:val="00B51789"/>
    <w:rsid w:val="00B52D26"/>
    <w:rsid w:val="00B531BF"/>
    <w:rsid w:val="00B601DC"/>
    <w:rsid w:val="00B6567E"/>
    <w:rsid w:val="00B65775"/>
    <w:rsid w:val="00B66A2A"/>
    <w:rsid w:val="00B66EA3"/>
    <w:rsid w:val="00B67582"/>
    <w:rsid w:val="00B67615"/>
    <w:rsid w:val="00B67DCD"/>
    <w:rsid w:val="00B7081E"/>
    <w:rsid w:val="00B70990"/>
    <w:rsid w:val="00B70ACD"/>
    <w:rsid w:val="00B71A22"/>
    <w:rsid w:val="00B71B38"/>
    <w:rsid w:val="00B73BE8"/>
    <w:rsid w:val="00B743A0"/>
    <w:rsid w:val="00B74CA4"/>
    <w:rsid w:val="00B765E8"/>
    <w:rsid w:val="00B7677E"/>
    <w:rsid w:val="00B77382"/>
    <w:rsid w:val="00B77A13"/>
    <w:rsid w:val="00B80029"/>
    <w:rsid w:val="00B810A3"/>
    <w:rsid w:val="00B81131"/>
    <w:rsid w:val="00B81248"/>
    <w:rsid w:val="00B82F8F"/>
    <w:rsid w:val="00B8489F"/>
    <w:rsid w:val="00B849A9"/>
    <w:rsid w:val="00B8728A"/>
    <w:rsid w:val="00B9009C"/>
    <w:rsid w:val="00B90850"/>
    <w:rsid w:val="00B92311"/>
    <w:rsid w:val="00B92E98"/>
    <w:rsid w:val="00BA0683"/>
    <w:rsid w:val="00BA0B36"/>
    <w:rsid w:val="00BA43DE"/>
    <w:rsid w:val="00BA6018"/>
    <w:rsid w:val="00BA6F2B"/>
    <w:rsid w:val="00BA7A84"/>
    <w:rsid w:val="00BB04AB"/>
    <w:rsid w:val="00BB2AE8"/>
    <w:rsid w:val="00BB2BC8"/>
    <w:rsid w:val="00BB31D2"/>
    <w:rsid w:val="00BB3AEA"/>
    <w:rsid w:val="00BB3CCF"/>
    <w:rsid w:val="00BB3FE7"/>
    <w:rsid w:val="00BB50E5"/>
    <w:rsid w:val="00BB5468"/>
    <w:rsid w:val="00BB735D"/>
    <w:rsid w:val="00BB78EF"/>
    <w:rsid w:val="00BC0692"/>
    <w:rsid w:val="00BC3705"/>
    <w:rsid w:val="00BC50D9"/>
    <w:rsid w:val="00BC5300"/>
    <w:rsid w:val="00BC6CF3"/>
    <w:rsid w:val="00BC7982"/>
    <w:rsid w:val="00BD01AD"/>
    <w:rsid w:val="00BD0C2D"/>
    <w:rsid w:val="00BD0C47"/>
    <w:rsid w:val="00BD208D"/>
    <w:rsid w:val="00BD417B"/>
    <w:rsid w:val="00BD4FBF"/>
    <w:rsid w:val="00BD76BE"/>
    <w:rsid w:val="00BE167F"/>
    <w:rsid w:val="00BE1E40"/>
    <w:rsid w:val="00BE2C2C"/>
    <w:rsid w:val="00BE328B"/>
    <w:rsid w:val="00BE504A"/>
    <w:rsid w:val="00BE5810"/>
    <w:rsid w:val="00BE60BB"/>
    <w:rsid w:val="00BE6E74"/>
    <w:rsid w:val="00BE764B"/>
    <w:rsid w:val="00BE79C9"/>
    <w:rsid w:val="00BE7E12"/>
    <w:rsid w:val="00BF0133"/>
    <w:rsid w:val="00BF113B"/>
    <w:rsid w:val="00BF14F3"/>
    <w:rsid w:val="00BF2457"/>
    <w:rsid w:val="00BF26E7"/>
    <w:rsid w:val="00BF3471"/>
    <w:rsid w:val="00BF3D7D"/>
    <w:rsid w:val="00BF4DD5"/>
    <w:rsid w:val="00BF52D9"/>
    <w:rsid w:val="00BF5A67"/>
    <w:rsid w:val="00BF5A84"/>
    <w:rsid w:val="00BF6598"/>
    <w:rsid w:val="00BF6870"/>
    <w:rsid w:val="00BF7433"/>
    <w:rsid w:val="00C0017B"/>
    <w:rsid w:val="00C007DD"/>
    <w:rsid w:val="00C00CFD"/>
    <w:rsid w:val="00C0109F"/>
    <w:rsid w:val="00C01276"/>
    <w:rsid w:val="00C03296"/>
    <w:rsid w:val="00C0453E"/>
    <w:rsid w:val="00C04C8E"/>
    <w:rsid w:val="00C05D1A"/>
    <w:rsid w:val="00C061E5"/>
    <w:rsid w:val="00C06D89"/>
    <w:rsid w:val="00C07E40"/>
    <w:rsid w:val="00C135F1"/>
    <w:rsid w:val="00C14494"/>
    <w:rsid w:val="00C16968"/>
    <w:rsid w:val="00C2298D"/>
    <w:rsid w:val="00C22F16"/>
    <w:rsid w:val="00C23115"/>
    <w:rsid w:val="00C23180"/>
    <w:rsid w:val="00C23667"/>
    <w:rsid w:val="00C23A04"/>
    <w:rsid w:val="00C24DD3"/>
    <w:rsid w:val="00C25C3A"/>
    <w:rsid w:val="00C26514"/>
    <w:rsid w:val="00C2753D"/>
    <w:rsid w:val="00C2754F"/>
    <w:rsid w:val="00C27E8B"/>
    <w:rsid w:val="00C30065"/>
    <w:rsid w:val="00C307AB"/>
    <w:rsid w:val="00C3080F"/>
    <w:rsid w:val="00C30E9A"/>
    <w:rsid w:val="00C34867"/>
    <w:rsid w:val="00C35388"/>
    <w:rsid w:val="00C36331"/>
    <w:rsid w:val="00C413FB"/>
    <w:rsid w:val="00C41F1F"/>
    <w:rsid w:val="00C421EF"/>
    <w:rsid w:val="00C42481"/>
    <w:rsid w:val="00C44B2B"/>
    <w:rsid w:val="00C45641"/>
    <w:rsid w:val="00C46976"/>
    <w:rsid w:val="00C47BDB"/>
    <w:rsid w:val="00C508AD"/>
    <w:rsid w:val="00C50A29"/>
    <w:rsid w:val="00C5206A"/>
    <w:rsid w:val="00C52804"/>
    <w:rsid w:val="00C52CA7"/>
    <w:rsid w:val="00C533F2"/>
    <w:rsid w:val="00C5380A"/>
    <w:rsid w:val="00C53F64"/>
    <w:rsid w:val="00C54541"/>
    <w:rsid w:val="00C552A0"/>
    <w:rsid w:val="00C56229"/>
    <w:rsid w:val="00C57BB0"/>
    <w:rsid w:val="00C608B1"/>
    <w:rsid w:val="00C61DDC"/>
    <w:rsid w:val="00C62548"/>
    <w:rsid w:val="00C64344"/>
    <w:rsid w:val="00C653E4"/>
    <w:rsid w:val="00C659BB"/>
    <w:rsid w:val="00C67599"/>
    <w:rsid w:val="00C70550"/>
    <w:rsid w:val="00C70FA5"/>
    <w:rsid w:val="00C7166B"/>
    <w:rsid w:val="00C71C94"/>
    <w:rsid w:val="00C72199"/>
    <w:rsid w:val="00C72FDB"/>
    <w:rsid w:val="00C73781"/>
    <w:rsid w:val="00C74597"/>
    <w:rsid w:val="00C761E7"/>
    <w:rsid w:val="00C76D38"/>
    <w:rsid w:val="00C7744B"/>
    <w:rsid w:val="00C80504"/>
    <w:rsid w:val="00C80E4F"/>
    <w:rsid w:val="00C80E63"/>
    <w:rsid w:val="00C81A52"/>
    <w:rsid w:val="00C82E21"/>
    <w:rsid w:val="00C84213"/>
    <w:rsid w:val="00C85702"/>
    <w:rsid w:val="00C85915"/>
    <w:rsid w:val="00C85A5F"/>
    <w:rsid w:val="00C86136"/>
    <w:rsid w:val="00C87471"/>
    <w:rsid w:val="00C916CA"/>
    <w:rsid w:val="00C9207A"/>
    <w:rsid w:val="00C9467F"/>
    <w:rsid w:val="00C94D92"/>
    <w:rsid w:val="00C95DBE"/>
    <w:rsid w:val="00C95F24"/>
    <w:rsid w:val="00C9625F"/>
    <w:rsid w:val="00C972B8"/>
    <w:rsid w:val="00CA0734"/>
    <w:rsid w:val="00CA258E"/>
    <w:rsid w:val="00CA2994"/>
    <w:rsid w:val="00CA73E1"/>
    <w:rsid w:val="00CB0649"/>
    <w:rsid w:val="00CB09AB"/>
    <w:rsid w:val="00CB2071"/>
    <w:rsid w:val="00CB29AD"/>
    <w:rsid w:val="00CB2E1D"/>
    <w:rsid w:val="00CB3340"/>
    <w:rsid w:val="00CB3DBF"/>
    <w:rsid w:val="00CB4EE5"/>
    <w:rsid w:val="00CB7D88"/>
    <w:rsid w:val="00CC103A"/>
    <w:rsid w:val="00CC1580"/>
    <w:rsid w:val="00CC2D1D"/>
    <w:rsid w:val="00CC3BF7"/>
    <w:rsid w:val="00CC47C5"/>
    <w:rsid w:val="00CC50C8"/>
    <w:rsid w:val="00CC61F0"/>
    <w:rsid w:val="00CC713A"/>
    <w:rsid w:val="00CC7754"/>
    <w:rsid w:val="00CD50D8"/>
    <w:rsid w:val="00CD52C7"/>
    <w:rsid w:val="00CD6FF2"/>
    <w:rsid w:val="00CD7455"/>
    <w:rsid w:val="00CE0001"/>
    <w:rsid w:val="00CE0F50"/>
    <w:rsid w:val="00CE1560"/>
    <w:rsid w:val="00CE5E05"/>
    <w:rsid w:val="00CE6028"/>
    <w:rsid w:val="00CE63A5"/>
    <w:rsid w:val="00CE6581"/>
    <w:rsid w:val="00CE6910"/>
    <w:rsid w:val="00CF094F"/>
    <w:rsid w:val="00CF27CA"/>
    <w:rsid w:val="00CF2E54"/>
    <w:rsid w:val="00CF3510"/>
    <w:rsid w:val="00CF39D9"/>
    <w:rsid w:val="00CF3BC0"/>
    <w:rsid w:val="00CF3DB1"/>
    <w:rsid w:val="00CF4F4C"/>
    <w:rsid w:val="00CF62E0"/>
    <w:rsid w:val="00CF6D36"/>
    <w:rsid w:val="00CF77A8"/>
    <w:rsid w:val="00CF77F6"/>
    <w:rsid w:val="00D01D79"/>
    <w:rsid w:val="00D038F0"/>
    <w:rsid w:val="00D04416"/>
    <w:rsid w:val="00D05939"/>
    <w:rsid w:val="00D06009"/>
    <w:rsid w:val="00D06703"/>
    <w:rsid w:val="00D076C3"/>
    <w:rsid w:val="00D106B8"/>
    <w:rsid w:val="00D10869"/>
    <w:rsid w:val="00D11CEC"/>
    <w:rsid w:val="00D120E6"/>
    <w:rsid w:val="00D14090"/>
    <w:rsid w:val="00D15E42"/>
    <w:rsid w:val="00D16038"/>
    <w:rsid w:val="00D17C86"/>
    <w:rsid w:val="00D201DF"/>
    <w:rsid w:val="00D20576"/>
    <w:rsid w:val="00D20BB4"/>
    <w:rsid w:val="00D23D6D"/>
    <w:rsid w:val="00D2656E"/>
    <w:rsid w:val="00D30816"/>
    <w:rsid w:val="00D3092F"/>
    <w:rsid w:val="00D31EFD"/>
    <w:rsid w:val="00D3359D"/>
    <w:rsid w:val="00D33B71"/>
    <w:rsid w:val="00D34C97"/>
    <w:rsid w:val="00D34D8C"/>
    <w:rsid w:val="00D350AC"/>
    <w:rsid w:val="00D36A6B"/>
    <w:rsid w:val="00D37E3F"/>
    <w:rsid w:val="00D412C3"/>
    <w:rsid w:val="00D426A0"/>
    <w:rsid w:val="00D44039"/>
    <w:rsid w:val="00D45599"/>
    <w:rsid w:val="00D45768"/>
    <w:rsid w:val="00D462DA"/>
    <w:rsid w:val="00D466C4"/>
    <w:rsid w:val="00D46BB4"/>
    <w:rsid w:val="00D50998"/>
    <w:rsid w:val="00D50B59"/>
    <w:rsid w:val="00D52C1A"/>
    <w:rsid w:val="00D5312B"/>
    <w:rsid w:val="00D54C35"/>
    <w:rsid w:val="00D552B2"/>
    <w:rsid w:val="00D56262"/>
    <w:rsid w:val="00D56B99"/>
    <w:rsid w:val="00D60564"/>
    <w:rsid w:val="00D61FB4"/>
    <w:rsid w:val="00D62B93"/>
    <w:rsid w:val="00D65260"/>
    <w:rsid w:val="00D71FC9"/>
    <w:rsid w:val="00D729C7"/>
    <w:rsid w:val="00D72E36"/>
    <w:rsid w:val="00D73935"/>
    <w:rsid w:val="00D73FF9"/>
    <w:rsid w:val="00D74D38"/>
    <w:rsid w:val="00D75F84"/>
    <w:rsid w:val="00D8051F"/>
    <w:rsid w:val="00D817DF"/>
    <w:rsid w:val="00D83903"/>
    <w:rsid w:val="00D84C29"/>
    <w:rsid w:val="00D854F0"/>
    <w:rsid w:val="00D860BE"/>
    <w:rsid w:val="00D862D4"/>
    <w:rsid w:val="00D86534"/>
    <w:rsid w:val="00D869BA"/>
    <w:rsid w:val="00D94D37"/>
    <w:rsid w:val="00DA0270"/>
    <w:rsid w:val="00DA0EA3"/>
    <w:rsid w:val="00DA11E9"/>
    <w:rsid w:val="00DA140F"/>
    <w:rsid w:val="00DA19D9"/>
    <w:rsid w:val="00DA53A4"/>
    <w:rsid w:val="00DA5812"/>
    <w:rsid w:val="00DA5D0B"/>
    <w:rsid w:val="00DB0551"/>
    <w:rsid w:val="00DB21D3"/>
    <w:rsid w:val="00DB36DF"/>
    <w:rsid w:val="00DB4B9A"/>
    <w:rsid w:val="00DB6459"/>
    <w:rsid w:val="00DB70FD"/>
    <w:rsid w:val="00DC2269"/>
    <w:rsid w:val="00DC4923"/>
    <w:rsid w:val="00DC4951"/>
    <w:rsid w:val="00DC4C86"/>
    <w:rsid w:val="00DD2CC3"/>
    <w:rsid w:val="00DD370E"/>
    <w:rsid w:val="00DD3CBA"/>
    <w:rsid w:val="00DD4A06"/>
    <w:rsid w:val="00DD66FD"/>
    <w:rsid w:val="00DD6A28"/>
    <w:rsid w:val="00DD701F"/>
    <w:rsid w:val="00DE0587"/>
    <w:rsid w:val="00DE058D"/>
    <w:rsid w:val="00DE0642"/>
    <w:rsid w:val="00DE1003"/>
    <w:rsid w:val="00DE2AC5"/>
    <w:rsid w:val="00DE3168"/>
    <w:rsid w:val="00DE4F2B"/>
    <w:rsid w:val="00DE50E6"/>
    <w:rsid w:val="00DE64C5"/>
    <w:rsid w:val="00DE6727"/>
    <w:rsid w:val="00DE6969"/>
    <w:rsid w:val="00DF01D6"/>
    <w:rsid w:val="00DF05E3"/>
    <w:rsid w:val="00DF0BF8"/>
    <w:rsid w:val="00DF1AB9"/>
    <w:rsid w:val="00DF2AA6"/>
    <w:rsid w:val="00DF30A7"/>
    <w:rsid w:val="00DF3D32"/>
    <w:rsid w:val="00DF5CA6"/>
    <w:rsid w:val="00DF73E9"/>
    <w:rsid w:val="00E0012D"/>
    <w:rsid w:val="00E00C00"/>
    <w:rsid w:val="00E01945"/>
    <w:rsid w:val="00E03774"/>
    <w:rsid w:val="00E0608B"/>
    <w:rsid w:val="00E06699"/>
    <w:rsid w:val="00E11742"/>
    <w:rsid w:val="00E11CE9"/>
    <w:rsid w:val="00E1227B"/>
    <w:rsid w:val="00E137E1"/>
    <w:rsid w:val="00E13A1A"/>
    <w:rsid w:val="00E1462F"/>
    <w:rsid w:val="00E16925"/>
    <w:rsid w:val="00E17670"/>
    <w:rsid w:val="00E2082A"/>
    <w:rsid w:val="00E20DF2"/>
    <w:rsid w:val="00E214E6"/>
    <w:rsid w:val="00E21F95"/>
    <w:rsid w:val="00E22516"/>
    <w:rsid w:val="00E22889"/>
    <w:rsid w:val="00E22F61"/>
    <w:rsid w:val="00E23577"/>
    <w:rsid w:val="00E279C0"/>
    <w:rsid w:val="00E34E59"/>
    <w:rsid w:val="00E3504B"/>
    <w:rsid w:val="00E367DA"/>
    <w:rsid w:val="00E377FE"/>
    <w:rsid w:val="00E414EA"/>
    <w:rsid w:val="00E425A8"/>
    <w:rsid w:val="00E42C4A"/>
    <w:rsid w:val="00E4358C"/>
    <w:rsid w:val="00E435DA"/>
    <w:rsid w:val="00E43ACE"/>
    <w:rsid w:val="00E43B97"/>
    <w:rsid w:val="00E44022"/>
    <w:rsid w:val="00E44226"/>
    <w:rsid w:val="00E4588B"/>
    <w:rsid w:val="00E45F37"/>
    <w:rsid w:val="00E501F4"/>
    <w:rsid w:val="00E50626"/>
    <w:rsid w:val="00E50FB9"/>
    <w:rsid w:val="00E510F0"/>
    <w:rsid w:val="00E51371"/>
    <w:rsid w:val="00E5222C"/>
    <w:rsid w:val="00E54C4D"/>
    <w:rsid w:val="00E564C6"/>
    <w:rsid w:val="00E56595"/>
    <w:rsid w:val="00E6060A"/>
    <w:rsid w:val="00E608E5"/>
    <w:rsid w:val="00E61369"/>
    <w:rsid w:val="00E61D76"/>
    <w:rsid w:val="00E628CB"/>
    <w:rsid w:val="00E6368D"/>
    <w:rsid w:val="00E65054"/>
    <w:rsid w:val="00E66E8B"/>
    <w:rsid w:val="00E67AA6"/>
    <w:rsid w:val="00E67B26"/>
    <w:rsid w:val="00E70621"/>
    <w:rsid w:val="00E72E84"/>
    <w:rsid w:val="00E760AA"/>
    <w:rsid w:val="00E77827"/>
    <w:rsid w:val="00E77C30"/>
    <w:rsid w:val="00E80B38"/>
    <w:rsid w:val="00E8118A"/>
    <w:rsid w:val="00E8122F"/>
    <w:rsid w:val="00E8191E"/>
    <w:rsid w:val="00E81EA0"/>
    <w:rsid w:val="00E83B38"/>
    <w:rsid w:val="00E858F0"/>
    <w:rsid w:val="00E86E73"/>
    <w:rsid w:val="00E87526"/>
    <w:rsid w:val="00E8786B"/>
    <w:rsid w:val="00E87BFE"/>
    <w:rsid w:val="00E92564"/>
    <w:rsid w:val="00E9333F"/>
    <w:rsid w:val="00E93900"/>
    <w:rsid w:val="00E9562B"/>
    <w:rsid w:val="00E9654F"/>
    <w:rsid w:val="00E9767B"/>
    <w:rsid w:val="00EA21A1"/>
    <w:rsid w:val="00EA3D01"/>
    <w:rsid w:val="00EA544D"/>
    <w:rsid w:val="00EA66F4"/>
    <w:rsid w:val="00EA7A64"/>
    <w:rsid w:val="00EB0535"/>
    <w:rsid w:val="00EB05F6"/>
    <w:rsid w:val="00EB16AC"/>
    <w:rsid w:val="00EB1F9A"/>
    <w:rsid w:val="00EB1FB9"/>
    <w:rsid w:val="00EB3EBC"/>
    <w:rsid w:val="00EB43AA"/>
    <w:rsid w:val="00EB5140"/>
    <w:rsid w:val="00EB7478"/>
    <w:rsid w:val="00EB76C3"/>
    <w:rsid w:val="00EC17AB"/>
    <w:rsid w:val="00EC28F6"/>
    <w:rsid w:val="00EC4ED7"/>
    <w:rsid w:val="00EC52C3"/>
    <w:rsid w:val="00EC56AF"/>
    <w:rsid w:val="00EC67D5"/>
    <w:rsid w:val="00EC684C"/>
    <w:rsid w:val="00ED29FD"/>
    <w:rsid w:val="00ED55D5"/>
    <w:rsid w:val="00ED5E4C"/>
    <w:rsid w:val="00ED68C0"/>
    <w:rsid w:val="00ED7F5A"/>
    <w:rsid w:val="00EE17F1"/>
    <w:rsid w:val="00EE194F"/>
    <w:rsid w:val="00EE4A77"/>
    <w:rsid w:val="00EE4F50"/>
    <w:rsid w:val="00EE5531"/>
    <w:rsid w:val="00EE5A4A"/>
    <w:rsid w:val="00EE5A55"/>
    <w:rsid w:val="00EE6289"/>
    <w:rsid w:val="00EE7039"/>
    <w:rsid w:val="00EF0B44"/>
    <w:rsid w:val="00EF0EF5"/>
    <w:rsid w:val="00EF11D0"/>
    <w:rsid w:val="00EF2A81"/>
    <w:rsid w:val="00EF4A54"/>
    <w:rsid w:val="00EF4E53"/>
    <w:rsid w:val="00EF5773"/>
    <w:rsid w:val="00EF5E74"/>
    <w:rsid w:val="00EF65AD"/>
    <w:rsid w:val="00EF7F4F"/>
    <w:rsid w:val="00F0163D"/>
    <w:rsid w:val="00F019D9"/>
    <w:rsid w:val="00F01E06"/>
    <w:rsid w:val="00F0298C"/>
    <w:rsid w:val="00F02FFB"/>
    <w:rsid w:val="00F06089"/>
    <w:rsid w:val="00F123C8"/>
    <w:rsid w:val="00F12F00"/>
    <w:rsid w:val="00F13855"/>
    <w:rsid w:val="00F16E4D"/>
    <w:rsid w:val="00F1726A"/>
    <w:rsid w:val="00F1768F"/>
    <w:rsid w:val="00F17BCB"/>
    <w:rsid w:val="00F17D3D"/>
    <w:rsid w:val="00F20317"/>
    <w:rsid w:val="00F2040E"/>
    <w:rsid w:val="00F20619"/>
    <w:rsid w:val="00F21A11"/>
    <w:rsid w:val="00F22787"/>
    <w:rsid w:val="00F2436E"/>
    <w:rsid w:val="00F25745"/>
    <w:rsid w:val="00F26A3E"/>
    <w:rsid w:val="00F27202"/>
    <w:rsid w:val="00F31918"/>
    <w:rsid w:val="00F31D79"/>
    <w:rsid w:val="00F332A8"/>
    <w:rsid w:val="00F337BB"/>
    <w:rsid w:val="00F341D5"/>
    <w:rsid w:val="00F3709A"/>
    <w:rsid w:val="00F4003D"/>
    <w:rsid w:val="00F408D0"/>
    <w:rsid w:val="00F4090C"/>
    <w:rsid w:val="00F40AB0"/>
    <w:rsid w:val="00F41CE7"/>
    <w:rsid w:val="00F4274C"/>
    <w:rsid w:val="00F443ED"/>
    <w:rsid w:val="00F44CCE"/>
    <w:rsid w:val="00F50B28"/>
    <w:rsid w:val="00F52BD4"/>
    <w:rsid w:val="00F531D9"/>
    <w:rsid w:val="00F54007"/>
    <w:rsid w:val="00F54475"/>
    <w:rsid w:val="00F5567C"/>
    <w:rsid w:val="00F56196"/>
    <w:rsid w:val="00F5629C"/>
    <w:rsid w:val="00F572F4"/>
    <w:rsid w:val="00F578C7"/>
    <w:rsid w:val="00F604FE"/>
    <w:rsid w:val="00F60647"/>
    <w:rsid w:val="00F61112"/>
    <w:rsid w:val="00F612B1"/>
    <w:rsid w:val="00F61471"/>
    <w:rsid w:val="00F634E4"/>
    <w:rsid w:val="00F649AE"/>
    <w:rsid w:val="00F65A2A"/>
    <w:rsid w:val="00F665A3"/>
    <w:rsid w:val="00F665CE"/>
    <w:rsid w:val="00F70191"/>
    <w:rsid w:val="00F70C36"/>
    <w:rsid w:val="00F71882"/>
    <w:rsid w:val="00F737E2"/>
    <w:rsid w:val="00F73CC4"/>
    <w:rsid w:val="00F73DF2"/>
    <w:rsid w:val="00F750CE"/>
    <w:rsid w:val="00F76604"/>
    <w:rsid w:val="00F76A32"/>
    <w:rsid w:val="00F82351"/>
    <w:rsid w:val="00F82C49"/>
    <w:rsid w:val="00F8339B"/>
    <w:rsid w:val="00F84051"/>
    <w:rsid w:val="00F84584"/>
    <w:rsid w:val="00F86485"/>
    <w:rsid w:val="00F86724"/>
    <w:rsid w:val="00F9263B"/>
    <w:rsid w:val="00F92FA2"/>
    <w:rsid w:val="00F937AB"/>
    <w:rsid w:val="00F9422A"/>
    <w:rsid w:val="00F95AD8"/>
    <w:rsid w:val="00F97387"/>
    <w:rsid w:val="00FA2EFD"/>
    <w:rsid w:val="00FA3C31"/>
    <w:rsid w:val="00FA5B9F"/>
    <w:rsid w:val="00FA5D53"/>
    <w:rsid w:val="00FA6D20"/>
    <w:rsid w:val="00FA706C"/>
    <w:rsid w:val="00FB30F7"/>
    <w:rsid w:val="00FB46CB"/>
    <w:rsid w:val="00FB6834"/>
    <w:rsid w:val="00FB6C89"/>
    <w:rsid w:val="00FB7630"/>
    <w:rsid w:val="00FB7939"/>
    <w:rsid w:val="00FC1981"/>
    <w:rsid w:val="00FC1C43"/>
    <w:rsid w:val="00FC2070"/>
    <w:rsid w:val="00FC4B12"/>
    <w:rsid w:val="00FC5051"/>
    <w:rsid w:val="00FC7B4C"/>
    <w:rsid w:val="00FC7C80"/>
    <w:rsid w:val="00FC7C96"/>
    <w:rsid w:val="00FD0DDE"/>
    <w:rsid w:val="00FD1676"/>
    <w:rsid w:val="00FD20B5"/>
    <w:rsid w:val="00FD2DFF"/>
    <w:rsid w:val="00FD39BE"/>
    <w:rsid w:val="00FD3C0F"/>
    <w:rsid w:val="00FE05B6"/>
    <w:rsid w:val="00FE11B5"/>
    <w:rsid w:val="00FE2485"/>
    <w:rsid w:val="00FE26D0"/>
    <w:rsid w:val="00FE2B77"/>
    <w:rsid w:val="00FE3875"/>
    <w:rsid w:val="00FE464C"/>
    <w:rsid w:val="00FE534C"/>
    <w:rsid w:val="00FE68D8"/>
    <w:rsid w:val="00FE7561"/>
    <w:rsid w:val="00FF1708"/>
    <w:rsid w:val="00FF24A7"/>
    <w:rsid w:val="00FF3773"/>
    <w:rsid w:val="00FF5ADB"/>
    <w:rsid w:val="00FF6669"/>
    <w:rsid w:val="00FF789D"/>
    <w:rsid w:val="01026F88"/>
    <w:rsid w:val="01082606"/>
    <w:rsid w:val="01444DD9"/>
    <w:rsid w:val="021A569A"/>
    <w:rsid w:val="022D45FA"/>
    <w:rsid w:val="026E02FC"/>
    <w:rsid w:val="02713E77"/>
    <w:rsid w:val="02AB3BC6"/>
    <w:rsid w:val="038D5406"/>
    <w:rsid w:val="03C02654"/>
    <w:rsid w:val="041C4DD5"/>
    <w:rsid w:val="04930AF2"/>
    <w:rsid w:val="04971839"/>
    <w:rsid w:val="04BA3BD2"/>
    <w:rsid w:val="04DD575C"/>
    <w:rsid w:val="057E50C5"/>
    <w:rsid w:val="05823514"/>
    <w:rsid w:val="058A1BC4"/>
    <w:rsid w:val="05B54C86"/>
    <w:rsid w:val="05DC3692"/>
    <w:rsid w:val="06401602"/>
    <w:rsid w:val="06895398"/>
    <w:rsid w:val="06A37BC5"/>
    <w:rsid w:val="072B090B"/>
    <w:rsid w:val="072F1CB0"/>
    <w:rsid w:val="081758A3"/>
    <w:rsid w:val="08565494"/>
    <w:rsid w:val="09007C8F"/>
    <w:rsid w:val="0A570F7A"/>
    <w:rsid w:val="0A693C1B"/>
    <w:rsid w:val="0A6D10B5"/>
    <w:rsid w:val="0AB53EB2"/>
    <w:rsid w:val="0AF71E05"/>
    <w:rsid w:val="0B1A75F0"/>
    <w:rsid w:val="0B4B048C"/>
    <w:rsid w:val="0BD65D74"/>
    <w:rsid w:val="0BEE3B91"/>
    <w:rsid w:val="0C1669DB"/>
    <w:rsid w:val="0C211773"/>
    <w:rsid w:val="0CB36820"/>
    <w:rsid w:val="0CF06059"/>
    <w:rsid w:val="0D016400"/>
    <w:rsid w:val="0D524FFD"/>
    <w:rsid w:val="0D5855FF"/>
    <w:rsid w:val="0DE57E16"/>
    <w:rsid w:val="0E372683"/>
    <w:rsid w:val="0E6F4FF2"/>
    <w:rsid w:val="0EC65BD1"/>
    <w:rsid w:val="0F8A7471"/>
    <w:rsid w:val="0F9864C2"/>
    <w:rsid w:val="0FB00A79"/>
    <w:rsid w:val="0FC06DD0"/>
    <w:rsid w:val="0FC12A2F"/>
    <w:rsid w:val="0FC573D0"/>
    <w:rsid w:val="0FCD241E"/>
    <w:rsid w:val="0FD23BCC"/>
    <w:rsid w:val="1026294B"/>
    <w:rsid w:val="10455A8E"/>
    <w:rsid w:val="107F02BC"/>
    <w:rsid w:val="10BE1090"/>
    <w:rsid w:val="10C3265B"/>
    <w:rsid w:val="10D12329"/>
    <w:rsid w:val="11040D1B"/>
    <w:rsid w:val="111878D8"/>
    <w:rsid w:val="111E2245"/>
    <w:rsid w:val="115A395B"/>
    <w:rsid w:val="115A7F3F"/>
    <w:rsid w:val="11674CE6"/>
    <w:rsid w:val="116F43CA"/>
    <w:rsid w:val="11802ADE"/>
    <w:rsid w:val="118E4D04"/>
    <w:rsid w:val="11B6120F"/>
    <w:rsid w:val="11C113C0"/>
    <w:rsid w:val="11EA1B1A"/>
    <w:rsid w:val="11F4067E"/>
    <w:rsid w:val="11F8216C"/>
    <w:rsid w:val="121C4DC2"/>
    <w:rsid w:val="12D24F8E"/>
    <w:rsid w:val="13884A6A"/>
    <w:rsid w:val="139B3ED7"/>
    <w:rsid w:val="139D4854"/>
    <w:rsid w:val="13A16B0A"/>
    <w:rsid w:val="13B85539"/>
    <w:rsid w:val="140202DC"/>
    <w:rsid w:val="14340721"/>
    <w:rsid w:val="14476465"/>
    <w:rsid w:val="144D93E6"/>
    <w:rsid w:val="14554B45"/>
    <w:rsid w:val="14773170"/>
    <w:rsid w:val="15123D62"/>
    <w:rsid w:val="157F049C"/>
    <w:rsid w:val="15BBFBFE"/>
    <w:rsid w:val="1623346E"/>
    <w:rsid w:val="16311949"/>
    <w:rsid w:val="164D264A"/>
    <w:rsid w:val="16553F22"/>
    <w:rsid w:val="166A7BB4"/>
    <w:rsid w:val="16CF39B6"/>
    <w:rsid w:val="16D06A17"/>
    <w:rsid w:val="16E951FA"/>
    <w:rsid w:val="16FF1513"/>
    <w:rsid w:val="1717643C"/>
    <w:rsid w:val="176F36D5"/>
    <w:rsid w:val="177269BD"/>
    <w:rsid w:val="177BBE92"/>
    <w:rsid w:val="17CC2463"/>
    <w:rsid w:val="17DD06D5"/>
    <w:rsid w:val="17DE2EE5"/>
    <w:rsid w:val="18026C0C"/>
    <w:rsid w:val="182D0233"/>
    <w:rsid w:val="18C92125"/>
    <w:rsid w:val="18DD2780"/>
    <w:rsid w:val="18E963CF"/>
    <w:rsid w:val="18FD6646"/>
    <w:rsid w:val="192F2691"/>
    <w:rsid w:val="1A070A49"/>
    <w:rsid w:val="1A7108C8"/>
    <w:rsid w:val="1A995734"/>
    <w:rsid w:val="1ACE69E6"/>
    <w:rsid w:val="1AE837B6"/>
    <w:rsid w:val="1AF367AF"/>
    <w:rsid w:val="1B407DAA"/>
    <w:rsid w:val="1B831B80"/>
    <w:rsid w:val="1B966137"/>
    <w:rsid w:val="1BCF3DD2"/>
    <w:rsid w:val="1CD01C99"/>
    <w:rsid w:val="1CD04AC5"/>
    <w:rsid w:val="1CF01248"/>
    <w:rsid w:val="1CFF4391"/>
    <w:rsid w:val="1D387DF8"/>
    <w:rsid w:val="1D3D286D"/>
    <w:rsid w:val="1D9255F7"/>
    <w:rsid w:val="1DCE0C93"/>
    <w:rsid w:val="1DDC02A2"/>
    <w:rsid w:val="1DEA15EE"/>
    <w:rsid w:val="1DFBE009"/>
    <w:rsid w:val="1E193390"/>
    <w:rsid w:val="1E2D66D4"/>
    <w:rsid w:val="1E616470"/>
    <w:rsid w:val="1EC037D8"/>
    <w:rsid w:val="1EE76D90"/>
    <w:rsid w:val="1F3A42AF"/>
    <w:rsid w:val="1FA0403B"/>
    <w:rsid w:val="1FEB7333"/>
    <w:rsid w:val="20015D5F"/>
    <w:rsid w:val="20A711C5"/>
    <w:rsid w:val="20CE788D"/>
    <w:rsid w:val="2126281F"/>
    <w:rsid w:val="213476E8"/>
    <w:rsid w:val="215106AA"/>
    <w:rsid w:val="2167281F"/>
    <w:rsid w:val="21972E24"/>
    <w:rsid w:val="219C49A3"/>
    <w:rsid w:val="21CE04E0"/>
    <w:rsid w:val="21D82371"/>
    <w:rsid w:val="21DC47B6"/>
    <w:rsid w:val="22012BD9"/>
    <w:rsid w:val="22037723"/>
    <w:rsid w:val="22975258"/>
    <w:rsid w:val="22A54340"/>
    <w:rsid w:val="22B25A52"/>
    <w:rsid w:val="22ED6D73"/>
    <w:rsid w:val="22FE1130"/>
    <w:rsid w:val="23066CDC"/>
    <w:rsid w:val="232C0E0E"/>
    <w:rsid w:val="23892703"/>
    <w:rsid w:val="23985F10"/>
    <w:rsid w:val="24294562"/>
    <w:rsid w:val="24355899"/>
    <w:rsid w:val="24A22410"/>
    <w:rsid w:val="24AA0982"/>
    <w:rsid w:val="24C551A9"/>
    <w:rsid w:val="24F544DB"/>
    <w:rsid w:val="25803332"/>
    <w:rsid w:val="263B057E"/>
    <w:rsid w:val="26735F97"/>
    <w:rsid w:val="267521FE"/>
    <w:rsid w:val="267F5B46"/>
    <w:rsid w:val="268E79AD"/>
    <w:rsid w:val="26CE7E88"/>
    <w:rsid w:val="26D545BE"/>
    <w:rsid w:val="26D567E1"/>
    <w:rsid w:val="271C26C4"/>
    <w:rsid w:val="27250566"/>
    <w:rsid w:val="27D15952"/>
    <w:rsid w:val="28664B78"/>
    <w:rsid w:val="28764D67"/>
    <w:rsid w:val="287C45C5"/>
    <w:rsid w:val="28916B7A"/>
    <w:rsid w:val="28FD0DF7"/>
    <w:rsid w:val="291C7135"/>
    <w:rsid w:val="29683C73"/>
    <w:rsid w:val="29856CD7"/>
    <w:rsid w:val="29C62255"/>
    <w:rsid w:val="29D92341"/>
    <w:rsid w:val="2A6D06AA"/>
    <w:rsid w:val="2A746934"/>
    <w:rsid w:val="2A9776C9"/>
    <w:rsid w:val="2AC75591"/>
    <w:rsid w:val="2B0A03A0"/>
    <w:rsid w:val="2B300A39"/>
    <w:rsid w:val="2C250FA9"/>
    <w:rsid w:val="2C37465D"/>
    <w:rsid w:val="2CA231EC"/>
    <w:rsid w:val="2D3A0ED5"/>
    <w:rsid w:val="2D5D3DE8"/>
    <w:rsid w:val="2D64488D"/>
    <w:rsid w:val="2D732593"/>
    <w:rsid w:val="2D850500"/>
    <w:rsid w:val="2D9D643D"/>
    <w:rsid w:val="2DA8231D"/>
    <w:rsid w:val="2E4F367F"/>
    <w:rsid w:val="2E6147BB"/>
    <w:rsid w:val="2E8D3299"/>
    <w:rsid w:val="2EA25FA7"/>
    <w:rsid w:val="2EAC3268"/>
    <w:rsid w:val="2EFE0457"/>
    <w:rsid w:val="2F1E2B36"/>
    <w:rsid w:val="2F4E13FA"/>
    <w:rsid w:val="2F5F8100"/>
    <w:rsid w:val="2F72792F"/>
    <w:rsid w:val="2F7812A2"/>
    <w:rsid w:val="2F9230FA"/>
    <w:rsid w:val="2FA9374B"/>
    <w:rsid w:val="2FB827CF"/>
    <w:rsid w:val="2FC52FBA"/>
    <w:rsid w:val="2FCC12E7"/>
    <w:rsid w:val="30253593"/>
    <w:rsid w:val="303C0703"/>
    <w:rsid w:val="30525A2F"/>
    <w:rsid w:val="30720CCB"/>
    <w:rsid w:val="30727F1A"/>
    <w:rsid w:val="3099734E"/>
    <w:rsid w:val="310D1546"/>
    <w:rsid w:val="311D531F"/>
    <w:rsid w:val="317C3488"/>
    <w:rsid w:val="31B93F35"/>
    <w:rsid w:val="31C92C28"/>
    <w:rsid w:val="31F12D4B"/>
    <w:rsid w:val="32161BC7"/>
    <w:rsid w:val="324E1DFF"/>
    <w:rsid w:val="324F4F48"/>
    <w:rsid w:val="329D2E32"/>
    <w:rsid w:val="3309660F"/>
    <w:rsid w:val="336F384B"/>
    <w:rsid w:val="33714FB3"/>
    <w:rsid w:val="339424EC"/>
    <w:rsid w:val="33AB1BEA"/>
    <w:rsid w:val="33FF1C3B"/>
    <w:rsid w:val="344C1DA6"/>
    <w:rsid w:val="344C593E"/>
    <w:rsid w:val="34847E6D"/>
    <w:rsid w:val="348D390C"/>
    <w:rsid w:val="34E40E58"/>
    <w:rsid w:val="35015922"/>
    <w:rsid w:val="35054CDE"/>
    <w:rsid w:val="35955F8C"/>
    <w:rsid w:val="35B7197C"/>
    <w:rsid w:val="35E4410F"/>
    <w:rsid w:val="35EF151C"/>
    <w:rsid w:val="362049B6"/>
    <w:rsid w:val="362B0E06"/>
    <w:rsid w:val="363477D4"/>
    <w:rsid w:val="36656FB7"/>
    <w:rsid w:val="367031F9"/>
    <w:rsid w:val="36872610"/>
    <w:rsid w:val="369B0E77"/>
    <w:rsid w:val="36B95376"/>
    <w:rsid w:val="36E83213"/>
    <w:rsid w:val="38106FB5"/>
    <w:rsid w:val="38406349"/>
    <w:rsid w:val="38954E6B"/>
    <w:rsid w:val="38C06B24"/>
    <w:rsid w:val="38C1287F"/>
    <w:rsid w:val="39533B5E"/>
    <w:rsid w:val="395E0A7B"/>
    <w:rsid w:val="397B11FC"/>
    <w:rsid w:val="39B60ED4"/>
    <w:rsid w:val="39E7AB22"/>
    <w:rsid w:val="3A1E109A"/>
    <w:rsid w:val="3A390958"/>
    <w:rsid w:val="3A923AF5"/>
    <w:rsid w:val="3AC451CB"/>
    <w:rsid w:val="3AE75F9C"/>
    <w:rsid w:val="3B020B61"/>
    <w:rsid w:val="3B0D17A4"/>
    <w:rsid w:val="3B1A57D8"/>
    <w:rsid w:val="3B3A74E0"/>
    <w:rsid w:val="3BA635DD"/>
    <w:rsid w:val="3C7C25C4"/>
    <w:rsid w:val="3C89499A"/>
    <w:rsid w:val="3CB4137B"/>
    <w:rsid w:val="3CB87E6C"/>
    <w:rsid w:val="3CDF40BA"/>
    <w:rsid w:val="3D0D04A2"/>
    <w:rsid w:val="3D1E1028"/>
    <w:rsid w:val="3D27335F"/>
    <w:rsid w:val="3D2B4A83"/>
    <w:rsid w:val="3D5024C8"/>
    <w:rsid w:val="3D7A072D"/>
    <w:rsid w:val="3D8C1626"/>
    <w:rsid w:val="3DE6060C"/>
    <w:rsid w:val="3DEF7246"/>
    <w:rsid w:val="3E6C527D"/>
    <w:rsid w:val="3EE41ECA"/>
    <w:rsid w:val="3EEBCE6F"/>
    <w:rsid w:val="3F540744"/>
    <w:rsid w:val="3F5D640E"/>
    <w:rsid w:val="3FA35810"/>
    <w:rsid w:val="3FBA10A2"/>
    <w:rsid w:val="3FC66ACD"/>
    <w:rsid w:val="3FD11053"/>
    <w:rsid w:val="3FFF6303"/>
    <w:rsid w:val="402B1E33"/>
    <w:rsid w:val="40381724"/>
    <w:rsid w:val="404D3C4C"/>
    <w:rsid w:val="40A521C3"/>
    <w:rsid w:val="40D14AE3"/>
    <w:rsid w:val="41124B86"/>
    <w:rsid w:val="415D291B"/>
    <w:rsid w:val="4188533F"/>
    <w:rsid w:val="41BB2C50"/>
    <w:rsid w:val="41F3509D"/>
    <w:rsid w:val="423C70E2"/>
    <w:rsid w:val="42461E9C"/>
    <w:rsid w:val="424E548C"/>
    <w:rsid w:val="426F51A5"/>
    <w:rsid w:val="426F5FBD"/>
    <w:rsid w:val="428B7CD7"/>
    <w:rsid w:val="429F66C6"/>
    <w:rsid w:val="42F51255"/>
    <w:rsid w:val="431A7352"/>
    <w:rsid w:val="438F30C0"/>
    <w:rsid w:val="43D91551"/>
    <w:rsid w:val="43ED4E04"/>
    <w:rsid w:val="43F1511F"/>
    <w:rsid w:val="43FA016D"/>
    <w:rsid w:val="44472CBF"/>
    <w:rsid w:val="44522366"/>
    <w:rsid w:val="44B8131C"/>
    <w:rsid w:val="45022243"/>
    <w:rsid w:val="45590EAA"/>
    <w:rsid w:val="45CC611C"/>
    <w:rsid w:val="45DD6324"/>
    <w:rsid w:val="45E32B7E"/>
    <w:rsid w:val="45EA5BA0"/>
    <w:rsid w:val="45FB72EB"/>
    <w:rsid w:val="46A77FBC"/>
    <w:rsid w:val="472A0FDA"/>
    <w:rsid w:val="47752F68"/>
    <w:rsid w:val="47771D61"/>
    <w:rsid w:val="47B677D1"/>
    <w:rsid w:val="47ED4D46"/>
    <w:rsid w:val="48011153"/>
    <w:rsid w:val="4843149E"/>
    <w:rsid w:val="485F7C6E"/>
    <w:rsid w:val="48731E16"/>
    <w:rsid w:val="48941DC9"/>
    <w:rsid w:val="48CE2745"/>
    <w:rsid w:val="48E51AA1"/>
    <w:rsid w:val="49371D95"/>
    <w:rsid w:val="49440CB6"/>
    <w:rsid w:val="49551C8E"/>
    <w:rsid w:val="497732DE"/>
    <w:rsid w:val="49781609"/>
    <w:rsid w:val="49AB0A0B"/>
    <w:rsid w:val="49D513A1"/>
    <w:rsid w:val="4A1268D2"/>
    <w:rsid w:val="4A381D02"/>
    <w:rsid w:val="4A904636"/>
    <w:rsid w:val="4AA73483"/>
    <w:rsid w:val="4AA80C79"/>
    <w:rsid w:val="4AC64EE8"/>
    <w:rsid w:val="4AC6550B"/>
    <w:rsid w:val="4ADC0759"/>
    <w:rsid w:val="4B266977"/>
    <w:rsid w:val="4B9707C4"/>
    <w:rsid w:val="4BC452E9"/>
    <w:rsid w:val="4C3B1F67"/>
    <w:rsid w:val="4C5635B2"/>
    <w:rsid w:val="4C6B78D0"/>
    <w:rsid w:val="4C84225E"/>
    <w:rsid w:val="4C9977A4"/>
    <w:rsid w:val="4CE04E48"/>
    <w:rsid w:val="4CFF08EC"/>
    <w:rsid w:val="4D063B3E"/>
    <w:rsid w:val="4D1831FB"/>
    <w:rsid w:val="4D364608"/>
    <w:rsid w:val="4D4F089B"/>
    <w:rsid w:val="4DA2775B"/>
    <w:rsid w:val="4DC92958"/>
    <w:rsid w:val="4DCB03CA"/>
    <w:rsid w:val="4DD87DEA"/>
    <w:rsid w:val="4E155417"/>
    <w:rsid w:val="4E3F0F99"/>
    <w:rsid w:val="4EC304BF"/>
    <w:rsid w:val="4ED33BB4"/>
    <w:rsid w:val="4F7058FB"/>
    <w:rsid w:val="4F7C16E3"/>
    <w:rsid w:val="4F915CC3"/>
    <w:rsid w:val="4FBB7AFE"/>
    <w:rsid w:val="4FE156A7"/>
    <w:rsid w:val="4FF75681"/>
    <w:rsid w:val="50051F26"/>
    <w:rsid w:val="5020156D"/>
    <w:rsid w:val="50211B14"/>
    <w:rsid w:val="503A68B5"/>
    <w:rsid w:val="503B607A"/>
    <w:rsid w:val="505B1DC5"/>
    <w:rsid w:val="505E5615"/>
    <w:rsid w:val="5070343B"/>
    <w:rsid w:val="5074443B"/>
    <w:rsid w:val="50B06AA6"/>
    <w:rsid w:val="51313D03"/>
    <w:rsid w:val="513A5539"/>
    <w:rsid w:val="51554EA2"/>
    <w:rsid w:val="515734B3"/>
    <w:rsid w:val="51854CA3"/>
    <w:rsid w:val="51933E03"/>
    <w:rsid w:val="5195140A"/>
    <w:rsid w:val="51B701A5"/>
    <w:rsid w:val="53AB40E7"/>
    <w:rsid w:val="53B51FDC"/>
    <w:rsid w:val="53BD0BB9"/>
    <w:rsid w:val="54034444"/>
    <w:rsid w:val="545875E8"/>
    <w:rsid w:val="545B199F"/>
    <w:rsid w:val="54A379BB"/>
    <w:rsid w:val="55094987"/>
    <w:rsid w:val="55442C7A"/>
    <w:rsid w:val="556E3977"/>
    <w:rsid w:val="55742AE9"/>
    <w:rsid w:val="55ED3497"/>
    <w:rsid w:val="56110A54"/>
    <w:rsid w:val="56170E42"/>
    <w:rsid w:val="56C312ED"/>
    <w:rsid w:val="56CD7A06"/>
    <w:rsid w:val="570237F2"/>
    <w:rsid w:val="57150C83"/>
    <w:rsid w:val="572C70A3"/>
    <w:rsid w:val="573858DC"/>
    <w:rsid w:val="57621E3B"/>
    <w:rsid w:val="57B225A7"/>
    <w:rsid w:val="57BD672D"/>
    <w:rsid w:val="57C2138B"/>
    <w:rsid w:val="57CE3D78"/>
    <w:rsid w:val="57EF0CBB"/>
    <w:rsid w:val="58215910"/>
    <w:rsid w:val="588E21C5"/>
    <w:rsid w:val="58B147B3"/>
    <w:rsid w:val="58DA387D"/>
    <w:rsid w:val="58E3144F"/>
    <w:rsid w:val="59117B83"/>
    <w:rsid w:val="5977B5E6"/>
    <w:rsid w:val="59820975"/>
    <w:rsid w:val="59AA4597"/>
    <w:rsid w:val="59B317E2"/>
    <w:rsid w:val="59BD7509"/>
    <w:rsid w:val="59D41553"/>
    <w:rsid w:val="59FA4DB3"/>
    <w:rsid w:val="5A6A1BA1"/>
    <w:rsid w:val="5A7B2DEB"/>
    <w:rsid w:val="5A8922B9"/>
    <w:rsid w:val="5AB53092"/>
    <w:rsid w:val="5B6550E6"/>
    <w:rsid w:val="5B8A1134"/>
    <w:rsid w:val="5B926561"/>
    <w:rsid w:val="5B9A0D64"/>
    <w:rsid w:val="5BD37571"/>
    <w:rsid w:val="5C2D4068"/>
    <w:rsid w:val="5C306FE8"/>
    <w:rsid w:val="5C52273A"/>
    <w:rsid w:val="5C8D5AF2"/>
    <w:rsid w:val="5E1458E8"/>
    <w:rsid w:val="5E4B4F7D"/>
    <w:rsid w:val="5E540385"/>
    <w:rsid w:val="5E5C0AE3"/>
    <w:rsid w:val="5E7F33B1"/>
    <w:rsid w:val="5EA147CA"/>
    <w:rsid w:val="5EA26F45"/>
    <w:rsid w:val="5EB82BEE"/>
    <w:rsid w:val="5ED34B71"/>
    <w:rsid w:val="5EFE773A"/>
    <w:rsid w:val="5F163A0B"/>
    <w:rsid w:val="5F1C474F"/>
    <w:rsid w:val="5FC03C2E"/>
    <w:rsid w:val="5FDA011D"/>
    <w:rsid w:val="60970261"/>
    <w:rsid w:val="61AF4DFC"/>
    <w:rsid w:val="61D16B75"/>
    <w:rsid w:val="62591294"/>
    <w:rsid w:val="62661143"/>
    <w:rsid w:val="627A2758"/>
    <w:rsid w:val="627F0F3C"/>
    <w:rsid w:val="62936704"/>
    <w:rsid w:val="62E16189"/>
    <w:rsid w:val="62EE5E9C"/>
    <w:rsid w:val="62FC7C7D"/>
    <w:rsid w:val="633A045B"/>
    <w:rsid w:val="634532F6"/>
    <w:rsid w:val="638E4521"/>
    <w:rsid w:val="63A41B85"/>
    <w:rsid w:val="63B43FBD"/>
    <w:rsid w:val="63D33A6F"/>
    <w:rsid w:val="63DB40C2"/>
    <w:rsid w:val="64601CFA"/>
    <w:rsid w:val="647963FD"/>
    <w:rsid w:val="64AA5014"/>
    <w:rsid w:val="64BC4DF9"/>
    <w:rsid w:val="64CE458C"/>
    <w:rsid w:val="64FE4C97"/>
    <w:rsid w:val="651E7EBA"/>
    <w:rsid w:val="654F0B8C"/>
    <w:rsid w:val="654F24D2"/>
    <w:rsid w:val="65524360"/>
    <w:rsid w:val="65B54D20"/>
    <w:rsid w:val="65B94F67"/>
    <w:rsid w:val="663B03CE"/>
    <w:rsid w:val="66A7240C"/>
    <w:rsid w:val="671A5B7D"/>
    <w:rsid w:val="67605EE5"/>
    <w:rsid w:val="679017E8"/>
    <w:rsid w:val="67E80040"/>
    <w:rsid w:val="68193AF2"/>
    <w:rsid w:val="68B275AA"/>
    <w:rsid w:val="68CB6F3A"/>
    <w:rsid w:val="68E75BD7"/>
    <w:rsid w:val="690D326D"/>
    <w:rsid w:val="69325494"/>
    <w:rsid w:val="696341FA"/>
    <w:rsid w:val="69957BCC"/>
    <w:rsid w:val="69B00381"/>
    <w:rsid w:val="69DF6901"/>
    <w:rsid w:val="6A366647"/>
    <w:rsid w:val="6A645A27"/>
    <w:rsid w:val="6A954690"/>
    <w:rsid w:val="6AA36FAF"/>
    <w:rsid w:val="6AB112F8"/>
    <w:rsid w:val="6AC01271"/>
    <w:rsid w:val="6AE31091"/>
    <w:rsid w:val="6AF633DF"/>
    <w:rsid w:val="6B6C4855"/>
    <w:rsid w:val="6BB205AE"/>
    <w:rsid w:val="6BB426C9"/>
    <w:rsid w:val="6BCC74A1"/>
    <w:rsid w:val="6BD022F7"/>
    <w:rsid w:val="6BF64CAC"/>
    <w:rsid w:val="6C191552"/>
    <w:rsid w:val="6C210A4A"/>
    <w:rsid w:val="6C5E29E4"/>
    <w:rsid w:val="6CAD2276"/>
    <w:rsid w:val="6CC867EB"/>
    <w:rsid w:val="6CC919DC"/>
    <w:rsid w:val="6CDF775E"/>
    <w:rsid w:val="6CE625C1"/>
    <w:rsid w:val="6D4F30A9"/>
    <w:rsid w:val="6DB0353C"/>
    <w:rsid w:val="6E891BA4"/>
    <w:rsid w:val="6F1525BD"/>
    <w:rsid w:val="6F5A61FC"/>
    <w:rsid w:val="6F7F87A0"/>
    <w:rsid w:val="6FAA4496"/>
    <w:rsid w:val="70414FB7"/>
    <w:rsid w:val="70834053"/>
    <w:rsid w:val="70997389"/>
    <w:rsid w:val="70C61DF3"/>
    <w:rsid w:val="70E90114"/>
    <w:rsid w:val="71177C0E"/>
    <w:rsid w:val="71297445"/>
    <w:rsid w:val="712B4404"/>
    <w:rsid w:val="716D033C"/>
    <w:rsid w:val="71733CFD"/>
    <w:rsid w:val="71845E18"/>
    <w:rsid w:val="718C7542"/>
    <w:rsid w:val="71A11540"/>
    <w:rsid w:val="725024BF"/>
    <w:rsid w:val="725C2B01"/>
    <w:rsid w:val="72920294"/>
    <w:rsid w:val="729F273C"/>
    <w:rsid w:val="72AA7FB3"/>
    <w:rsid w:val="72AC7D99"/>
    <w:rsid w:val="72D1633A"/>
    <w:rsid w:val="72F27C32"/>
    <w:rsid w:val="736056AF"/>
    <w:rsid w:val="738972CE"/>
    <w:rsid w:val="738D6E5D"/>
    <w:rsid w:val="73BE0760"/>
    <w:rsid w:val="73C76A5E"/>
    <w:rsid w:val="73C96875"/>
    <w:rsid w:val="73D46628"/>
    <w:rsid w:val="741C5DCF"/>
    <w:rsid w:val="74C076E1"/>
    <w:rsid w:val="75393547"/>
    <w:rsid w:val="75830CC6"/>
    <w:rsid w:val="759056EB"/>
    <w:rsid w:val="75C615FB"/>
    <w:rsid w:val="760811C8"/>
    <w:rsid w:val="7621092D"/>
    <w:rsid w:val="76A01923"/>
    <w:rsid w:val="76A24A20"/>
    <w:rsid w:val="77564F3B"/>
    <w:rsid w:val="77813130"/>
    <w:rsid w:val="77894988"/>
    <w:rsid w:val="77F054A2"/>
    <w:rsid w:val="77F53B22"/>
    <w:rsid w:val="78181F64"/>
    <w:rsid w:val="783038BA"/>
    <w:rsid w:val="78453011"/>
    <w:rsid w:val="784A3E68"/>
    <w:rsid w:val="787927EA"/>
    <w:rsid w:val="78885D6A"/>
    <w:rsid w:val="78E40B9D"/>
    <w:rsid w:val="79534AA3"/>
    <w:rsid w:val="79702E77"/>
    <w:rsid w:val="7977204F"/>
    <w:rsid w:val="797B19E5"/>
    <w:rsid w:val="799C7940"/>
    <w:rsid w:val="79B72CEE"/>
    <w:rsid w:val="79B8627E"/>
    <w:rsid w:val="7A0909F7"/>
    <w:rsid w:val="7A5609A4"/>
    <w:rsid w:val="7A5A2579"/>
    <w:rsid w:val="7A5E05B1"/>
    <w:rsid w:val="7A6564B7"/>
    <w:rsid w:val="7A79782F"/>
    <w:rsid w:val="7A7F64E5"/>
    <w:rsid w:val="7AA81C91"/>
    <w:rsid w:val="7B3A4DC1"/>
    <w:rsid w:val="7B4C2068"/>
    <w:rsid w:val="7B8B0259"/>
    <w:rsid w:val="7BC039DA"/>
    <w:rsid w:val="7C5A152D"/>
    <w:rsid w:val="7C6429CE"/>
    <w:rsid w:val="7CA166B1"/>
    <w:rsid w:val="7CA3500B"/>
    <w:rsid w:val="7D1C416B"/>
    <w:rsid w:val="7D4C0208"/>
    <w:rsid w:val="7D553974"/>
    <w:rsid w:val="7D7A4A32"/>
    <w:rsid w:val="7DAD7713"/>
    <w:rsid w:val="7DC439B2"/>
    <w:rsid w:val="7DF32B24"/>
    <w:rsid w:val="7E0D1701"/>
    <w:rsid w:val="7E2253C2"/>
    <w:rsid w:val="7EA22319"/>
    <w:rsid w:val="7EEFEF12"/>
    <w:rsid w:val="7EF7314E"/>
    <w:rsid w:val="7F1665C4"/>
    <w:rsid w:val="7F1E0684"/>
    <w:rsid w:val="7F262598"/>
    <w:rsid w:val="7F4875DD"/>
    <w:rsid w:val="7F4A4000"/>
    <w:rsid w:val="7FAB1ABC"/>
    <w:rsid w:val="7FD77CDB"/>
    <w:rsid w:val="7FFE841F"/>
    <w:rsid w:val="88A85D29"/>
    <w:rsid w:val="896FA202"/>
    <w:rsid w:val="B3EB3324"/>
    <w:rsid w:val="BA7B23C6"/>
    <w:rsid w:val="BFEF0706"/>
    <w:rsid w:val="D4EF5D44"/>
    <w:rsid w:val="DB6B5ECC"/>
    <w:rsid w:val="DBBFA9DC"/>
    <w:rsid w:val="DCBFBEE0"/>
    <w:rsid w:val="EF6DE88C"/>
    <w:rsid w:val="EF7BC7BA"/>
    <w:rsid w:val="EFDF9F34"/>
    <w:rsid w:val="EFF7EEEA"/>
    <w:rsid w:val="F5C41064"/>
    <w:rsid w:val="F74E8D8C"/>
    <w:rsid w:val="F7E71CDE"/>
    <w:rsid w:val="FEFE2757"/>
    <w:rsid w:val="FF77CB60"/>
    <w:rsid w:val="FFD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7"/>
    <w:qFormat/>
    <w:uiPriority w:val="9"/>
    <w:pPr>
      <w:keepNext/>
      <w:spacing w:line="360" w:lineRule="auto"/>
      <w:jc w:val="center"/>
      <w:outlineLvl w:val="0"/>
    </w:pPr>
    <w:rPr>
      <w:b/>
      <w:color w:val="000000"/>
      <w:sz w:val="32"/>
    </w:rPr>
  </w:style>
  <w:style w:type="paragraph" w:styleId="5">
    <w:name w:val="heading 2"/>
    <w:basedOn w:val="1"/>
    <w:next w:val="1"/>
    <w:link w:val="68"/>
    <w:qFormat/>
    <w:uiPriority w:val="0"/>
    <w:pPr>
      <w:keepNext/>
      <w:keepLines/>
      <w:spacing w:line="360" w:lineRule="auto"/>
      <w:ind w:firstLine="200" w:firstLineChars="200"/>
      <w:outlineLvl w:val="1"/>
    </w:pPr>
    <w:rPr>
      <w:rFonts w:ascii="Arial" w:hAnsi="Arial"/>
      <w:b/>
      <w:bCs/>
      <w:szCs w:val="32"/>
    </w:rPr>
  </w:style>
  <w:style w:type="paragraph" w:styleId="6">
    <w:name w:val="heading 3"/>
    <w:basedOn w:val="1"/>
    <w:next w:val="7"/>
    <w:link w:val="69"/>
    <w:qFormat/>
    <w:uiPriority w:val="0"/>
    <w:pPr>
      <w:widowControl/>
      <w:autoSpaceDE w:val="0"/>
      <w:autoSpaceDN w:val="0"/>
      <w:spacing w:before="120" w:after="120" w:line="300" w:lineRule="auto"/>
      <w:outlineLvl w:val="2"/>
    </w:pPr>
    <w:rPr>
      <w:sz w:val="24"/>
      <w:szCs w:val="20"/>
    </w:rPr>
  </w:style>
  <w:style w:type="paragraph" w:styleId="8">
    <w:name w:val="heading 4"/>
    <w:basedOn w:val="1"/>
    <w:next w:val="1"/>
    <w:link w:val="70"/>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71"/>
    <w:qFormat/>
    <w:uiPriority w:val="9"/>
    <w:pPr>
      <w:keepNext/>
      <w:keepLines/>
      <w:spacing w:before="280" w:after="290" w:line="376" w:lineRule="auto"/>
      <w:outlineLvl w:val="4"/>
    </w:pPr>
    <w:rPr>
      <w:b/>
      <w:bCs/>
      <w:sz w:val="28"/>
      <w:szCs w:val="28"/>
    </w:rPr>
  </w:style>
  <w:style w:type="paragraph" w:styleId="10">
    <w:name w:val="heading 6"/>
    <w:basedOn w:val="1"/>
    <w:next w:val="1"/>
    <w:link w:val="72"/>
    <w:qFormat/>
    <w:uiPriority w:val="9"/>
    <w:pPr>
      <w:keepNext/>
      <w:keepLines/>
      <w:tabs>
        <w:tab w:val="left" w:pos="1152"/>
        <w:tab w:val="left" w:pos="2520"/>
      </w:tabs>
      <w:spacing w:before="240" w:after="64" w:line="317" w:lineRule="auto"/>
      <w:ind w:left="2520" w:hanging="420"/>
      <w:outlineLvl w:val="5"/>
    </w:pPr>
    <w:rPr>
      <w:rFonts w:ascii="Arial" w:hAnsi="Arial" w:eastAsia="黑体"/>
      <w:b/>
      <w:bCs/>
      <w:sz w:val="24"/>
    </w:rPr>
  </w:style>
  <w:style w:type="paragraph" w:styleId="11">
    <w:name w:val="heading 7"/>
    <w:basedOn w:val="1"/>
    <w:next w:val="1"/>
    <w:link w:val="73"/>
    <w:qFormat/>
    <w:uiPriority w:val="9"/>
    <w:pPr>
      <w:keepNext/>
      <w:keepLines/>
      <w:tabs>
        <w:tab w:val="left" w:pos="1296"/>
        <w:tab w:val="left" w:pos="2940"/>
      </w:tabs>
      <w:spacing w:before="240" w:after="64" w:line="317" w:lineRule="auto"/>
      <w:ind w:left="2940" w:hanging="420"/>
      <w:outlineLvl w:val="6"/>
    </w:pPr>
    <w:rPr>
      <w:b/>
      <w:bCs/>
      <w:sz w:val="24"/>
    </w:rPr>
  </w:style>
  <w:style w:type="paragraph" w:styleId="12">
    <w:name w:val="heading 8"/>
    <w:basedOn w:val="1"/>
    <w:next w:val="1"/>
    <w:link w:val="74"/>
    <w:qFormat/>
    <w:uiPriority w:val="9"/>
    <w:pPr>
      <w:keepNext/>
      <w:keepLines/>
      <w:tabs>
        <w:tab w:val="left" w:pos="1440"/>
        <w:tab w:val="left" w:pos="3360"/>
      </w:tabs>
      <w:spacing w:before="240" w:after="64" w:line="317" w:lineRule="auto"/>
      <w:ind w:left="3360" w:hanging="420"/>
      <w:outlineLvl w:val="7"/>
    </w:pPr>
    <w:rPr>
      <w:rFonts w:ascii="Arial" w:hAnsi="Arial" w:eastAsia="黑体"/>
      <w:sz w:val="24"/>
    </w:rPr>
  </w:style>
  <w:style w:type="paragraph" w:styleId="13">
    <w:name w:val="heading 9"/>
    <w:basedOn w:val="1"/>
    <w:next w:val="1"/>
    <w:link w:val="75"/>
    <w:qFormat/>
    <w:uiPriority w:val="9"/>
    <w:pPr>
      <w:keepNext/>
      <w:keepLines/>
      <w:tabs>
        <w:tab w:val="left" w:pos="1584"/>
        <w:tab w:val="left" w:pos="3780"/>
      </w:tabs>
      <w:spacing w:before="240" w:after="64" w:line="317" w:lineRule="auto"/>
      <w:ind w:left="3780" w:hanging="420"/>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qFormat/>
    <w:uiPriority w:val="99"/>
    <w:pPr>
      <w:adjustRightInd w:val="0"/>
      <w:spacing w:line="315" w:lineRule="atLeast"/>
      <w:jc w:val="left"/>
      <w:textAlignment w:val="baseline"/>
    </w:pPr>
    <w:rPr>
      <w:rFonts w:ascii="仿宋_GB2312" w:eastAsia="仿宋_GB2312"/>
      <w:kern w:val="0"/>
      <w:sz w:val="28"/>
      <w:szCs w:val="20"/>
    </w:r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link w:val="152"/>
    <w:qFormat/>
    <w:uiPriority w:val="0"/>
    <w:rPr>
      <w:rFonts w:ascii="宋体" w:hAnsi="Courier New"/>
      <w:szCs w:val="20"/>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w:basedOn w:val="1"/>
    <w:qFormat/>
    <w:uiPriority w:val="0"/>
    <w:pPr>
      <w:widowControl/>
      <w:tabs>
        <w:tab w:val="left" w:pos="420"/>
        <w:tab w:val="left" w:pos="454"/>
      </w:tabs>
      <w:spacing w:afterLines="50"/>
      <w:ind w:left="454" w:hanging="284"/>
      <w:jc w:val="left"/>
    </w:pPr>
    <w:rPr>
      <w:rFonts w:ascii="Arial" w:hAnsi="Arial" w:cs="Arial"/>
      <w:kern w:val="0"/>
      <w:sz w:val="24"/>
      <w:szCs w:val="20"/>
    </w:rPr>
  </w:style>
  <w:style w:type="paragraph" w:styleId="17">
    <w:name w:val="Normal Indent"/>
    <w:basedOn w:val="1"/>
    <w:link w:val="165"/>
    <w:qFormat/>
    <w:uiPriority w:val="0"/>
    <w:pPr>
      <w:ind w:firstLine="420" w:firstLineChars="200"/>
    </w:pPr>
  </w:style>
  <w:style w:type="paragraph" w:styleId="18">
    <w:name w:val="caption"/>
    <w:basedOn w:val="1"/>
    <w:next w:val="1"/>
    <w:qFormat/>
    <w:uiPriority w:val="35"/>
    <w:rPr>
      <w:rFonts w:ascii="黑体" w:hAnsi="黑体" w:eastAsia="楷体" w:cs="黑体"/>
      <w:sz w:val="20"/>
      <w:szCs w:val="20"/>
    </w:rPr>
  </w:style>
  <w:style w:type="paragraph" w:styleId="19">
    <w:name w:val="Document Map"/>
    <w:basedOn w:val="1"/>
    <w:link w:val="202"/>
    <w:qFormat/>
    <w:uiPriority w:val="0"/>
    <w:pPr>
      <w:shd w:val="clear" w:color="auto" w:fill="000080"/>
    </w:pPr>
  </w:style>
  <w:style w:type="paragraph" w:styleId="20">
    <w:name w:val="toa heading"/>
    <w:basedOn w:val="1"/>
    <w:next w:val="1"/>
    <w:qFormat/>
    <w:uiPriority w:val="0"/>
    <w:pPr>
      <w:spacing w:before="120"/>
    </w:pPr>
    <w:rPr>
      <w:rFonts w:ascii="Arial" w:hAnsi="Arial" w:cs="Arial"/>
      <w:sz w:val="24"/>
    </w:rPr>
  </w:style>
  <w:style w:type="paragraph" w:styleId="21">
    <w:name w:val="annotation text"/>
    <w:basedOn w:val="1"/>
    <w:link w:val="125"/>
    <w:qFormat/>
    <w:uiPriority w:val="99"/>
    <w:pPr>
      <w:jc w:val="left"/>
    </w:pPr>
    <w:rPr>
      <w:szCs w:val="20"/>
    </w:rPr>
  </w:style>
  <w:style w:type="paragraph" w:styleId="22">
    <w:name w:val="Body Text 3"/>
    <w:basedOn w:val="1"/>
    <w:link w:val="101"/>
    <w:qFormat/>
    <w:uiPriority w:val="0"/>
    <w:pPr>
      <w:spacing w:line="440" w:lineRule="atLeast"/>
      <w:jc w:val="center"/>
    </w:pPr>
    <w:rPr>
      <w:rFonts w:ascii="楷体_GB2312" w:eastAsia="楷体_GB2312"/>
      <w:b/>
      <w:color w:val="000000"/>
      <w:sz w:val="30"/>
    </w:rPr>
  </w:style>
  <w:style w:type="paragraph" w:styleId="23">
    <w:name w:val="Body Text Indent"/>
    <w:basedOn w:val="1"/>
    <w:link w:val="147"/>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24">
    <w:name w:val="List Number 3"/>
    <w:basedOn w:val="1"/>
    <w:qFormat/>
    <w:uiPriority w:val="0"/>
    <w:pPr>
      <w:widowControl/>
      <w:tabs>
        <w:tab w:val="left" w:pos="482"/>
        <w:tab w:val="left" w:pos="1157"/>
      </w:tabs>
      <w:spacing w:afterLines="50"/>
      <w:ind w:left="482" w:hanging="340"/>
      <w:jc w:val="left"/>
    </w:pPr>
    <w:rPr>
      <w:rFonts w:ascii="Arial" w:hAnsi="Arial" w:cs="Arial"/>
      <w:kern w:val="0"/>
      <w:sz w:val="24"/>
      <w:szCs w:val="20"/>
    </w:rPr>
  </w:style>
  <w:style w:type="paragraph" w:styleId="25">
    <w:name w:val="List 2"/>
    <w:basedOn w:val="1"/>
    <w:qFormat/>
    <w:uiPriority w:val="0"/>
    <w:pPr>
      <w:ind w:left="100" w:leftChars="200" w:hanging="200" w:hangingChars="200"/>
    </w:pPr>
  </w:style>
  <w:style w:type="paragraph" w:styleId="26">
    <w:name w:val="Block Text"/>
    <w:basedOn w:val="1"/>
    <w:qFormat/>
    <w:uiPriority w:val="0"/>
    <w:pPr>
      <w:spacing w:line="300" w:lineRule="auto"/>
      <w:ind w:left="94" w:right="47"/>
      <w:jc w:val="center"/>
    </w:pPr>
    <w:rPr>
      <w:rFonts w:ascii="宋体"/>
      <w:b/>
      <w:szCs w:val="20"/>
    </w:rPr>
  </w:style>
  <w:style w:type="paragraph" w:styleId="27">
    <w:name w:val="toc 5"/>
    <w:basedOn w:val="1"/>
    <w:next w:val="1"/>
    <w:qFormat/>
    <w:uiPriority w:val="0"/>
    <w:pPr>
      <w:ind w:left="840"/>
      <w:jc w:val="left"/>
    </w:pPr>
    <w:rPr>
      <w:sz w:val="18"/>
      <w:szCs w:val="18"/>
    </w:rPr>
  </w:style>
  <w:style w:type="paragraph" w:styleId="28">
    <w:name w:val="toc 3"/>
    <w:basedOn w:val="1"/>
    <w:next w:val="1"/>
    <w:qFormat/>
    <w:uiPriority w:val="39"/>
    <w:pPr>
      <w:ind w:left="420"/>
      <w:jc w:val="left"/>
    </w:pPr>
    <w:rPr>
      <w:i/>
      <w:iCs/>
      <w:sz w:val="20"/>
      <w:szCs w:val="20"/>
    </w:rPr>
  </w:style>
  <w:style w:type="paragraph" w:styleId="29">
    <w:name w:val="toc 8"/>
    <w:basedOn w:val="1"/>
    <w:next w:val="1"/>
    <w:qFormat/>
    <w:uiPriority w:val="0"/>
    <w:pPr>
      <w:ind w:left="1470"/>
      <w:jc w:val="left"/>
    </w:pPr>
    <w:rPr>
      <w:sz w:val="18"/>
      <w:szCs w:val="18"/>
    </w:rPr>
  </w:style>
  <w:style w:type="paragraph" w:styleId="30">
    <w:name w:val="Date"/>
    <w:basedOn w:val="1"/>
    <w:next w:val="1"/>
    <w:link w:val="116"/>
    <w:qFormat/>
    <w:uiPriority w:val="0"/>
    <w:pPr>
      <w:ind w:left="100" w:leftChars="2500"/>
    </w:pPr>
    <w:rPr>
      <w:color w:val="000000"/>
      <w:sz w:val="24"/>
    </w:rPr>
  </w:style>
  <w:style w:type="paragraph" w:styleId="31">
    <w:name w:val="Body Text Indent 2"/>
    <w:basedOn w:val="1"/>
    <w:link w:val="117"/>
    <w:qFormat/>
    <w:uiPriority w:val="0"/>
    <w:pPr>
      <w:widowControl/>
      <w:spacing w:line="480" w:lineRule="atLeast"/>
      <w:ind w:firstLine="480"/>
    </w:pPr>
    <w:rPr>
      <w:rFonts w:ascii="宋体"/>
      <w:kern w:val="0"/>
      <w:sz w:val="24"/>
      <w:szCs w:val="20"/>
    </w:rPr>
  </w:style>
  <w:style w:type="paragraph" w:styleId="32">
    <w:name w:val="Balloon Text"/>
    <w:basedOn w:val="1"/>
    <w:link w:val="163"/>
    <w:qFormat/>
    <w:uiPriority w:val="99"/>
    <w:rPr>
      <w:sz w:val="18"/>
      <w:szCs w:val="18"/>
    </w:rPr>
  </w:style>
  <w:style w:type="paragraph" w:styleId="33">
    <w:name w:val="footer"/>
    <w:basedOn w:val="1"/>
    <w:link w:val="149"/>
    <w:qFormat/>
    <w:uiPriority w:val="99"/>
    <w:pPr>
      <w:pBdr>
        <w:top w:val="single" w:color="auto" w:sz="4" w:space="1"/>
      </w:pBdr>
      <w:tabs>
        <w:tab w:val="center" w:pos="4153"/>
        <w:tab w:val="right" w:pos="8306"/>
      </w:tabs>
      <w:snapToGrid w:val="0"/>
      <w:jc w:val="left"/>
    </w:pPr>
    <w:rPr>
      <w:sz w:val="18"/>
      <w:szCs w:val="18"/>
    </w:rPr>
  </w:style>
  <w:style w:type="paragraph" w:styleId="34">
    <w:name w:val="header"/>
    <w:basedOn w:val="1"/>
    <w:link w:val="126"/>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403"/>
      </w:tabs>
      <w:snapToGrid w:val="0"/>
      <w:spacing w:line="360" w:lineRule="auto"/>
    </w:pPr>
    <w:rPr>
      <w:b/>
      <w:bCs/>
      <w:caps/>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132"/>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143"/>
    <w:qFormat/>
    <w:uiPriority w:val="0"/>
    <w:pPr>
      <w:snapToGrid w:val="0"/>
      <w:jc w:val="left"/>
    </w:pPr>
    <w:rPr>
      <w:rFonts w:eastAsia="仿宋_GB2312"/>
      <w:sz w:val="18"/>
      <w:szCs w:val="18"/>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link w:val="188"/>
    <w:qFormat/>
    <w:uiPriority w:val="0"/>
    <w:pPr>
      <w:autoSpaceDE w:val="0"/>
      <w:autoSpaceDN w:val="0"/>
      <w:spacing w:line="400" w:lineRule="atLeast"/>
      <w:ind w:firstLine="443" w:firstLineChars="200"/>
      <w:textAlignment w:val="bottom"/>
    </w:pPr>
    <w:rPr>
      <w:rFonts w:eastAsia="黑体"/>
      <w:color w:val="000000"/>
      <w:sz w:val="24"/>
    </w:rPr>
  </w:style>
  <w:style w:type="paragraph" w:styleId="43">
    <w:name w:val="toc 2"/>
    <w:basedOn w:val="1"/>
    <w:next w:val="1"/>
    <w:qFormat/>
    <w:uiPriority w:val="39"/>
    <w:pPr>
      <w:tabs>
        <w:tab w:val="right" w:leader="dot" w:pos="9403"/>
      </w:tabs>
      <w:snapToGrid w:val="0"/>
      <w:spacing w:line="360" w:lineRule="auto"/>
      <w:ind w:firstLine="200" w:firstLineChars="200"/>
    </w:pPr>
    <w:rPr>
      <w:smallCaps/>
    </w:rPr>
  </w:style>
  <w:style w:type="paragraph" w:styleId="44">
    <w:name w:val="toc 9"/>
    <w:basedOn w:val="1"/>
    <w:next w:val="1"/>
    <w:qFormat/>
    <w:uiPriority w:val="0"/>
    <w:pPr>
      <w:ind w:left="1680"/>
      <w:jc w:val="left"/>
    </w:pPr>
    <w:rPr>
      <w:sz w:val="18"/>
      <w:szCs w:val="18"/>
    </w:rPr>
  </w:style>
  <w:style w:type="paragraph" w:styleId="45">
    <w:name w:val="Body Text 2"/>
    <w:basedOn w:val="1"/>
    <w:link w:val="153"/>
    <w:qFormat/>
    <w:uiPriority w:val="0"/>
    <w:rPr>
      <w:b/>
      <w:bCs/>
      <w:color w:val="000000"/>
      <w:sz w:val="28"/>
    </w:rPr>
  </w:style>
  <w:style w:type="paragraph" w:styleId="46">
    <w:name w:val="List 4"/>
    <w:basedOn w:val="1"/>
    <w:qFormat/>
    <w:uiPriority w:val="0"/>
    <w:pPr>
      <w:ind w:left="100" w:leftChars="600" w:hanging="200" w:hangingChars="200"/>
    </w:pPr>
    <w:rPr>
      <w:szCs w:val="20"/>
    </w:rPr>
  </w:style>
  <w:style w:type="paragraph" w:styleId="47">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index 2"/>
    <w:basedOn w:val="1"/>
    <w:next w:val="1"/>
    <w:qFormat/>
    <w:uiPriority w:val="0"/>
    <w:pPr>
      <w:ind w:left="200" w:leftChars="200"/>
    </w:pPr>
  </w:style>
  <w:style w:type="paragraph" w:styleId="51">
    <w:name w:val="Title"/>
    <w:basedOn w:val="1"/>
    <w:link w:val="138"/>
    <w:qFormat/>
    <w:uiPriority w:val="10"/>
    <w:pPr>
      <w:jc w:val="center"/>
    </w:pPr>
    <w:rPr>
      <w:sz w:val="30"/>
    </w:rPr>
  </w:style>
  <w:style w:type="paragraph" w:styleId="52">
    <w:name w:val="annotation subject"/>
    <w:basedOn w:val="21"/>
    <w:next w:val="21"/>
    <w:link w:val="136"/>
    <w:qFormat/>
    <w:uiPriority w:val="99"/>
    <w:rPr>
      <w:b/>
      <w:bCs/>
    </w:rPr>
  </w:style>
  <w:style w:type="paragraph" w:styleId="53">
    <w:name w:val="Body Text First Indent"/>
    <w:basedOn w:val="2"/>
    <w:link w:val="76"/>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54">
    <w:name w:val="Body Text First Indent 2"/>
    <w:basedOn w:val="23"/>
    <w:link w:val="146"/>
    <w:qFormat/>
    <w:uiPriority w:val="0"/>
    <w:pPr>
      <w:widowControl w:val="0"/>
      <w:autoSpaceDE/>
      <w:autoSpaceDN/>
      <w:snapToGrid/>
      <w:spacing w:before="0" w:after="120" w:line="240" w:lineRule="auto"/>
      <w:ind w:left="420" w:leftChars="200" w:firstLine="420" w:firstLineChars="200"/>
      <w:textAlignment w:val="auto"/>
    </w:pPr>
    <w:rPr>
      <w:rFonts w:eastAsia="Century Gothic"/>
      <w:kern w:val="2"/>
      <w:sz w:val="21"/>
      <w:szCs w:val="24"/>
    </w:rPr>
  </w:style>
  <w:style w:type="table" w:styleId="56">
    <w:name w:val="Table Grid"/>
    <w:basedOn w:val="5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0"/>
    <w:rPr>
      <w:b/>
    </w:rPr>
  </w:style>
  <w:style w:type="character" w:styleId="59">
    <w:name w:val="page number"/>
    <w:qFormat/>
    <w:uiPriority w:val="0"/>
    <w:rPr>
      <w:rFonts w:eastAsia="Arial"/>
    </w:rPr>
  </w:style>
  <w:style w:type="character" w:styleId="60">
    <w:name w:val="FollowedHyperlink"/>
    <w:qFormat/>
    <w:uiPriority w:val="99"/>
    <w:rPr>
      <w:color w:val="800080"/>
      <w:u w:val="single"/>
    </w:rPr>
  </w:style>
  <w:style w:type="character" w:styleId="61">
    <w:name w:val="Emphasis"/>
    <w:qFormat/>
    <w:uiPriority w:val="20"/>
    <w:rPr>
      <w:color w:val="CC0033"/>
    </w:rPr>
  </w:style>
  <w:style w:type="character" w:styleId="62">
    <w:name w:val="Hyperlink"/>
    <w:qFormat/>
    <w:uiPriority w:val="99"/>
    <w:rPr>
      <w:color w:val="0000FF"/>
      <w:u w:val="single"/>
    </w:rPr>
  </w:style>
  <w:style w:type="character" w:styleId="63">
    <w:name w:val="annotation reference"/>
    <w:qFormat/>
    <w:uiPriority w:val="99"/>
    <w:rPr>
      <w:sz w:val="21"/>
      <w:szCs w:val="21"/>
    </w:rPr>
  </w:style>
  <w:style w:type="paragraph" w:customStyle="1" w:styleId="64">
    <w:name w:val="首行缩进"/>
    <w:basedOn w:val="1"/>
    <w:qFormat/>
    <w:uiPriority w:val="99"/>
    <w:pPr>
      <w:spacing w:line="360" w:lineRule="auto"/>
      <w:ind w:firstLine="480" w:firstLineChars="200"/>
    </w:pPr>
    <w:rPr>
      <w:szCs w:val="22"/>
    </w:rPr>
  </w:style>
  <w:style w:type="paragraph" w:customStyle="1" w:styleId="65">
    <w:name w:val="正文首行缩进 21"/>
    <w:basedOn w:val="23"/>
    <w:qFormat/>
    <w:uiPriority w:val="0"/>
    <w:pPr>
      <w:ind w:firstLine="210"/>
    </w:pPr>
  </w:style>
  <w:style w:type="character" w:customStyle="1" w:styleId="66">
    <w:name w:val="正文文本 字符"/>
    <w:link w:val="2"/>
    <w:qFormat/>
    <w:uiPriority w:val="99"/>
    <w:rPr>
      <w:rFonts w:ascii="仿宋_GB2312" w:eastAsia="仿宋_GB2312"/>
      <w:sz w:val="28"/>
    </w:rPr>
  </w:style>
  <w:style w:type="character" w:customStyle="1" w:styleId="67">
    <w:name w:val="标题 1 字符"/>
    <w:link w:val="4"/>
    <w:qFormat/>
    <w:uiPriority w:val="9"/>
    <w:rPr>
      <w:rFonts w:eastAsia="宋体"/>
      <w:b/>
      <w:color w:val="000000"/>
      <w:kern w:val="2"/>
      <w:sz w:val="32"/>
      <w:szCs w:val="24"/>
      <w:lang w:val="en-US" w:eastAsia="zh-CN" w:bidi="ar-SA"/>
    </w:rPr>
  </w:style>
  <w:style w:type="character" w:customStyle="1" w:styleId="68">
    <w:name w:val="标题 2 字符"/>
    <w:basedOn w:val="57"/>
    <w:link w:val="5"/>
    <w:qFormat/>
    <w:uiPriority w:val="0"/>
    <w:rPr>
      <w:rFonts w:ascii="Arial" w:hAnsi="Arial" w:eastAsia="宋体"/>
      <w:b/>
      <w:bCs/>
      <w:kern w:val="2"/>
      <w:sz w:val="21"/>
      <w:szCs w:val="32"/>
      <w:lang w:val="en-US" w:eastAsia="zh-CN" w:bidi="ar-SA"/>
    </w:rPr>
  </w:style>
  <w:style w:type="character" w:customStyle="1" w:styleId="69">
    <w:name w:val="标题 3 字符"/>
    <w:link w:val="6"/>
    <w:qFormat/>
    <w:uiPriority w:val="0"/>
    <w:rPr>
      <w:kern w:val="2"/>
      <w:sz w:val="24"/>
    </w:rPr>
  </w:style>
  <w:style w:type="character" w:customStyle="1" w:styleId="70">
    <w:name w:val="标题 4 字符"/>
    <w:link w:val="8"/>
    <w:qFormat/>
    <w:uiPriority w:val="9"/>
    <w:rPr>
      <w:rFonts w:ascii="Cambria" w:hAnsi="Cambria"/>
      <w:b/>
      <w:bCs/>
      <w:kern w:val="2"/>
      <w:sz w:val="28"/>
      <w:szCs w:val="28"/>
    </w:rPr>
  </w:style>
  <w:style w:type="character" w:customStyle="1" w:styleId="71">
    <w:name w:val="标题 5 字符"/>
    <w:link w:val="9"/>
    <w:qFormat/>
    <w:uiPriority w:val="9"/>
    <w:rPr>
      <w:b/>
      <w:bCs/>
      <w:kern w:val="2"/>
      <w:sz w:val="28"/>
      <w:szCs w:val="28"/>
    </w:rPr>
  </w:style>
  <w:style w:type="character" w:customStyle="1" w:styleId="72">
    <w:name w:val="标题 6 字符"/>
    <w:link w:val="10"/>
    <w:qFormat/>
    <w:uiPriority w:val="9"/>
    <w:rPr>
      <w:rFonts w:ascii="Arial" w:hAnsi="Arial" w:eastAsia="黑体"/>
      <w:b/>
      <w:bCs/>
      <w:kern w:val="2"/>
      <w:sz w:val="24"/>
      <w:szCs w:val="24"/>
    </w:rPr>
  </w:style>
  <w:style w:type="character" w:customStyle="1" w:styleId="73">
    <w:name w:val="标题 7 字符"/>
    <w:link w:val="11"/>
    <w:qFormat/>
    <w:uiPriority w:val="9"/>
    <w:rPr>
      <w:b/>
      <w:bCs/>
      <w:kern w:val="2"/>
      <w:sz w:val="24"/>
      <w:szCs w:val="24"/>
    </w:rPr>
  </w:style>
  <w:style w:type="character" w:customStyle="1" w:styleId="74">
    <w:name w:val="标题 8 字符"/>
    <w:link w:val="12"/>
    <w:qFormat/>
    <w:uiPriority w:val="9"/>
    <w:rPr>
      <w:rFonts w:ascii="Arial" w:hAnsi="Arial" w:eastAsia="黑体"/>
      <w:kern w:val="2"/>
      <w:sz w:val="24"/>
      <w:szCs w:val="24"/>
    </w:rPr>
  </w:style>
  <w:style w:type="character" w:customStyle="1" w:styleId="75">
    <w:name w:val="标题 9 字符"/>
    <w:link w:val="13"/>
    <w:qFormat/>
    <w:uiPriority w:val="9"/>
    <w:rPr>
      <w:rFonts w:ascii="Arial" w:hAnsi="Arial" w:eastAsia="黑体"/>
      <w:kern w:val="2"/>
      <w:sz w:val="21"/>
      <w:szCs w:val="21"/>
    </w:rPr>
  </w:style>
  <w:style w:type="character" w:customStyle="1" w:styleId="76">
    <w:name w:val="正文文本首行缩进 字符"/>
    <w:link w:val="53"/>
    <w:qFormat/>
    <w:uiPriority w:val="0"/>
    <w:rPr>
      <w:kern w:val="2"/>
      <w:sz w:val="21"/>
    </w:rPr>
  </w:style>
  <w:style w:type="character" w:customStyle="1" w:styleId="77">
    <w:name w:val="普通文字 Char1"/>
    <w:qFormat/>
    <w:uiPriority w:val="0"/>
    <w:rPr>
      <w:rFonts w:ascii="宋体" w:hAnsi="Courier New" w:eastAsia="宋体"/>
      <w:kern w:val="2"/>
      <w:sz w:val="21"/>
      <w:lang w:val="en-US" w:eastAsia="zh-CN"/>
    </w:rPr>
  </w:style>
  <w:style w:type="character" w:customStyle="1" w:styleId="78">
    <w:name w:val="自定义正文 Char"/>
    <w:link w:val="79"/>
    <w:qFormat/>
    <w:uiPriority w:val="0"/>
    <w:rPr>
      <w:rFonts w:eastAsia="仿宋"/>
      <w:kern w:val="2"/>
      <w:sz w:val="32"/>
      <w:szCs w:val="24"/>
    </w:rPr>
  </w:style>
  <w:style w:type="paragraph" w:customStyle="1" w:styleId="79">
    <w:name w:val="自定义正文"/>
    <w:basedOn w:val="1"/>
    <w:link w:val="78"/>
    <w:qFormat/>
    <w:uiPriority w:val="0"/>
    <w:pPr>
      <w:spacing w:afterLines="50" w:line="360" w:lineRule="auto"/>
      <w:ind w:firstLine="200" w:firstLineChars="200"/>
      <w:jc w:val="left"/>
    </w:pPr>
    <w:rPr>
      <w:rFonts w:eastAsia="仿宋"/>
      <w:sz w:val="32"/>
    </w:rPr>
  </w:style>
  <w:style w:type="character" w:customStyle="1" w:styleId="80">
    <w:name w:val="Char Char21"/>
    <w:qFormat/>
    <w:uiPriority w:val="0"/>
    <w:rPr>
      <w:rFonts w:eastAsia="Century Gothic"/>
      <w:b/>
      <w:bCs/>
      <w:kern w:val="44"/>
      <w:sz w:val="32"/>
      <w:szCs w:val="44"/>
      <w:lang w:val="en-US" w:eastAsia="zh-CN" w:bidi="ar-SA"/>
    </w:rPr>
  </w:style>
  <w:style w:type="character" w:customStyle="1" w:styleId="81">
    <w:name w:val="HTML 预设格式 字符"/>
    <w:link w:val="47"/>
    <w:qFormat/>
    <w:uiPriority w:val="99"/>
    <w:rPr>
      <w:rFonts w:ascii="宋体" w:hAnsi="宋体" w:cs="宋体"/>
      <w:sz w:val="24"/>
      <w:szCs w:val="24"/>
    </w:rPr>
  </w:style>
  <w:style w:type="character" w:customStyle="1" w:styleId="82">
    <w:name w:val="apple-style-span"/>
    <w:qFormat/>
    <w:uiPriority w:val="0"/>
    <w:rPr>
      <w:kern w:val="2"/>
      <w:sz w:val="24"/>
      <w:szCs w:val="24"/>
    </w:rPr>
  </w:style>
  <w:style w:type="character" w:customStyle="1" w:styleId="83">
    <w:name w:val="标准文本 Char"/>
    <w:link w:val="84"/>
    <w:qFormat/>
    <w:uiPriority w:val="0"/>
    <w:rPr>
      <w:rFonts w:ascii="Arial" w:hAnsi="Arial" w:cs="宋体"/>
      <w:kern w:val="2"/>
      <w:sz w:val="24"/>
    </w:rPr>
  </w:style>
  <w:style w:type="paragraph" w:customStyle="1" w:styleId="84">
    <w:name w:val="标准文本"/>
    <w:basedOn w:val="1"/>
    <w:link w:val="83"/>
    <w:qFormat/>
    <w:uiPriority w:val="0"/>
    <w:pPr>
      <w:spacing w:line="360" w:lineRule="auto"/>
      <w:ind w:firstLine="480" w:firstLineChars="200"/>
    </w:pPr>
    <w:rPr>
      <w:rFonts w:ascii="Arial" w:hAnsi="Arial"/>
      <w:sz w:val="24"/>
      <w:szCs w:val="20"/>
    </w:rPr>
  </w:style>
  <w:style w:type="character" w:customStyle="1" w:styleId="85">
    <w:name w:val="md"/>
    <w:qFormat/>
    <w:uiPriority w:val="0"/>
  </w:style>
  <w:style w:type="character" w:customStyle="1" w:styleId="86">
    <w:name w:val="标题 Char1"/>
    <w:qFormat/>
    <w:uiPriority w:val="10"/>
    <w:rPr>
      <w:rFonts w:ascii="Cambria" w:hAnsi="Cambria" w:cs="Times New Roman"/>
      <w:b/>
      <w:bCs/>
      <w:kern w:val="2"/>
      <w:sz w:val="32"/>
      <w:szCs w:val="32"/>
    </w:rPr>
  </w:style>
  <w:style w:type="character" w:customStyle="1" w:styleId="87">
    <w:name w:val="正文文本缩进 2 Char1"/>
    <w:semiHidden/>
    <w:qFormat/>
    <w:uiPriority w:val="99"/>
    <w:rPr>
      <w:rFonts w:ascii="Times New Roman" w:hAnsi="Times New Roman" w:eastAsia="宋体" w:cs="Times New Roman"/>
      <w:szCs w:val="20"/>
    </w:rPr>
  </w:style>
  <w:style w:type="character" w:customStyle="1" w:styleId="88">
    <w:name w:val="样式"/>
    <w:qFormat/>
    <w:uiPriority w:val="0"/>
    <w:rPr>
      <w:rFonts w:ascii="宋体" w:hAnsi="宋体" w:eastAsia="仿宋_GB2312"/>
      <w:u w:val="single"/>
    </w:rPr>
  </w:style>
  <w:style w:type="character" w:customStyle="1" w:styleId="89">
    <w:name w:val="浅色网格 - 强调文字颜色 3 Char"/>
    <w:link w:val="90"/>
    <w:qFormat/>
    <w:uiPriority w:val="0"/>
    <w:rPr>
      <w:rFonts w:eastAsia="宋体"/>
      <w:kern w:val="2"/>
      <w:sz w:val="21"/>
      <w:szCs w:val="24"/>
      <w:lang w:val="en-US" w:eastAsia="zh-CN" w:bidi="ar-SA"/>
    </w:rPr>
  </w:style>
  <w:style w:type="paragraph" w:customStyle="1" w:styleId="90">
    <w:name w:val="浅色网格 - 强调文字颜色 31"/>
    <w:basedOn w:val="1"/>
    <w:link w:val="89"/>
    <w:qFormat/>
    <w:uiPriority w:val="0"/>
    <w:pPr>
      <w:ind w:firstLine="420" w:firstLineChars="200"/>
    </w:pPr>
  </w:style>
  <w:style w:type="character" w:customStyle="1" w:styleId="91">
    <w:name w:val="公文正文 Char"/>
    <w:link w:val="92"/>
    <w:qFormat/>
    <w:uiPriority w:val="0"/>
    <w:rPr>
      <w:rFonts w:ascii="??_GB2312" w:hAnsi="??_GB2312" w:eastAsia="??_GB2312" w:cs="宋体"/>
      <w:kern w:val="2"/>
      <w:sz w:val="24"/>
      <w:szCs w:val="24"/>
    </w:rPr>
  </w:style>
  <w:style w:type="paragraph" w:customStyle="1" w:styleId="92">
    <w:name w:val="公文正文"/>
    <w:basedOn w:val="1"/>
    <w:link w:val="91"/>
    <w:qFormat/>
    <w:uiPriority w:val="0"/>
    <w:pPr>
      <w:spacing w:before="156" w:line="360" w:lineRule="auto"/>
      <w:ind w:firstLine="200" w:firstLineChars="200"/>
    </w:pPr>
    <w:rPr>
      <w:rFonts w:ascii="??_GB2312" w:hAnsi="??_GB2312" w:eastAsia="??_GB2312"/>
      <w:sz w:val="24"/>
    </w:rPr>
  </w:style>
  <w:style w:type="character" w:customStyle="1" w:styleId="93">
    <w:name w:val="正文文本 3 Char1"/>
    <w:semiHidden/>
    <w:qFormat/>
    <w:uiPriority w:val="99"/>
    <w:rPr>
      <w:rFonts w:ascii="Times New Roman" w:hAnsi="Times New Roman" w:eastAsia="宋体" w:cs="Times New Roman"/>
      <w:sz w:val="16"/>
      <w:szCs w:val="16"/>
    </w:rPr>
  </w:style>
  <w:style w:type="character" w:customStyle="1" w:styleId="94">
    <w:name w:val="日期 Char"/>
    <w:qFormat/>
    <w:uiPriority w:val="99"/>
    <w:rPr>
      <w:color w:val="000000"/>
      <w:kern w:val="2"/>
      <w:sz w:val="24"/>
      <w:szCs w:val="24"/>
    </w:rPr>
  </w:style>
  <w:style w:type="character" w:customStyle="1" w:styleId="95">
    <w:name w:val="ft1110"/>
    <w:qFormat/>
    <w:uiPriority w:val="0"/>
    <w:rPr>
      <w:rFonts w:hint="default" w:ascii="Times" w:hAnsi="Times" w:eastAsia="仿宋_GB2312"/>
      <w:color w:val="000000"/>
      <w:spacing w:val="10"/>
      <w:sz w:val="33"/>
      <w:szCs w:val="33"/>
    </w:rPr>
  </w:style>
  <w:style w:type="character" w:customStyle="1" w:styleId="96">
    <w:name w:val="批注文字 Char1"/>
    <w:qFormat/>
    <w:uiPriority w:val="99"/>
    <w:rPr>
      <w:rFonts w:ascii="Times New Roman" w:hAnsi="Times New Roman" w:eastAsia="宋体" w:cs="Times New Roman"/>
      <w:szCs w:val="20"/>
    </w:rPr>
  </w:style>
  <w:style w:type="character" w:customStyle="1" w:styleId="97">
    <w:name w:val="tpc_content1"/>
    <w:qFormat/>
    <w:uiPriority w:val="0"/>
    <w:rPr>
      <w:sz w:val="20"/>
      <w:szCs w:val="20"/>
    </w:rPr>
  </w:style>
  <w:style w:type="character" w:customStyle="1" w:styleId="98">
    <w:name w:val="页脚 Char1"/>
    <w:qFormat/>
    <w:uiPriority w:val="99"/>
    <w:rPr>
      <w:sz w:val="18"/>
      <w:szCs w:val="18"/>
    </w:rPr>
  </w:style>
  <w:style w:type="character" w:customStyle="1" w:styleId="99">
    <w:name w:val="zbggtop11 style5"/>
    <w:qFormat/>
    <w:uiPriority w:val="0"/>
    <w:rPr>
      <w:rFonts w:eastAsia="仿宋_GB2312"/>
      <w:sz w:val="28"/>
    </w:rPr>
  </w:style>
  <w:style w:type="character" w:customStyle="1" w:styleId="100">
    <w:name w:val="正文首行缩进 Char1"/>
    <w:semiHidden/>
    <w:qFormat/>
    <w:uiPriority w:val="99"/>
  </w:style>
  <w:style w:type="character" w:customStyle="1" w:styleId="101">
    <w:name w:val="正文文本 3 字符"/>
    <w:link w:val="22"/>
    <w:qFormat/>
    <w:uiPriority w:val="0"/>
    <w:rPr>
      <w:rFonts w:ascii="楷体_GB2312" w:eastAsia="楷体_GB2312"/>
      <w:b/>
      <w:color w:val="000000"/>
      <w:kern w:val="2"/>
      <w:sz w:val="30"/>
      <w:szCs w:val="24"/>
    </w:rPr>
  </w:style>
  <w:style w:type="character" w:customStyle="1" w:styleId="102">
    <w:name w:val="个人撰写风格"/>
    <w:qFormat/>
    <w:uiPriority w:val="0"/>
    <w:rPr>
      <w:rFonts w:ascii="Arial" w:hAnsi="Arial" w:eastAsia="宋体" w:cs="Arial"/>
      <w:color w:val="auto"/>
      <w:sz w:val="20"/>
    </w:rPr>
  </w:style>
  <w:style w:type="character" w:customStyle="1" w:styleId="103">
    <w:name w:val="页码1"/>
    <w:qFormat/>
    <w:uiPriority w:val="0"/>
    <w:rPr>
      <w:rFonts w:ascii="Times New Roman"/>
      <w:sz w:val="21"/>
      <w:szCs w:val="24"/>
    </w:rPr>
  </w:style>
  <w:style w:type="character" w:customStyle="1" w:styleId="104">
    <w:name w:val="Char Char4"/>
    <w:qFormat/>
    <w:uiPriority w:val="0"/>
    <w:rPr>
      <w:rFonts w:eastAsia="宋体"/>
      <w:b/>
      <w:color w:val="000000"/>
      <w:kern w:val="2"/>
      <w:sz w:val="32"/>
      <w:szCs w:val="24"/>
      <w:lang w:val="en-US" w:eastAsia="zh-CN" w:bidi="ar-SA"/>
    </w:rPr>
  </w:style>
  <w:style w:type="character" w:customStyle="1" w:styleId="105">
    <w:name w:val="style1"/>
    <w:qFormat/>
    <w:uiPriority w:val="0"/>
    <w:rPr>
      <w:rFonts w:eastAsia="仿宋_GB2312"/>
      <w:sz w:val="28"/>
    </w:rPr>
  </w:style>
  <w:style w:type="character" w:customStyle="1" w:styleId="106">
    <w:name w:val="font11"/>
    <w:qFormat/>
    <w:uiPriority w:val="0"/>
    <w:rPr>
      <w:rFonts w:hint="eastAsia" w:ascii="宋体" w:hAnsi="宋体" w:eastAsia="宋体" w:cs="宋体"/>
      <w:color w:val="000000"/>
      <w:sz w:val="21"/>
      <w:szCs w:val="21"/>
      <w:u w:val="none"/>
    </w:rPr>
  </w:style>
  <w:style w:type="character" w:customStyle="1" w:styleId="107">
    <w:name w:val="标题 3 字符1"/>
    <w:qFormat/>
    <w:uiPriority w:val="9"/>
    <w:rPr>
      <w:rFonts w:ascii="黑体" w:hAnsi="Times New Roman" w:eastAsia="黑体" w:cs="Times New Roman"/>
      <w:b/>
      <w:color w:val="000000"/>
      <w:kern w:val="0"/>
      <w:sz w:val="28"/>
      <w:szCs w:val="20"/>
      <w:lang w:val="zh-CN" w:eastAsia="zh-CN"/>
    </w:rPr>
  </w:style>
  <w:style w:type="character" w:customStyle="1" w:styleId="108">
    <w:name w:val="EmailStyle25"/>
    <w:qFormat/>
    <w:uiPriority w:val="0"/>
    <w:rPr>
      <w:rFonts w:ascii="Arial" w:hAnsi="Arial" w:eastAsia="宋体" w:cs="Arial"/>
      <w:color w:val="auto"/>
      <w:sz w:val="20"/>
    </w:rPr>
  </w:style>
  <w:style w:type="character" w:customStyle="1" w:styleId="109">
    <w:name w:val="Char Char12"/>
    <w:qFormat/>
    <w:uiPriority w:val="0"/>
    <w:rPr>
      <w:rFonts w:ascii="Century Gothic" w:hAnsi="楷体_GB2312" w:eastAsia="Century Gothic" w:cs="楷体_GB2312"/>
      <w:kern w:val="2"/>
      <w:sz w:val="21"/>
      <w:szCs w:val="21"/>
      <w:lang w:val="en-US" w:eastAsia="zh-CN" w:bidi="ar-SA"/>
    </w:rPr>
  </w:style>
  <w:style w:type="character" w:customStyle="1" w:styleId="110">
    <w:name w:val="Char Char27"/>
    <w:qFormat/>
    <w:uiPriority w:val="0"/>
    <w:rPr>
      <w:rFonts w:ascii="Times New Roman" w:hAnsi="Times New Roman"/>
      <w:b/>
      <w:bCs/>
      <w:kern w:val="2"/>
      <w:sz w:val="32"/>
      <w:szCs w:val="32"/>
    </w:rPr>
  </w:style>
  <w:style w:type="character" w:customStyle="1" w:styleId="111">
    <w:name w:val="Char Char7"/>
    <w:qFormat/>
    <w:uiPriority w:val="0"/>
    <w:rPr>
      <w:rFonts w:ascii="宋体" w:hAnsi="Courier New" w:eastAsia="宋体"/>
      <w:kern w:val="2"/>
      <w:sz w:val="21"/>
      <w:lang w:val="en-US" w:eastAsia="zh-CN" w:bidi="ar-SA"/>
    </w:rPr>
  </w:style>
  <w:style w:type="character" w:customStyle="1" w:styleId="112">
    <w:name w:val="样式 宋体 小四"/>
    <w:qFormat/>
    <w:uiPriority w:val="0"/>
    <w:rPr>
      <w:rFonts w:ascii="宋体" w:hAnsi="宋体"/>
      <w:spacing w:val="6"/>
      <w:sz w:val="24"/>
      <w:szCs w:val="24"/>
    </w:rPr>
  </w:style>
  <w:style w:type="character" w:customStyle="1" w:styleId="113">
    <w:name w:val="bigfont1"/>
    <w:qFormat/>
    <w:uiPriority w:val="0"/>
    <w:rPr>
      <w:rFonts w:hint="default"/>
      <w:color w:val="000000"/>
      <w:sz w:val="24"/>
      <w:szCs w:val="24"/>
      <w:u w:val="none"/>
    </w:rPr>
  </w:style>
  <w:style w:type="character" w:customStyle="1" w:styleId="114">
    <w:name w:val="标题 1 字符1"/>
    <w:qFormat/>
    <w:uiPriority w:val="9"/>
    <w:rPr>
      <w:rFonts w:ascii="宋体" w:hAnsi="Arial" w:eastAsia="宋体" w:cs="Times New Roman"/>
      <w:b/>
      <w:color w:val="000000"/>
      <w:kern w:val="44"/>
      <w:sz w:val="36"/>
      <w:szCs w:val="20"/>
    </w:rPr>
  </w:style>
  <w:style w:type="character" w:customStyle="1" w:styleId="115">
    <w:name w:val="内文 Char Char"/>
    <w:qFormat/>
    <w:uiPriority w:val="0"/>
    <w:rPr>
      <w:rFonts w:ascii="Arial" w:hAnsi="Arial"/>
      <w:kern w:val="2"/>
      <w:sz w:val="21"/>
      <w:lang w:val="en-US" w:eastAsia="zh-CN" w:bidi="ar-SA"/>
    </w:rPr>
  </w:style>
  <w:style w:type="character" w:customStyle="1" w:styleId="116">
    <w:name w:val="日期 字符"/>
    <w:link w:val="30"/>
    <w:qFormat/>
    <w:uiPriority w:val="0"/>
    <w:rPr>
      <w:color w:val="000000"/>
      <w:kern w:val="2"/>
      <w:sz w:val="24"/>
      <w:szCs w:val="24"/>
    </w:rPr>
  </w:style>
  <w:style w:type="character" w:customStyle="1" w:styleId="117">
    <w:name w:val="正文文本缩进 2 字符"/>
    <w:link w:val="31"/>
    <w:qFormat/>
    <w:uiPriority w:val="0"/>
    <w:rPr>
      <w:rFonts w:ascii="宋体"/>
      <w:sz w:val="24"/>
    </w:rPr>
  </w:style>
  <w:style w:type="character" w:customStyle="1" w:styleId="118">
    <w:name w:val="标题 Char2"/>
    <w:qFormat/>
    <w:uiPriority w:val="10"/>
    <w:rPr>
      <w:rFonts w:ascii="Cambria" w:hAnsi="Cambria" w:eastAsia="宋体" w:cs="Times New Roman"/>
      <w:b/>
      <w:bCs/>
      <w:sz w:val="32"/>
      <w:szCs w:val="32"/>
    </w:rPr>
  </w:style>
  <w:style w:type="character" w:customStyle="1" w:styleId="119">
    <w:name w:val="纯文本 Char Char Char Char Char Char Char Char Char Char Char Char Char Char1"/>
    <w:qFormat/>
    <w:uiPriority w:val="0"/>
    <w:rPr>
      <w:rFonts w:ascii="Century Gothic" w:hAnsi="楷体_GB2312" w:eastAsia="宋体" w:cs="楷体_GB2312"/>
      <w:kern w:val="2"/>
      <w:sz w:val="21"/>
      <w:szCs w:val="21"/>
      <w:lang w:val="en-US" w:eastAsia="zh-CN" w:bidi="ar-SA"/>
    </w:rPr>
  </w:style>
  <w:style w:type="character" w:customStyle="1" w:styleId="120">
    <w:name w:val="批注主题 Char1"/>
    <w:semiHidden/>
    <w:qFormat/>
    <w:uiPriority w:val="99"/>
    <w:rPr>
      <w:rFonts w:ascii="Times New Roman" w:hAnsi="Times New Roman" w:eastAsia="宋体" w:cs="Times New Roman"/>
      <w:b/>
      <w:bCs/>
      <w:kern w:val="2"/>
      <w:sz w:val="21"/>
      <w:szCs w:val="20"/>
    </w:rPr>
  </w:style>
  <w:style w:type="character" w:customStyle="1" w:styleId="121">
    <w:name w:val="正文文本 2 Char1"/>
    <w:semiHidden/>
    <w:qFormat/>
    <w:uiPriority w:val="99"/>
    <w:rPr>
      <w:rFonts w:ascii="Times New Roman" w:hAnsi="Times New Roman" w:eastAsia="宋体" w:cs="Times New Roman"/>
      <w:szCs w:val="20"/>
    </w:rPr>
  </w:style>
  <w:style w:type="character" w:customStyle="1" w:styleId="122">
    <w:name w:val="apple-converted-space"/>
    <w:qFormat/>
    <w:uiPriority w:val="0"/>
    <w:rPr>
      <w:rFonts w:eastAsia="仿宋_GB2312"/>
      <w:sz w:val="28"/>
    </w:rPr>
  </w:style>
  <w:style w:type="character" w:customStyle="1" w:styleId="123">
    <w:name w:val="纯文本 Char2"/>
    <w:qFormat/>
    <w:uiPriority w:val="0"/>
    <w:rPr>
      <w:rFonts w:ascii="宋体" w:hAnsi="Courier New" w:eastAsia="宋体"/>
      <w:kern w:val="2"/>
      <w:sz w:val="21"/>
      <w:lang w:val="en-US" w:eastAsia="zh-CN" w:bidi="ar-SA"/>
    </w:rPr>
  </w:style>
  <w:style w:type="character" w:customStyle="1" w:styleId="124">
    <w:name w:val="文档结构图 Char1"/>
    <w:semiHidden/>
    <w:qFormat/>
    <w:uiPriority w:val="99"/>
    <w:rPr>
      <w:rFonts w:ascii="宋体" w:hAnsi="Times New Roman"/>
      <w:kern w:val="2"/>
      <w:sz w:val="18"/>
      <w:szCs w:val="18"/>
    </w:rPr>
  </w:style>
  <w:style w:type="character" w:customStyle="1" w:styleId="125">
    <w:name w:val="批注文字 字符"/>
    <w:link w:val="21"/>
    <w:qFormat/>
    <w:locked/>
    <w:uiPriority w:val="99"/>
    <w:rPr>
      <w:kern w:val="2"/>
      <w:sz w:val="21"/>
    </w:rPr>
  </w:style>
  <w:style w:type="character" w:customStyle="1" w:styleId="126">
    <w:name w:val="页眉 字符"/>
    <w:link w:val="34"/>
    <w:qFormat/>
    <w:uiPriority w:val="99"/>
    <w:rPr>
      <w:rFonts w:eastAsia="宋体"/>
      <w:kern w:val="2"/>
      <w:sz w:val="18"/>
      <w:szCs w:val="18"/>
      <w:lang w:val="en-US" w:eastAsia="zh-CN" w:bidi="ar-SA"/>
    </w:rPr>
  </w:style>
  <w:style w:type="character" w:customStyle="1" w:styleId="127">
    <w:name w:val="批注主题 字符1"/>
    <w:qFormat/>
    <w:uiPriority w:val="99"/>
    <w:rPr>
      <w:rFonts w:ascii="黑体" w:eastAsia="黑体"/>
    </w:rPr>
  </w:style>
  <w:style w:type="character" w:customStyle="1" w:styleId="128">
    <w:name w:val="p1481"/>
    <w:qFormat/>
    <w:uiPriority w:val="0"/>
    <w:rPr>
      <w:rFonts w:cs="Times New Roman"/>
    </w:rPr>
  </w:style>
  <w:style w:type="character" w:customStyle="1" w:styleId="129">
    <w:name w:val="font3"/>
    <w:qFormat/>
    <w:uiPriority w:val="0"/>
  </w:style>
  <w:style w:type="character" w:customStyle="1" w:styleId="130">
    <w:name w:val="彩色列表 - 强调文字颜色 1 Char"/>
    <w:link w:val="131"/>
    <w:qFormat/>
    <w:uiPriority w:val="0"/>
    <w:rPr>
      <w:kern w:val="2"/>
      <w:sz w:val="21"/>
      <w:szCs w:val="24"/>
    </w:rPr>
  </w:style>
  <w:style w:type="paragraph" w:customStyle="1" w:styleId="131">
    <w:name w:val="彩色列表 - 强调文字颜色 11"/>
    <w:basedOn w:val="1"/>
    <w:link w:val="130"/>
    <w:qFormat/>
    <w:uiPriority w:val="0"/>
    <w:pPr>
      <w:ind w:firstLine="420" w:firstLineChars="200"/>
    </w:pPr>
  </w:style>
  <w:style w:type="character" w:customStyle="1" w:styleId="132">
    <w:name w:val="副标题 字符"/>
    <w:link w:val="37"/>
    <w:qFormat/>
    <w:uiPriority w:val="0"/>
    <w:rPr>
      <w:rFonts w:ascii="Cambria" w:hAnsi="Cambria" w:eastAsia="宋体"/>
      <w:b/>
      <w:bCs/>
      <w:kern w:val="28"/>
      <w:sz w:val="32"/>
      <w:szCs w:val="32"/>
      <w:lang w:val="en-US" w:eastAsia="zh-CN" w:bidi="ar-SA"/>
    </w:rPr>
  </w:style>
  <w:style w:type="character" w:customStyle="1" w:styleId="133">
    <w:name w:val="样式 纯文本普通文字 Char纯文本 Char Char普通文字纯文本 Char Char Char Char Char...6 Char Char"/>
    <w:qFormat/>
    <w:uiPriority w:val="0"/>
    <w:rPr>
      <w:rFonts w:ascii="宋体" w:hAnsi="Courier New" w:eastAsia="宋体" w:cs="Courier New"/>
      <w:color w:val="000000"/>
      <w:kern w:val="2"/>
      <w:sz w:val="21"/>
      <w:szCs w:val="21"/>
      <w:lang w:val="en-US" w:eastAsia="zh-CN" w:bidi="ar-SA"/>
    </w:rPr>
  </w:style>
  <w:style w:type="character" w:customStyle="1" w:styleId="134">
    <w:name w:val="html_txt1"/>
    <w:qFormat/>
    <w:uiPriority w:val="0"/>
    <w:rPr>
      <w:color w:val="000000"/>
    </w:rPr>
  </w:style>
  <w:style w:type="character" w:customStyle="1" w:styleId="135">
    <w:name w:val="页眉 Char1"/>
    <w:qFormat/>
    <w:uiPriority w:val="99"/>
    <w:rPr>
      <w:sz w:val="18"/>
      <w:szCs w:val="18"/>
    </w:rPr>
  </w:style>
  <w:style w:type="character" w:customStyle="1" w:styleId="136">
    <w:name w:val="批注主题 字符"/>
    <w:link w:val="52"/>
    <w:qFormat/>
    <w:uiPriority w:val="99"/>
    <w:rPr>
      <w:b/>
      <w:bCs/>
      <w:kern w:val="2"/>
      <w:sz w:val="21"/>
    </w:rPr>
  </w:style>
  <w:style w:type="character" w:customStyle="1" w:styleId="137">
    <w:name w:val="正文文本缩进 Char"/>
    <w:qFormat/>
    <w:uiPriority w:val="0"/>
    <w:rPr>
      <w:rFonts w:ascii="宋体"/>
      <w:sz w:val="24"/>
    </w:rPr>
  </w:style>
  <w:style w:type="character" w:customStyle="1" w:styleId="138">
    <w:name w:val="标题 字符"/>
    <w:link w:val="51"/>
    <w:qFormat/>
    <w:uiPriority w:val="10"/>
    <w:rPr>
      <w:kern w:val="2"/>
      <w:sz w:val="30"/>
      <w:szCs w:val="24"/>
    </w:rPr>
  </w:style>
  <w:style w:type="character" w:customStyle="1" w:styleId="139">
    <w:name w:val="Char Char Char"/>
    <w:link w:val="140"/>
    <w:qFormat/>
    <w:uiPriority w:val="0"/>
    <w:rPr>
      <w:rFonts w:ascii="宋体" w:hAnsi="宋体" w:eastAsia="宋体"/>
      <w:b/>
      <w:kern w:val="2"/>
      <w:sz w:val="21"/>
      <w:szCs w:val="21"/>
      <w:lang w:val="en-US" w:eastAsia="zh-CN" w:bidi="ar-SA"/>
    </w:rPr>
  </w:style>
  <w:style w:type="paragraph" w:customStyle="1" w:styleId="140">
    <w:name w:val="Char5"/>
    <w:basedOn w:val="34"/>
    <w:next w:val="34"/>
    <w:link w:val="139"/>
    <w:qFormat/>
    <w:uiPriority w:val="0"/>
    <w:pPr>
      <w:snapToGrid/>
      <w:jc w:val="right"/>
    </w:pPr>
    <w:rPr>
      <w:rFonts w:ascii="宋体" w:hAnsi="宋体"/>
      <w:b/>
      <w:sz w:val="21"/>
      <w:szCs w:val="21"/>
    </w:rPr>
  </w:style>
  <w:style w:type="character" w:customStyle="1" w:styleId="141">
    <w:name w:val="样式1 Char Char"/>
    <w:link w:val="142"/>
    <w:qFormat/>
    <w:uiPriority w:val="0"/>
    <w:rPr>
      <w:rFonts w:ascii="Arial" w:hAnsi="Arial" w:eastAsia="宋体"/>
      <w:kern w:val="2"/>
      <w:sz w:val="21"/>
      <w:szCs w:val="24"/>
      <w:lang w:val="en-US" w:eastAsia="zh-CN" w:bidi="ar-SA"/>
    </w:rPr>
  </w:style>
  <w:style w:type="paragraph" w:customStyle="1" w:styleId="142">
    <w:name w:val="样式1"/>
    <w:basedOn w:val="1"/>
    <w:link w:val="141"/>
    <w:qFormat/>
    <w:uiPriority w:val="0"/>
    <w:pPr>
      <w:spacing w:line="360" w:lineRule="exact"/>
      <w:ind w:firstLine="200" w:firstLineChars="200"/>
    </w:pPr>
    <w:rPr>
      <w:rFonts w:ascii="Arial" w:hAnsi="Arial"/>
    </w:rPr>
  </w:style>
  <w:style w:type="character" w:customStyle="1" w:styleId="143">
    <w:name w:val="脚注文本 字符"/>
    <w:link w:val="39"/>
    <w:qFormat/>
    <w:uiPriority w:val="0"/>
    <w:rPr>
      <w:rFonts w:eastAsia="仿宋_GB2312"/>
      <w:kern w:val="2"/>
      <w:sz w:val="18"/>
      <w:szCs w:val="18"/>
    </w:rPr>
  </w:style>
  <w:style w:type="character" w:customStyle="1" w:styleId="144">
    <w:name w:val="bulletintext1"/>
    <w:qFormat/>
    <w:uiPriority w:val="0"/>
    <w:rPr>
      <w:rFonts w:eastAsia="仿宋_GB2312"/>
      <w:color w:val="000000"/>
      <w:sz w:val="18"/>
    </w:rPr>
  </w:style>
  <w:style w:type="character" w:customStyle="1" w:styleId="145">
    <w:name w:val="日期 Char1"/>
    <w:semiHidden/>
    <w:qFormat/>
    <w:uiPriority w:val="99"/>
    <w:rPr>
      <w:rFonts w:ascii="Times New Roman" w:hAnsi="Times New Roman" w:eastAsia="宋体" w:cs="Times New Roman"/>
      <w:szCs w:val="20"/>
    </w:rPr>
  </w:style>
  <w:style w:type="character" w:customStyle="1" w:styleId="146">
    <w:name w:val="正文文本首行缩进 2 字符"/>
    <w:link w:val="54"/>
    <w:qFormat/>
    <w:uiPriority w:val="0"/>
    <w:rPr>
      <w:rFonts w:ascii="宋体" w:eastAsia="Century Gothic"/>
      <w:kern w:val="2"/>
      <w:sz w:val="21"/>
      <w:szCs w:val="24"/>
    </w:rPr>
  </w:style>
  <w:style w:type="character" w:customStyle="1" w:styleId="147">
    <w:name w:val="正文文本缩进 字符"/>
    <w:link w:val="23"/>
    <w:qFormat/>
    <w:uiPriority w:val="0"/>
    <w:rPr>
      <w:rFonts w:ascii="宋体"/>
      <w:sz w:val="24"/>
    </w:rPr>
  </w:style>
  <w:style w:type="character" w:customStyle="1" w:styleId="148">
    <w:name w:val="正文文本 Char2"/>
    <w:semiHidden/>
    <w:qFormat/>
    <w:uiPriority w:val="99"/>
    <w:rPr>
      <w:rFonts w:ascii="Times New Roman" w:hAnsi="Times New Roman" w:eastAsia="宋体" w:cs="Times New Roman"/>
      <w:szCs w:val="20"/>
    </w:rPr>
  </w:style>
  <w:style w:type="character" w:customStyle="1" w:styleId="149">
    <w:name w:val="页脚 字符"/>
    <w:link w:val="33"/>
    <w:qFormat/>
    <w:uiPriority w:val="99"/>
    <w:rPr>
      <w:rFonts w:eastAsia="宋体"/>
      <w:kern w:val="2"/>
      <w:sz w:val="18"/>
      <w:szCs w:val="18"/>
      <w:lang w:val="en-US" w:eastAsia="zh-CN" w:bidi="ar-SA"/>
    </w:rPr>
  </w:style>
  <w:style w:type="character" w:customStyle="1" w:styleId="150">
    <w:name w:val="样式 纯文本普通文字 Char纯文本 Char Char普通文字纯文本 Char Char Char Char Char...6 Char"/>
    <w:link w:val="151"/>
    <w:qFormat/>
    <w:uiPriority w:val="0"/>
    <w:rPr>
      <w:rFonts w:ascii="宋体" w:hAnsi="Courier New" w:cs="Courier New"/>
      <w:color w:val="000000"/>
      <w:szCs w:val="21"/>
    </w:rPr>
  </w:style>
  <w:style w:type="paragraph" w:customStyle="1" w:styleId="151">
    <w:name w:val="样式 纯文本普通文字 Char纯文本 Char Char普通文字纯文本 Char Char Char Char Char...6"/>
    <w:basedOn w:val="7"/>
    <w:link w:val="150"/>
    <w:qFormat/>
    <w:uiPriority w:val="0"/>
    <w:rPr>
      <w:color w:val="000000"/>
      <w:kern w:val="0"/>
      <w:sz w:val="20"/>
      <w:szCs w:val="21"/>
    </w:rPr>
  </w:style>
  <w:style w:type="character" w:customStyle="1" w:styleId="152">
    <w:name w:val="纯文本 字符"/>
    <w:link w:val="7"/>
    <w:qFormat/>
    <w:uiPriority w:val="0"/>
    <w:rPr>
      <w:rFonts w:ascii="宋体" w:hAnsi="Courier New" w:eastAsia="宋体"/>
      <w:kern w:val="2"/>
      <w:sz w:val="21"/>
      <w:lang w:val="en-US" w:eastAsia="zh-CN" w:bidi="ar-SA"/>
    </w:rPr>
  </w:style>
  <w:style w:type="character" w:customStyle="1" w:styleId="153">
    <w:name w:val="正文文本 2 字符"/>
    <w:link w:val="45"/>
    <w:qFormat/>
    <w:uiPriority w:val="0"/>
    <w:rPr>
      <w:b/>
      <w:bCs/>
      <w:color w:val="000000"/>
      <w:kern w:val="2"/>
      <w:sz w:val="28"/>
      <w:szCs w:val="24"/>
    </w:rPr>
  </w:style>
  <w:style w:type="character" w:customStyle="1" w:styleId="154">
    <w:name w:val="font01"/>
    <w:qFormat/>
    <w:uiPriority w:val="0"/>
    <w:rPr>
      <w:rFonts w:hint="default" w:ascii="媅SO" w:hAnsi="媅SO" w:eastAsia="媅SO" w:cs="媅SO"/>
      <w:color w:val="FF0000"/>
      <w:sz w:val="18"/>
      <w:szCs w:val="18"/>
      <w:u w:val="none"/>
    </w:rPr>
  </w:style>
  <w:style w:type="character" w:customStyle="1" w:styleId="155">
    <w:name w:val="Char Char1"/>
    <w:qFormat/>
    <w:uiPriority w:val="0"/>
    <w:rPr>
      <w:rFonts w:ascii="宋体" w:hAnsi="Courier New" w:eastAsia="宋体" w:cs="Times New Roman"/>
      <w:kern w:val="2"/>
      <w:sz w:val="21"/>
      <w:lang w:val="en-US" w:eastAsia="zh-CN"/>
    </w:rPr>
  </w:style>
  <w:style w:type="character" w:customStyle="1" w:styleId="156">
    <w:name w:val="htd01"/>
    <w:qFormat/>
    <w:uiPriority w:val="0"/>
  </w:style>
  <w:style w:type="character" w:customStyle="1" w:styleId="157">
    <w:name w:val="Char Char13"/>
    <w:qFormat/>
    <w:uiPriority w:val="0"/>
    <w:rPr>
      <w:rFonts w:ascii="Times New Roman" w:hAnsi="Times New Roman" w:eastAsia="宋体" w:cs="Times New Roman"/>
      <w:sz w:val="18"/>
      <w:szCs w:val="18"/>
    </w:rPr>
  </w:style>
  <w:style w:type="character" w:customStyle="1" w:styleId="158">
    <w:name w:val="无间隔 Char"/>
    <w:link w:val="159"/>
    <w:qFormat/>
    <w:uiPriority w:val="1"/>
    <w:rPr>
      <w:kern w:val="2"/>
      <w:sz w:val="24"/>
      <w:szCs w:val="22"/>
      <w:lang w:val="en-US" w:eastAsia="zh-CN" w:bidi="ar-SA"/>
    </w:rPr>
  </w:style>
  <w:style w:type="paragraph" w:customStyle="1" w:styleId="159">
    <w:name w:val="无间隔1"/>
    <w:link w:val="158"/>
    <w:qFormat/>
    <w:uiPriority w:val="1"/>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0">
    <w:name w:val="纯文本 Char1"/>
    <w:qFormat/>
    <w:uiPriority w:val="0"/>
    <w:rPr>
      <w:rFonts w:ascii="宋体" w:hAnsi="Courier New" w:cs="Courier New"/>
      <w:kern w:val="2"/>
      <w:sz w:val="21"/>
      <w:szCs w:val="21"/>
    </w:rPr>
  </w:style>
  <w:style w:type="character" w:customStyle="1" w:styleId="161">
    <w:name w:val="副标题 Char2"/>
    <w:qFormat/>
    <w:uiPriority w:val="11"/>
    <w:rPr>
      <w:rFonts w:ascii="Cambria" w:hAnsi="Cambria" w:eastAsia="宋体" w:cs="Times New Roman"/>
      <w:b/>
      <w:bCs/>
      <w:kern w:val="28"/>
      <w:sz w:val="32"/>
      <w:szCs w:val="32"/>
    </w:rPr>
  </w:style>
  <w:style w:type="character" w:customStyle="1" w:styleId="162">
    <w:name w:val="font51"/>
    <w:qFormat/>
    <w:uiPriority w:val="0"/>
    <w:rPr>
      <w:rFonts w:hint="eastAsia" w:ascii="宋体" w:hAnsi="宋体" w:eastAsia="宋体" w:cs="宋体"/>
      <w:color w:val="FF0000"/>
      <w:sz w:val="18"/>
      <w:szCs w:val="18"/>
      <w:u w:val="none"/>
    </w:rPr>
  </w:style>
  <w:style w:type="character" w:customStyle="1" w:styleId="163">
    <w:name w:val="批注框文本 字符"/>
    <w:link w:val="32"/>
    <w:qFormat/>
    <w:uiPriority w:val="99"/>
    <w:rPr>
      <w:kern w:val="2"/>
      <w:sz w:val="18"/>
      <w:szCs w:val="18"/>
    </w:rPr>
  </w:style>
  <w:style w:type="character" w:customStyle="1" w:styleId="164">
    <w:name w:val="zbggmain style9"/>
    <w:basedOn w:val="57"/>
    <w:qFormat/>
    <w:uiPriority w:val="0"/>
  </w:style>
  <w:style w:type="character" w:customStyle="1" w:styleId="165">
    <w:name w:val="正文缩进 字符"/>
    <w:link w:val="17"/>
    <w:qFormat/>
    <w:uiPriority w:val="0"/>
    <w:rPr>
      <w:rFonts w:eastAsia="宋体"/>
      <w:kern w:val="2"/>
      <w:sz w:val="21"/>
      <w:szCs w:val="24"/>
      <w:lang w:val="en-US" w:eastAsia="zh-CN" w:bidi="ar-SA"/>
    </w:rPr>
  </w:style>
  <w:style w:type="character" w:customStyle="1" w:styleId="166">
    <w:name w:val="info1"/>
    <w:qFormat/>
    <w:uiPriority w:val="0"/>
    <w:rPr>
      <w:sz w:val="29"/>
      <w:szCs w:val="29"/>
    </w:rPr>
  </w:style>
  <w:style w:type="character" w:customStyle="1" w:styleId="167">
    <w:name w:val="样式 标题 2 + 小四 Char Char"/>
    <w:link w:val="168"/>
    <w:qFormat/>
    <w:uiPriority w:val="0"/>
    <w:rPr>
      <w:rFonts w:ascii="宋体" w:hAnsi="宋体"/>
      <w:b/>
      <w:sz w:val="36"/>
    </w:rPr>
  </w:style>
  <w:style w:type="paragraph" w:customStyle="1" w:styleId="168">
    <w:name w:val="样式 标题 2 + 小四"/>
    <w:basedOn w:val="5"/>
    <w:link w:val="167"/>
    <w:qFormat/>
    <w:uiPriority w:val="0"/>
    <w:pPr>
      <w:tabs>
        <w:tab w:val="left" w:pos="420"/>
        <w:tab w:val="left" w:pos="576"/>
      </w:tabs>
      <w:spacing w:before="260" w:after="260" w:line="408" w:lineRule="auto"/>
      <w:jc w:val="center"/>
    </w:pPr>
    <w:rPr>
      <w:rFonts w:ascii="宋体" w:hAnsi="宋体"/>
      <w:bCs w:val="0"/>
      <w:kern w:val="0"/>
      <w:sz w:val="36"/>
      <w:szCs w:val="20"/>
    </w:rPr>
  </w:style>
  <w:style w:type="character" w:customStyle="1" w:styleId="169">
    <w:name w:val="正文文本 Char1"/>
    <w:semiHidden/>
    <w:qFormat/>
    <w:uiPriority w:val="99"/>
  </w:style>
  <w:style w:type="character" w:customStyle="1" w:styleId="170">
    <w:name w:val="访问过的超链接1"/>
    <w:qFormat/>
    <w:uiPriority w:val="0"/>
    <w:rPr>
      <w:color w:val="800080"/>
      <w:u w:val="single"/>
    </w:rPr>
  </w:style>
  <w:style w:type="character" w:customStyle="1" w:styleId="171">
    <w:name w:val="个人答复风格"/>
    <w:qFormat/>
    <w:uiPriority w:val="0"/>
    <w:rPr>
      <w:rFonts w:ascii="Arial" w:hAnsi="Arial" w:eastAsia="宋体" w:cs="Arial"/>
      <w:color w:val="auto"/>
      <w:sz w:val="20"/>
    </w:rPr>
  </w:style>
  <w:style w:type="character" w:customStyle="1" w:styleId="172">
    <w:name w:val="Char Char3"/>
    <w:qFormat/>
    <w:uiPriority w:val="0"/>
    <w:rPr>
      <w:rFonts w:ascii="Arial" w:hAnsi="Arial" w:eastAsia="宋体"/>
      <w:b/>
      <w:bCs/>
      <w:kern w:val="2"/>
      <w:sz w:val="21"/>
      <w:szCs w:val="32"/>
      <w:lang w:val="en-US" w:eastAsia="zh-CN" w:bidi="ar-SA"/>
    </w:rPr>
  </w:style>
  <w:style w:type="character" w:customStyle="1" w:styleId="173">
    <w:name w:val="彩色列表字符"/>
    <w:link w:val="174"/>
    <w:qFormat/>
    <w:uiPriority w:val="0"/>
    <w:rPr>
      <w:rFonts w:ascii="Calibri" w:hAnsi="Calibri"/>
      <w:kern w:val="2"/>
      <w:sz w:val="21"/>
      <w:szCs w:val="22"/>
    </w:rPr>
  </w:style>
  <w:style w:type="paragraph" w:customStyle="1" w:styleId="174">
    <w:name w:val="彩色列表1"/>
    <w:basedOn w:val="1"/>
    <w:link w:val="173"/>
    <w:qFormat/>
    <w:uiPriority w:val="0"/>
    <w:pPr>
      <w:ind w:firstLine="420" w:firstLineChars="200"/>
    </w:pPr>
    <w:rPr>
      <w:rFonts w:ascii="Calibri" w:hAnsi="Calibri"/>
      <w:szCs w:val="22"/>
    </w:rPr>
  </w:style>
  <w:style w:type="character" w:customStyle="1" w:styleId="175">
    <w:name w:val="unnamed51"/>
    <w:qFormat/>
    <w:uiPriority w:val="0"/>
    <w:rPr>
      <w:sz w:val="22"/>
      <w:szCs w:val="22"/>
    </w:rPr>
  </w:style>
  <w:style w:type="character" w:customStyle="1" w:styleId="176">
    <w:name w:val="正文2 Char Char"/>
    <w:qFormat/>
    <w:uiPriority w:val="0"/>
    <w:rPr>
      <w:kern w:val="2"/>
      <w:sz w:val="24"/>
    </w:rPr>
  </w:style>
  <w:style w:type="character" w:customStyle="1" w:styleId="177">
    <w:name w:val="cart_title_smaller1"/>
    <w:qFormat/>
    <w:uiPriority w:val="0"/>
    <w:rPr>
      <w:color w:val="000000"/>
      <w:sz w:val="18"/>
      <w:szCs w:val="18"/>
      <w:u w:val="none"/>
    </w:rPr>
  </w:style>
  <w:style w:type="character" w:customStyle="1" w:styleId="178">
    <w:name w:val="正文（首行缩进两字） Char"/>
    <w:qFormat/>
    <w:uiPriority w:val="0"/>
    <w:rPr>
      <w:rFonts w:eastAsia="宋体"/>
      <w:kern w:val="2"/>
      <w:sz w:val="21"/>
      <w:u w:val="single"/>
      <w:lang w:val="en-US" w:eastAsia="zh-CN" w:bidi="ar-SA"/>
    </w:rPr>
  </w:style>
  <w:style w:type="character" w:customStyle="1" w:styleId="179">
    <w:name w:val="样式1 Char Char Char"/>
    <w:qFormat/>
    <w:uiPriority w:val="0"/>
    <w:rPr>
      <w:rFonts w:ascii="Arial" w:hAnsi="Arial" w:eastAsia="宋体"/>
      <w:kern w:val="2"/>
      <w:sz w:val="21"/>
      <w:szCs w:val="24"/>
      <w:lang w:val="en-US" w:eastAsia="zh-CN" w:bidi="ar-SA"/>
    </w:rPr>
  </w:style>
  <w:style w:type="character" w:customStyle="1" w:styleId="180">
    <w:name w:val="脚注文本 Char1"/>
    <w:qFormat/>
    <w:uiPriority w:val="0"/>
    <w:rPr>
      <w:kern w:val="2"/>
      <w:sz w:val="18"/>
      <w:szCs w:val="18"/>
    </w:rPr>
  </w:style>
  <w:style w:type="character" w:customStyle="1" w:styleId="181">
    <w:name w:val="正文2 Char"/>
    <w:link w:val="182"/>
    <w:qFormat/>
    <w:uiPriority w:val="0"/>
    <w:rPr>
      <w:kern w:val="2"/>
      <w:sz w:val="24"/>
    </w:rPr>
  </w:style>
  <w:style w:type="paragraph" w:customStyle="1" w:styleId="182">
    <w:name w:val="正文2"/>
    <w:basedOn w:val="1"/>
    <w:link w:val="181"/>
    <w:qFormat/>
    <w:uiPriority w:val="0"/>
    <w:pPr>
      <w:spacing w:before="156" w:line="360" w:lineRule="auto"/>
      <w:ind w:firstLine="510" w:firstLineChars="200"/>
    </w:pPr>
    <w:rPr>
      <w:sz w:val="24"/>
      <w:szCs w:val="20"/>
    </w:rPr>
  </w:style>
  <w:style w:type="character" w:customStyle="1" w:styleId="183">
    <w:name w:val="副标题 Char1"/>
    <w:qFormat/>
    <w:uiPriority w:val="0"/>
    <w:rPr>
      <w:rFonts w:ascii="Cambria" w:hAnsi="Cambria" w:cs="Times New Roman"/>
      <w:b/>
      <w:bCs/>
      <w:kern w:val="28"/>
      <w:sz w:val="32"/>
      <w:szCs w:val="32"/>
    </w:rPr>
  </w:style>
  <w:style w:type="character" w:customStyle="1" w:styleId="184">
    <w:name w:val="纯文本 字符1"/>
    <w:qFormat/>
    <w:uiPriority w:val="99"/>
    <w:rPr>
      <w:rFonts w:ascii="宋体" w:hAnsi="Courier New"/>
    </w:rPr>
  </w:style>
  <w:style w:type="character" w:customStyle="1" w:styleId="185">
    <w:name w:val="Char Char29"/>
    <w:qFormat/>
    <w:uiPriority w:val="0"/>
    <w:rPr>
      <w:rFonts w:eastAsia="宋体"/>
      <w:b/>
      <w:bCs/>
      <w:kern w:val="44"/>
      <w:sz w:val="44"/>
      <w:szCs w:val="44"/>
      <w:lang w:val="en-US" w:eastAsia="zh-CN" w:bidi="ar-SA"/>
    </w:rPr>
  </w:style>
  <w:style w:type="character" w:customStyle="1" w:styleId="186">
    <w:name w:val="Char Char31"/>
    <w:qFormat/>
    <w:uiPriority w:val="0"/>
    <w:rPr>
      <w:rFonts w:ascii="Arial" w:hAnsi="Arial" w:eastAsia="宋体"/>
      <w:b/>
      <w:bCs/>
      <w:kern w:val="2"/>
      <w:sz w:val="21"/>
      <w:szCs w:val="32"/>
      <w:lang w:val="en-US" w:eastAsia="zh-CN" w:bidi="ar-SA"/>
    </w:rPr>
  </w:style>
  <w:style w:type="character" w:customStyle="1" w:styleId="187">
    <w:name w:val="正文文本缩进 Char1"/>
    <w:semiHidden/>
    <w:qFormat/>
    <w:uiPriority w:val="99"/>
    <w:rPr>
      <w:rFonts w:ascii="Times New Roman" w:hAnsi="Times New Roman" w:eastAsia="宋体" w:cs="Times New Roman"/>
      <w:szCs w:val="20"/>
    </w:rPr>
  </w:style>
  <w:style w:type="character" w:customStyle="1" w:styleId="188">
    <w:name w:val="正文文本缩进 3 字符"/>
    <w:link w:val="42"/>
    <w:qFormat/>
    <w:uiPriority w:val="0"/>
    <w:rPr>
      <w:rFonts w:eastAsia="黑体"/>
      <w:color w:val="000000"/>
      <w:kern w:val="2"/>
      <w:sz w:val="24"/>
      <w:szCs w:val="24"/>
    </w:rPr>
  </w:style>
  <w:style w:type="character" w:customStyle="1" w:styleId="189">
    <w:name w:val="自定义正文 Char Char"/>
    <w:qFormat/>
    <w:uiPriority w:val="0"/>
    <w:rPr>
      <w:rFonts w:eastAsia="宋体"/>
      <w:sz w:val="24"/>
    </w:rPr>
  </w:style>
  <w:style w:type="character" w:customStyle="1" w:styleId="190">
    <w:name w:val="b titlename wangputoptitle"/>
    <w:qFormat/>
    <w:uiPriority w:val="0"/>
  </w:style>
  <w:style w:type="character" w:customStyle="1" w:styleId="191">
    <w:name w:val="文档结构图 Char2"/>
    <w:semiHidden/>
    <w:qFormat/>
    <w:uiPriority w:val="99"/>
    <w:rPr>
      <w:rFonts w:ascii="宋体" w:hAnsi="Times New Roman" w:eastAsia="宋体" w:cs="Times New Roman"/>
      <w:sz w:val="18"/>
      <w:szCs w:val="18"/>
    </w:rPr>
  </w:style>
  <w:style w:type="character" w:customStyle="1" w:styleId="192">
    <w:name w:val="正文文本缩进 3 Char1"/>
    <w:semiHidden/>
    <w:qFormat/>
    <w:uiPriority w:val="99"/>
    <w:rPr>
      <w:rFonts w:ascii="Times New Roman" w:hAnsi="Times New Roman" w:eastAsia="宋体" w:cs="Times New Roman"/>
      <w:sz w:val="16"/>
      <w:szCs w:val="16"/>
    </w:rPr>
  </w:style>
  <w:style w:type="character" w:customStyle="1" w:styleId="193">
    <w:name w:val="批注框文本 Char1"/>
    <w:semiHidden/>
    <w:qFormat/>
    <w:uiPriority w:val="99"/>
    <w:rPr>
      <w:rFonts w:ascii="Times New Roman" w:hAnsi="Times New Roman" w:eastAsia="宋体" w:cs="Times New Roman"/>
      <w:sz w:val="18"/>
      <w:szCs w:val="18"/>
    </w:rPr>
  </w:style>
  <w:style w:type="character" w:customStyle="1" w:styleId="194">
    <w:name w:val="样式1 Char"/>
    <w:qFormat/>
    <w:uiPriority w:val="0"/>
    <w:rPr>
      <w:rFonts w:ascii="Arial" w:hAnsi="Arial" w:eastAsia="宋体"/>
      <w:kern w:val="2"/>
      <w:sz w:val="21"/>
      <w:szCs w:val="24"/>
      <w:lang w:val="en-US" w:eastAsia="zh-CN" w:bidi="ar-SA"/>
    </w:rPr>
  </w:style>
  <w:style w:type="character" w:customStyle="1" w:styleId="195">
    <w:name w:val="Char Char17"/>
    <w:qFormat/>
    <w:uiPriority w:val="0"/>
    <w:rPr>
      <w:rFonts w:eastAsia="宋体"/>
      <w:kern w:val="2"/>
      <w:sz w:val="21"/>
      <w:szCs w:val="24"/>
      <w:lang w:bidi="ar-SA"/>
    </w:rPr>
  </w:style>
  <w:style w:type="character" w:customStyle="1" w:styleId="196">
    <w:name w:val="Blockquote Char Char"/>
    <w:link w:val="197"/>
    <w:qFormat/>
    <w:uiPriority w:val="0"/>
    <w:rPr>
      <w:sz w:val="24"/>
    </w:rPr>
  </w:style>
  <w:style w:type="paragraph" w:customStyle="1" w:styleId="197">
    <w:name w:val="Blockquote"/>
    <w:basedOn w:val="1"/>
    <w:link w:val="196"/>
    <w:qFormat/>
    <w:uiPriority w:val="0"/>
    <w:pPr>
      <w:autoSpaceDE w:val="0"/>
      <w:autoSpaceDN w:val="0"/>
      <w:adjustRightInd w:val="0"/>
      <w:spacing w:before="100" w:after="100"/>
      <w:ind w:left="360" w:right="360"/>
      <w:jc w:val="left"/>
    </w:pPr>
    <w:rPr>
      <w:kern w:val="0"/>
      <w:sz w:val="24"/>
      <w:szCs w:val="20"/>
    </w:rPr>
  </w:style>
  <w:style w:type="character" w:customStyle="1" w:styleId="198">
    <w:name w:val="内文 Char"/>
    <w:link w:val="199"/>
    <w:qFormat/>
    <w:uiPriority w:val="0"/>
    <w:rPr>
      <w:rFonts w:ascii="Arial" w:hAnsi="Arial"/>
      <w:lang w:val="en-US" w:eastAsia="zh-CN" w:bidi="ar-SA"/>
    </w:rPr>
  </w:style>
  <w:style w:type="paragraph" w:customStyle="1" w:styleId="199">
    <w:name w:val="内文"/>
    <w:link w:val="198"/>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200">
    <w:name w:val="列出段落 字符"/>
    <w:link w:val="201"/>
    <w:qFormat/>
    <w:uiPriority w:val="0"/>
    <w:rPr>
      <w:kern w:val="2"/>
      <w:sz w:val="21"/>
      <w:szCs w:val="24"/>
    </w:rPr>
  </w:style>
  <w:style w:type="paragraph" w:customStyle="1" w:styleId="201">
    <w:name w:val="列出段落12"/>
    <w:basedOn w:val="1"/>
    <w:link w:val="200"/>
    <w:qFormat/>
    <w:uiPriority w:val="0"/>
    <w:pPr>
      <w:ind w:firstLine="420" w:firstLineChars="200"/>
    </w:pPr>
  </w:style>
  <w:style w:type="character" w:customStyle="1" w:styleId="202">
    <w:name w:val="文档结构图 字符"/>
    <w:link w:val="19"/>
    <w:qFormat/>
    <w:uiPriority w:val="0"/>
    <w:rPr>
      <w:kern w:val="2"/>
      <w:sz w:val="21"/>
      <w:szCs w:val="24"/>
      <w:shd w:val="clear" w:color="auto" w:fill="000080"/>
    </w:rPr>
  </w:style>
  <w:style w:type="character" w:customStyle="1" w:styleId="203">
    <w:name w:val="标题 1 Char Char"/>
    <w:qFormat/>
    <w:uiPriority w:val="0"/>
    <w:rPr>
      <w:rFonts w:eastAsia="宋体"/>
      <w:b/>
      <w:spacing w:val="-2"/>
      <w:sz w:val="24"/>
      <w:lang w:val="en-US" w:eastAsia="zh-CN" w:bidi="ar-SA"/>
    </w:rPr>
  </w:style>
  <w:style w:type="character" w:customStyle="1" w:styleId="204">
    <w:name w:val="Char Char15"/>
    <w:qFormat/>
    <w:uiPriority w:val="0"/>
    <w:rPr>
      <w:rFonts w:ascii="Times New Roman" w:hAnsi="Times New Roman" w:eastAsia="宋体" w:cs="Times New Roman"/>
      <w:sz w:val="18"/>
      <w:szCs w:val="18"/>
    </w:rPr>
  </w:style>
  <w:style w:type="character" w:customStyle="1" w:styleId="205">
    <w:name w:val="普通文字 Char Char2"/>
    <w:qFormat/>
    <w:uiPriority w:val="0"/>
    <w:rPr>
      <w:rFonts w:ascii="宋体" w:hAnsi="Courier New" w:eastAsia="宋体"/>
      <w:kern w:val="2"/>
      <w:sz w:val="21"/>
      <w:lang w:val="en-US" w:eastAsia="zh-CN" w:bidi="ar-SA"/>
    </w:rPr>
  </w:style>
  <w:style w:type="character" w:customStyle="1" w:styleId="206">
    <w:name w:val="标题 2 字符1"/>
    <w:qFormat/>
    <w:uiPriority w:val="0"/>
    <w:rPr>
      <w:rFonts w:ascii="Arial" w:hAnsi="Arial" w:eastAsia="黑体" w:cs="Times New Roman"/>
      <w:b/>
      <w:bCs/>
      <w:sz w:val="32"/>
      <w:szCs w:val="32"/>
      <w:lang w:val="zh-CN" w:eastAsia="zh-CN"/>
    </w:rPr>
  </w:style>
  <w:style w:type="character" w:customStyle="1" w:styleId="207">
    <w:name w:val="批注框文本 字符1"/>
    <w:qFormat/>
    <w:uiPriority w:val="99"/>
    <w:rPr>
      <w:sz w:val="18"/>
      <w:szCs w:val="18"/>
    </w:rPr>
  </w:style>
  <w:style w:type="paragraph" w:customStyle="1" w:styleId="208">
    <w:name w:val="xl33"/>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0">
    <w:name w:val="xl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1">
    <w:name w:val="Char Char4 Char Char Char Char"/>
    <w:basedOn w:val="1"/>
    <w:qFormat/>
    <w:uiPriority w:val="0"/>
    <w:rPr>
      <w:rFonts w:eastAsia="仿宋_GB2312"/>
      <w:sz w:val="28"/>
    </w:rPr>
  </w:style>
  <w:style w:type="paragraph" w:customStyle="1" w:styleId="21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1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14">
    <w:name w:val="正文说明"/>
    <w:basedOn w:val="1"/>
    <w:qFormat/>
    <w:uiPriority w:val="0"/>
    <w:rPr>
      <w:szCs w:val="22"/>
    </w:rPr>
  </w:style>
  <w:style w:type="paragraph" w:customStyle="1" w:styleId="215">
    <w:name w:val="Char1 Char Char Char"/>
    <w:basedOn w:val="1"/>
    <w:qFormat/>
    <w:uiPriority w:val="0"/>
    <w:rPr>
      <w:szCs w:val="20"/>
    </w:rPr>
  </w:style>
  <w:style w:type="paragraph" w:customStyle="1" w:styleId="216">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7">
    <w:name w:val="Char"/>
    <w:basedOn w:val="1"/>
    <w:qFormat/>
    <w:uiPriority w:val="0"/>
    <w:rPr>
      <w:rFonts w:ascii="仿宋_GB2312" w:eastAsia="仿宋_GB2312"/>
      <w:b/>
      <w:sz w:val="32"/>
      <w:szCs w:val="32"/>
    </w:rPr>
  </w:style>
  <w:style w:type="paragraph" w:customStyle="1" w:styleId="218">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219">
    <w:name w:val="标题4"/>
    <w:basedOn w:val="1"/>
    <w:qFormat/>
    <w:uiPriority w:val="0"/>
    <w:rPr>
      <w:rFonts w:eastAsia="仿宋_GB2312"/>
      <w:sz w:val="32"/>
      <w:szCs w:val="20"/>
    </w:rPr>
  </w:style>
  <w:style w:type="paragraph" w:customStyle="1" w:styleId="220">
    <w:name w:val="Char4"/>
    <w:basedOn w:val="17"/>
    <w:qFormat/>
    <w:uiPriority w:val="0"/>
    <w:pPr>
      <w:widowControl/>
      <w:spacing w:afterLines="50" w:line="360" w:lineRule="auto"/>
      <w:ind w:firstLine="480"/>
      <w:jc w:val="left"/>
    </w:pPr>
  </w:style>
  <w:style w:type="paragraph" w:customStyle="1" w:styleId="221">
    <w:name w:val="p0"/>
    <w:basedOn w:val="1"/>
    <w:qFormat/>
    <w:uiPriority w:val="0"/>
    <w:pPr>
      <w:widowControl/>
    </w:pPr>
    <w:rPr>
      <w:kern w:val="0"/>
      <w:szCs w:val="21"/>
    </w:rPr>
  </w:style>
  <w:style w:type="paragraph" w:customStyle="1" w:styleId="222">
    <w:name w:val="Char Char4 Char Char Char Char1"/>
    <w:basedOn w:val="1"/>
    <w:qFormat/>
    <w:uiPriority w:val="0"/>
    <w:rPr>
      <w:rFonts w:eastAsia="仿宋_GB2312"/>
      <w:sz w:val="28"/>
    </w:rPr>
  </w:style>
  <w:style w:type="paragraph" w:customStyle="1" w:styleId="223">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24">
    <w:name w:val="Char Char Char Char Char Char Char1"/>
    <w:basedOn w:val="1"/>
    <w:qFormat/>
    <w:uiPriority w:val="0"/>
    <w:pPr>
      <w:tabs>
        <w:tab w:val="left" w:pos="432"/>
      </w:tabs>
      <w:ind w:left="432" w:hanging="432"/>
    </w:pPr>
    <w:rPr>
      <w:rFonts w:ascii="Tahoma" w:hAnsi="Tahoma"/>
      <w:sz w:val="24"/>
      <w:szCs w:val="20"/>
    </w:rPr>
  </w:style>
  <w:style w:type="paragraph" w:customStyle="1" w:styleId="225">
    <w:name w:val="p18"/>
    <w:basedOn w:val="1"/>
    <w:qFormat/>
    <w:uiPriority w:val="0"/>
    <w:pPr>
      <w:widowControl/>
      <w:ind w:firstLine="420"/>
    </w:pPr>
    <w:rPr>
      <w:kern w:val="0"/>
      <w:szCs w:val="21"/>
    </w:rPr>
  </w:style>
  <w:style w:type="paragraph" w:customStyle="1" w:styleId="226">
    <w:name w:val="xl76"/>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列出段落2"/>
    <w:basedOn w:val="1"/>
    <w:qFormat/>
    <w:uiPriority w:val="34"/>
    <w:pPr>
      <w:adjustRightInd w:val="0"/>
      <w:ind w:firstLine="420" w:firstLineChars="200"/>
    </w:pPr>
  </w:style>
  <w:style w:type="paragraph" w:customStyle="1" w:styleId="228">
    <w:name w:val="列出段落1"/>
    <w:basedOn w:val="1"/>
    <w:qFormat/>
    <w:uiPriority w:val="0"/>
    <w:pPr>
      <w:ind w:firstLine="420" w:firstLineChars="200"/>
    </w:pPr>
    <w:rPr>
      <w:szCs w:val="21"/>
    </w:rPr>
  </w:style>
  <w:style w:type="paragraph" w:customStyle="1" w:styleId="229">
    <w:name w:val="p17"/>
    <w:basedOn w:val="1"/>
    <w:qFormat/>
    <w:uiPriority w:val="0"/>
    <w:pPr>
      <w:widowControl/>
      <w:jc w:val="center"/>
    </w:pPr>
    <w:rPr>
      <w:b/>
      <w:bCs/>
      <w:kern w:val="0"/>
      <w:sz w:val="72"/>
      <w:szCs w:val="72"/>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31">
    <w:name w:val="TOC 标题2"/>
    <w:basedOn w:val="4"/>
    <w:next w:val="1"/>
    <w:unhideWhenUsed/>
    <w:qFormat/>
    <w:uiPriority w:val="39"/>
    <w:pPr>
      <w:keepLines/>
      <w:widowControl/>
      <w:spacing w:before="240" w:line="259" w:lineRule="auto"/>
      <w:jc w:val="left"/>
      <w:outlineLvl w:val="9"/>
    </w:pPr>
    <w:rPr>
      <w:rFonts w:ascii="Cambria" w:hAnsi="Cambria" w:cs="黑体"/>
      <w:b w:val="0"/>
      <w:color w:val="365F90"/>
      <w:kern w:val="0"/>
      <w:szCs w:val="32"/>
    </w:rPr>
  </w:style>
  <w:style w:type="paragraph" w:customStyle="1" w:styleId="232">
    <w:name w:val="p16"/>
    <w:basedOn w:val="1"/>
    <w:qFormat/>
    <w:uiPriority w:val="0"/>
    <w:pPr>
      <w:widowControl/>
      <w:spacing w:after="120" w:line="480" w:lineRule="auto"/>
      <w:ind w:left="420"/>
    </w:pPr>
    <w:rPr>
      <w:kern w:val="0"/>
      <w:szCs w:val="21"/>
    </w:rPr>
  </w:style>
  <w:style w:type="paragraph" w:customStyle="1" w:styleId="2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2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5">
    <w:name w:val="默3f认3f"/>
    <w:qFormat/>
    <w:uiPriority w:val="0"/>
    <w:pPr>
      <w:widowControl w:val="0"/>
      <w:autoSpaceDE w:val="0"/>
      <w:autoSpaceDN w:val="0"/>
      <w:adjustRightInd w:val="0"/>
    </w:pPr>
    <w:rPr>
      <w:rFonts w:ascii="DejaVu Serif Condensed" w:hAnsi="Calibri" w:eastAsia="DejaVu Serif Condensed" w:cs="Times New Roman"/>
      <w:sz w:val="24"/>
      <w:szCs w:val="24"/>
      <w:lang w:val="en-US" w:eastAsia="zh-CN" w:bidi="ar-SA"/>
    </w:rPr>
  </w:style>
  <w:style w:type="paragraph" w:customStyle="1" w:styleId="236">
    <w:name w:val="Char3"/>
    <w:basedOn w:val="1"/>
    <w:qFormat/>
    <w:uiPriority w:val="0"/>
    <w:rPr>
      <w:rFonts w:ascii="仿宋_GB2312" w:eastAsia="仿宋_GB2312"/>
      <w:b/>
      <w:sz w:val="32"/>
      <w:szCs w:val="32"/>
    </w:rPr>
  </w:style>
  <w:style w:type="paragraph" w:customStyle="1" w:styleId="23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38">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39">
    <w:name w:val="标准中文版式_正文"/>
    <w:basedOn w:val="1"/>
    <w:qFormat/>
    <w:uiPriority w:val="0"/>
    <w:pPr>
      <w:spacing w:before="30" w:line="360" w:lineRule="auto"/>
      <w:ind w:firstLine="200" w:firstLineChars="200"/>
    </w:pPr>
    <w:rPr>
      <w:rFonts w:ascii="Arial" w:hAnsi="Arial"/>
      <w:sz w:val="24"/>
    </w:rPr>
  </w:style>
  <w:style w:type="paragraph" w:customStyle="1" w:styleId="240">
    <w:name w:val="Char3 Char Char Char"/>
    <w:basedOn w:val="1"/>
    <w:qFormat/>
    <w:uiPriority w:val="0"/>
    <w:pPr>
      <w:widowControl/>
      <w:spacing w:after="160" w:line="240" w:lineRule="exact"/>
      <w:jc w:val="left"/>
    </w:pPr>
    <w:rPr>
      <w:rFonts w:ascii="Arial" w:hAnsi="Arial" w:cs="Arial"/>
      <w:szCs w:val="20"/>
    </w:rPr>
  </w:style>
  <w:style w:type="paragraph" w:customStyle="1" w:styleId="241">
    <w:name w:val="xl7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2">
    <w:name w:val="普通(网站)1"/>
    <w:basedOn w:val="1"/>
    <w:qFormat/>
    <w:uiPriority w:val="0"/>
    <w:pPr>
      <w:widowControl/>
      <w:jc w:val="left"/>
    </w:pPr>
    <w:rPr>
      <w:rFonts w:ascii="ˎ̥" w:hAnsi="ˎ̥" w:cs="宋体"/>
      <w:color w:val="000000"/>
      <w:kern w:val="0"/>
      <w:sz w:val="13"/>
      <w:szCs w:val="13"/>
    </w:rPr>
  </w:style>
  <w:style w:type="paragraph" w:customStyle="1" w:styleId="243">
    <w:name w:val="Char11"/>
    <w:basedOn w:val="1"/>
    <w:qFormat/>
    <w:uiPriority w:val="0"/>
    <w:rPr>
      <w:kern w:val="0"/>
      <w:sz w:val="20"/>
      <w:szCs w:val="20"/>
    </w:rPr>
  </w:style>
  <w:style w:type="paragraph" w:customStyle="1" w:styleId="244">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245">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6">
    <w:name w:val="正文－恩普"/>
    <w:basedOn w:val="17"/>
    <w:qFormat/>
    <w:uiPriority w:val="0"/>
    <w:pPr>
      <w:widowControl/>
      <w:spacing w:afterLines="50" w:line="360" w:lineRule="auto"/>
      <w:ind w:firstLine="480"/>
      <w:jc w:val="left"/>
    </w:pPr>
    <w:rPr>
      <w:kern w:val="0"/>
      <w:sz w:val="24"/>
      <w:szCs w:val="20"/>
    </w:rPr>
  </w:style>
  <w:style w:type="paragraph" w:customStyle="1" w:styleId="247">
    <w:name w:val="xl38"/>
    <w:basedOn w:val="1"/>
    <w:qFormat/>
    <w:uiPriority w:val="0"/>
    <w:pPr>
      <w:widowControl/>
      <w:spacing w:before="100" w:beforeAutospacing="1" w:after="100" w:afterAutospacing="1"/>
      <w:jc w:val="left"/>
    </w:pPr>
    <w:rPr>
      <w:rFonts w:ascii="Century Gothic" w:hAnsi="Century Gothic" w:cs="Century Gothic"/>
      <w:kern w:val="0"/>
      <w:sz w:val="18"/>
      <w:szCs w:val="18"/>
    </w:rPr>
  </w:style>
  <w:style w:type="paragraph" w:customStyle="1" w:styleId="248">
    <w:name w:val="样式4"/>
    <w:basedOn w:val="33"/>
    <w:qFormat/>
    <w:uiPriority w:val="0"/>
    <w:pPr>
      <w:pBdr>
        <w:bottom w:val="single" w:color="auto" w:sz="4" w:space="1"/>
      </w:pBdr>
      <w:tabs>
        <w:tab w:val="right" w:pos="9901"/>
        <w:tab w:val="clear" w:pos="4153"/>
        <w:tab w:val="clear" w:pos="8306"/>
      </w:tabs>
    </w:pPr>
    <w:rPr>
      <w:sz w:val="21"/>
    </w:rPr>
  </w:style>
  <w:style w:type="paragraph" w:customStyle="1" w:styleId="249">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50">
    <w:name w:val="带上框线页脚"/>
    <w:basedOn w:val="1"/>
    <w:qFormat/>
    <w:uiPriority w:val="0"/>
    <w:pPr>
      <w:widowControl/>
      <w:pBdr>
        <w:top w:val="single" w:color="auto" w:sz="4" w:space="1"/>
      </w:pBdr>
      <w:spacing w:afterLines="50"/>
      <w:jc w:val="left"/>
    </w:pPr>
    <w:rPr>
      <w:kern w:val="0"/>
      <w:sz w:val="18"/>
      <w:szCs w:val="20"/>
    </w:rPr>
  </w:style>
  <w:style w:type="paragraph" w:customStyle="1" w:styleId="251">
    <w:name w:val="样式 样式 样式 首行缩进:  2 字符1 + 首行缩进:  2 字符 + 首行缩进:  2 字符"/>
    <w:basedOn w:val="1"/>
    <w:qFormat/>
    <w:uiPriority w:val="0"/>
    <w:pPr>
      <w:spacing w:before="6" w:after="6" w:line="460" w:lineRule="exact"/>
      <w:ind w:firstLine="440" w:firstLineChars="200"/>
    </w:pPr>
    <w:rPr>
      <w:rFonts w:ascii="宋体" w:hAnsi="宋体" w:cs="宋体"/>
      <w:sz w:val="24"/>
      <w:szCs w:val="20"/>
    </w:rPr>
  </w:style>
  <w:style w:type="paragraph" w:customStyle="1" w:styleId="252">
    <w:name w:val="_Style 78"/>
    <w:basedOn w:val="1"/>
    <w:qFormat/>
    <w:uiPriority w:val="0"/>
    <w:rPr>
      <w:rFonts w:ascii="Tahoma" w:hAnsi="Tahoma"/>
      <w:sz w:val="24"/>
      <w:szCs w:val="20"/>
    </w:rPr>
  </w:style>
  <w:style w:type="paragraph" w:customStyle="1" w:styleId="25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5">
    <w:name w:val="默认段落字体 Para Char Char Char Char"/>
    <w:basedOn w:val="1"/>
    <w:qFormat/>
    <w:uiPriority w:val="0"/>
    <w:rPr>
      <w:snapToGrid w:val="0"/>
      <w:kern w:val="0"/>
      <w:szCs w:val="20"/>
    </w:rPr>
  </w:style>
  <w:style w:type="paragraph" w:customStyle="1" w:styleId="256">
    <w:name w:val="样式 纯文本普通文字 Char纯文本 Char Char普通文字纯文本 Char Char Char Char Char...4"/>
    <w:basedOn w:val="7"/>
    <w:qFormat/>
    <w:uiPriority w:val="0"/>
    <w:pPr>
      <w:snapToGrid w:val="0"/>
      <w:spacing w:line="360" w:lineRule="auto"/>
      <w:ind w:firstLine="1922" w:firstLineChars="600"/>
      <w:jc w:val="left"/>
    </w:pPr>
    <w:rPr>
      <w:rFonts w:hAnsi="宋体" w:cs="宋体"/>
      <w:b/>
      <w:kern w:val="0"/>
      <w:sz w:val="32"/>
      <w:szCs w:val="32"/>
    </w:rPr>
  </w:style>
  <w:style w:type="paragraph" w:customStyle="1" w:styleId="25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59">
    <w:name w:val="Char Char1 Char Char Char Char1 Char Char Char"/>
    <w:basedOn w:val="1"/>
    <w:qFormat/>
    <w:uiPriority w:val="0"/>
    <w:rPr>
      <w:szCs w:val="20"/>
    </w:rPr>
  </w:style>
  <w:style w:type="paragraph" w:customStyle="1" w:styleId="26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6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2">
    <w:name w:val="_Style 5"/>
    <w:basedOn w:val="1"/>
    <w:qFormat/>
    <w:uiPriority w:val="0"/>
    <w:pPr>
      <w:jc w:val="center"/>
    </w:pPr>
    <w:rPr>
      <w:szCs w:val="20"/>
    </w:rPr>
  </w:style>
  <w:style w:type="paragraph" w:customStyle="1" w:styleId="263">
    <w:name w:val="_Style 51"/>
    <w:basedOn w:val="1"/>
    <w:qFormat/>
    <w:uiPriority w:val="0"/>
    <w:pPr>
      <w:tabs>
        <w:tab w:val="left" w:pos="720"/>
      </w:tabs>
      <w:ind w:left="720" w:hanging="720"/>
    </w:pPr>
    <w:rPr>
      <w:sz w:val="24"/>
    </w:rPr>
  </w:style>
  <w:style w:type="paragraph" w:customStyle="1" w:styleId="264">
    <w:name w:val="TOC 标题3"/>
    <w:basedOn w:val="4"/>
    <w:next w:val="1"/>
    <w:unhideWhenUsed/>
    <w:qFormat/>
    <w:uiPriority w:val="39"/>
    <w:pPr>
      <w:keepLines/>
      <w:widowControl/>
      <w:spacing w:before="240" w:after="120" w:line="259" w:lineRule="auto"/>
      <w:jc w:val="left"/>
      <w:outlineLvl w:val="9"/>
    </w:pPr>
    <w:rPr>
      <w:rFonts w:ascii="Calibri Light" w:hAnsi="Calibri Light"/>
      <w:b w:val="0"/>
      <w:color w:val="2E74B5"/>
      <w:kern w:val="0"/>
      <w:szCs w:val="32"/>
    </w:rPr>
  </w:style>
  <w:style w:type="paragraph" w:customStyle="1" w:styleId="265">
    <w:name w:val="zbzw1"/>
    <w:qFormat/>
    <w:uiPriority w:val="0"/>
    <w:pPr>
      <w:tabs>
        <w:tab w:val="left" w:pos="720"/>
      </w:tabs>
      <w:spacing w:line="360" w:lineRule="exact"/>
      <w:ind w:firstLine="414" w:firstLineChars="200"/>
    </w:pPr>
    <w:rPr>
      <w:rFonts w:ascii="Times New Roman" w:hAnsi="Times New Roman" w:eastAsia="宋体" w:cs="Times New Roman"/>
      <w:spacing w:val="-2"/>
      <w:sz w:val="21"/>
      <w:szCs w:val="24"/>
      <w:lang w:val="en-US" w:eastAsia="zh-CN" w:bidi="ar-SA"/>
    </w:rPr>
  </w:style>
  <w:style w:type="paragraph" w:customStyle="1" w:styleId="266">
    <w:name w:val="_Style 36"/>
    <w:basedOn w:val="1"/>
    <w:qFormat/>
    <w:uiPriority w:val="0"/>
    <w:pPr>
      <w:jc w:val="center"/>
    </w:pPr>
    <w:rPr>
      <w:szCs w:val="20"/>
    </w:rPr>
  </w:style>
  <w:style w:type="paragraph" w:customStyle="1" w:styleId="267">
    <w:name w:val="1"/>
    <w:basedOn w:val="1"/>
    <w:next w:val="42"/>
    <w:qFormat/>
    <w:uiPriority w:val="0"/>
    <w:pPr>
      <w:widowControl/>
      <w:snapToGrid w:val="0"/>
      <w:spacing w:line="440" w:lineRule="atLeast"/>
      <w:ind w:firstLine="480"/>
    </w:pPr>
    <w:rPr>
      <w:kern w:val="0"/>
      <w:sz w:val="24"/>
      <w:szCs w:val="20"/>
    </w:rPr>
  </w:style>
  <w:style w:type="paragraph" w:customStyle="1" w:styleId="268">
    <w:name w:val="p20"/>
    <w:basedOn w:val="1"/>
    <w:qFormat/>
    <w:uiPriority w:val="0"/>
    <w:pPr>
      <w:widowControl/>
    </w:pPr>
    <w:rPr>
      <w:rFonts w:ascii="宋体" w:hAnsi="宋体" w:cs="宋体"/>
      <w:kern w:val="0"/>
      <w:szCs w:val="21"/>
    </w:rPr>
  </w:style>
  <w:style w:type="paragraph" w:customStyle="1" w:styleId="269">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270">
    <w:name w:val="正文缩进1"/>
    <w:basedOn w:val="1"/>
    <w:next w:val="23"/>
    <w:qFormat/>
    <w:uiPriority w:val="0"/>
    <w:pPr>
      <w:autoSpaceDE w:val="0"/>
      <w:autoSpaceDN w:val="0"/>
      <w:adjustRightInd w:val="0"/>
      <w:snapToGrid w:val="0"/>
      <w:spacing w:after="120" w:line="360" w:lineRule="auto"/>
      <w:ind w:left="420" w:leftChars="200" w:firstLine="480" w:firstLineChars="200"/>
    </w:pPr>
    <w:rPr>
      <w:sz w:val="24"/>
      <w:szCs w:val="20"/>
    </w:rPr>
  </w:style>
  <w:style w:type="paragraph" w:customStyle="1" w:styleId="271">
    <w:name w:val="正文文字格式"/>
    <w:basedOn w:val="1"/>
    <w:qFormat/>
    <w:uiPriority w:val="0"/>
    <w:pPr>
      <w:spacing w:line="460" w:lineRule="exact"/>
      <w:ind w:firstLine="505"/>
      <w:jc w:val="left"/>
    </w:pPr>
    <w:rPr>
      <w:rFonts w:ascii="Century Gothic" w:hAnsi="Arial" w:cs="Arial"/>
      <w:kern w:val="24"/>
      <w:sz w:val="24"/>
      <w:szCs w:val="20"/>
    </w:rPr>
  </w:style>
  <w:style w:type="paragraph" w:customStyle="1" w:styleId="272">
    <w:name w:val="Char Char Char Char Char Char Char"/>
    <w:basedOn w:val="1"/>
    <w:qFormat/>
    <w:uiPriority w:val="0"/>
    <w:pPr>
      <w:tabs>
        <w:tab w:val="left" w:pos="432"/>
      </w:tabs>
      <w:ind w:left="432" w:hanging="432"/>
    </w:pPr>
    <w:rPr>
      <w:szCs w:val="20"/>
    </w:rPr>
  </w:style>
  <w:style w:type="paragraph" w:customStyle="1" w:styleId="273">
    <w:name w:val="样式 标题 3 + 小三"/>
    <w:basedOn w:val="6"/>
    <w:qFormat/>
    <w:uiPriority w:val="0"/>
    <w:pPr>
      <w:keepNext/>
      <w:keepLines/>
      <w:widowControl w:val="0"/>
      <w:tabs>
        <w:tab w:val="left" w:pos="420"/>
      </w:tabs>
      <w:autoSpaceDE/>
      <w:autoSpaceDN/>
      <w:adjustRightInd w:val="0"/>
      <w:snapToGrid w:val="0"/>
      <w:spacing w:beforeLines="200" w:after="0" w:line="408" w:lineRule="auto"/>
      <w:jc w:val="center"/>
    </w:pPr>
    <w:rPr>
      <w:rFonts w:ascii="宋体"/>
      <w:b/>
      <w:sz w:val="30"/>
    </w:rPr>
  </w:style>
  <w:style w:type="paragraph" w:customStyle="1" w:styleId="2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75">
    <w:name w:val="样式2"/>
    <w:basedOn w:val="1"/>
    <w:qFormat/>
    <w:uiPriority w:val="0"/>
    <w:pPr>
      <w:widowControl/>
      <w:spacing w:line="360" w:lineRule="auto"/>
      <w:jc w:val="left"/>
    </w:pPr>
    <w:rPr>
      <w:rFonts w:ascii="仿宋_GB2312" w:hAnsi="仿宋_GB2312" w:eastAsia="仿宋_GB2312"/>
      <w:snapToGrid w:val="0"/>
      <w:kern w:val="0"/>
      <w:sz w:val="28"/>
      <w:szCs w:val="30"/>
    </w:rPr>
  </w:style>
  <w:style w:type="paragraph" w:customStyle="1" w:styleId="276">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277">
    <w:name w:val="p15"/>
    <w:basedOn w:val="1"/>
    <w:qFormat/>
    <w:uiPriority w:val="0"/>
    <w:pPr>
      <w:widowControl/>
      <w:snapToGrid w:val="0"/>
      <w:spacing w:before="100" w:after="100"/>
      <w:ind w:left="360" w:right="360"/>
      <w:jc w:val="left"/>
    </w:pPr>
    <w:rPr>
      <w:kern w:val="0"/>
      <w:sz w:val="24"/>
    </w:rPr>
  </w:style>
  <w:style w:type="paragraph" w:customStyle="1" w:styleId="278">
    <w:name w:val="font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79">
    <w:name w:val="目录文字"/>
    <w:basedOn w:val="1"/>
    <w:qFormat/>
    <w:uiPriority w:val="0"/>
    <w:pPr>
      <w:widowControl/>
      <w:spacing w:line="480" w:lineRule="auto"/>
      <w:jc w:val="left"/>
    </w:pPr>
    <w:rPr>
      <w:rFonts w:ascii="宋体" w:hAnsi="宋体"/>
      <w:kern w:val="0"/>
      <w:sz w:val="24"/>
      <w:szCs w:val="20"/>
    </w:rPr>
  </w:style>
  <w:style w:type="paragraph" w:customStyle="1" w:styleId="28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1">
    <w:name w:val="Char1 Char Char Char1"/>
    <w:basedOn w:val="1"/>
    <w:qFormat/>
    <w:uiPriority w:val="0"/>
    <w:rPr>
      <w:szCs w:val="20"/>
    </w:rPr>
  </w:style>
  <w:style w:type="paragraph" w:customStyle="1" w:styleId="282">
    <w:name w:val="Char Char2 Char Char"/>
    <w:basedOn w:val="1"/>
    <w:qFormat/>
    <w:uiPriority w:val="0"/>
    <w:pPr>
      <w:jc w:val="center"/>
    </w:pPr>
    <w:rPr>
      <w:rFonts w:ascii="仿宋_GB2312" w:eastAsia="仿宋_GB2312"/>
      <w:b/>
      <w:kern w:val="0"/>
      <w:sz w:val="32"/>
      <w:szCs w:val="32"/>
      <w:lang w:val="en-GB"/>
    </w:rPr>
  </w:style>
  <w:style w:type="paragraph" w:customStyle="1" w:styleId="283">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284">
    <w:name w:val="TOC 标题4"/>
    <w:basedOn w:val="4"/>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285">
    <w:name w:val="Char Char Char Char Char Char Char2"/>
    <w:basedOn w:val="1"/>
    <w:qFormat/>
    <w:uiPriority w:val="0"/>
    <w:pPr>
      <w:tabs>
        <w:tab w:val="left" w:pos="432"/>
      </w:tabs>
      <w:ind w:left="432" w:hanging="432"/>
    </w:pPr>
    <w:rPr>
      <w:rFonts w:ascii="Tahoma" w:hAnsi="Tahoma"/>
      <w:sz w:val="24"/>
      <w:szCs w:val="20"/>
    </w:rPr>
  </w:style>
  <w:style w:type="paragraph" w:customStyle="1" w:styleId="286">
    <w:name w:val="Char1 Char Char Char Char Char Char"/>
    <w:basedOn w:val="1"/>
    <w:qFormat/>
    <w:uiPriority w:val="0"/>
    <w:rPr>
      <w:rFonts w:ascii="仿宋_GB2312" w:eastAsia="仿宋_GB2312"/>
      <w:b/>
      <w:sz w:val="32"/>
      <w:szCs w:val="32"/>
    </w:rPr>
  </w:style>
  <w:style w:type="paragraph" w:customStyle="1" w:styleId="2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288">
    <w:name w:val="font1"/>
    <w:basedOn w:val="1"/>
    <w:qFormat/>
    <w:uiPriority w:val="0"/>
    <w:pPr>
      <w:widowControl/>
      <w:spacing w:before="100" w:beforeAutospacing="1" w:after="100" w:afterAutospacing="1"/>
      <w:jc w:val="left"/>
    </w:pPr>
    <w:rPr>
      <w:rFonts w:ascii="Century Gothic" w:hAnsi="Century Gothic" w:cs="Arial"/>
      <w:kern w:val="0"/>
      <w:sz w:val="24"/>
      <w:szCs w:val="20"/>
    </w:rPr>
  </w:style>
  <w:style w:type="paragraph" w:customStyle="1" w:styleId="289">
    <w:name w:val="Char Char Char Char1"/>
    <w:basedOn w:val="1"/>
    <w:qFormat/>
    <w:uiPriority w:val="0"/>
    <w:pPr>
      <w:jc w:val="center"/>
    </w:pPr>
    <w:rPr>
      <w:rFonts w:ascii="仿宋_GB2312" w:eastAsia="仿宋_GB2312"/>
      <w:b/>
      <w:sz w:val="32"/>
      <w:szCs w:val="32"/>
    </w:rPr>
  </w:style>
  <w:style w:type="paragraph" w:customStyle="1" w:styleId="290">
    <w:name w:val="表内文字"/>
    <w:basedOn w:val="1"/>
    <w:qFormat/>
    <w:uiPriority w:val="0"/>
    <w:pPr>
      <w:snapToGrid w:val="0"/>
      <w:spacing w:before="50" w:after="50"/>
      <w:jc w:val="center"/>
    </w:pPr>
    <w:rPr>
      <w:rFonts w:ascii="宋体" w:hAnsi="宋体"/>
      <w:sz w:val="24"/>
      <w:szCs w:val="20"/>
    </w:rPr>
  </w:style>
  <w:style w:type="paragraph" w:customStyle="1" w:styleId="291">
    <w:name w:val="xl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29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3">
    <w:name w:val="p19"/>
    <w:basedOn w:val="1"/>
    <w:qFormat/>
    <w:uiPriority w:val="0"/>
    <w:pPr>
      <w:widowControl/>
      <w:jc w:val="center"/>
    </w:pPr>
    <w:rPr>
      <w:b/>
      <w:bCs/>
      <w:kern w:val="0"/>
      <w:sz w:val="72"/>
      <w:szCs w:val="72"/>
    </w:rPr>
  </w:style>
  <w:style w:type="paragraph" w:customStyle="1" w:styleId="29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5">
    <w:name w:val="表格格式"/>
    <w:basedOn w:val="1"/>
    <w:qFormat/>
    <w:uiPriority w:val="0"/>
    <w:pPr>
      <w:spacing w:line="360" w:lineRule="exact"/>
      <w:ind w:left="-91"/>
      <w:jc w:val="left"/>
    </w:pPr>
    <w:rPr>
      <w:rFonts w:ascii="宋体"/>
      <w:kern w:val="0"/>
      <w:sz w:val="24"/>
      <w:szCs w:val="11"/>
    </w:rPr>
  </w:style>
  <w:style w:type="paragraph" w:customStyle="1" w:styleId="296">
    <w:name w:val="Char Char Char2 Char Char Char Char"/>
    <w:basedOn w:val="1"/>
    <w:qFormat/>
    <w:uiPriority w:val="0"/>
    <w:rPr>
      <w:rFonts w:ascii="宋体"/>
      <w:sz w:val="28"/>
      <w:szCs w:val="20"/>
    </w:rPr>
  </w:style>
  <w:style w:type="paragraph" w:customStyle="1" w:styleId="297">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298">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299">
    <w:name w:val="默认段落字体 Para Char"/>
    <w:basedOn w:val="1"/>
    <w:qFormat/>
    <w:uiPriority w:val="0"/>
    <w:pPr>
      <w:tabs>
        <w:tab w:val="left" w:pos="454"/>
        <w:tab w:val="left" w:pos="743"/>
        <w:tab w:val="left" w:pos="744"/>
      </w:tabs>
      <w:ind w:left="290" w:firstLine="420"/>
    </w:pPr>
  </w:style>
  <w:style w:type="paragraph" w:customStyle="1" w:styleId="300">
    <w:name w:val="节"/>
    <w:basedOn w:val="5"/>
    <w:qFormat/>
    <w:uiPriority w:val="0"/>
    <w:pPr>
      <w:spacing w:before="160" w:after="160" w:line="720" w:lineRule="exact"/>
      <w:ind w:firstLine="0" w:firstLineChars="0"/>
      <w:jc w:val="center"/>
    </w:pPr>
    <w:rPr>
      <w:rFonts w:eastAsia="楷体" w:cs="Arial"/>
      <w:b w:val="0"/>
      <w:color w:val="000000"/>
      <w:spacing w:val="14"/>
      <w:kern w:val="24"/>
      <w:sz w:val="28"/>
      <w:szCs w:val="20"/>
    </w:rPr>
  </w:style>
  <w:style w:type="paragraph" w:customStyle="1" w:styleId="30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2">
    <w:name w:val="Char Char1 Char Char Char Char Char Char"/>
    <w:basedOn w:val="1"/>
    <w:qFormat/>
    <w:uiPriority w:val="0"/>
    <w:pPr>
      <w:widowControl/>
      <w:spacing w:after="160" w:line="240" w:lineRule="exact"/>
      <w:jc w:val="left"/>
    </w:pPr>
    <w:rPr>
      <w:rFonts w:ascii="宋体" w:hAnsi="宋体" w:cs="宋体"/>
      <w:kern w:val="0"/>
      <w:szCs w:val="20"/>
    </w:rPr>
  </w:style>
  <w:style w:type="paragraph" w:customStyle="1" w:styleId="303">
    <w:name w:val="正文段"/>
    <w:basedOn w:val="1"/>
    <w:qFormat/>
    <w:uiPriority w:val="0"/>
    <w:pPr>
      <w:widowControl/>
      <w:snapToGrid w:val="0"/>
      <w:spacing w:afterLines="50"/>
      <w:ind w:firstLine="200" w:firstLineChars="200"/>
    </w:pPr>
    <w:rPr>
      <w:kern w:val="0"/>
      <w:sz w:val="24"/>
      <w:szCs w:val="20"/>
    </w:rPr>
  </w:style>
  <w:style w:type="paragraph" w:customStyle="1" w:styleId="304">
    <w:name w:val="样式3"/>
    <w:basedOn w:val="1"/>
    <w:qFormat/>
    <w:uiPriority w:val="0"/>
    <w:pPr>
      <w:tabs>
        <w:tab w:val="left" w:pos="840"/>
      </w:tabs>
      <w:spacing w:line="360" w:lineRule="auto"/>
      <w:ind w:left="840" w:hanging="360"/>
    </w:pPr>
    <w:rPr>
      <w:rFonts w:ascii="宋体"/>
      <w:sz w:val="24"/>
    </w:rPr>
  </w:style>
  <w:style w:type="paragraph" w:customStyle="1" w:styleId="305">
    <w:name w:val="Section #"/>
    <w:next w:val="1"/>
    <w:qFormat/>
    <w:uiPriority w:val="0"/>
    <w:pPr>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6">
    <w:name w:val="标题 3Chapter X.X.X. + 段后: 0.5 行 + 段后: 0.5 行 + 段后: 0.5 行1"/>
    <w:basedOn w:val="1"/>
    <w:qFormat/>
    <w:uiPriority w:val="0"/>
    <w:pPr>
      <w:keepNext/>
      <w:spacing w:before="120" w:afterLines="50"/>
      <w:jc w:val="left"/>
      <w:outlineLvl w:val="2"/>
    </w:pPr>
    <w:rPr>
      <w:rFonts w:ascii="宋体" w:cs="宋体"/>
      <w:b/>
      <w:bCs/>
      <w:snapToGrid w:val="0"/>
      <w:kern w:val="0"/>
      <w:sz w:val="24"/>
      <w:szCs w:val="20"/>
    </w:rPr>
  </w:style>
  <w:style w:type="paragraph" w:customStyle="1" w:styleId="307">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308">
    <w:name w:val="普通(网站)11"/>
    <w:basedOn w:val="1"/>
    <w:qFormat/>
    <w:uiPriority w:val="0"/>
    <w:pPr>
      <w:widowControl/>
      <w:jc w:val="left"/>
    </w:pPr>
    <w:rPr>
      <w:rFonts w:ascii="ˎ̥" w:hAnsi="ˎ̥" w:cs="宋体"/>
      <w:color w:val="000000"/>
      <w:kern w:val="0"/>
      <w:sz w:val="13"/>
      <w:szCs w:val="13"/>
    </w:rPr>
  </w:style>
  <w:style w:type="paragraph" w:customStyle="1" w:styleId="309">
    <w:name w:val="Char Char Char Char2"/>
    <w:basedOn w:val="1"/>
    <w:qFormat/>
    <w:uiPriority w:val="0"/>
    <w:rPr>
      <w:rFonts w:ascii="Tahoma" w:hAnsi="Tahoma"/>
      <w:sz w:val="24"/>
      <w:szCs w:val="20"/>
    </w:rPr>
  </w:style>
  <w:style w:type="paragraph" w:customStyle="1" w:styleId="310">
    <w:name w:val="Char Char Char1"/>
    <w:basedOn w:val="1"/>
    <w:qFormat/>
    <w:uiPriority w:val="0"/>
    <w:rPr>
      <w:snapToGrid w:val="0"/>
      <w:kern w:val="0"/>
      <w:szCs w:val="20"/>
    </w:rPr>
  </w:style>
  <w:style w:type="paragraph" w:customStyle="1" w:styleId="311">
    <w:name w:val="正文文本 21"/>
    <w:basedOn w:val="1"/>
    <w:qFormat/>
    <w:uiPriority w:val="0"/>
    <w:pPr>
      <w:adjustRightInd w:val="0"/>
      <w:spacing w:line="300" w:lineRule="auto"/>
      <w:jc w:val="center"/>
    </w:pPr>
    <w:rPr>
      <w:rFonts w:hint="eastAsia" w:ascii="Century Gothic" w:hAnsi="Century Gothic" w:cs="Arial"/>
      <w:sz w:val="24"/>
      <w:szCs w:val="20"/>
    </w:rPr>
  </w:style>
  <w:style w:type="paragraph" w:customStyle="1" w:styleId="312">
    <w:name w:val="Char1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3">
    <w:name w:val="文档正文"/>
    <w:basedOn w:val="1"/>
    <w:qFormat/>
    <w:uiPriority w:val="0"/>
    <w:pPr>
      <w:adjustRightInd w:val="0"/>
      <w:spacing w:line="480" w:lineRule="atLeast"/>
      <w:ind w:firstLine="567"/>
      <w:textAlignment w:val="baseline"/>
    </w:pPr>
    <w:rPr>
      <w:rFonts w:eastAsia="楷体_GB2312"/>
      <w:kern w:val="0"/>
      <w:sz w:val="28"/>
      <w:szCs w:val="20"/>
    </w:rPr>
  </w:style>
  <w:style w:type="paragraph" w:customStyle="1" w:styleId="314">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15">
    <w:name w:val="TOC 标题1"/>
    <w:basedOn w:val="4"/>
    <w:next w:val="1"/>
    <w:unhideWhenUsed/>
    <w:qFormat/>
    <w:uiPriority w:val="39"/>
    <w:pPr>
      <w:keepLines/>
      <w:widowControl/>
      <w:spacing w:before="240" w:line="259" w:lineRule="auto"/>
      <w:jc w:val="left"/>
      <w:outlineLvl w:val="9"/>
    </w:pPr>
    <w:rPr>
      <w:rFonts w:ascii="Calibri Light" w:hAnsi="Calibri Light"/>
      <w:b w:val="0"/>
      <w:color w:val="2E74B5"/>
      <w:kern w:val="0"/>
      <w:szCs w:val="32"/>
    </w:rPr>
  </w:style>
  <w:style w:type="paragraph" w:customStyle="1" w:styleId="316">
    <w:name w:val="简单回函地址"/>
    <w:basedOn w:val="1"/>
    <w:qFormat/>
    <w:uiPriority w:val="0"/>
  </w:style>
  <w:style w:type="paragraph" w:customStyle="1" w:styleId="317">
    <w:name w:val="内文正文"/>
    <w:basedOn w:val="7"/>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19">
    <w:name w:val="flName"/>
    <w:basedOn w:val="1"/>
    <w:qFormat/>
    <w:uiPriority w:val="0"/>
    <w:pPr>
      <w:adjustRightInd w:val="0"/>
      <w:spacing w:before="320" w:after="160" w:line="360" w:lineRule="atLeast"/>
      <w:ind w:firstLine="200" w:firstLineChars="200"/>
      <w:jc w:val="center"/>
    </w:pPr>
    <w:rPr>
      <w:rFonts w:ascii="Arial" w:eastAsia="黑体"/>
      <w:kern w:val="0"/>
      <w:sz w:val="32"/>
    </w:rPr>
  </w:style>
  <w:style w:type="paragraph" w:customStyle="1" w:styleId="3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cs="Arial"/>
      <w:kern w:val="0"/>
      <w:sz w:val="20"/>
      <w:szCs w:val="20"/>
    </w:rPr>
  </w:style>
  <w:style w:type="paragraph" w:customStyle="1" w:styleId="321">
    <w:name w:val="Char Char"/>
    <w:basedOn w:val="1"/>
    <w:qFormat/>
    <w:uiPriority w:val="0"/>
    <w:rPr>
      <w:rFonts w:ascii="Tahoma" w:hAnsi="Tahoma"/>
      <w:sz w:val="24"/>
      <w:szCs w:val="20"/>
    </w:rPr>
  </w:style>
  <w:style w:type="paragraph" w:customStyle="1" w:styleId="322">
    <w:name w:val="_Style 20"/>
    <w:basedOn w:val="1"/>
    <w:qFormat/>
    <w:uiPriority w:val="0"/>
  </w:style>
  <w:style w:type="paragraph" w:customStyle="1" w:styleId="3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4">
    <w:name w:val="Char2"/>
    <w:basedOn w:val="1"/>
    <w:qFormat/>
    <w:uiPriority w:val="0"/>
    <w:rPr>
      <w:rFonts w:ascii="仿宋_GB2312" w:eastAsia="仿宋_GB2312"/>
      <w:b/>
      <w:sz w:val="32"/>
      <w:szCs w:val="32"/>
    </w:rPr>
  </w:style>
  <w:style w:type="paragraph" w:customStyle="1" w:styleId="325">
    <w:name w:val="xl3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26">
    <w:name w:val="标书标题2"/>
    <w:basedOn w:val="5"/>
    <w:qFormat/>
    <w:uiPriority w:val="0"/>
    <w:pPr>
      <w:keepLines w:val="0"/>
      <w:widowControl/>
      <w:tabs>
        <w:tab w:val="left" w:pos="1320"/>
      </w:tabs>
      <w:adjustRightInd w:val="0"/>
      <w:snapToGrid w:val="0"/>
      <w:spacing w:beforeLines="50" w:after="60" w:line="300" w:lineRule="auto"/>
      <w:ind w:left="1320" w:hanging="420" w:firstLineChars="0"/>
    </w:pPr>
    <w:rPr>
      <w:rFonts w:eastAsia="Courier New" w:cs="Arial"/>
      <w:color w:val="000000"/>
      <w:kern w:val="0"/>
      <w:sz w:val="28"/>
      <w:szCs w:val="20"/>
    </w:rPr>
  </w:style>
  <w:style w:type="paragraph" w:customStyle="1" w:styleId="327">
    <w:name w:val="样式 标题 2 + Times New Roman 四号 非加粗 段前: 5 磅 段后: 0 磅 行距: 固定值 20..."/>
    <w:basedOn w:val="5"/>
    <w:qFormat/>
    <w:uiPriority w:val="0"/>
    <w:pPr>
      <w:tabs>
        <w:tab w:val="left" w:pos="576"/>
      </w:tabs>
      <w:spacing w:before="100" w:line="400" w:lineRule="exact"/>
    </w:pPr>
    <w:rPr>
      <w:rFonts w:ascii="Times New Roman" w:hAnsi="Times New Roman" w:eastAsia="黑体" w:cs="宋体"/>
      <w:b w:val="0"/>
      <w:bCs w:val="0"/>
      <w:sz w:val="28"/>
      <w:szCs w:val="20"/>
    </w:rPr>
  </w:style>
  <w:style w:type="paragraph" w:customStyle="1" w:styleId="328">
    <w:name w:val="纯文本2"/>
    <w:basedOn w:val="1"/>
    <w:qFormat/>
    <w:uiPriority w:val="0"/>
    <w:rPr>
      <w:rFonts w:ascii="宋体" w:hAnsi="Courier New" w:cs="Courier New"/>
      <w:szCs w:val="21"/>
    </w:rPr>
  </w:style>
  <w:style w:type="paragraph" w:customStyle="1" w:styleId="329">
    <w:name w:val="Char Char Char Char Char Char Char Char"/>
    <w:basedOn w:val="1"/>
    <w:qFormat/>
    <w:uiPriority w:val="0"/>
    <w:pPr>
      <w:tabs>
        <w:tab w:val="left" w:pos="360"/>
      </w:tabs>
    </w:pPr>
    <w:rPr>
      <w:sz w:val="24"/>
    </w:rPr>
  </w:style>
  <w:style w:type="paragraph" w:customStyle="1" w:styleId="330">
    <w:name w:val="表格内容1"/>
    <w:basedOn w:val="1"/>
    <w:qFormat/>
    <w:uiPriority w:val="0"/>
    <w:rPr>
      <w:sz w:val="24"/>
      <w:szCs w:val="20"/>
    </w:rPr>
  </w:style>
  <w:style w:type="paragraph" w:styleId="33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3">
    <w:name w:val="表格"/>
    <w:basedOn w:val="1"/>
    <w:qFormat/>
    <w:uiPriority w:val="0"/>
    <w:pPr>
      <w:spacing w:line="400" w:lineRule="exact"/>
    </w:pPr>
    <w:rPr>
      <w:sz w:val="24"/>
      <w:szCs w:val="20"/>
    </w:rPr>
  </w:style>
  <w:style w:type="paragraph" w:customStyle="1" w:styleId="334">
    <w:name w:val="彩色底纹 - 强调文字颜色 61"/>
    <w:basedOn w:val="4"/>
    <w:next w:val="1"/>
    <w:qFormat/>
    <w:uiPriority w:val="0"/>
    <w:pPr>
      <w:keepLines/>
      <w:widowControl/>
      <w:tabs>
        <w:tab w:val="left" w:pos="1820"/>
      </w:tabs>
      <w:spacing w:before="480" w:line="276" w:lineRule="auto"/>
      <w:jc w:val="left"/>
      <w:outlineLvl w:val="9"/>
    </w:pPr>
    <w:rPr>
      <w:rFonts w:ascii="Cambria" w:hAnsi="Cambria"/>
      <w:bCs/>
      <w:color w:val="365F91"/>
      <w:kern w:val="0"/>
      <w:sz w:val="28"/>
      <w:szCs w:val="28"/>
    </w:rPr>
  </w:style>
  <w:style w:type="paragraph" w:customStyle="1" w:styleId="335">
    <w:name w:val="Char1 Char Char Char Char Char Char1"/>
    <w:basedOn w:val="1"/>
    <w:qFormat/>
    <w:uiPriority w:val="0"/>
    <w:rPr>
      <w:rFonts w:ascii="仿宋_GB2312" w:eastAsia="仿宋_GB2312"/>
      <w:b/>
      <w:sz w:val="32"/>
      <w:szCs w:val="32"/>
    </w:rPr>
  </w:style>
  <w:style w:type="paragraph" w:customStyle="1" w:styleId="3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7">
    <w:name w:val="正文1"/>
    <w:qFormat/>
    <w:uiPriority w:val="0"/>
    <w:pPr>
      <w:widowControl w:val="0"/>
      <w:adjustRightInd w:val="0"/>
      <w:spacing w:line="312" w:lineRule="atLeast"/>
      <w:jc w:val="both"/>
      <w:textAlignment w:val="baseline"/>
    </w:pPr>
    <w:rPr>
      <w:rFonts w:ascii="Times New Roman" w:hAnsi="Times New Roman" w:eastAsia="宋体" w:cs="Times New Roman"/>
      <w:lang w:val="en-US" w:eastAsia="zh-CN" w:bidi="ar-SA"/>
    </w:rPr>
  </w:style>
  <w:style w:type="paragraph" w:customStyle="1" w:styleId="338">
    <w:name w:val="附件文字"/>
    <w:basedOn w:val="7"/>
    <w:qFormat/>
    <w:uiPriority w:val="0"/>
    <w:pPr>
      <w:adjustRightInd w:val="0"/>
      <w:snapToGrid w:val="0"/>
    </w:pPr>
    <w:rPr>
      <w:rFonts w:hAnsi="Times New Roman"/>
      <w:sz w:val="24"/>
    </w:rPr>
  </w:style>
  <w:style w:type="paragraph" w:customStyle="1" w:styleId="339">
    <w:name w:val="6"/>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40">
    <w:name w:val="Char21"/>
    <w:basedOn w:val="1"/>
    <w:qFormat/>
    <w:uiPriority w:val="0"/>
    <w:rPr>
      <w:rFonts w:ascii="仿宋_GB2312" w:eastAsia="仿宋_GB2312"/>
      <w:b/>
      <w:sz w:val="32"/>
      <w:szCs w:val="32"/>
    </w:rPr>
  </w:style>
  <w:style w:type="paragraph" w:customStyle="1" w:styleId="341">
    <w:name w:val="样式 标题 3 + 段前: 7.8 磅"/>
    <w:basedOn w:val="6"/>
    <w:qFormat/>
    <w:uiPriority w:val="0"/>
    <w:pPr>
      <w:widowControl w:val="0"/>
      <w:tabs>
        <w:tab w:val="left" w:pos="821"/>
      </w:tabs>
      <w:autoSpaceDE/>
      <w:autoSpaceDN/>
      <w:spacing w:before="156" w:after="0" w:line="360" w:lineRule="auto"/>
      <w:ind w:left="821" w:hanging="360"/>
    </w:pPr>
    <w:rPr>
      <w:rFonts w:cs="宋体"/>
    </w:rPr>
  </w:style>
  <w:style w:type="paragraph" w:customStyle="1" w:styleId="342">
    <w:name w:val="纯文本1"/>
    <w:basedOn w:val="1"/>
    <w:qFormat/>
    <w:uiPriority w:val="0"/>
    <w:rPr>
      <w:rFonts w:hint="eastAsia" w:ascii="宋体" w:hAnsi="Courier New"/>
      <w:szCs w:val="20"/>
    </w:rPr>
  </w:style>
  <w:style w:type="paragraph" w:customStyle="1" w:styleId="343">
    <w:name w:val="Char41"/>
    <w:basedOn w:val="17"/>
    <w:qFormat/>
    <w:uiPriority w:val="0"/>
    <w:pPr>
      <w:widowControl/>
      <w:spacing w:afterLines="50" w:line="360" w:lineRule="auto"/>
      <w:ind w:firstLine="480"/>
      <w:jc w:val="left"/>
    </w:pPr>
  </w:style>
  <w:style w:type="paragraph" w:customStyle="1" w:styleId="344">
    <w:name w:val="彩色列表 - 强调文字颜色 12"/>
    <w:basedOn w:val="1"/>
    <w:qFormat/>
    <w:uiPriority w:val="34"/>
    <w:pPr>
      <w:ind w:firstLine="420" w:firstLineChars="200"/>
    </w:pPr>
  </w:style>
  <w:style w:type="paragraph" w:customStyle="1" w:styleId="345">
    <w:name w:val="样式5"/>
    <w:basedOn w:val="8"/>
    <w:qFormat/>
    <w:uiPriority w:val="0"/>
    <w:pPr>
      <w:jc w:val="center"/>
    </w:pPr>
    <w:rPr>
      <w:rFonts w:ascii="Century Gothic" w:hAnsi="Century Gothic" w:eastAsia="Century Gothic" w:cs="Arial"/>
      <w:sz w:val="32"/>
      <w:szCs w:val="32"/>
    </w:rPr>
  </w:style>
  <w:style w:type="paragraph" w:customStyle="1" w:styleId="34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47">
    <w:name w:val="标书标题3"/>
    <w:basedOn w:val="6"/>
    <w:qFormat/>
    <w:uiPriority w:val="0"/>
    <w:pPr>
      <w:keepNext/>
      <w:autoSpaceDE/>
      <w:autoSpaceDN/>
      <w:adjustRightInd w:val="0"/>
      <w:snapToGrid w:val="0"/>
      <w:spacing w:after="60"/>
      <w:jc w:val="left"/>
    </w:pPr>
    <w:rPr>
      <w:rFonts w:eastAsia="Courier New"/>
      <w:color w:val="000000"/>
      <w:kern w:val="0"/>
      <w:sz w:val="28"/>
      <w:szCs w:val="32"/>
    </w:rPr>
  </w:style>
  <w:style w:type="paragraph" w:customStyle="1" w:styleId="348">
    <w:name w:val="排列"/>
    <w:basedOn w:val="1"/>
    <w:qFormat/>
    <w:uiPriority w:val="0"/>
    <w:pPr>
      <w:jc w:val="center"/>
    </w:pPr>
    <w:rPr>
      <w:rFonts w:ascii="楷体_GB2312" w:hAnsi="Courier New" w:eastAsia="楷体_GB2312"/>
      <w:szCs w:val="20"/>
    </w:rPr>
  </w:style>
  <w:style w:type="paragraph" w:customStyle="1" w:styleId="349">
    <w:name w:val="Char1 Char Char Char Char Char1 Char Char Char Char Char Char1 Char"/>
    <w:basedOn w:val="1"/>
    <w:qFormat/>
    <w:uiPriority w:val="0"/>
    <w:pPr>
      <w:tabs>
        <w:tab w:val="left" w:pos="743"/>
      </w:tabs>
      <w:ind w:left="289" w:firstLine="420"/>
    </w:pPr>
    <w:rPr>
      <w:sz w:val="24"/>
    </w:rPr>
  </w:style>
  <w:style w:type="paragraph" w:customStyle="1" w:styleId="350">
    <w:name w:val="默认段落字体 Para Char Char Char Char Char Char Char"/>
    <w:basedOn w:val="1"/>
    <w:qFormat/>
    <w:uiPriority w:val="0"/>
    <w:rPr>
      <w:rFonts w:eastAsia="仿宋_GB2312"/>
      <w:sz w:val="28"/>
    </w:rPr>
  </w:style>
  <w:style w:type="paragraph" w:customStyle="1" w:styleId="35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352">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3">
    <w:name w:val="修订版本号"/>
    <w:semiHidden/>
    <w:qFormat/>
    <w:uiPriority w:val="99"/>
    <w:rPr>
      <w:rFonts w:ascii="Arial" w:hAnsi="Arial" w:eastAsia="宋体" w:cs="Arial"/>
      <w:kern w:val="2"/>
      <w:sz w:val="21"/>
      <w:szCs w:val="24"/>
      <w:lang w:val="en-US" w:eastAsia="zh-CN" w:bidi="ar-SA"/>
    </w:rPr>
  </w:style>
  <w:style w:type="paragraph" w:customStyle="1" w:styleId="354">
    <w:name w:val="Char Char Char1 Char Char Char Char Char Char Char Char Char Char Char Char Char Char Char Char Char Char Char Char Char Char"/>
    <w:basedOn w:val="1"/>
    <w:qFormat/>
    <w:uiPriority w:val="0"/>
    <w:pPr>
      <w:spacing w:line="360" w:lineRule="auto"/>
      <w:ind w:firstLine="200" w:firstLineChars="200"/>
    </w:pPr>
  </w:style>
  <w:style w:type="paragraph" w:customStyle="1" w:styleId="355">
    <w:name w:val="xl30"/>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356">
    <w:name w:val="默认段落字体 Para Char Char Char Char Char Char Char Char Char1 Char Char Char Char"/>
    <w:basedOn w:val="1"/>
    <w:qFormat/>
    <w:uiPriority w:val="0"/>
    <w:rPr>
      <w:rFonts w:ascii="Tahoma" w:hAnsi="Tahoma"/>
      <w:sz w:val="24"/>
      <w:szCs w:val="20"/>
    </w:rPr>
  </w:style>
  <w:style w:type="paragraph" w:customStyle="1" w:styleId="357">
    <w:name w:val="列出段落3"/>
    <w:basedOn w:val="1"/>
    <w:qFormat/>
    <w:uiPriority w:val="34"/>
    <w:pPr>
      <w:ind w:firstLine="420" w:firstLineChars="200"/>
    </w:pPr>
    <w:rPr>
      <w:rFonts w:ascii="Calibri" w:hAnsi="Calibri" w:cs="黑体"/>
      <w:szCs w:val="22"/>
    </w:rPr>
  </w:style>
  <w:style w:type="paragraph" w:customStyle="1" w:styleId="358">
    <w:name w:val="标书标题4"/>
    <w:basedOn w:val="8"/>
    <w:qFormat/>
    <w:uiPriority w:val="0"/>
    <w:pPr>
      <w:keepLines w:val="0"/>
      <w:adjustRightInd w:val="0"/>
      <w:snapToGrid w:val="0"/>
      <w:spacing w:before="0" w:after="0" w:line="300" w:lineRule="auto"/>
    </w:pPr>
    <w:rPr>
      <w:rFonts w:eastAsia="Courier New" w:cs="Arial"/>
      <w:bCs w:val="0"/>
      <w:color w:val="000000"/>
      <w:kern w:val="0"/>
      <w:szCs w:val="32"/>
    </w:rPr>
  </w:style>
  <w:style w:type="paragraph" w:customStyle="1" w:styleId="359">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0"/>
      <w:szCs w:val="20"/>
    </w:rPr>
  </w:style>
  <w:style w:type="paragraph" w:customStyle="1" w:styleId="360">
    <w:name w:val="中等深浅网格 1 - 强调文字颜色 21"/>
    <w:basedOn w:val="1"/>
    <w:qFormat/>
    <w:uiPriority w:val="34"/>
    <w:pPr>
      <w:ind w:firstLine="420" w:firstLineChars="200"/>
    </w:pPr>
  </w:style>
  <w:style w:type="paragraph" w:customStyle="1" w:styleId="361">
    <w:name w:val="小节"/>
    <w:basedOn w:val="6"/>
    <w:qFormat/>
    <w:uiPriority w:val="0"/>
    <w:pPr>
      <w:keepNext/>
      <w:keepLines/>
      <w:widowControl w:val="0"/>
      <w:autoSpaceDE/>
      <w:autoSpaceDN/>
      <w:spacing w:before="200" w:after="200" w:line="560" w:lineRule="exact"/>
      <w:jc w:val="left"/>
    </w:pPr>
    <w:rPr>
      <w:rFonts w:ascii="Century Gothic" w:hAnsi="Century Gothic" w:eastAsia="仿宋_GB2312"/>
      <w:b/>
      <w:color w:val="000000"/>
      <w:spacing w:val="10"/>
      <w:kern w:val="24"/>
      <w:sz w:val="28"/>
      <w:szCs w:val="32"/>
    </w:rPr>
  </w:style>
  <w:style w:type="paragraph" w:customStyle="1" w:styleId="362">
    <w:name w:val="列出段落11"/>
    <w:qFormat/>
    <w:uiPriority w:val="0"/>
    <w:pPr>
      <w:ind w:firstLine="420" w:firstLineChars="200"/>
    </w:pPr>
    <w:rPr>
      <w:rFonts w:ascii="Times New Roman" w:hAnsi="Times New Roman" w:eastAsia="宋体" w:cs="Times New Roman"/>
      <w:lang w:val="en-US" w:eastAsia="zh-CN" w:bidi="ar-SA"/>
    </w:rPr>
  </w:style>
  <w:style w:type="paragraph" w:customStyle="1" w:styleId="363">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Narrow" w:hAnsi="Century Gothic" w:eastAsia="Arial Narrow" w:cs="Century Gothic"/>
      <w:kern w:val="0"/>
      <w:sz w:val="24"/>
    </w:rPr>
  </w:style>
  <w:style w:type="paragraph" w:customStyle="1" w:styleId="364">
    <w:name w:val="彩色底纹1"/>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66">
    <w:name w:val="样式 标题 3 + (中文) 黑体 小四 非加粗 段前: 7.8 磅 段后: 0 磅 行距: 固定值 20 磅"/>
    <w:basedOn w:val="6"/>
    <w:qFormat/>
    <w:uiPriority w:val="0"/>
    <w:pPr>
      <w:keepNext/>
      <w:keepLines/>
      <w:widowControl w:val="0"/>
      <w:autoSpaceDE/>
      <w:autoSpaceDN/>
      <w:spacing w:before="0" w:after="0" w:line="400" w:lineRule="exact"/>
    </w:pPr>
    <w:rPr>
      <w:rFonts w:eastAsia="黑体" w:cs="宋体"/>
    </w:rPr>
  </w:style>
  <w:style w:type="paragraph" w:customStyle="1" w:styleId="367">
    <w:name w:val="正文文字缩进"/>
    <w:basedOn w:val="1"/>
    <w:qFormat/>
    <w:uiPriority w:val="0"/>
    <w:pPr>
      <w:widowControl/>
      <w:spacing w:line="748" w:lineRule="atLeast"/>
      <w:ind w:left="-521" w:firstLine="527"/>
      <w:textAlignment w:val="baseline"/>
    </w:pPr>
    <w:rPr>
      <w:rFonts w:ascii="Romantic" w:hAnsi="微软大黑体" w:cs="微软大黑体"/>
      <w:color w:val="000000"/>
      <w:kern w:val="0"/>
      <w:sz w:val="24"/>
      <w:szCs w:val="20"/>
      <w:u w:color="000000"/>
    </w:rPr>
  </w:style>
  <w:style w:type="paragraph" w:customStyle="1" w:styleId="368">
    <w:name w:val="Char22"/>
    <w:basedOn w:val="1"/>
    <w:qFormat/>
    <w:uiPriority w:val="0"/>
    <w:rPr>
      <w:rFonts w:ascii="仿宋_GB2312" w:eastAsia="仿宋_GB2312"/>
      <w:b/>
      <w:sz w:val="32"/>
      <w:szCs w:val="32"/>
    </w:rPr>
  </w:style>
  <w:style w:type="paragraph" w:customStyle="1" w:styleId="369">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table" w:customStyle="1" w:styleId="370">
    <w:name w:val="网格型11"/>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1"/>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网格型2"/>
    <w:basedOn w:val="55"/>
    <w:qFormat/>
    <w:uiPriority w:val="0"/>
    <w:pPr>
      <w:widowControl w:val="0"/>
      <w:jc w:val="both"/>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3">
    <w:name w:val="xl137"/>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left"/>
      <w:textAlignment w:val="center"/>
    </w:pPr>
    <w:rPr>
      <w:rFonts w:ascii="宋体" w:hAnsi="宋体" w:cs="宋体"/>
      <w:kern w:val="0"/>
      <w:sz w:val="24"/>
    </w:rPr>
  </w:style>
  <w:style w:type="character" w:customStyle="1" w:styleId="374">
    <w:name w:val="font31"/>
    <w:qFormat/>
    <w:uiPriority w:val="0"/>
    <w:rPr>
      <w:rFonts w:hint="eastAsia" w:ascii="宋体" w:hAnsi="宋体" w:eastAsia="宋体" w:cs="宋体"/>
      <w:color w:val="000000"/>
      <w:sz w:val="18"/>
      <w:szCs w:val="18"/>
      <w:u w:val="none"/>
    </w:rPr>
  </w:style>
  <w:style w:type="character" w:customStyle="1" w:styleId="375">
    <w:name w:val="font21"/>
    <w:qFormat/>
    <w:uiPriority w:val="0"/>
    <w:rPr>
      <w:rFonts w:hint="eastAsia" w:ascii="宋体" w:hAnsi="宋体" w:eastAsia="宋体" w:cs="宋体"/>
      <w:color w:val="000000"/>
      <w:sz w:val="18"/>
      <w:szCs w:val="18"/>
      <w:u w:val="none"/>
    </w:rPr>
  </w:style>
  <w:style w:type="character" w:customStyle="1" w:styleId="376">
    <w:name w:val="font101"/>
    <w:qFormat/>
    <w:uiPriority w:val="0"/>
    <w:rPr>
      <w:rFonts w:hint="eastAsia" w:ascii="宋体" w:hAnsi="宋体" w:eastAsia="宋体" w:cs="宋体"/>
      <w:color w:val="000000"/>
      <w:sz w:val="18"/>
      <w:szCs w:val="18"/>
      <w:u w:val="none"/>
    </w:rPr>
  </w:style>
  <w:style w:type="character" w:customStyle="1" w:styleId="377">
    <w:name w:val="font71"/>
    <w:qFormat/>
    <w:uiPriority w:val="0"/>
    <w:rPr>
      <w:rFonts w:hint="eastAsia" w:ascii="宋体" w:hAnsi="宋体" w:eastAsia="宋体" w:cs="宋体"/>
      <w:color w:val="000000"/>
      <w:sz w:val="18"/>
      <w:szCs w:val="18"/>
      <w:u w:val="none"/>
    </w:rPr>
  </w:style>
  <w:style w:type="character" w:customStyle="1" w:styleId="378">
    <w:name w:val="font81"/>
    <w:qFormat/>
    <w:uiPriority w:val="0"/>
    <w:rPr>
      <w:rFonts w:hint="eastAsia" w:ascii="宋体" w:hAnsi="宋体" w:eastAsia="宋体" w:cs="宋体"/>
      <w:b/>
      <w:color w:val="000000"/>
      <w:sz w:val="18"/>
      <w:szCs w:val="18"/>
      <w:u w:val="none"/>
    </w:rPr>
  </w:style>
  <w:style w:type="character" w:customStyle="1" w:styleId="379">
    <w:name w:val="font41"/>
    <w:qFormat/>
    <w:uiPriority w:val="0"/>
    <w:rPr>
      <w:rFonts w:hint="eastAsia" w:ascii="宋体" w:hAnsi="宋体" w:eastAsia="宋体" w:cs="宋体"/>
      <w:b/>
      <w:color w:val="000000"/>
      <w:sz w:val="18"/>
      <w:szCs w:val="18"/>
      <w:u w:val="none"/>
    </w:rPr>
  </w:style>
  <w:style w:type="paragraph" w:customStyle="1" w:styleId="380">
    <w:name w:val="Normal Indent1"/>
    <w:basedOn w:val="1"/>
    <w:qFormat/>
    <w:uiPriority w:val="0"/>
    <w:pPr>
      <w:ind w:firstLine="420" w:firstLineChars="200"/>
    </w:pPr>
  </w:style>
  <w:style w:type="paragraph" w:customStyle="1" w:styleId="381">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82">
    <w:name w:val="正文文本 23"/>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styleId="383">
    <w:name w:val="List Paragraph"/>
    <w:basedOn w:val="1"/>
    <w:qFormat/>
    <w:uiPriority w:val="34"/>
    <w:pPr>
      <w:ind w:firstLine="420" w:firstLineChars="200"/>
    </w:pPr>
  </w:style>
  <w:style w:type="paragraph" w:customStyle="1" w:styleId="384">
    <w:name w:val="样式 标题 2 + 小四 段前: 0.5 行 段后: 0.5 行 行距: 1.5 倍行距"/>
    <w:basedOn w:val="5"/>
    <w:qFormat/>
    <w:uiPriority w:val="0"/>
    <w:pPr>
      <w:spacing w:before="156" w:beforeLines="50" w:after="156" w:afterLines="50"/>
      <w:ind w:right="113"/>
    </w:pPr>
    <w:rPr>
      <w:rFonts w:eastAsia="黑体" w:cs="宋体"/>
      <w:kern w:val="0"/>
      <w:lang w:val="zh-CN"/>
    </w:rPr>
  </w:style>
  <w:style w:type="paragraph" w:customStyle="1" w:styleId="385">
    <w:name w:val="BodyText"/>
    <w:basedOn w:val="1"/>
    <w:next w:val="1"/>
    <w:qFormat/>
    <w:uiPriority w:val="0"/>
    <w:pPr>
      <w:textAlignment w:val="baseline"/>
    </w:pPr>
    <w:rPr>
      <w:rFonts w:ascii="Calibri" w:hAnsi="Calibri"/>
      <w:b/>
      <w:sz w:val="30"/>
      <w:szCs w:val="22"/>
    </w:rPr>
  </w:style>
  <w:style w:type="paragraph" w:customStyle="1" w:styleId="386">
    <w:name w:val="DAS正文"/>
    <w:basedOn w:val="1"/>
    <w:qFormat/>
    <w:uiPriority w:val="0"/>
    <w:pPr>
      <w:spacing w:line="360" w:lineRule="auto"/>
      <w:ind w:right="181" w:firstLine="480" w:firstLineChars="200"/>
    </w:pPr>
    <w:rPr>
      <w:rFonts w:ascii="Verdana" w:hAnsi="Verdan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file:///D:\Program%2525252525252525252525252525252525252525252525252525252525252525252525252525252525252525252525252525252525252525252525252525252525252525252525252525252525252525252525252525252525252525252525252525252525252525252525252525252525252525252520Files%2525252525252525252525252525252525252525252525252525252525252525252525252525252525252525252525252525252525252525252525252525252525252525252525252525252525252525252525252525252525252525252525252525252525252525252525252525252525252525252520(x86)\Tencent\ACER\Documents\Tencent%2525252525252525252525252525252525252525252525252525252525252525252525252525252525252525252525252525252525252525252525252525252525252525252525252525252525252525252525252525252525252525252525252525252525252525252525252525252525252525252520Files\731289318\Image\Group\JIEF%252525252525252525252525252525252525252525252525252525252525252525252525252525252525252525252525252525252525252525252525252525252525252525252525252525252525252525252525252525252525252525252525252525252525252525252525252525252525252525255bIF7A8MK059L~WLO%2525252525252525252525252525252525252525252525252525252525252525252525252525252525252525252525252525252525252525252525252525252525252525252525252525252525252525252525252525252525252525252525252525252525252525252525252525252525252525252525H0.jpg" TargetMode="Externa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KEKE</Company>
  <Pages>102</Pages>
  <Words>11146</Words>
  <Characters>63535</Characters>
  <Lines>529</Lines>
  <Paragraphs>149</Paragraphs>
  <TotalTime>0</TotalTime>
  <ScaleCrop>false</ScaleCrop>
  <LinksUpToDate>false</LinksUpToDate>
  <CharactersWithSpaces>74532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2021-09-27T02:14:00Z</dcterms:created>
  <dc:creator>USER</dc:creator>
  <cp:lastModifiedBy>SXC</cp:lastModifiedBy>
  <cp:lastPrinted>2020-05-29T09:25:00Z</cp:lastPrinted>
  <dcterms:modified xsi:type="dcterms:W3CDTF">2021-12-02T02:39:12Z</dcterms:modified>
  <dc:title>浙江省畜牧兽医局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85394CB1C493447192EE8DB35FB33F93</vt:lpwstr>
  </property>
</Properties>
</file>