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adjustRightInd/>
        <w:spacing w:line="360" w:lineRule="auto"/>
        <w:jc w:val="both"/>
        <w:rPr>
          <w:rFonts w:hint="eastAsia" w:ascii="仿宋" w:hAnsi="仿宋" w:eastAsia="仿宋" w:cs="仿宋"/>
          <w:b/>
          <w:color w:val="auto"/>
          <w:sz w:val="48"/>
          <w:szCs w:val="48"/>
          <w:highlight w:val="none"/>
        </w:rPr>
      </w:pPr>
    </w:p>
    <w:p>
      <w:pPr>
        <w:adjustRightInd/>
        <w:spacing w:line="360" w:lineRule="auto"/>
        <w:jc w:val="center"/>
        <w:rPr>
          <w:rFonts w:hint="eastAsia" w:ascii="仿宋" w:hAnsi="仿宋" w:eastAsia="仿宋" w:cs="仿宋"/>
          <w:color w:val="auto"/>
          <w:sz w:val="72"/>
          <w:szCs w:val="72"/>
          <w:highlight w:val="none"/>
          <w:lang w:eastAsia="zh-CN"/>
        </w:rPr>
      </w:pPr>
      <w:r>
        <w:rPr>
          <w:rFonts w:hint="eastAsia" w:ascii="仿宋" w:hAnsi="仿宋" w:eastAsia="仿宋" w:cs="仿宋"/>
          <w:color w:val="auto"/>
          <w:sz w:val="52"/>
          <w:szCs w:val="52"/>
          <w:highlight w:val="none"/>
          <w:lang w:eastAsia="zh-CN"/>
        </w:rPr>
        <w:t>萧山区城厢街道2023年垃圾分类第三方服务采购项目</w:t>
      </w:r>
    </w:p>
    <w:p>
      <w:pPr>
        <w:adjustRightInd/>
        <w:spacing w:line="360" w:lineRule="auto"/>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 xml:space="preserve">招标文件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BWZBDL2023-</w:t>
      </w:r>
      <w:r>
        <w:rPr>
          <w:rFonts w:hint="eastAsia" w:ascii="仿宋" w:hAnsi="仿宋" w:eastAsia="仿宋" w:cs="仿宋"/>
          <w:color w:val="auto"/>
          <w:sz w:val="30"/>
          <w:szCs w:val="30"/>
          <w:highlight w:val="none"/>
          <w:lang w:val="en-US" w:eastAsia="zh-CN"/>
        </w:rPr>
        <w:t>193</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pStyle w:val="5"/>
        <w:rPr>
          <w:rFonts w:hint="eastAsia" w:ascii="仿宋" w:hAnsi="仿宋" w:eastAsia="仿宋" w:cs="仿宋"/>
          <w:color w:val="auto"/>
          <w:highlight w:val="none"/>
        </w:rPr>
      </w:pPr>
    </w:p>
    <w:p>
      <w:pPr>
        <w:snapToGrid w:val="0"/>
        <w:spacing w:line="360" w:lineRule="auto"/>
        <w:jc w:val="both"/>
        <w:rPr>
          <w:rFonts w:hint="eastAsia" w:ascii="仿宋" w:hAnsi="仿宋" w:eastAsia="仿宋" w:cs="仿宋"/>
          <w:bCs/>
          <w:color w:val="auto"/>
          <w:sz w:val="32"/>
          <w:szCs w:val="32"/>
          <w:highlight w:val="none"/>
          <w:lang w:eastAsia="zh-CN"/>
        </w:rPr>
      </w:pPr>
    </w:p>
    <w:p>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杭州市萧山区人民政府城厢街道办事处</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 xml:space="preserve"> </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2023</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07</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18</w:t>
      </w:r>
      <w:bookmarkStart w:id="522" w:name="_GoBack"/>
      <w:bookmarkEnd w:id="522"/>
      <w:r>
        <w:rPr>
          <w:rFonts w:hint="eastAsia" w:ascii="仿宋" w:hAnsi="仿宋" w:eastAsia="仿宋" w:cs="仿宋"/>
          <w:bCs/>
          <w:color w:val="auto"/>
          <w:sz w:val="32"/>
          <w:szCs w:val="32"/>
          <w:highlight w:val="none"/>
        </w:rPr>
        <w:t>日</w:t>
      </w:r>
    </w:p>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pStyle w:val="635"/>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萧山区城厢街道2023年垃圾分类第三方服务采购项目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https://www.zcygov.cn/）获取（下载）招标文件，并于202</w:t>
      </w:r>
      <w:r>
        <w:rPr>
          <w:rStyle w:val="77"/>
          <w:rFonts w:hint="eastAsia" w:ascii="仿宋" w:hAnsi="仿宋" w:eastAsia="仿宋" w:cs="仿宋"/>
          <w:snapToGrid/>
          <w:color w:val="auto"/>
          <w:kern w:val="2"/>
          <w:sz w:val="24"/>
          <w:szCs w:val="24"/>
          <w:highlight w:val="none"/>
          <w:lang w:val="en-US" w:eastAsia="zh-CN"/>
        </w:rPr>
        <w:t>3</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08</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08</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09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00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t>BWZBDL2023-</w:t>
      </w:r>
      <w:r>
        <w:rPr>
          <w:rFonts w:hint="eastAsia" w:ascii="仿宋" w:hAnsi="仿宋" w:eastAsia="仿宋" w:cs="仿宋"/>
          <w:b w:val="0"/>
          <w:bCs/>
          <w:color w:val="auto"/>
          <w:sz w:val="24"/>
          <w:highlight w:val="none"/>
          <w:lang w:val="en-US" w:eastAsia="zh-CN"/>
        </w:rPr>
        <w:t>193</w:t>
      </w:r>
    </w:p>
    <w:p>
      <w:pPr>
        <w:spacing w:line="360" w:lineRule="auto"/>
        <w:rPr>
          <w:rFonts w:hint="eastAsia" w:ascii="仿宋" w:hAnsi="仿宋" w:eastAsia="仿宋" w:cs="仿宋"/>
          <w:b w:val="0"/>
          <w:bCs/>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lang w:eastAsia="zh-CN"/>
        </w:rPr>
        <w:t>萧山区城厢街道2023年垃圾分类第三方服务采购项目</w:t>
      </w:r>
    </w:p>
    <w:p>
      <w:pPr>
        <w:spacing w:line="360" w:lineRule="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val="en-US" w:eastAsia="zh-CN"/>
        </w:rPr>
        <w:t>21907500.00</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21907500.00</w:t>
      </w:r>
    </w:p>
    <w:p>
      <w:pPr>
        <w:pStyle w:val="16"/>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萧山区城厢街道2023年垃圾分类第三方服务采购项目</w:t>
      </w:r>
      <w:r>
        <w:rPr>
          <w:rFonts w:hint="eastAsia" w:ascii="仿宋" w:hAnsi="仿宋" w:eastAsia="仿宋" w:cs="仿宋"/>
          <w:color w:val="auto"/>
          <w:sz w:val="24"/>
          <w:highlight w:val="none"/>
          <w:u w:val="none"/>
          <w:lang w:val="en-US" w:eastAsia="zh-CN"/>
        </w:rPr>
        <w:t>,</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val="0"/>
          <w:bCs/>
          <w:color w:val="auto"/>
          <w:sz w:val="24"/>
          <w:highlight w:val="none"/>
          <w:lang w:eastAsia="zh-CN"/>
        </w:rPr>
        <w:t>2023年垃圾分类第三方服务</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pPr>
        <w:pStyle w:val="129"/>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 w:val="0"/>
          <w:bCs/>
          <w:color w:val="auto"/>
          <w:highlight w:val="none"/>
          <w:lang w:val="en-US" w:eastAsia="zh-CN"/>
        </w:rPr>
        <w:t>详见招标文件</w:t>
      </w:r>
      <w:r>
        <w:rPr>
          <w:rFonts w:hint="eastAsia" w:ascii="仿宋" w:hAnsi="仿宋" w:eastAsia="仿宋" w:cs="仿宋"/>
          <w:b w:val="0"/>
          <w:bCs/>
          <w:color w:val="auto"/>
          <w:highlight w:val="none"/>
        </w:rPr>
        <w:t xml:space="preserve"> </w:t>
      </w:r>
    </w:p>
    <w:p>
      <w:pPr>
        <w:pStyle w:val="16"/>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杭州市萧山区人民政府城厢街道办事处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地址：杭州市萧山区城厢街道文化路181号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赵荣荣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0571</w:t>
      </w:r>
      <w:r>
        <w:rPr>
          <w:rFonts w:hint="eastAsia" w:ascii="仿宋" w:hAnsi="仿宋" w:eastAsia="仿宋" w:cs="仿宋"/>
          <w:color w:val="auto"/>
          <w:sz w:val="24"/>
          <w:highlight w:val="none"/>
          <w:lang w:val="en-US" w:eastAsia="zh-CN"/>
        </w:rPr>
        <w:t>-82735400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郭琛琛</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bookmarkStart w:id="11" w:name="_Toc28359009"/>
      <w:bookmarkStart w:id="12" w:name="_Toc28359086"/>
      <w:r>
        <w:rPr>
          <w:rFonts w:hint="eastAsia" w:ascii="仿宋" w:hAnsi="仿宋" w:eastAsia="仿宋" w:cs="仿宋"/>
          <w:color w:val="auto"/>
          <w:sz w:val="24"/>
          <w:highlight w:val="none"/>
          <w:lang w:val="en-US" w:eastAsia="zh-CN"/>
        </w:rPr>
        <w:t>0571-83736979</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bookmarkEnd w:id="11"/>
      <w:bookmarkEnd w:id="12"/>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地址：杭州市萧山区金城路433号天汇园1幢A座5楼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芦燕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8</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高华萍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质疑联系方式：0571-83881208</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名称：萧山区财政局</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地址：萧山区人民路318号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传真：0571-82756122</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汤先生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监督投诉电话：0571-82756122</w:t>
      </w:r>
    </w:p>
    <w:p>
      <w:pPr>
        <w:spacing w:line="360" w:lineRule="auto"/>
        <w:ind w:firstLine="480"/>
        <w:rPr>
          <w:rFonts w:hint="eastAsia" w:ascii="仿宋" w:hAnsi="仿宋" w:eastAsia="仿宋" w:cs="仿宋"/>
          <w:color w:val="auto"/>
          <w:sz w:val="24"/>
          <w:highlight w:val="none"/>
          <w:lang w:val="en-US" w:eastAsia="zh-CN"/>
        </w:rPr>
      </w:pP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988"/>
        <w:gridCol w:w="6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13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1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131"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w:t>
            </w:r>
            <w:r>
              <w:rPr>
                <w:rFonts w:hint="eastAsia" w:ascii="仿宋" w:hAnsi="仿宋" w:eastAsia="仿宋" w:cs="仿宋"/>
                <w:b w:val="0"/>
                <w:bCs/>
                <w:color w:val="auto"/>
                <w:sz w:val="24"/>
                <w:highlight w:val="none"/>
                <w:u w:val="single"/>
                <w:lang w:eastAsia="zh-CN"/>
              </w:rPr>
              <w:t>2023年垃圾分类第三方服务</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none"/>
              </w:rPr>
              <w:t>其他未列明行业（其他服务业）</w:t>
            </w:r>
            <w:r>
              <w:rPr>
                <w:rFonts w:hint="eastAsia" w:ascii="仿宋" w:hAnsi="仿宋" w:eastAsia="仿宋" w:cs="仿宋"/>
                <w:color w:val="auto"/>
                <w:sz w:val="24"/>
                <w:szCs w:val="24"/>
                <w:highlight w:val="none"/>
              </w:rPr>
              <w:t>行业；</w:t>
            </w:r>
          </w:p>
          <w:p>
            <w:pPr>
              <w:numPr>
                <w:ilvl w:val="0"/>
                <w:numId w:val="0"/>
              </w:numPr>
              <w:snapToGrid w:val="0"/>
              <w:spacing w:line="36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w:t>
            </w:r>
          </w:p>
          <w:p>
            <w:pP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1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本项目不允许采购进口产品。</w:t>
            </w:r>
          </w:p>
          <w:p>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1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lang w:eastAsia="zh-CN"/>
              </w:rPr>
            </w:pPr>
            <w:sdt>
              <w:sdtPr>
                <w:rPr>
                  <w:rFonts w:hint="eastAsia" w:ascii="仿宋" w:hAnsi="仿宋" w:eastAsia="仿宋" w:cs="仿宋"/>
                  <w:color w:val="auto"/>
                  <w:kern w:val="0"/>
                  <w:sz w:val="24"/>
                  <w:szCs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同意将非主体、非关键性</w:t>
            </w:r>
            <w:r>
              <w:rPr>
                <w:rFonts w:hint="eastAsia" w:ascii="仿宋" w:hAnsi="仿宋" w:eastAsia="仿宋" w:cs="仿宋"/>
                <w:color w:val="auto"/>
                <w:sz w:val="24"/>
                <w:szCs w:val="24"/>
                <w:highlight w:val="none"/>
                <w:u w:val="single"/>
              </w:rPr>
              <w:t xml:space="preserve"> 再生资源网点及回收处置</w:t>
            </w:r>
            <w:r>
              <w:rPr>
                <w:rFonts w:hint="eastAsia" w:ascii="仿宋" w:hAnsi="仿宋" w:eastAsia="仿宋" w:cs="仿宋"/>
                <w:color w:val="auto"/>
                <w:sz w:val="24"/>
                <w:szCs w:val="24"/>
                <w:highlight w:val="none"/>
              </w:rPr>
              <w:t xml:space="preserve"> 的工作分包</w:t>
            </w:r>
            <w:r>
              <w:rPr>
                <w:rFonts w:hint="eastAsia" w:ascii="仿宋" w:hAnsi="仿宋" w:eastAsia="仿宋" w:cs="仿宋"/>
                <w:color w:val="auto"/>
                <w:sz w:val="24"/>
                <w:szCs w:val="24"/>
                <w:highlight w:val="none"/>
                <w:lang w:eastAsia="zh-CN"/>
              </w:rPr>
              <w:t>。</w:t>
            </w:r>
          </w:p>
          <w:p>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1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lang w:val="en-US" w:eastAsia="zh-CN"/>
              </w:rPr>
              <w:t>A</w:t>
            </w:r>
            <w:r>
              <w:rPr>
                <w:rFonts w:hint="eastAsia" w:ascii="仿宋" w:hAnsi="仿宋" w:eastAsia="仿宋" w:cs="仿宋"/>
                <w:color w:val="auto"/>
                <w:sz w:val="24"/>
                <w:szCs w:val="24"/>
                <w:highlight w:val="none"/>
              </w:rPr>
              <w:t>不组织。</w:t>
            </w:r>
          </w:p>
          <w:p>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1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639946486"/>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pPr>
              <w:spacing w:after="0"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026831988"/>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B要求提供，</w:t>
            </w:r>
          </w:p>
          <w:p>
            <w:pPr>
              <w:spacing w:after="0" w:line="240" w:lineRule="auto"/>
              <w:rPr>
                <w:rFonts w:hint="eastAsia" w:ascii="仿宋" w:hAnsi="仿宋" w:eastAsia="仿宋" w:cs="仿宋"/>
                <w:bCs/>
                <w:color w:val="auto"/>
                <w:sz w:val="24"/>
                <w:szCs w:val="24"/>
              </w:rPr>
            </w:pPr>
            <w:r>
              <w:rPr>
                <w:rFonts w:hint="eastAsia"/>
                <w:bCs/>
                <w:color w:val="auto"/>
                <w:sz w:val="22"/>
              </w:rPr>
              <w:t>（</w:t>
            </w:r>
            <w:r>
              <w:rPr>
                <w:rFonts w:hint="eastAsia" w:ascii="仿宋" w:hAnsi="仿宋" w:eastAsia="仿宋" w:cs="仿宋"/>
                <w:bCs/>
                <w:color w:val="auto"/>
                <w:sz w:val="24"/>
                <w:szCs w:val="24"/>
              </w:rPr>
              <w:t>1）样品：</w:t>
            </w:r>
            <w:r>
              <w:rPr>
                <w:rFonts w:hint="eastAsia" w:ascii="仿宋" w:hAnsi="仿宋" w:eastAsia="仿宋" w:cs="仿宋"/>
                <w:bCs/>
                <w:color w:val="auto"/>
                <w:sz w:val="24"/>
                <w:szCs w:val="24"/>
                <w:lang w:val="en-US" w:eastAsia="zh-CN"/>
              </w:rPr>
              <w:t>入户垃圾桶1个、卡片1个、封装电子秤1个</w:t>
            </w:r>
            <w:r>
              <w:rPr>
                <w:rFonts w:hint="eastAsia" w:ascii="仿宋" w:hAnsi="仿宋" w:eastAsia="仿宋" w:cs="仿宋"/>
                <w:bCs/>
                <w:color w:val="auto"/>
                <w:sz w:val="24"/>
                <w:szCs w:val="24"/>
              </w:rPr>
              <w:t>；</w:t>
            </w:r>
          </w:p>
          <w:p>
            <w:pPr>
              <w:spacing w:after="0"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（2）样品制作的标准和要求：详见采购需求；</w:t>
            </w:r>
          </w:p>
          <w:p>
            <w:pPr>
              <w:spacing w:after="0"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（3）样品的评审方法以及评审标准：详见评标办法；</w:t>
            </w:r>
          </w:p>
          <w:p>
            <w:pPr>
              <w:spacing w:after="0" w:line="240" w:lineRule="auto"/>
              <w:rPr>
                <w:rFonts w:hint="default" w:ascii="仿宋" w:hAnsi="仿宋" w:eastAsia="仿宋" w:cs="仿宋"/>
                <w:bCs/>
                <w:color w:val="auto"/>
                <w:sz w:val="24"/>
                <w:szCs w:val="24"/>
                <w:shd w:val="clear" w:color="FFFFFF" w:fill="D9D9D9"/>
                <w:lang w:val="en-US"/>
              </w:rPr>
            </w:pPr>
            <w:r>
              <w:rPr>
                <w:rFonts w:hint="eastAsia" w:ascii="仿宋" w:hAnsi="仿宋" w:eastAsia="仿宋" w:cs="仿宋"/>
                <w:bCs/>
                <w:color w:val="auto"/>
                <w:sz w:val="24"/>
                <w:szCs w:val="24"/>
              </w:rPr>
              <w:t>（4）</w:t>
            </w:r>
            <w:r>
              <w:rPr>
                <w:rFonts w:hint="eastAsia" w:ascii="仿宋" w:hAnsi="仿宋" w:eastAsia="仿宋" w:cs="仿宋"/>
                <w:bCs/>
                <w:color w:val="auto"/>
                <w:sz w:val="24"/>
                <w:szCs w:val="24"/>
                <w:shd w:val="clear" w:color="FFFFFF" w:fill="D9D9D9"/>
              </w:rPr>
              <w:t>提供样品的时间：</w:t>
            </w:r>
            <w:r>
              <w:rPr>
                <w:rFonts w:hint="eastAsia" w:ascii="仿宋" w:hAnsi="仿宋" w:eastAsia="仿宋" w:cs="仿宋"/>
                <w:bCs/>
                <w:color w:val="auto"/>
                <w:sz w:val="24"/>
                <w:szCs w:val="24"/>
                <w:shd w:val="clear" w:color="FFFFFF" w:fill="D9D9D9"/>
                <w:lang w:val="en-US" w:eastAsia="zh-CN"/>
              </w:rPr>
              <w:t>2023年8月08日08时30分-09时00分</w:t>
            </w:r>
            <w:r>
              <w:rPr>
                <w:rFonts w:hint="eastAsia" w:ascii="仿宋" w:hAnsi="仿宋" w:eastAsia="仿宋" w:cs="仿宋"/>
                <w:bCs/>
                <w:color w:val="auto"/>
                <w:sz w:val="24"/>
                <w:szCs w:val="24"/>
                <w:shd w:val="clear" w:color="FFFFFF" w:fill="D9D9D9"/>
              </w:rPr>
              <w:t xml:space="preserve"> ；</w:t>
            </w:r>
            <w:r>
              <w:rPr>
                <w:rFonts w:hint="eastAsia" w:ascii="仿宋" w:hAnsi="仿宋" w:eastAsia="仿宋" w:cs="仿宋"/>
                <w:bCs/>
                <w:color w:val="auto"/>
                <w:sz w:val="24"/>
                <w:szCs w:val="24"/>
              </w:rPr>
              <w:t>地点：杭州市萧山区金城路</w:t>
            </w:r>
            <w:r>
              <w:rPr>
                <w:rFonts w:hint="eastAsia" w:ascii="仿宋" w:hAnsi="仿宋" w:eastAsia="仿宋" w:cs="仿宋"/>
                <w:bCs/>
                <w:color w:val="auto"/>
                <w:sz w:val="24"/>
                <w:szCs w:val="24"/>
                <w:lang w:val="en-US" w:eastAsia="zh-CN"/>
              </w:rPr>
              <w:t>433号天汇园1幢A座5楼开标室</w:t>
            </w:r>
            <w:r>
              <w:rPr>
                <w:rFonts w:hint="eastAsia" w:ascii="仿宋" w:hAnsi="仿宋" w:eastAsia="仿宋" w:cs="仿宋"/>
                <w:bCs/>
                <w:color w:val="auto"/>
                <w:sz w:val="24"/>
                <w:szCs w:val="24"/>
              </w:rPr>
              <w:t>；联系人：</w:t>
            </w:r>
            <w:r>
              <w:rPr>
                <w:rFonts w:hint="eastAsia" w:ascii="仿宋" w:hAnsi="仿宋" w:eastAsia="仿宋" w:cs="仿宋"/>
                <w:bCs/>
                <w:color w:val="auto"/>
                <w:sz w:val="24"/>
                <w:szCs w:val="24"/>
                <w:lang w:val="en-US" w:eastAsia="zh-CN"/>
              </w:rPr>
              <w:t>芦燕；联系电话：0571-83881208</w:t>
            </w:r>
          </w:p>
          <w:p>
            <w:pPr>
              <w:spacing w:after="0"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（5）请投标人在上述时间内提供样品。超过截止时间的，采购人或采购代理机构将不予接收，并将清场并封闭样品现场。</w:t>
            </w:r>
          </w:p>
          <w:p>
            <w:pPr>
              <w:spacing w:after="0"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after="0"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（7）制作、运输、安装和保管样品所发生的一切费用由投标人自理。</w:t>
            </w:r>
          </w:p>
          <w:p>
            <w:pPr>
              <w:spacing w:line="240" w:lineRule="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rPr>
              <w:t>▲招标文件要求提供样品，投标人没有提供样品或样品不全的，投标无效。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131"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85934854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spacing w:after="0" w:line="240" w:lineRule="auto"/>
              <w:rPr>
                <w:rFonts w:hint="eastAsia" w:ascii="仿宋" w:hAnsi="仿宋" w:eastAsia="仿宋" w:cs="仿宋"/>
                <w:color w:val="auto"/>
                <w:sz w:val="24"/>
                <w:szCs w:val="24"/>
              </w:rPr>
            </w:pPr>
            <w:sdt>
              <w:sdtPr>
                <w:rPr>
                  <w:rFonts w:hint="eastAsia" w:ascii="仿宋" w:hAnsi="仿宋" w:eastAsia="仿宋" w:cs="仿宋"/>
                  <w:color w:val="auto"/>
                  <w:kern w:val="0"/>
                  <w:sz w:val="24"/>
                  <w:szCs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rPr>
              <w:t>现场演示。</w:t>
            </w:r>
          </w:p>
          <w:p>
            <w:pPr>
              <w:spacing w:after="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1、现场演示：在评标时安排每个投标人现场演示，每个投标人演示</w:t>
            </w:r>
            <w:r>
              <w:rPr>
                <w:rFonts w:hint="eastAsia" w:ascii="仿宋" w:hAnsi="仿宋" w:eastAsia="仿宋" w:cs="仿宋"/>
                <w:color w:val="auto"/>
                <w:sz w:val="24"/>
                <w:szCs w:val="24"/>
                <w:shd w:val="clear" w:color="FFFFFF" w:fill="D9D9D9"/>
              </w:rPr>
              <w:t>时间不超过</w:t>
            </w:r>
            <w:r>
              <w:rPr>
                <w:rFonts w:hint="eastAsia" w:ascii="仿宋" w:hAnsi="仿宋" w:eastAsia="仿宋" w:cs="仿宋"/>
                <w:color w:val="auto"/>
                <w:sz w:val="24"/>
                <w:szCs w:val="24"/>
                <w:shd w:val="clear" w:color="FFFFFF" w:fill="D9D9D9"/>
                <w:lang w:val="en-US" w:eastAsia="zh-CN"/>
              </w:rPr>
              <w:t>10</w:t>
            </w:r>
            <w:r>
              <w:rPr>
                <w:rFonts w:hint="eastAsia" w:ascii="仿宋" w:hAnsi="仿宋" w:eastAsia="仿宋" w:cs="仿宋"/>
                <w:color w:val="auto"/>
                <w:sz w:val="24"/>
                <w:szCs w:val="24"/>
                <w:shd w:val="clear" w:color="FFFFFF" w:fill="D9D9D9"/>
              </w:rPr>
              <w:t>分钟。人员不超过</w:t>
            </w:r>
            <w:r>
              <w:rPr>
                <w:rFonts w:hint="eastAsia" w:ascii="仿宋" w:hAnsi="仿宋" w:eastAsia="仿宋" w:cs="仿宋"/>
                <w:color w:val="auto"/>
                <w:sz w:val="24"/>
                <w:szCs w:val="24"/>
                <w:shd w:val="clear" w:color="FFFFFF" w:fill="D9D9D9"/>
                <w:lang w:val="en-US" w:eastAsia="zh-CN"/>
              </w:rPr>
              <w:t>2</w:t>
            </w:r>
            <w:r>
              <w:rPr>
                <w:rFonts w:hint="eastAsia" w:ascii="仿宋" w:hAnsi="仿宋" w:eastAsia="仿宋" w:cs="仿宋"/>
                <w:color w:val="auto"/>
                <w:sz w:val="24"/>
                <w:szCs w:val="24"/>
                <w:shd w:val="clear" w:color="FFFFFF" w:fill="D9D9D9"/>
              </w:rPr>
              <w:t>人</w:t>
            </w:r>
            <w:r>
              <w:rPr>
                <w:rFonts w:hint="eastAsia" w:ascii="仿宋" w:hAnsi="仿宋" w:eastAsia="仿宋" w:cs="仿宋"/>
                <w:color w:val="auto"/>
                <w:sz w:val="24"/>
                <w:szCs w:val="24"/>
              </w:rPr>
              <w:t>，且必须包含法定代表人或其授权代表；现场演示人员进场时携带身份证、授权委托书（详见招标文件格式范例附件，法人代表可不携带，携带身份证及营业执照复印件），否则不得进场</w:t>
            </w:r>
            <w:r>
              <w:rPr>
                <w:rFonts w:hint="eastAsia" w:ascii="仿宋" w:hAnsi="仿宋" w:eastAsia="仿宋" w:cs="仿宋"/>
                <w:color w:val="auto"/>
                <w:sz w:val="24"/>
                <w:szCs w:val="24"/>
                <w:lang w:val="en-US" w:eastAsia="zh-CN"/>
              </w:rPr>
              <w:t>演示</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演示</w:t>
            </w:r>
            <w:r>
              <w:rPr>
                <w:rFonts w:hint="eastAsia" w:ascii="仿宋" w:hAnsi="仿宋" w:eastAsia="仿宋" w:cs="仿宋"/>
                <w:color w:val="auto"/>
                <w:sz w:val="24"/>
                <w:szCs w:val="24"/>
                <w:highlight w:val="none"/>
              </w:rPr>
              <w:t>次序以投标文件解密时间先后次序为准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现场演示后按要求解答评标委员会的提问。</w:t>
            </w:r>
          </w:p>
          <w:p>
            <w:pPr>
              <w:spacing w:line="240" w:lineRule="auto"/>
              <w:rPr>
                <w:rFonts w:hint="eastAsia" w:ascii="仿宋" w:hAnsi="仿宋" w:eastAsia="仿宋" w:cs="仿宋"/>
                <w:bCs/>
                <w:color w:val="auto"/>
                <w:sz w:val="24"/>
                <w:szCs w:val="24"/>
              </w:rPr>
            </w:pPr>
            <w:r>
              <w:rPr>
                <w:rFonts w:hint="eastAsia" w:ascii="仿宋" w:hAnsi="仿宋" w:eastAsia="仿宋" w:cs="仿宋"/>
                <w:color w:val="auto"/>
                <w:sz w:val="24"/>
                <w:szCs w:val="24"/>
              </w:rPr>
              <w:t>2、现场演示到场时间：</w:t>
            </w:r>
            <w:r>
              <w:rPr>
                <w:rFonts w:hint="eastAsia" w:ascii="仿宋" w:hAnsi="仿宋" w:eastAsia="仿宋" w:cs="仿宋"/>
                <w:color w:val="auto"/>
                <w:sz w:val="24"/>
                <w:szCs w:val="24"/>
                <w:shd w:val="clear" w:color="FFFFFF" w:fill="D9D9D9"/>
              </w:rPr>
              <w:t>开标当天</w:t>
            </w:r>
            <w:r>
              <w:rPr>
                <w:rFonts w:hint="eastAsia" w:ascii="仿宋" w:hAnsi="仿宋" w:eastAsia="仿宋" w:cs="仿宋"/>
                <w:bCs/>
                <w:color w:val="auto"/>
                <w:sz w:val="24"/>
                <w:szCs w:val="24"/>
                <w:shd w:val="clear" w:color="FFFFFF" w:fill="D9D9D9"/>
                <w:lang w:val="en-US" w:eastAsia="zh-CN"/>
              </w:rPr>
              <w:t>8月08日08时30分-09时00分</w:t>
            </w:r>
            <w:r>
              <w:rPr>
                <w:rFonts w:hint="eastAsia" w:cs="仿宋"/>
                <w:color w:val="auto"/>
                <w:sz w:val="21"/>
                <w:szCs w:val="21"/>
                <w:highlight w:val="none"/>
                <w:lang w:val="en-US" w:eastAsia="zh-CN"/>
              </w:rPr>
              <w:t>签到</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截止时间同提交投标文件截止时间（开标时间）</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逾期签到视为放弃演示</w:t>
            </w:r>
            <w:r>
              <w:rPr>
                <w:rFonts w:hint="eastAsia" w:cs="仿宋"/>
                <w:color w:val="auto"/>
                <w:sz w:val="24"/>
                <w:szCs w:val="24"/>
                <w:highlight w:val="none"/>
                <w:lang w:val="en-US" w:eastAsia="zh-CN"/>
              </w:rPr>
              <w:t>。</w:t>
            </w:r>
            <w:r>
              <w:rPr>
                <w:rFonts w:hint="eastAsia" w:ascii="仿宋" w:hAnsi="仿宋" w:eastAsia="仿宋" w:cs="仿宋"/>
                <w:bCs/>
                <w:color w:val="auto"/>
                <w:sz w:val="24"/>
                <w:szCs w:val="24"/>
              </w:rPr>
              <w:t>杭州市萧山区金城路</w:t>
            </w:r>
            <w:r>
              <w:rPr>
                <w:rFonts w:hint="eastAsia" w:ascii="仿宋" w:hAnsi="仿宋" w:eastAsia="仿宋" w:cs="仿宋"/>
                <w:bCs/>
                <w:color w:val="auto"/>
                <w:sz w:val="24"/>
                <w:szCs w:val="24"/>
                <w:lang w:val="en-US" w:eastAsia="zh-CN"/>
              </w:rPr>
              <w:t>433号天汇园1幢A座5楼开标室</w:t>
            </w:r>
            <w:r>
              <w:rPr>
                <w:rFonts w:hint="eastAsia" w:ascii="仿宋" w:hAnsi="仿宋" w:eastAsia="仿宋" w:cs="仿宋"/>
                <w:bCs/>
                <w:color w:val="auto"/>
                <w:sz w:val="24"/>
                <w:szCs w:val="24"/>
              </w:rPr>
              <w:t>。</w:t>
            </w:r>
          </w:p>
          <w:p>
            <w:pPr>
              <w:spacing w:line="240" w:lineRule="auto"/>
              <w:rPr>
                <w:rFonts w:hint="eastAsia" w:ascii="仿宋" w:hAnsi="仿宋" w:eastAsia="仿宋" w:cs="仿宋"/>
                <w:b/>
                <w:color w:val="auto"/>
                <w:kern w:val="0"/>
                <w:sz w:val="24"/>
                <w:szCs w:val="24"/>
                <w:highlight w:val="none"/>
                <w:lang w:val="en-US" w:eastAsia="zh-CN"/>
              </w:rPr>
            </w:pPr>
            <w:r>
              <w:rPr>
                <w:rFonts w:hint="eastAsia" w:ascii="仿宋" w:hAnsi="仿宋" w:eastAsia="仿宋" w:cs="仿宋"/>
                <w:bCs/>
                <w:color w:val="auto"/>
                <w:sz w:val="24"/>
                <w:szCs w:val="24"/>
                <w:lang w:val="en-US" w:eastAsia="zh-CN"/>
              </w:rPr>
              <w:t>3、演示所需设备等由投标人自备。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988"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13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3"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p>
        </w:tc>
        <w:tc>
          <w:tcPr>
            <w:tcW w:w="1988"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p>
        </w:tc>
        <w:tc>
          <w:tcPr>
            <w:tcW w:w="613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9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13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9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13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pPr>
              <w:snapToGrid w:val="0"/>
              <w:spacing w:line="360" w:lineRule="auto"/>
              <w:ind w:firstLine="482" w:firstLineChars="2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pPr>
              <w:snapToGrid w:val="0"/>
              <w:spacing w:line="360" w:lineRule="auto"/>
              <w:ind w:firstLine="482"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pPr>
              <w:spacing w:line="360" w:lineRule="auto"/>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lang w:eastAsia="zh-CN"/>
              </w:rPr>
              <w:t>；</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988"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131"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本项目支持《杭州市萧山区政府采购支持中小企业信用融资暂行办法》。</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9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备份投标文件送达地点和签收人员 </w:t>
            </w:r>
          </w:p>
        </w:tc>
        <w:tc>
          <w:tcPr>
            <w:tcW w:w="6131"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default"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r>
              <w:rPr>
                <w:rFonts w:hint="eastAsia" w:ascii="仿宋" w:hAnsi="仿宋" w:eastAsia="仿宋" w:cs="仿宋"/>
                <w:color w:val="auto"/>
                <w:kern w:val="28"/>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9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采购机构代理费用</w:t>
            </w:r>
          </w:p>
        </w:tc>
        <w:tc>
          <w:tcPr>
            <w:tcW w:w="6131"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sz w:val="24"/>
                <w:szCs w:val="24"/>
                <w:highlight w:val="none"/>
                <w:lang w:val="zh-CN"/>
              </w:rPr>
              <w:t>本项目采购代理费由</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zh-CN"/>
              </w:rPr>
              <w:t>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988"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131"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988"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131" w:type="dxa"/>
            <w:tcBorders>
              <w:top w:val="single" w:color="000000" w:sz="8" w:space="0"/>
              <w:left w:val="single" w:color="000000" w:sz="2" w:space="0"/>
              <w:bottom w:val="single" w:color="000000" w:sz="8" w:space="0"/>
              <w:right w:val="single" w:color="000000" w:sz="8" w:space="0"/>
            </w:tcBorders>
            <w:vAlign w:val="center"/>
          </w:tcPr>
          <w:p>
            <w:pPr>
              <w:snapToGrid w:val="0"/>
              <w:spacing w:after="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pPr>
              <w:snapToGrid w:val="0"/>
              <w:spacing w:after="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988" w:type="dxa"/>
            <w:tcBorders>
              <w:top w:val="single" w:color="000000" w:sz="8" w:space="0"/>
              <w:left w:val="single" w:color="000000" w:sz="2" w:space="0"/>
              <w:bottom w:val="single" w:color="auto" w:sz="4" w:space="0"/>
              <w:right w:val="single" w:color="000000" w:sz="8" w:space="0"/>
            </w:tcBorders>
            <w:vAlign w:val="center"/>
          </w:tcPr>
          <w:p>
            <w:pPr>
              <w:spacing w:after="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履约验收</w:t>
            </w:r>
          </w:p>
        </w:tc>
        <w:tc>
          <w:tcPr>
            <w:tcW w:w="6131" w:type="dxa"/>
            <w:tcBorders>
              <w:top w:val="single" w:color="000000" w:sz="8" w:space="0"/>
              <w:left w:val="single" w:color="000000" w:sz="2" w:space="0"/>
              <w:bottom w:val="single" w:color="auto" w:sz="4" w:space="0"/>
              <w:right w:val="single" w:color="000000" w:sz="8"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已有新文件</w:t>
            </w:r>
            <w:r>
              <w:rPr>
                <w:rFonts w:hint="eastAsia" w:ascii="仿宋" w:hAnsi="仿宋" w:eastAsia="仿宋" w:cs="仿宋"/>
                <w:color w:val="auto"/>
                <w:sz w:val="24"/>
                <w:szCs w:val="24"/>
                <w:highlight w:val="none"/>
                <w:lang w:val="en-US" w:eastAsia="zh-CN"/>
              </w:rPr>
              <w:t>规定</w:t>
            </w:r>
            <w:r>
              <w:rPr>
                <w:rFonts w:hint="eastAsia" w:ascii="仿宋" w:hAnsi="仿宋" w:eastAsia="仿宋" w:cs="仿宋"/>
                <w:color w:val="auto"/>
                <w:sz w:val="24"/>
                <w:szCs w:val="24"/>
                <w:highlight w:val="none"/>
              </w:rPr>
              <w:t>，按照最新文件执行）。存在隐蔽工程的项目，采购单位及供应商应在货物到货并将实施安装前，申请进行初验收。</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lang w:val="en-US" w:eastAsia="zh-CN"/>
              </w:rPr>
            </w:pPr>
          </w:p>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p>
            <w:pPr>
              <w:snapToGrid w:val="0"/>
              <w:spacing w:line="360" w:lineRule="auto"/>
              <w:jc w:val="center"/>
              <w:rPr>
                <w:rFonts w:hint="eastAsia" w:ascii="仿宋" w:hAnsi="仿宋" w:eastAsia="仿宋" w:cs="仿宋"/>
                <w:color w:val="auto"/>
                <w:sz w:val="24"/>
                <w:szCs w:val="24"/>
                <w:highlight w:val="none"/>
                <w:lang w:val="en-US" w:eastAsia="zh-CN"/>
              </w:rPr>
            </w:pPr>
          </w:p>
          <w:p>
            <w:pPr>
              <w:snapToGrid w:val="0"/>
              <w:spacing w:line="360" w:lineRule="auto"/>
              <w:jc w:val="center"/>
              <w:rPr>
                <w:rFonts w:hint="eastAsia" w:ascii="仿宋" w:hAnsi="仿宋" w:eastAsia="仿宋" w:cs="仿宋"/>
                <w:color w:val="auto"/>
                <w:sz w:val="24"/>
                <w:szCs w:val="24"/>
                <w:highlight w:val="none"/>
                <w:lang w:val="en-US" w:eastAsia="zh-CN"/>
              </w:rPr>
            </w:pPr>
          </w:p>
          <w:p>
            <w:pPr>
              <w:snapToGrid w:val="0"/>
              <w:spacing w:line="360" w:lineRule="auto"/>
              <w:jc w:val="center"/>
              <w:rPr>
                <w:rFonts w:hint="eastAsia" w:ascii="仿宋" w:hAnsi="仿宋" w:eastAsia="仿宋" w:cs="仿宋"/>
                <w:color w:val="auto"/>
                <w:sz w:val="24"/>
                <w:szCs w:val="24"/>
                <w:highlight w:val="none"/>
                <w:lang w:val="en-US" w:eastAsia="zh-CN"/>
              </w:rPr>
            </w:pPr>
          </w:p>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98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1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p>
        </w:tc>
        <w:tc>
          <w:tcPr>
            <w:tcW w:w="198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369766551"/>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联合体投标的，联合体中有一方或者联合体成员根据分工按招标文件第四部分评标标准要求提供资信证明文件的，视为符合了相关要求。</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严格执行预算限价，项目如涉及办公用房装修、通用办公设备家具的不得超限额标准。（萧财国资【2019】389号）</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988"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投标文件份数</w:t>
            </w:r>
          </w:p>
        </w:tc>
        <w:tc>
          <w:tcPr>
            <w:tcW w:w="6131" w:type="dxa"/>
            <w:tcBorders>
              <w:top w:val="single" w:color="auto" w:sz="4" w:space="0"/>
              <w:left w:val="single" w:color="auto" w:sz="4" w:space="0"/>
              <w:bottom w:val="single" w:color="auto" w:sz="4" w:space="0"/>
              <w:right w:val="single" w:color="auto" w:sz="4" w:space="0"/>
            </w:tcBorders>
            <w:vAlign w:val="center"/>
          </w:tcPr>
          <w:p>
            <w:pPr>
              <w:spacing w:after="0"/>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中标人应在中标后向采购代理机构提供纸质投标文件一正二副（加盖公章）。</w:t>
            </w:r>
          </w:p>
        </w:tc>
      </w:tr>
    </w:tbl>
    <w:p>
      <w:pPr>
        <w:snapToGrid w:val="0"/>
        <w:spacing w:line="360" w:lineRule="auto"/>
        <w:jc w:val="center"/>
        <w:rPr>
          <w:rFonts w:hint="eastAsia" w:ascii="仿宋" w:hAnsi="仿宋" w:eastAsia="仿宋" w:cs="仿宋"/>
          <w:b/>
          <w:color w:val="auto"/>
          <w:sz w:val="32"/>
          <w:szCs w:val="20"/>
          <w:highlight w:val="none"/>
        </w:rPr>
      </w:pPr>
    </w:p>
    <w:p>
      <w:pPr>
        <w:pStyle w:val="805"/>
        <w:rPr>
          <w:rFonts w:hint="eastAsia" w:ascii="仿宋" w:hAnsi="仿宋" w:eastAsia="仿宋" w:cs="仿宋"/>
          <w:b/>
          <w:color w:val="auto"/>
          <w:sz w:val="32"/>
          <w:szCs w:val="20"/>
          <w:highlight w:val="none"/>
        </w:rPr>
      </w:pPr>
    </w:p>
    <w:p>
      <w:pPr>
        <w:pStyle w:val="805"/>
        <w:rPr>
          <w:rFonts w:hint="eastAsia" w:ascii="仿宋" w:hAnsi="仿宋" w:eastAsia="仿宋" w:cs="仿宋"/>
          <w:b/>
          <w:color w:val="auto"/>
          <w:sz w:val="32"/>
          <w:szCs w:val="20"/>
          <w:highlight w:val="none"/>
        </w:rPr>
      </w:pPr>
    </w:p>
    <w:p>
      <w:pPr>
        <w:pStyle w:val="805"/>
        <w:rPr>
          <w:rFonts w:hint="eastAsia" w:ascii="仿宋" w:hAnsi="仿宋" w:eastAsia="仿宋" w:cs="仿宋"/>
          <w:b/>
          <w:color w:val="auto"/>
          <w:sz w:val="32"/>
          <w:szCs w:val="20"/>
          <w:highlight w:val="none"/>
        </w:rPr>
      </w:pPr>
    </w:p>
    <w:p>
      <w:pPr>
        <w:pStyle w:val="805"/>
        <w:rPr>
          <w:rFonts w:hint="eastAsia" w:ascii="仿宋" w:hAnsi="仿宋" w:eastAsia="仿宋" w:cs="仿宋"/>
          <w:b/>
          <w:color w:val="auto"/>
          <w:sz w:val="32"/>
          <w:szCs w:val="20"/>
          <w:highlight w:val="none"/>
        </w:rPr>
      </w:pPr>
    </w:p>
    <w:p>
      <w:pPr>
        <w:pStyle w:val="805"/>
        <w:rPr>
          <w:rFonts w:hint="eastAsia" w:ascii="仿宋" w:hAnsi="仿宋" w:eastAsia="仿宋" w:cs="仿宋"/>
          <w:b/>
          <w:color w:val="auto"/>
          <w:sz w:val="32"/>
          <w:szCs w:val="20"/>
          <w:highlight w:val="none"/>
        </w:rPr>
      </w:pPr>
    </w:p>
    <w:bookmarkEnd w:id="10"/>
    <w:p>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3" w:name="_Toc164416483"/>
      <w:bookmarkStart w:id="14" w:name="第三部分"/>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pPr>
        <w:pStyle w:val="1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4"/>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29"/>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29"/>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29"/>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14.投标文件的提交、补充、修改、撤回</w:t>
      </w:r>
    </w:p>
    <w:p>
      <w:pPr>
        <w:pStyle w:val="12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pPr>
        <w:pStyle w:val="129"/>
        <w:spacing w:before="0"/>
        <w:ind w:firstLine="643"/>
        <w:rPr>
          <w:rFonts w:hint="eastAsia" w:ascii="仿宋" w:hAnsi="仿宋" w:eastAsia="仿宋" w:cs="仿宋"/>
          <w:b/>
          <w:color w:val="auto"/>
          <w:sz w:val="32"/>
          <w:highlight w:val="none"/>
        </w:rPr>
      </w:pPr>
    </w:p>
    <w:p>
      <w:pPr>
        <w:pStyle w:val="129"/>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5"/>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19、资格审查</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29"/>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5"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2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2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6" w:name="_Hlk101184471"/>
      <w:r>
        <w:rPr>
          <w:rFonts w:hint="eastAsia" w:ascii="仿宋" w:hAnsi="仿宋" w:eastAsia="仿宋" w:cs="仿宋"/>
          <w:color w:val="auto"/>
          <w:sz w:val="24"/>
          <w:highlight w:val="none"/>
        </w:rPr>
        <w:t>资格审查情况、评审专家抽取规则、符合性审查情况、</w:t>
      </w:r>
      <w:bookmarkEnd w:id="16"/>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pPr>
        <w:adjustRightInd/>
        <w:spacing w:line="360" w:lineRule="auto"/>
        <w:ind w:firstLine="480" w:firstLineChars="200"/>
        <w:rPr>
          <w:rFonts w:hint="eastAsia" w:ascii="仿宋" w:hAnsi="仿宋" w:eastAsia="仿宋" w:cs="仿宋"/>
          <w:b/>
          <w:color w:val="auto"/>
          <w:sz w:val="32"/>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29"/>
        <w:snapToGrid w:val="0"/>
        <w:spacing w:before="0"/>
        <w:ind w:firstLine="0" w:firstLineChars="0"/>
        <w:rPr>
          <w:rFonts w:hint="eastAsia" w:ascii="仿宋" w:hAnsi="仿宋" w:eastAsia="仿宋" w:cs="仿宋"/>
          <w:color w:val="auto"/>
          <w:sz w:val="24"/>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68057669"/>
      <w:bookmarkEnd w:id="17"/>
      <w:bookmarkStart w:id="18" w:name="_Hlt74730295"/>
      <w:bookmarkEnd w:id="18"/>
      <w:bookmarkStart w:id="19" w:name="_Hlt75236290"/>
      <w:bookmarkEnd w:id="19"/>
      <w:bookmarkStart w:id="20" w:name="_Hlt75236011"/>
      <w:bookmarkEnd w:id="20"/>
      <w:bookmarkStart w:id="21" w:name="_Hlt68073093"/>
      <w:bookmarkEnd w:id="21"/>
      <w:bookmarkStart w:id="22" w:name="_Hlt75236101"/>
      <w:bookmarkEnd w:id="22"/>
      <w:bookmarkStart w:id="23" w:name="_Hlt68403820"/>
      <w:bookmarkEnd w:id="23"/>
      <w:bookmarkStart w:id="24" w:name="_Hlt68072990"/>
      <w:bookmarkEnd w:id="24"/>
      <w:bookmarkStart w:id="25" w:name="_Hlt68072998"/>
      <w:bookmarkEnd w:id="25"/>
      <w:bookmarkStart w:id="26" w:name="_Hlt74707468"/>
      <w:bookmarkEnd w:id="26"/>
      <w:bookmarkStart w:id="27" w:name="_Hlt74714665"/>
      <w:bookmarkEnd w:id="27"/>
      <w:bookmarkStart w:id="28" w:name="_Hlt74729768"/>
      <w:bookmarkEnd w:id="28"/>
    </w:p>
    <w:bookmarkEnd w:id="13"/>
    <w:bookmarkEnd w:id="14"/>
    <w:p>
      <w:pPr>
        <w:spacing w:line="360" w:lineRule="auto"/>
        <w:jc w:val="center"/>
        <w:outlineLvl w:val="0"/>
        <w:rPr>
          <w:rFonts w:hint="eastAsia" w:ascii="仿宋" w:hAnsi="仿宋" w:eastAsia="仿宋" w:cs="仿宋"/>
          <w:b/>
          <w:color w:val="auto"/>
          <w:sz w:val="36"/>
          <w:szCs w:val="36"/>
          <w:highlight w:val="none"/>
        </w:rPr>
      </w:pPr>
      <w:bookmarkStart w:id="29" w:name="第四部分"/>
      <w:r>
        <w:rPr>
          <w:rFonts w:hint="eastAsia" w:ascii="仿宋" w:hAnsi="仿宋" w:eastAsia="仿宋" w:cs="仿宋"/>
          <w:b/>
          <w:color w:val="auto"/>
          <w:sz w:val="36"/>
          <w:szCs w:val="36"/>
          <w:highlight w:val="none"/>
        </w:rPr>
        <w:t>第三部分   采购需求</w:t>
      </w:r>
    </w:p>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8"/>
          <w:szCs w:val="28"/>
          <w:highlight w:val="none"/>
        </w:rPr>
        <w:t>（一）、招标一览表</w:t>
      </w:r>
    </w:p>
    <w:p>
      <w:pPr>
        <w:widowControl/>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标项：</w:t>
      </w:r>
      <w:r>
        <w:rPr>
          <w:rFonts w:hint="eastAsia" w:ascii="仿宋" w:hAnsi="仿宋" w:eastAsia="仿宋" w:cs="仿宋"/>
          <w:b/>
          <w:bCs/>
          <w:color w:val="auto"/>
          <w:sz w:val="24"/>
          <w:szCs w:val="24"/>
          <w:highlight w:val="none"/>
          <w:lang w:val="en-US" w:eastAsia="zh-CN"/>
        </w:rPr>
        <w:t>1</w:t>
      </w:r>
    </w:p>
    <w:tbl>
      <w:tblPr>
        <w:tblStyle w:val="63"/>
        <w:tblpPr w:leftFromText="180" w:rightFromText="180" w:vertAnchor="text" w:horzAnchor="page" w:tblpXSpec="center" w:tblpY="8"/>
        <w:tblOverlap w:val="never"/>
        <w:tblW w:w="5049" w:type="pct"/>
        <w:jc w:val="center"/>
        <w:tblLayout w:type="autofit"/>
        <w:tblCellMar>
          <w:top w:w="0" w:type="dxa"/>
          <w:left w:w="0" w:type="dxa"/>
          <w:bottom w:w="0" w:type="dxa"/>
          <w:right w:w="0" w:type="dxa"/>
        </w:tblCellMar>
      </w:tblPr>
      <w:tblGrid>
        <w:gridCol w:w="625"/>
        <w:gridCol w:w="3880"/>
        <w:gridCol w:w="1634"/>
        <w:gridCol w:w="808"/>
        <w:gridCol w:w="808"/>
        <w:gridCol w:w="970"/>
      </w:tblGrid>
      <w:tr>
        <w:tblPrEx>
          <w:tblCellMar>
            <w:top w:w="0" w:type="dxa"/>
            <w:left w:w="0" w:type="dxa"/>
            <w:bottom w:w="0" w:type="dxa"/>
            <w:right w:w="0" w:type="dxa"/>
          </w:tblCellMar>
        </w:tblPrEx>
        <w:trPr>
          <w:cantSplit/>
          <w:trHeight w:val="663" w:hRule="atLeast"/>
          <w:jc w:val="center"/>
        </w:trPr>
        <w:tc>
          <w:tcPr>
            <w:tcW w:w="35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序号</w:t>
            </w:r>
          </w:p>
        </w:tc>
        <w:tc>
          <w:tcPr>
            <w:tcW w:w="2222"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名称</w:t>
            </w:r>
          </w:p>
        </w:tc>
        <w:tc>
          <w:tcPr>
            <w:tcW w:w="93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服务要求</w:t>
            </w:r>
          </w:p>
        </w:tc>
        <w:tc>
          <w:tcPr>
            <w:tcW w:w="46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w:t>
            </w:r>
          </w:p>
        </w:tc>
        <w:tc>
          <w:tcPr>
            <w:tcW w:w="46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555"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tblPrEx>
          <w:tblCellMar>
            <w:top w:w="0" w:type="dxa"/>
            <w:left w:w="0" w:type="dxa"/>
            <w:bottom w:w="0" w:type="dxa"/>
            <w:right w:w="0" w:type="dxa"/>
          </w:tblCellMar>
        </w:tblPrEx>
        <w:trPr>
          <w:cantSplit/>
          <w:trHeight w:val="873" w:hRule="atLeast"/>
          <w:jc w:val="center"/>
        </w:trPr>
        <w:tc>
          <w:tcPr>
            <w:tcW w:w="35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2222"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 w:val="0"/>
                <w:bCs/>
                <w:color w:val="auto"/>
                <w:sz w:val="24"/>
                <w:highlight w:val="none"/>
                <w:lang w:eastAsia="zh-CN"/>
              </w:rPr>
              <w:t>萧山区城厢街道2023年垃圾分类第三方服务采购项目</w:t>
            </w:r>
          </w:p>
        </w:tc>
        <w:tc>
          <w:tcPr>
            <w:tcW w:w="93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详见招标需求</w:t>
            </w:r>
          </w:p>
        </w:tc>
        <w:tc>
          <w:tcPr>
            <w:tcW w:w="46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户</w:t>
            </w:r>
          </w:p>
        </w:tc>
        <w:tc>
          <w:tcPr>
            <w:tcW w:w="46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63500</w:t>
            </w:r>
          </w:p>
        </w:tc>
        <w:tc>
          <w:tcPr>
            <w:tcW w:w="555"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Cs/>
                <w:color w:val="auto"/>
                <w:sz w:val="24"/>
                <w:szCs w:val="24"/>
                <w:highlight w:val="none"/>
              </w:rPr>
            </w:pPr>
          </w:p>
        </w:tc>
      </w:tr>
    </w:tbl>
    <w:p>
      <w:pPr>
        <w:spacing w:line="360" w:lineRule="auto"/>
        <w:ind w:firstLine="120" w:firstLineChars="50"/>
        <w:rPr>
          <w:rFonts w:hint="eastAsia" w:ascii="仿宋" w:hAnsi="仿宋" w:eastAsia="仿宋" w:cs="仿宋"/>
          <w:b/>
          <w:color w:val="auto"/>
          <w:sz w:val="24"/>
          <w:szCs w:val="24"/>
          <w:highlight w:val="none"/>
        </w:rPr>
      </w:pPr>
    </w:p>
    <w:p>
      <w:pPr>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rPr>
        <w:t>）、招标需求</w:t>
      </w:r>
    </w:p>
    <w:p>
      <w:pPr>
        <w:keepNext w:val="0"/>
        <w:keepLines w:val="0"/>
        <w:pageBreakBefore w:val="0"/>
        <w:widowControl w:val="0"/>
        <w:numPr>
          <w:ilvl w:val="0"/>
          <w:numId w:val="0"/>
        </w:numPr>
        <w:kinsoku/>
        <w:wordWrap/>
        <w:overflowPunct/>
        <w:topLinePunct w:val="0"/>
        <w:autoSpaceDE/>
        <w:autoSpaceDN/>
        <w:bidi w:val="0"/>
        <w:adjustRightInd/>
        <w:spacing w:line="480" w:lineRule="exac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lang w:eastAsia="zh-CN"/>
        </w:rPr>
        <w:t>一</w:t>
      </w:r>
      <w:r>
        <w:rPr>
          <w:rFonts w:hint="eastAsia" w:ascii="仿宋" w:hAnsi="仿宋" w:eastAsia="仿宋" w:cs="仿宋"/>
          <w:b/>
          <w:color w:val="000000"/>
          <w:sz w:val="28"/>
          <w:szCs w:val="28"/>
        </w:rPr>
        <w:t>、服务内容</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w:t>
      </w:r>
      <w:r>
        <w:rPr>
          <w:rFonts w:hint="eastAsia" w:ascii="仿宋" w:hAnsi="仿宋" w:eastAsia="仿宋" w:cs="仿宋"/>
          <w:color w:val="000000"/>
          <w:sz w:val="24"/>
          <w:szCs w:val="24"/>
          <w:lang w:eastAsia="zh-CN"/>
        </w:rPr>
        <w:t>配备</w:t>
      </w:r>
      <w:r>
        <w:rPr>
          <w:rFonts w:hint="eastAsia" w:ascii="仿宋" w:hAnsi="仿宋" w:eastAsia="仿宋" w:cs="仿宋"/>
          <w:color w:val="000000"/>
          <w:sz w:val="24"/>
          <w:szCs w:val="24"/>
        </w:rPr>
        <w:t>分类设施</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b/>
          <w:color w:val="000000"/>
          <w:sz w:val="24"/>
          <w:szCs w:val="24"/>
        </w:rPr>
        <w:t>▲</w:t>
      </w:r>
      <w:r>
        <w:rPr>
          <w:rFonts w:hint="eastAsia" w:ascii="仿宋" w:hAnsi="仿宋" w:eastAsia="仿宋" w:cs="仿宋"/>
          <w:color w:val="000000"/>
          <w:sz w:val="24"/>
          <w:szCs w:val="24"/>
        </w:rPr>
        <w:t>生活小区生活垃圾源头分类工作实施中，</w:t>
      </w:r>
      <w:r>
        <w:rPr>
          <w:rFonts w:hint="eastAsia" w:ascii="仿宋" w:hAnsi="仿宋" w:eastAsia="仿宋" w:cs="仿宋"/>
          <w:color w:val="000000"/>
          <w:sz w:val="24"/>
          <w:szCs w:val="24"/>
          <w:lang w:eastAsia="zh-CN"/>
        </w:rPr>
        <w:t>每个小区</w:t>
      </w:r>
      <w:r>
        <w:rPr>
          <w:rFonts w:hint="eastAsia" w:ascii="仿宋" w:hAnsi="仿宋" w:eastAsia="仿宋" w:cs="仿宋"/>
          <w:color w:val="000000"/>
          <w:sz w:val="24"/>
          <w:szCs w:val="24"/>
        </w:rPr>
        <w:t>应配备</w:t>
      </w:r>
      <w:r>
        <w:rPr>
          <w:rFonts w:hint="eastAsia" w:ascii="仿宋" w:hAnsi="仿宋" w:eastAsia="仿宋" w:cs="仿宋"/>
          <w:color w:val="000000"/>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lang w:val="en-US" w:eastAsia="zh-CN"/>
        </w:rPr>
        <w:t>1、进行垃圾分类的必要设施：</w:t>
      </w:r>
      <w:r>
        <w:rPr>
          <w:rFonts w:hint="eastAsia" w:ascii="仿宋" w:hAnsi="仿宋" w:eastAsia="仿宋" w:cs="仿宋"/>
          <w:b w:val="0"/>
          <w:bCs w:val="0"/>
          <w:color w:val="000000"/>
          <w:sz w:val="24"/>
          <w:szCs w:val="24"/>
          <w:lang w:val="en-US" w:eastAsia="zh-CN"/>
        </w:rPr>
        <w:t>定时定投模式的小区设置定时定投亭。多层小区按照每216户设置投放点位和定时定投亭，高层小区按照每300户设置投放点位和定时定投亭。目前，现有定时定点（含流动三轮车点位）253个，中标人需按照现有标准配备定时定点分类工作人员及收运流动三轮车。新交付小区需要采购流动三轮车的，中标人需无条件配备。老旧小区因场地限制或居民投诉等原因需要将投放点更换为定时定点投放流动三轮车的，经街道同意后，中标人需予以无条件支持。</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000000"/>
          <w:sz w:val="24"/>
          <w:szCs w:val="24"/>
          <w:lang w:val="en-US" w:eastAsia="zh-CN"/>
        </w:rPr>
        <w:t>2、四分类</w:t>
      </w:r>
      <w:r>
        <w:rPr>
          <w:rFonts w:hint="eastAsia" w:ascii="仿宋" w:hAnsi="仿宋" w:eastAsia="仿宋" w:cs="仿宋"/>
          <w:b/>
          <w:bCs/>
          <w:color w:val="000000"/>
          <w:sz w:val="24"/>
          <w:szCs w:val="24"/>
        </w:rPr>
        <w:t>垃圾桶</w:t>
      </w:r>
      <w:r>
        <w:rPr>
          <w:rFonts w:hint="eastAsia" w:ascii="仿宋" w:hAnsi="仿宋" w:eastAsia="仿宋" w:cs="仿宋"/>
          <w:b/>
          <w:bCs/>
          <w:color w:val="000000"/>
          <w:sz w:val="24"/>
          <w:szCs w:val="24"/>
          <w:lang w:eastAsia="zh-CN"/>
        </w:rPr>
        <w:t>：</w:t>
      </w:r>
      <w:r>
        <w:rPr>
          <w:rFonts w:hint="eastAsia" w:ascii="仿宋" w:hAnsi="仿宋" w:eastAsia="仿宋" w:cs="仿宋"/>
          <w:b w:val="0"/>
          <w:bCs w:val="0"/>
          <w:color w:val="000000"/>
          <w:sz w:val="24"/>
          <w:szCs w:val="24"/>
          <w:lang w:val="en-US" w:eastAsia="zh-CN"/>
        </w:rPr>
        <w:t>按照要求需在投放点设置四分类垃圾桶（240升），</w:t>
      </w:r>
      <w:r>
        <w:rPr>
          <w:rFonts w:hint="eastAsia" w:ascii="仿宋" w:hAnsi="仿宋" w:eastAsia="仿宋" w:cs="仿宋"/>
          <w:b w:val="0"/>
          <w:bCs w:val="0"/>
          <w:color w:val="000000"/>
          <w:sz w:val="24"/>
          <w:szCs w:val="24"/>
        </w:rPr>
        <w:t>颜色及标识</w:t>
      </w:r>
      <w:r>
        <w:rPr>
          <w:rFonts w:hint="eastAsia" w:ascii="仿宋" w:hAnsi="仿宋" w:eastAsia="仿宋" w:cs="仿宋"/>
          <w:b w:val="0"/>
          <w:bCs w:val="0"/>
          <w:color w:val="000000"/>
          <w:sz w:val="24"/>
          <w:szCs w:val="24"/>
          <w:lang w:eastAsia="zh-CN"/>
        </w:rPr>
        <w:t>符合最新要求，</w:t>
      </w:r>
      <w:r>
        <w:rPr>
          <w:rFonts w:hint="eastAsia" w:ascii="仿宋" w:hAnsi="仿宋" w:eastAsia="仿宋" w:cs="仿宋"/>
          <w:b w:val="0"/>
          <w:bCs w:val="0"/>
          <w:color w:val="000000"/>
          <w:sz w:val="24"/>
          <w:szCs w:val="24"/>
          <w:lang w:val="en-US" w:eastAsia="zh-CN"/>
        </w:rPr>
        <w:t>同时中标</w:t>
      </w:r>
      <w:r>
        <w:rPr>
          <w:rFonts w:hint="eastAsia" w:ascii="仿宋" w:hAnsi="仿宋" w:eastAsia="仿宋" w:cs="仿宋"/>
          <w:b w:val="0"/>
          <w:bCs w:val="0"/>
          <w:color w:val="auto"/>
          <w:sz w:val="24"/>
          <w:szCs w:val="24"/>
          <w:lang w:val="en-US" w:eastAsia="zh-CN"/>
        </w:rPr>
        <w:t>人按上级主管部门要求做好小区内所有垃圾桶标识及整改工作，鉴于目前小区四分类垃圾桶的产权存在多样性，由中标方配置1000个240升垃圾桶及足够使用的其他三分类垃圾桶（具体按采购人需求采购），在招标服务期限内无偿提供给采购人，由采购人统一进行调度派用，具体四分类桶的比例由采购人确定，质量经采购人确认认可，服务期满时不作退还。</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lang w:eastAsia="zh-CN"/>
        </w:rPr>
        <w:t>每户发放入户</w:t>
      </w:r>
      <w:r>
        <w:rPr>
          <w:rFonts w:hint="eastAsia" w:ascii="仿宋" w:hAnsi="仿宋" w:eastAsia="仿宋" w:cs="仿宋"/>
          <w:b/>
          <w:bCs/>
          <w:color w:val="auto"/>
          <w:sz w:val="24"/>
          <w:szCs w:val="24"/>
          <w:lang w:val="en-US" w:eastAsia="zh-CN"/>
        </w:rPr>
        <w:t>易腐</w:t>
      </w:r>
      <w:r>
        <w:rPr>
          <w:rFonts w:hint="eastAsia" w:ascii="仿宋" w:hAnsi="仿宋" w:eastAsia="仿宋" w:cs="仿宋"/>
          <w:b/>
          <w:bCs/>
          <w:color w:val="auto"/>
          <w:sz w:val="24"/>
          <w:szCs w:val="24"/>
          <w:lang w:eastAsia="zh-CN"/>
        </w:rPr>
        <w:t>垃圾</w:t>
      </w:r>
      <w:r>
        <w:rPr>
          <w:rFonts w:hint="eastAsia" w:ascii="仿宋" w:hAnsi="仿宋" w:eastAsia="仿宋" w:cs="仿宋"/>
          <w:b/>
          <w:bCs/>
          <w:color w:val="auto"/>
          <w:sz w:val="24"/>
          <w:szCs w:val="24"/>
          <w:lang w:val="en-US" w:eastAsia="zh-CN"/>
        </w:rPr>
        <w:t>小</w:t>
      </w:r>
      <w:r>
        <w:rPr>
          <w:rFonts w:hint="eastAsia" w:ascii="仿宋" w:hAnsi="仿宋" w:eastAsia="仿宋" w:cs="仿宋"/>
          <w:b/>
          <w:bCs/>
          <w:color w:val="auto"/>
          <w:sz w:val="24"/>
          <w:szCs w:val="24"/>
          <w:lang w:eastAsia="zh-CN"/>
        </w:rPr>
        <w:t>桶：</w:t>
      </w:r>
      <w:r>
        <w:rPr>
          <w:rFonts w:hint="eastAsia" w:ascii="仿宋" w:hAnsi="仿宋" w:eastAsia="仿宋" w:cs="仿宋"/>
          <w:b w:val="0"/>
          <w:bCs w:val="0"/>
          <w:color w:val="auto"/>
          <w:sz w:val="24"/>
          <w:szCs w:val="24"/>
          <w:lang w:val="en-US" w:eastAsia="zh-CN"/>
        </w:rPr>
        <w:t>2018年-2022年已发放小区不</w:t>
      </w:r>
      <w:r>
        <w:rPr>
          <w:rFonts w:hint="eastAsia" w:ascii="仿宋" w:hAnsi="仿宋" w:eastAsia="仿宋" w:cs="仿宋"/>
          <w:b w:val="0"/>
          <w:bCs w:val="0"/>
          <w:color w:val="000000"/>
          <w:sz w:val="24"/>
          <w:szCs w:val="24"/>
          <w:lang w:val="en-US" w:eastAsia="zh-CN"/>
        </w:rPr>
        <w:t>再发放，但需要给每个社区配备100个左右易腐垃圾小桶供社区替补使用。新投入小区需发放一遍小桶，由采购人确定，房号标签需采用反光条材料，数据需能接入采购人所在的区级平台。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000000"/>
          <w:sz w:val="24"/>
          <w:szCs w:val="24"/>
          <w:lang w:val="en-US" w:eastAsia="zh-CN"/>
        </w:rPr>
        <w:t>4、根据参与情况和数据平台发放小礼品</w:t>
      </w:r>
      <w:r>
        <w:rPr>
          <w:rFonts w:hint="eastAsia" w:ascii="仿宋" w:hAnsi="仿宋" w:eastAsia="仿宋" w:cs="仿宋"/>
          <w:b/>
          <w:bCs/>
          <w:color w:val="000000"/>
          <w:sz w:val="24"/>
          <w:szCs w:val="24"/>
          <w:lang w:eastAsia="zh-CN"/>
        </w:rPr>
        <w:t>：</w:t>
      </w:r>
      <w:r>
        <w:rPr>
          <w:rFonts w:hint="eastAsia" w:ascii="仿宋" w:hAnsi="仿宋" w:eastAsia="仿宋" w:cs="仿宋"/>
          <w:b w:val="0"/>
          <w:bCs w:val="0"/>
          <w:color w:val="000000"/>
          <w:sz w:val="24"/>
          <w:szCs w:val="24"/>
          <w:lang w:val="en-US" w:eastAsia="zh-CN"/>
        </w:rPr>
        <w:t>结合居民参与情况和智能数据平台，</w:t>
      </w:r>
      <w:r>
        <w:rPr>
          <w:rFonts w:hint="eastAsia" w:ascii="仿宋" w:hAnsi="仿宋" w:eastAsia="仿宋" w:cs="仿宋"/>
          <w:b w:val="0"/>
          <w:bCs w:val="0"/>
          <w:color w:val="auto"/>
          <w:sz w:val="24"/>
          <w:szCs w:val="24"/>
          <w:lang w:val="en-US" w:eastAsia="zh-CN"/>
        </w:rPr>
        <w:t>以积分兑换形式的方式发放小礼品（小礼品以油盐酱醋、洗涤清洁用品为佳），原则上每户年平均礼品费用合计35元，要定制积分兑换账本做好相应兑换记录，街道以兑换记录作为结算依据。需发放居民易腐垃圾袋。如后期垃圾分类工作进一步推进需要，中标人需无条件将积分兑换费用交由社区或街道建设的平台统一兑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lang w:eastAsia="zh-CN"/>
        </w:rPr>
        <w:t>封装电子秤：</w:t>
      </w:r>
      <w:r>
        <w:rPr>
          <w:rFonts w:hint="eastAsia" w:ascii="仿宋" w:hAnsi="仿宋" w:eastAsia="仿宋" w:cs="仿宋"/>
          <w:b w:val="0"/>
          <w:bCs w:val="0"/>
          <w:color w:val="auto"/>
          <w:sz w:val="24"/>
          <w:szCs w:val="24"/>
          <w:lang w:val="en-US" w:eastAsia="zh-CN"/>
        </w:rPr>
        <w:t>中标人需</w:t>
      </w:r>
      <w:r>
        <w:rPr>
          <w:rFonts w:hint="eastAsia" w:ascii="仿宋" w:hAnsi="仿宋" w:eastAsia="仿宋" w:cs="仿宋"/>
          <w:b/>
          <w:bCs/>
          <w:color w:val="auto"/>
          <w:sz w:val="24"/>
          <w:szCs w:val="24"/>
          <w:lang w:val="en-US" w:eastAsia="zh-CN"/>
        </w:rPr>
        <w:t>按照垃圾分类3.0要求，每个小区配置一台地磅电子秤</w:t>
      </w:r>
      <w:r>
        <w:rPr>
          <w:rFonts w:hint="eastAsia" w:ascii="仿宋" w:hAnsi="仿宋" w:eastAsia="仿宋" w:cs="仿宋"/>
          <w:b w:val="0"/>
          <w:bCs w:val="0"/>
          <w:color w:val="auto"/>
          <w:sz w:val="24"/>
          <w:szCs w:val="24"/>
          <w:lang w:val="en-US" w:eastAsia="zh-CN"/>
        </w:rPr>
        <w:t>，配置屏幕和监控设备，接通水电。其他点位根据不同的分类模式和收运方式，按照采购人规定的要求，在运营过程中配备及使用相应数量的智能电子秤，并对每户投放信息纳入智能数据系统，中标人需承担以上所有电子秤的相关运行流量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6、回收和转运车辆</w:t>
      </w:r>
      <w:r>
        <w:rPr>
          <w:rFonts w:hint="eastAsia" w:ascii="仿宋" w:hAnsi="仿宋" w:eastAsia="仿宋" w:cs="仿宋"/>
          <w:color w:val="auto"/>
          <w:sz w:val="24"/>
          <w:szCs w:val="24"/>
          <w:lang w:val="en-US" w:eastAsia="zh-CN"/>
        </w:rPr>
        <w:t>：由于服务项目的特殊性，以及采购人下辖小区所处的地理位置的实际情况，</w:t>
      </w:r>
      <w:r>
        <w:rPr>
          <w:rFonts w:hint="eastAsia" w:ascii="仿宋" w:hAnsi="仿宋" w:eastAsia="仿宋" w:cs="仿宋"/>
          <w:b w:val="0"/>
          <w:bCs w:val="0"/>
          <w:color w:val="auto"/>
          <w:sz w:val="24"/>
          <w:szCs w:val="24"/>
          <w:lang w:val="en-US" w:eastAsia="zh-CN"/>
        </w:rPr>
        <w:t>中标人需按照不同的分类模式及采购人实际需求安排回收和转运三轮电瓶车辆</w:t>
      </w:r>
      <w:r>
        <w:rPr>
          <w:rFonts w:hint="eastAsia" w:ascii="仿宋" w:hAnsi="仿宋" w:eastAsia="仿宋" w:cs="仿宋"/>
          <w:b w:val="0"/>
          <w:bCs w:val="0"/>
          <w:strike w:val="0"/>
          <w:dstrike w:val="0"/>
          <w:color w:val="auto"/>
          <w:sz w:val="24"/>
          <w:szCs w:val="24"/>
          <w:lang w:val="en-US" w:eastAsia="zh-CN"/>
        </w:rPr>
        <w:t>，</w:t>
      </w:r>
      <w:r>
        <w:rPr>
          <w:rFonts w:hint="eastAsia" w:ascii="仿宋" w:hAnsi="仿宋" w:eastAsia="仿宋" w:cs="仿宋"/>
          <w:b w:val="0"/>
          <w:bCs w:val="0"/>
          <w:color w:val="auto"/>
          <w:sz w:val="24"/>
          <w:szCs w:val="24"/>
          <w:lang w:val="en-US" w:eastAsia="zh-CN"/>
        </w:rPr>
        <w:t>要求款式统一。定时定投模式需安排车辆对各点位（含误时投放点）的易腐垃圾和无物业管理的小区以及采购人确定认可的部分小区的其他垃圾进行收运和转运至集置点。</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highlight w:val="none"/>
          <w:lang w:val="en-US" w:eastAsia="zh-CN"/>
        </w:rPr>
        <w:t>再生资源网点</w:t>
      </w:r>
      <w:r>
        <w:rPr>
          <w:rFonts w:hint="eastAsia" w:ascii="仿宋" w:hAnsi="仿宋" w:eastAsia="仿宋" w:cs="仿宋"/>
          <w:b/>
          <w:bCs/>
          <w:color w:val="auto"/>
          <w:sz w:val="24"/>
          <w:szCs w:val="24"/>
          <w:lang w:val="en-US" w:eastAsia="zh-CN"/>
        </w:rPr>
        <w:t>及回收处置系统、居民积分兑换系统：</w:t>
      </w:r>
      <w:r>
        <w:rPr>
          <w:rFonts w:hint="eastAsia" w:ascii="仿宋" w:hAnsi="仿宋" w:eastAsia="仿宋" w:cs="仿宋"/>
          <w:b w:val="0"/>
          <w:bCs w:val="0"/>
          <w:color w:val="auto"/>
          <w:sz w:val="24"/>
          <w:szCs w:val="24"/>
          <w:lang w:val="en-US" w:eastAsia="zh-CN"/>
        </w:rPr>
        <w:t>原则上每个社区需至少配置一个再生资源回收网点，1000户以上的小区需另外单独设立，可回收物回量需接入数据平台，可以采用积分兑换的形式，也可以现金结算。每个社区配置一台积分兑换机。（以上再生资源回收网点需由中标人自行设置或由中标人委托合作单位进行设置，且必须将数据接入采购人所属的区级数据平台）</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auto"/>
          <w:kern w:val="0"/>
          <w:sz w:val="24"/>
          <w:szCs w:val="24"/>
          <w:shd w:val="clear" w:color="auto" w:fill="FFFFFF"/>
          <w:lang w:val="en-US" w:eastAsia="zh-CN"/>
        </w:rPr>
        <w:t>8、</w:t>
      </w:r>
      <w:r>
        <w:rPr>
          <w:rFonts w:hint="eastAsia" w:ascii="仿宋" w:hAnsi="仿宋" w:eastAsia="仿宋" w:cs="仿宋"/>
          <w:b/>
          <w:bCs/>
          <w:color w:val="auto"/>
          <w:kern w:val="0"/>
          <w:sz w:val="24"/>
          <w:szCs w:val="24"/>
          <w:shd w:val="clear" w:color="auto" w:fill="FFFFFF"/>
        </w:rPr>
        <w:t>云管理平台</w:t>
      </w:r>
      <w:r>
        <w:rPr>
          <w:rFonts w:hint="eastAsia" w:ascii="仿宋" w:hAnsi="仿宋" w:eastAsia="仿宋" w:cs="仿宋"/>
          <w:b/>
          <w:bCs/>
          <w:color w:val="auto"/>
          <w:kern w:val="0"/>
          <w:sz w:val="24"/>
          <w:szCs w:val="24"/>
          <w:shd w:val="clear" w:color="auto" w:fill="FFFFFF"/>
          <w:lang w:eastAsia="zh-CN"/>
        </w:rPr>
        <w:t>：</w:t>
      </w:r>
      <w:r>
        <w:rPr>
          <w:rFonts w:hint="eastAsia" w:ascii="仿宋" w:hAnsi="仿宋" w:eastAsia="仿宋" w:cs="仿宋"/>
          <w:b w:val="0"/>
          <w:bCs w:val="0"/>
          <w:color w:val="auto"/>
          <w:kern w:val="0"/>
          <w:sz w:val="24"/>
          <w:szCs w:val="24"/>
          <w:shd w:val="clear" w:color="auto" w:fill="FFFFFF"/>
          <w:lang w:val="en-US" w:eastAsia="zh-CN"/>
        </w:rPr>
        <w:t>需符</w:t>
      </w:r>
      <w:r>
        <w:rPr>
          <w:rFonts w:hint="eastAsia" w:ascii="仿宋" w:hAnsi="仿宋" w:eastAsia="仿宋" w:cs="仿宋"/>
          <w:b w:val="0"/>
          <w:bCs w:val="0"/>
          <w:color w:val="000000"/>
          <w:kern w:val="0"/>
          <w:sz w:val="24"/>
          <w:szCs w:val="24"/>
          <w:shd w:val="clear" w:color="auto" w:fill="FFFFFF"/>
          <w:lang w:val="en-US" w:eastAsia="zh-CN"/>
        </w:rPr>
        <w:t>合采购人所在的区级有关部门的规定，并能接入区级有关部门智慧平台数据。</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lang w:val="en-US" w:eastAsia="zh-CN"/>
        </w:rPr>
        <w:t>9、</w:t>
      </w:r>
      <w:r>
        <w:rPr>
          <w:rFonts w:hint="eastAsia" w:ascii="仿宋" w:hAnsi="仿宋" w:eastAsia="仿宋" w:cs="仿宋"/>
          <w:b/>
          <w:bCs/>
          <w:color w:val="000000"/>
          <w:sz w:val="24"/>
          <w:szCs w:val="24"/>
        </w:rPr>
        <w:t>管养设施等分类设施</w:t>
      </w:r>
      <w:r>
        <w:rPr>
          <w:rFonts w:hint="eastAsia" w:ascii="仿宋" w:hAnsi="仿宋" w:eastAsia="仿宋" w:cs="仿宋"/>
          <w:b/>
          <w:bCs/>
          <w:color w:val="000000"/>
          <w:sz w:val="24"/>
          <w:szCs w:val="24"/>
          <w:lang w:eastAsia="zh-CN"/>
        </w:rPr>
        <w:t>：</w:t>
      </w:r>
      <w:r>
        <w:rPr>
          <w:rFonts w:hint="eastAsia" w:ascii="仿宋" w:hAnsi="仿宋" w:eastAsia="仿宋" w:cs="仿宋"/>
          <w:b w:val="0"/>
          <w:bCs w:val="0"/>
          <w:color w:val="000000"/>
          <w:sz w:val="24"/>
          <w:szCs w:val="24"/>
          <w:lang w:val="en-US" w:eastAsia="zh-CN"/>
        </w:rPr>
        <w:t>在具体实施中除符合《杭州市垃圾分类收集设施设置导则》的要求以外，中标人还需根据实际情况，配置采购人指定的其他管养设施。中标人所有平台、智能发袋机、再生资源系统等设施设备需无条件支持和打通采购人建成的平台及系统，如城和街平台等。</w:t>
      </w:r>
    </w:p>
    <w:p>
      <w:pPr>
        <w:keepNext w:val="0"/>
        <w:keepLines w:val="0"/>
        <w:pageBreakBefore w:val="0"/>
        <w:widowControl w:val="0"/>
        <w:numPr>
          <w:ilvl w:val="0"/>
          <w:numId w:val="0"/>
        </w:numPr>
        <w:kinsoku/>
        <w:wordWrap/>
        <w:overflowPunct/>
        <w:topLinePunct w:val="0"/>
        <w:autoSpaceDE/>
        <w:autoSpaceDN/>
        <w:bidi w:val="0"/>
        <w:adjustRightInd/>
        <w:spacing w:line="480" w:lineRule="exact"/>
        <w:textAlignment w:val="auto"/>
        <w:rPr>
          <w:rFonts w:hint="eastAsia" w:ascii="仿宋" w:hAnsi="仿宋" w:eastAsia="仿宋" w:cs="仿宋"/>
          <w:b/>
          <w:color w:val="000000"/>
          <w:sz w:val="28"/>
          <w:szCs w:val="28"/>
          <w:lang w:val="en-US"/>
        </w:rPr>
      </w:pPr>
      <w:r>
        <w:rPr>
          <w:rFonts w:hint="eastAsia" w:ascii="仿宋" w:hAnsi="仿宋" w:eastAsia="仿宋" w:cs="仿宋"/>
          <w:b/>
          <w:color w:val="000000"/>
          <w:sz w:val="28"/>
          <w:szCs w:val="28"/>
          <w:lang w:val="en-US" w:eastAsia="zh-CN"/>
        </w:rPr>
        <w:t>二、服务要求</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1、进行垃圾分类的必要设施：</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定时定点模式小区定时定投分类亭：多层小区服务期间需提供定时定点分类亭：要求长3600*宽1600*高2200，具体颜色根据小区环境，由采购人指定，顶部覆盖有机玻璃，背面及左右两面设广告位张贴垃圾分类相关广告，有接电条件的需安装电源照明灯，无接电条件的顶部需安装太阳能照明光源，原则上需配备洗手池）。根据具体实施小区的特殊情况，分类亭可进行特殊定制。底部需进行固定并附合安全使用标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b w:val="0"/>
          <w:bCs w:val="0"/>
          <w:color w:val="000000"/>
          <w:kern w:val="2"/>
          <w:sz w:val="24"/>
          <w:szCs w:val="24"/>
          <w:lang w:val="en-US" w:eastAsia="zh-CN" w:bidi="ar-SA"/>
        </w:rPr>
        <w:t>▲ 前期由原服务单位已经设置的分类亭产权系原服务单位所有，投标人须提供承诺书，承诺中标后并在</w:t>
      </w:r>
      <w:r>
        <w:rPr>
          <w:rFonts w:hint="eastAsia" w:ascii="仿宋" w:hAnsi="仿宋" w:eastAsia="仿宋" w:cs="仿宋"/>
          <w:b w:val="0"/>
          <w:bCs/>
          <w:color w:val="000000"/>
          <w:sz w:val="24"/>
          <w:szCs w:val="24"/>
          <w:lang w:val="en-US" w:eastAsia="zh-CN"/>
        </w:rPr>
        <w:t>合同签订后一个月内</w:t>
      </w:r>
      <w:r>
        <w:rPr>
          <w:rFonts w:hint="eastAsia" w:ascii="仿宋" w:hAnsi="仿宋" w:eastAsia="仿宋" w:cs="仿宋"/>
          <w:b w:val="0"/>
          <w:bCs w:val="0"/>
          <w:color w:val="000000"/>
          <w:kern w:val="2"/>
          <w:sz w:val="24"/>
          <w:szCs w:val="24"/>
          <w:lang w:val="en-US" w:eastAsia="zh-CN" w:bidi="ar-SA"/>
        </w:rPr>
        <w:t>，中标人需根据采购人需求重新设置购买或与原服务单位协商折价购买，该费用包含在投标总价中，若无法按时重新购置到位或无法按时协商折价购买到位并完成支付的，则视为主动放弃，合同自动终止，并且对采购人造成的损失由中标人承担。（投标单位必须提供承诺书）</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val="0"/>
          <w:bCs w:val="0"/>
          <w:color w:val="000000"/>
          <w:sz w:val="24"/>
          <w:szCs w:val="24"/>
          <w:lang w:eastAsia="zh-CN"/>
        </w:rPr>
      </w:pPr>
      <w:r>
        <w:rPr>
          <w:rFonts w:hint="eastAsia" w:ascii="仿宋" w:hAnsi="仿宋" w:eastAsia="仿宋" w:cs="仿宋"/>
          <w:b/>
          <w:bCs/>
          <w:color w:val="000000"/>
          <w:sz w:val="24"/>
          <w:szCs w:val="24"/>
          <w:lang w:val="en-US" w:eastAsia="zh-CN"/>
        </w:rPr>
        <w:t>2、</w:t>
      </w:r>
      <w:r>
        <w:rPr>
          <w:rFonts w:hint="eastAsia" w:ascii="仿宋" w:hAnsi="仿宋" w:eastAsia="仿宋" w:cs="仿宋"/>
          <w:b/>
          <w:bCs/>
          <w:color w:val="000000"/>
          <w:sz w:val="24"/>
          <w:szCs w:val="24"/>
        </w:rPr>
        <w:t>垃圾桶：</w:t>
      </w:r>
      <w:r>
        <w:rPr>
          <w:rFonts w:hint="eastAsia" w:ascii="仿宋" w:hAnsi="仿宋" w:eastAsia="仿宋" w:cs="仿宋"/>
          <w:b w:val="0"/>
          <w:bCs w:val="0"/>
          <w:color w:val="000000"/>
          <w:sz w:val="24"/>
          <w:szCs w:val="24"/>
        </w:rPr>
        <w:t>垃圾桶主要技术参数应当符合以下要求</w:t>
      </w:r>
      <w:r>
        <w:rPr>
          <w:rFonts w:hint="eastAsia" w:ascii="仿宋" w:hAnsi="仿宋" w:eastAsia="仿宋" w:cs="仿宋"/>
          <w:b w:val="0"/>
          <w:bCs w:val="0"/>
          <w:color w:val="000000"/>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规格：容量≥240L，总重量≥16kg，桶身重量（不包括盖、轮、轴、插销等）为≥11kg</w:t>
      </w:r>
      <w:r>
        <w:rPr>
          <w:rFonts w:hint="eastAsia" w:ascii="仿宋" w:hAnsi="仿宋" w:eastAsia="仿宋" w:cs="仿宋"/>
          <w:b w:val="0"/>
          <w:bCs w:val="0"/>
          <w:color w:val="000000"/>
          <w:sz w:val="24"/>
          <w:szCs w:val="24"/>
          <w:lang w:eastAsia="zh-CN"/>
        </w:rPr>
        <w:t>，</w:t>
      </w:r>
      <w:r>
        <w:rPr>
          <w:rFonts w:hint="eastAsia" w:ascii="仿宋" w:hAnsi="仿宋" w:eastAsia="仿宋" w:cs="仿宋"/>
          <w:b/>
          <w:bCs/>
          <w:color w:val="000000"/>
          <w:sz w:val="24"/>
          <w:szCs w:val="24"/>
          <w:lang w:eastAsia="zh-CN"/>
        </w:rPr>
        <w:t>易腐垃圾桶容量可</w:t>
      </w:r>
      <w:r>
        <w:rPr>
          <w:rFonts w:hint="eastAsia" w:ascii="仿宋" w:hAnsi="仿宋" w:eastAsia="仿宋" w:cs="仿宋"/>
          <w:b/>
          <w:bCs/>
          <w:color w:val="000000"/>
          <w:sz w:val="24"/>
          <w:szCs w:val="24"/>
          <w:lang w:val="en-US" w:eastAsia="zh-CN"/>
        </w:rPr>
        <w:t>根据实际因素</w:t>
      </w:r>
      <w:r>
        <w:rPr>
          <w:rFonts w:hint="eastAsia" w:ascii="仿宋" w:hAnsi="仿宋" w:eastAsia="仿宋" w:cs="仿宋"/>
          <w:b/>
          <w:bCs/>
          <w:color w:val="000000"/>
          <w:sz w:val="24"/>
          <w:szCs w:val="24"/>
          <w:lang w:eastAsia="zh-CN"/>
        </w:rPr>
        <w:t>用</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120</w:t>
      </w:r>
      <w:r>
        <w:rPr>
          <w:rFonts w:hint="eastAsia" w:ascii="仿宋" w:hAnsi="仿宋" w:eastAsia="仿宋" w:cs="仿宋"/>
          <w:b/>
          <w:bCs/>
          <w:color w:val="000000"/>
          <w:sz w:val="24"/>
          <w:szCs w:val="24"/>
        </w:rPr>
        <w:t>L</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但需采购人确定。</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材料：采用100%高密度聚乙烯全新料添加增强、抗紫外线剂，轮毂及辋圈采用高密度聚乙烯，轮胎外圈采用橡胶材质，轮轴采用45#中碳钢；</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厚度：桶身壁≥4.5mm，桶口及加强筋厚度≥6mm，桶盖厚度≥3mm。</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通体前口与车辆提升机架配合处加有加强筋，提高运载能力，装载重量≥150kg；</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正常使用温度为-25℃—65℃，产品投入使用起一年内不褪色；</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垃圾桶的技术条件和要求能均达到国家</w:t>
      </w:r>
      <w:bookmarkStart w:id="30" w:name="OLE_LINK1"/>
      <w:r>
        <w:rPr>
          <w:rFonts w:hint="eastAsia" w:ascii="仿宋" w:hAnsi="仿宋" w:eastAsia="仿宋" w:cs="仿宋"/>
          <w:b w:val="0"/>
          <w:bCs w:val="0"/>
          <w:color w:val="000000"/>
          <w:sz w:val="24"/>
          <w:szCs w:val="24"/>
        </w:rPr>
        <w:t>CJ/T280-2008</w:t>
      </w:r>
      <w:bookmarkEnd w:id="30"/>
      <w:r>
        <w:rPr>
          <w:rFonts w:hint="eastAsia" w:ascii="仿宋" w:hAnsi="仿宋" w:eastAsia="仿宋" w:cs="仿宋"/>
          <w:b w:val="0"/>
          <w:bCs w:val="0"/>
          <w:color w:val="000000"/>
          <w:sz w:val="24"/>
          <w:szCs w:val="24"/>
        </w:rPr>
        <w:t>行业标准。</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颜色及标识：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a.桶体颜色：</w:t>
      </w:r>
      <w:r>
        <w:rPr>
          <w:rFonts w:hint="eastAsia" w:ascii="仿宋" w:hAnsi="仿宋" w:eastAsia="仿宋" w:cs="仿宋"/>
          <w:b w:val="0"/>
          <w:bCs w:val="0"/>
          <w:color w:val="000000"/>
          <w:sz w:val="24"/>
          <w:szCs w:val="24"/>
          <w:lang w:val="en-US" w:eastAsia="zh-CN"/>
        </w:rPr>
        <w:t>需附合相关规定标准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b．产品标识：垃圾桶四面</w:t>
      </w:r>
      <w:r>
        <w:rPr>
          <w:rFonts w:hint="eastAsia" w:ascii="仿宋" w:hAnsi="仿宋" w:eastAsia="仿宋" w:cs="仿宋"/>
          <w:b w:val="0"/>
          <w:bCs w:val="0"/>
          <w:color w:val="000000"/>
          <w:sz w:val="24"/>
          <w:szCs w:val="24"/>
          <w:lang w:val="en-US" w:eastAsia="zh-CN"/>
        </w:rPr>
        <w:t>及</w:t>
      </w:r>
      <w:r>
        <w:rPr>
          <w:rFonts w:hint="eastAsia" w:ascii="仿宋" w:hAnsi="仿宋" w:eastAsia="仿宋" w:cs="仿宋"/>
          <w:b w:val="0"/>
          <w:bCs w:val="0"/>
          <w:color w:val="000000"/>
          <w:sz w:val="24"/>
          <w:szCs w:val="24"/>
        </w:rPr>
        <w:t>顶盖，应标注分类标识、图案、文字说明，标识统一采用白色，丝网印刷，标志、图案、文字说明需保证其牢固性、永久性、禁止脱落。</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3、入户垃圾桶：</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容积</w:t>
      </w:r>
      <w:r>
        <w:rPr>
          <w:rFonts w:hint="eastAsia" w:ascii="仿宋" w:hAnsi="仿宋" w:eastAsia="仿宋" w:cs="仿宋"/>
          <w:b w:val="0"/>
          <w:bCs w:val="0"/>
          <w:color w:val="000000"/>
          <w:sz w:val="24"/>
          <w:szCs w:val="24"/>
          <w:lang w:val="en-US" w:eastAsia="zh-CN"/>
        </w:rPr>
        <w:t>8.</w:t>
      </w:r>
      <w:r>
        <w:rPr>
          <w:rFonts w:hint="eastAsia" w:ascii="仿宋" w:hAnsi="仿宋" w:eastAsia="仿宋" w:cs="仿宋"/>
          <w:b w:val="0"/>
          <w:bCs w:val="0"/>
          <w:color w:val="000000"/>
          <w:sz w:val="24"/>
          <w:szCs w:val="24"/>
        </w:rPr>
        <w:t>5L</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需内设智能芯片，用于数据传输和接入平台</w:t>
      </w:r>
      <w:r>
        <w:rPr>
          <w:rFonts w:hint="eastAsia" w:ascii="仿宋" w:hAnsi="仿宋" w:eastAsia="仿宋" w:cs="仿宋"/>
          <w:b w:val="0"/>
          <w:bCs w:val="0"/>
          <w:color w:val="000000"/>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整桶（含桶盖等其他附件）重量：≥0.6kg</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桶盖内侧有密封条，外侧有锁扣，桶身带拎手，拎手双层加厚。</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材料：全桶均使用共聚全新料（包括拎手的附件）。生产过程中允许添加改变桶色的色粉和抗氧化、抗紫外线、抗老化的添加剂，除此之外不允许使用任回料或再生料。</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桶体须为一次性注塑成型，无接缝，具有耐腐蚀、耐酸碱，并有足够的机械强度和良好的冲击韧性。</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适用温度：－20℃－65℃气温下，不发生变形、开裂等损坏。</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桶体壁厚</w:t>
      </w:r>
      <w:r>
        <w:rPr>
          <w:rFonts w:hint="eastAsia" w:ascii="仿宋" w:hAnsi="仿宋" w:eastAsia="仿宋" w:cs="仿宋"/>
          <w:b w:val="0"/>
          <w:bCs w:val="0"/>
          <w:color w:val="000000"/>
          <w:sz w:val="24"/>
          <w:szCs w:val="24"/>
          <w:lang w:val="en-US" w:eastAsia="zh-CN"/>
        </w:rPr>
        <w:t>≥</w:t>
      </w:r>
      <w:r>
        <w:rPr>
          <w:rFonts w:hint="eastAsia" w:ascii="仿宋" w:hAnsi="仿宋" w:eastAsia="仿宋" w:cs="仿宋"/>
          <w:b w:val="0"/>
          <w:bCs w:val="0"/>
          <w:color w:val="000000"/>
          <w:sz w:val="24"/>
          <w:szCs w:val="24"/>
        </w:rPr>
        <w:t>1.8mm，桶口及加强筋壁厚</w:t>
      </w:r>
      <w:r>
        <w:rPr>
          <w:rFonts w:hint="eastAsia" w:ascii="仿宋" w:hAnsi="仿宋" w:eastAsia="仿宋" w:cs="仿宋"/>
          <w:b w:val="0"/>
          <w:bCs w:val="0"/>
          <w:color w:val="000000"/>
          <w:sz w:val="24"/>
          <w:szCs w:val="24"/>
          <w:lang w:val="en-US" w:eastAsia="zh-CN"/>
        </w:rPr>
        <w:t>≥</w:t>
      </w:r>
      <w:r>
        <w:rPr>
          <w:rFonts w:hint="eastAsia" w:ascii="仿宋" w:hAnsi="仿宋" w:eastAsia="仿宋" w:cs="仿宋"/>
          <w:b w:val="0"/>
          <w:bCs w:val="0"/>
          <w:color w:val="000000"/>
          <w:sz w:val="24"/>
          <w:szCs w:val="24"/>
        </w:rPr>
        <w:t>3.0mm。</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其他技术参数要求及物理性能均符合《中华人民共和国城镇建设行业标准-垃圾桶通用技术条件》，标准号：CJ/T280-2008</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色彩鲜艳，且至少两年内不褪色。</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样式、标识要求：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b/>
          <w:bCs/>
          <w:color w:val="000000"/>
          <w:sz w:val="24"/>
          <w:szCs w:val="24"/>
          <w:u w:val="none"/>
          <w:lang w:val="en-US" w:eastAsia="zh-CN"/>
        </w:rPr>
        <w:t>桶顶和桶前需有相关标识，样式及标识以采购人指定的样式和标识为准。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4、小礼品：</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小礼品涵盖居民日常生活必要的油盐酱醋、洗涤清洁用品为主。</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质量：所有提供小礼品均应符合国家相关法律法规及标准。</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5、</w:t>
      </w:r>
      <w:r>
        <w:rPr>
          <w:rFonts w:hint="eastAsia" w:ascii="仿宋" w:hAnsi="仿宋" w:eastAsia="仿宋" w:cs="仿宋"/>
          <w:b/>
          <w:bCs/>
          <w:color w:val="000000"/>
          <w:sz w:val="24"/>
          <w:szCs w:val="24"/>
          <w:lang w:eastAsia="zh-CN"/>
        </w:rPr>
        <w:t>封装电子秤：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 xml:space="preserve">    </w:t>
      </w:r>
      <w:r>
        <w:rPr>
          <w:rFonts w:hint="eastAsia" w:ascii="仿宋" w:hAnsi="仿宋" w:eastAsia="仿宋" w:cs="仿宋"/>
          <w:b w:val="0"/>
          <w:bCs/>
          <w:color w:val="000000"/>
          <w:sz w:val="24"/>
          <w:szCs w:val="24"/>
        </w:rPr>
        <w:t>▲</w:t>
      </w:r>
      <w:r>
        <w:rPr>
          <w:rFonts w:hint="eastAsia" w:ascii="仿宋" w:hAnsi="仿宋" w:eastAsia="仿宋" w:cs="仿宋"/>
          <w:b w:val="0"/>
          <w:bCs w:val="0"/>
          <w:color w:val="000000"/>
          <w:sz w:val="24"/>
          <w:szCs w:val="24"/>
          <w:lang w:eastAsia="zh-CN"/>
        </w:rPr>
        <w:t>在每个定时定</w:t>
      </w:r>
      <w:r>
        <w:rPr>
          <w:rFonts w:hint="eastAsia" w:ascii="仿宋" w:hAnsi="仿宋" w:eastAsia="仿宋" w:cs="仿宋"/>
          <w:b w:val="0"/>
          <w:bCs w:val="0"/>
          <w:color w:val="000000"/>
          <w:sz w:val="24"/>
          <w:szCs w:val="24"/>
          <w:lang w:val="en-US" w:eastAsia="zh-CN"/>
        </w:rPr>
        <w:t>投</w:t>
      </w:r>
      <w:r>
        <w:rPr>
          <w:rFonts w:hint="eastAsia" w:ascii="仿宋" w:hAnsi="仿宋" w:eastAsia="仿宋" w:cs="仿宋"/>
          <w:b w:val="0"/>
          <w:bCs w:val="0"/>
          <w:color w:val="000000"/>
          <w:sz w:val="24"/>
          <w:szCs w:val="24"/>
          <w:lang w:eastAsia="zh-CN"/>
        </w:rPr>
        <w:t>投放点、</w:t>
      </w:r>
      <w:r>
        <w:rPr>
          <w:rFonts w:hint="eastAsia" w:ascii="仿宋" w:hAnsi="仿宋" w:eastAsia="仿宋" w:cs="仿宋"/>
          <w:b w:val="0"/>
          <w:bCs w:val="0"/>
          <w:color w:val="000000"/>
          <w:sz w:val="24"/>
          <w:szCs w:val="24"/>
          <w:lang w:val="en-US" w:eastAsia="zh-CN"/>
        </w:rPr>
        <w:t>收运车、</w:t>
      </w:r>
      <w:r>
        <w:rPr>
          <w:rFonts w:hint="eastAsia" w:ascii="仿宋" w:hAnsi="仿宋" w:eastAsia="仿宋" w:cs="仿宋"/>
          <w:b w:val="0"/>
          <w:bCs w:val="0"/>
          <w:color w:val="000000"/>
          <w:sz w:val="24"/>
          <w:szCs w:val="24"/>
          <w:lang w:eastAsia="zh-CN"/>
        </w:rPr>
        <w:t>再生资源网点按配置使用封装电子秤，</w:t>
      </w:r>
      <w:r>
        <w:rPr>
          <w:rFonts w:hint="eastAsia" w:ascii="仿宋" w:hAnsi="仿宋" w:eastAsia="仿宋" w:cs="仿宋"/>
          <w:b w:val="0"/>
          <w:bCs w:val="0"/>
          <w:color w:val="000000"/>
          <w:sz w:val="24"/>
          <w:szCs w:val="24"/>
          <w:lang w:val="en-US" w:eastAsia="zh-CN"/>
        </w:rPr>
        <w:t>由中标人自行购买用于本项目，</w:t>
      </w:r>
      <w:r>
        <w:rPr>
          <w:rFonts w:hint="eastAsia" w:ascii="仿宋" w:hAnsi="仿宋" w:eastAsia="仿宋" w:cs="仿宋"/>
          <w:b w:val="0"/>
          <w:bCs w:val="0"/>
          <w:color w:val="000000"/>
          <w:kern w:val="2"/>
          <w:sz w:val="24"/>
          <w:szCs w:val="24"/>
          <w:lang w:val="en-US" w:eastAsia="zh-CN" w:bidi="ar-SA"/>
        </w:rPr>
        <w:t>该费用包含在投标总价中。</w:t>
      </w:r>
      <w:r>
        <w:rPr>
          <w:rFonts w:hint="eastAsia" w:ascii="仿宋" w:hAnsi="仿宋" w:eastAsia="仿宋" w:cs="仿宋"/>
          <w:b w:val="0"/>
          <w:bCs w:val="0"/>
          <w:color w:val="000000"/>
          <w:sz w:val="24"/>
          <w:szCs w:val="24"/>
          <w:lang w:eastAsia="zh-CN"/>
        </w:rPr>
        <w:t>实现四分类垃圾数据实时上传至萧山区生活垃圾分类智能智能监管平台。</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0" w:leftChars="0" w:firstLine="40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实现四分类垃圾数据实时上传且准确无误至萧山区生活垃圾分类智能监管平台（城市大脑）。</w:t>
      </w:r>
      <w:r>
        <w:rPr>
          <w:rFonts w:hint="eastAsia" w:ascii="仿宋" w:hAnsi="仿宋" w:eastAsia="仿宋" w:cs="仿宋"/>
          <w:color w:val="000000"/>
          <w:sz w:val="24"/>
          <w:szCs w:val="24"/>
        </w:rPr>
        <w:t>电子秤有扫码口，扫码二维码自动读取用户信息，并在显示屏上显示相关信息。</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0" w:leftChars="0" w:firstLine="400" w:firstLineChars="0"/>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color w:val="000000"/>
          <w:sz w:val="24"/>
          <w:szCs w:val="24"/>
        </w:rPr>
        <w:t>称重台感应重量，数据显示在显示屏上，并实时上传至大数据平台。</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0" w:leftChars="0" w:firstLine="400" w:firstLineChars="0"/>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color w:val="000000"/>
          <w:sz w:val="24"/>
          <w:szCs w:val="24"/>
        </w:rPr>
        <w:t>操作员可在称重时在显示屏上对垃圾分类情况进行评分，并可拍照上传照</w:t>
      </w:r>
      <w:r>
        <w:rPr>
          <w:rFonts w:hint="eastAsia" w:ascii="仿宋" w:hAnsi="仿宋" w:eastAsia="仿宋" w:cs="仿宋"/>
          <w:color w:val="000000"/>
          <w:sz w:val="24"/>
          <w:szCs w:val="24"/>
          <w:lang w:eastAsia="zh-CN"/>
        </w:rPr>
        <w:t>片。</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0" w:leftChars="0" w:firstLine="400" w:firstLineChars="0"/>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color w:val="000000"/>
          <w:sz w:val="24"/>
          <w:szCs w:val="24"/>
          <w:lang w:eastAsia="zh-CN"/>
        </w:rPr>
        <w:t>实时</w:t>
      </w:r>
      <w:r>
        <w:rPr>
          <w:rFonts w:hint="eastAsia" w:ascii="仿宋" w:hAnsi="仿宋" w:eastAsia="仿宋" w:cs="仿宋"/>
          <w:color w:val="000000"/>
          <w:sz w:val="24"/>
          <w:szCs w:val="24"/>
        </w:rPr>
        <w:t>可查询回收记录和兑换记录。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 xml:space="preserve">   6、再生资源回收网点管理及相关配置：</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2"/>
          <w:sz w:val="24"/>
          <w:szCs w:val="24"/>
          <w:lang w:val="en-US" w:eastAsia="zh-CN" w:bidi="ar-SA"/>
        </w:rPr>
        <w:t>▲</w:t>
      </w:r>
      <w:r>
        <w:rPr>
          <w:rFonts w:hint="eastAsia" w:ascii="仿宋" w:hAnsi="仿宋" w:eastAsia="仿宋" w:cs="仿宋"/>
          <w:b w:val="0"/>
          <w:bCs w:val="0"/>
          <w:color w:val="000000"/>
          <w:sz w:val="24"/>
          <w:szCs w:val="24"/>
          <w:lang w:val="en-US" w:eastAsia="zh-CN"/>
        </w:rPr>
        <w:t>再生资源回收网点由中标人或中标人委托合作单位落实建设，建设完成后由中标人负责或监督运行管理，相关盈亏及补贴均归中标人或其合作单位。</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前期已经设置再生资源回收网点产权系原服务单位或其合作单位所有，投标人须提供承诺书，承诺中标后并在合同签订后一个月内，中标人需根据采购人需求重新设置购买或与原产权单位协商折价购买，该费用包含在投标总价中，若无法按时重新购置到位或无法按时协商折价购买到位并完成支付的，则视为主动放弃，合同自动终止，并且对采购人造成的损失由中标人承担。（投标单位必须提供承诺书）</w:t>
      </w:r>
    </w:p>
    <w:p>
      <w:pPr>
        <w:keepNext w:val="0"/>
        <w:keepLines w:val="0"/>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2"/>
          <w:sz w:val="24"/>
          <w:szCs w:val="24"/>
          <w:lang w:val="en-US" w:eastAsia="zh-CN" w:bidi="ar-SA"/>
        </w:rPr>
        <w:t>▲（1）</w:t>
      </w:r>
      <w:r>
        <w:rPr>
          <w:rFonts w:hint="eastAsia" w:ascii="仿宋" w:hAnsi="仿宋" w:eastAsia="仿宋" w:cs="仿宋"/>
          <w:b w:val="0"/>
          <w:bCs w:val="0"/>
          <w:color w:val="000000"/>
          <w:sz w:val="24"/>
          <w:szCs w:val="24"/>
          <w:lang w:val="en-US" w:eastAsia="zh-CN"/>
        </w:rPr>
        <w:t>中标人每个网点必须配置一名专人，运行时间符合市区两级有关再生资源开放时间的要求。</w:t>
      </w:r>
      <w:r>
        <w:rPr>
          <w:rFonts w:hint="eastAsia" w:ascii="仿宋" w:hAnsi="仿宋" w:eastAsia="仿宋" w:cs="仿宋"/>
          <w:color w:val="auto"/>
          <w:sz w:val="24"/>
          <w:szCs w:val="24"/>
          <w:highlight w:val="none"/>
          <w:lang w:val="en-US" w:eastAsia="zh-CN"/>
        </w:rPr>
        <w:t>通水电并自负费用，每周运营时间不少于18小时，前端收集数据接入区平台，可实现现金与积分兑换，后端处置需交由有资质的回收企业，标识上应有“萧铃铛”平品牌及固定招牌，有公示牌，公示内容包含点位名称、运营时间、运营人员、联系方式、清运时间和投诉电话，点位须有分类指南。提供价目表或者兑换表，标明各类可回收物积分或者价格。原单位退出的，可自行撤离所属设备，或由采购人指定专业第三方机构评估后由中标方支付费用后进行资产和相关合约一并转移。</w:t>
      </w:r>
      <w:r>
        <w:rPr>
          <w:rFonts w:hint="eastAsia" w:ascii="仿宋" w:hAnsi="仿宋" w:eastAsia="仿宋" w:cs="仿宋"/>
          <w:b/>
          <w:bCs/>
          <w:color w:val="auto"/>
          <w:sz w:val="24"/>
          <w:szCs w:val="24"/>
          <w:highlight w:val="none"/>
          <w:lang w:val="en-US" w:eastAsia="zh-CN"/>
        </w:rPr>
        <w:t>网点场地由社区提供的，中标人需无偿对网点进行改造装修，改造后装修及物品产权仍为社区所有。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 xml:space="preserve">    </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lang w:val="en-US" w:eastAsia="zh-CN"/>
        </w:rPr>
        <w:t xml:space="preserve"> </w:t>
      </w:r>
      <w:r>
        <w:rPr>
          <w:rFonts w:hint="eastAsia" w:ascii="仿宋" w:hAnsi="仿宋" w:eastAsia="仿宋" w:cs="仿宋"/>
          <w:b w:val="0"/>
          <w:bCs w:val="0"/>
          <w:color w:val="000000"/>
          <w:sz w:val="24"/>
          <w:szCs w:val="24"/>
          <w:lang w:val="en-US" w:eastAsia="zh-CN"/>
        </w:rPr>
        <w:t>(2)配备7分类回收箱、封装电子秤、价格表、人员信息表、宣传标识、消防设施、器材，实行统一标识、统一收购价格、统一计量工具、统一管理制度、统一着装。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（3）</w:t>
      </w:r>
      <w:r>
        <w:rPr>
          <w:rFonts w:hint="eastAsia" w:ascii="仿宋" w:hAnsi="仿宋" w:eastAsia="仿宋" w:cs="仿宋"/>
          <w:b w:val="0"/>
          <w:bCs w:val="0"/>
          <w:color w:val="000000"/>
          <w:sz w:val="24"/>
          <w:szCs w:val="24"/>
          <w:lang w:val="en-US" w:eastAsia="zh-CN"/>
        </w:rPr>
        <w:t>与信息化管理平台链接（接入</w:t>
      </w:r>
      <w:r>
        <w:rPr>
          <w:rFonts w:hint="eastAsia" w:ascii="仿宋" w:hAnsi="仿宋" w:eastAsia="仿宋" w:cs="仿宋"/>
          <w:b w:val="0"/>
          <w:bCs w:val="0"/>
          <w:color w:val="000000"/>
          <w:sz w:val="24"/>
          <w:szCs w:val="24"/>
          <w:lang w:eastAsia="zh-CN"/>
        </w:rPr>
        <w:t>萧山区生活垃圾分类智能智能监管平台</w:t>
      </w:r>
      <w:r>
        <w:rPr>
          <w:rFonts w:hint="eastAsia" w:ascii="仿宋" w:hAnsi="仿宋" w:eastAsia="仿宋" w:cs="仿宋"/>
          <w:b w:val="0"/>
          <w:bCs w:val="0"/>
          <w:color w:val="000000"/>
          <w:sz w:val="24"/>
          <w:szCs w:val="24"/>
          <w:lang w:val="en-US" w:eastAsia="zh-CN"/>
        </w:rPr>
        <w:t>）。回收价格不低于市场价。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▲（4）积分商城：居民可通过参与垃圾分类获得的积分，可以在在线积分商城中，直接作为现金抵用，购买商城内的商品，也可以直接用积分进行现金兑换。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7、</w:t>
      </w:r>
      <w:r>
        <w:rPr>
          <w:rFonts w:hint="eastAsia" w:ascii="仿宋" w:hAnsi="仿宋" w:eastAsia="仿宋" w:cs="仿宋"/>
          <w:b/>
          <w:bCs/>
          <w:color w:val="000000"/>
          <w:sz w:val="24"/>
          <w:szCs w:val="24"/>
        </w:rPr>
        <w:t>云管理平台: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①可以随时查看居民参与垃圾分类的报表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②垃圾袋投放及领取信息查询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③可回收垃圾投递、重量信息查询</w:t>
      </w:r>
      <w:r>
        <w:rPr>
          <w:rFonts w:hint="eastAsia" w:ascii="仿宋" w:hAnsi="仿宋" w:eastAsia="仿宋" w:cs="仿宋"/>
          <w:color w:val="00000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④</w:t>
      </w:r>
      <w:r>
        <w:rPr>
          <w:rFonts w:hint="eastAsia" w:ascii="仿宋" w:hAnsi="仿宋" w:eastAsia="仿宋" w:cs="仿宋"/>
          <w:color w:val="000000"/>
          <w:sz w:val="24"/>
          <w:szCs w:val="24"/>
          <w:lang w:val="en-US" w:eastAsia="zh-CN"/>
        </w:rPr>
        <w:t>所有数据需接入区级智能数据平台。</w:t>
      </w:r>
    </w:p>
    <w:p>
      <w:pPr>
        <w:keepNext w:val="0"/>
        <w:keepLines w:val="0"/>
        <w:pageBreakBefore w:val="0"/>
        <w:widowControl w:val="0"/>
        <w:numPr>
          <w:ilvl w:val="0"/>
          <w:numId w:val="6"/>
        </w:numPr>
        <w:kinsoku/>
        <w:wordWrap/>
        <w:overflowPunct/>
        <w:topLinePunct w:val="0"/>
        <w:autoSpaceDE/>
        <w:autoSpaceDN/>
        <w:bidi w:val="0"/>
        <w:adjustRightInd/>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智能</w:t>
      </w:r>
      <w:r>
        <w:rPr>
          <w:rFonts w:hint="eastAsia" w:ascii="仿宋" w:hAnsi="仿宋" w:eastAsia="仿宋" w:cs="仿宋"/>
          <w:b/>
          <w:bCs/>
          <w:color w:val="auto"/>
          <w:sz w:val="24"/>
          <w:szCs w:val="24"/>
          <w:highlight w:val="none"/>
        </w:rPr>
        <w:t>发袋机：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（1）智能识别居民ID号、微信号并自动绑定垃圾袋的二维码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（2）面板上配备操作按键，方便信息输入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（3）智能统计每月居民领取垃圾袋量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（4）当垃圾袋库存不足时，系统预警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（5）垃圾袋容量不少于300卷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（6）数据实时上传至云管理平台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（7）垃圾袋发放机主要技术指标及配置</w:t>
      </w:r>
      <w:r>
        <w:rPr>
          <w:rFonts w:hint="eastAsia" w:ascii="仿宋" w:hAnsi="仿宋" w:eastAsia="仿宋" w:cs="仿宋"/>
          <w:color w:val="auto"/>
          <w:sz w:val="24"/>
          <w:szCs w:val="24"/>
          <w:highlight w:val="none"/>
        </w:rPr>
        <w:t>：</w:t>
      </w:r>
    </w:p>
    <w:tbl>
      <w:tblPr>
        <w:tblStyle w:val="63"/>
        <w:tblW w:w="7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部件</w:t>
            </w:r>
          </w:p>
        </w:tc>
        <w:tc>
          <w:tcPr>
            <w:tcW w:w="6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技术参数和规格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w:t>
            </w:r>
          </w:p>
        </w:tc>
        <w:tc>
          <w:tcPr>
            <w:tcW w:w="6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垃圾袋容量不少于300卷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用材</w:t>
            </w:r>
          </w:p>
        </w:tc>
        <w:tc>
          <w:tcPr>
            <w:tcW w:w="6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1.5mm钢板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显示器</w:t>
            </w:r>
          </w:p>
        </w:tc>
        <w:tc>
          <w:tcPr>
            <w:tcW w:w="6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由投标单位自行考虑尺寸，品牌</w:t>
            </w:r>
          </w:p>
        </w:tc>
      </w:tr>
    </w:tbl>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80" w:leftChars="0" w:firstLine="0" w:firstLineChars="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集置点管理：</w:t>
      </w:r>
    </w:p>
    <w:p>
      <w:pPr>
        <w:pStyle w:val="24"/>
        <w:keepNext w:val="0"/>
        <w:keepLines w:val="0"/>
        <w:pageBreakBefore w:val="0"/>
        <w:numPr>
          <w:ilvl w:val="0"/>
          <w:numId w:val="0"/>
        </w:numPr>
        <w:kinsoku/>
        <w:wordWrap/>
        <w:overflowPunct/>
        <w:topLinePunct w:val="0"/>
        <w:bidi w:val="0"/>
        <w:spacing w:line="360" w:lineRule="auto"/>
        <w:ind w:left="480"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color w:val="auto"/>
          <w:sz w:val="24"/>
          <w:szCs w:val="24"/>
          <w:highlight w:val="none"/>
          <w:lang w:val="en-US" w:eastAsia="zh-CN"/>
        </w:rPr>
        <w:t>城厢街道配备一定数量集置点，中标人需要安排人员进行管理。</w:t>
      </w:r>
      <w:r>
        <w:rPr>
          <w:rFonts w:hint="eastAsia" w:ascii="仿宋" w:hAnsi="仿宋" w:eastAsia="仿宋" w:cs="仿宋"/>
          <w:color w:val="auto"/>
          <w:sz w:val="24"/>
          <w:szCs w:val="24"/>
          <w:highlight w:val="none"/>
        </w:rPr>
        <w:t>有公示牌，公示内容包含点位名称、管理人员、清运单位、联系方式、清运时间和投诉电话，点位须有分类指南。</w:t>
      </w:r>
      <w:r>
        <w:rPr>
          <w:rFonts w:hint="eastAsia" w:ascii="仿宋" w:hAnsi="仿宋" w:eastAsia="仿宋" w:cs="仿宋"/>
          <w:color w:val="auto"/>
          <w:sz w:val="24"/>
          <w:szCs w:val="24"/>
          <w:highlight w:val="none"/>
          <w:lang w:val="en-US" w:eastAsia="zh-CN"/>
        </w:rPr>
        <w:t>集置点水电等费用及安全生产等工作由中标人负责，相关设施有中标人维护，集置点管理需符合省市区及街道最新要求。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000000"/>
          <w:sz w:val="24"/>
          <w:szCs w:val="24"/>
          <w:lang w:val="en-US" w:eastAsia="zh-CN"/>
        </w:rPr>
        <w:t>1</w:t>
      </w:r>
      <w:r>
        <w:rPr>
          <w:rFonts w:hint="eastAsia" w:ascii="仿宋" w:hAnsi="仿宋" w:eastAsia="仿宋" w:cs="仿宋"/>
          <w:b/>
          <w:bCs/>
          <w:color w:val="auto"/>
          <w:sz w:val="24"/>
          <w:szCs w:val="24"/>
          <w:lang w:val="en-US" w:eastAsia="zh-CN"/>
        </w:rPr>
        <w:t>0、其他：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b w:val="0"/>
          <w:bCs w:val="0"/>
          <w:color w:val="auto"/>
          <w:kern w:val="2"/>
          <w:sz w:val="24"/>
          <w:szCs w:val="24"/>
          <w:lang w:val="en-US" w:eastAsia="zh-CN" w:bidi="ar-SA"/>
        </w:rPr>
        <w:t>▲</w:t>
      </w:r>
      <w:r>
        <w:rPr>
          <w:rFonts w:hint="eastAsia" w:ascii="仿宋" w:hAnsi="仿宋" w:eastAsia="仿宋" w:cs="仿宋"/>
          <w:b/>
          <w:bCs/>
          <w:color w:val="auto"/>
          <w:sz w:val="24"/>
          <w:szCs w:val="24"/>
          <w:lang w:val="en-US" w:eastAsia="zh-CN"/>
        </w:rPr>
        <w:t>垃圾分类处于3.0阶段，后</w:t>
      </w:r>
      <w:r>
        <w:rPr>
          <w:rFonts w:hint="eastAsia" w:ascii="仿宋" w:hAnsi="仿宋" w:eastAsia="仿宋" w:cs="仿宋"/>
          <w:b/>
          <w:bCs/>
          <w:color w:val="000000"/>
          <w:sz w:val="24"/>
          <w:szCs w:val="24"/>
          <w:lang w:val="en-US" w:eastAsia="zh-CN"/>
        </w:rPr>
        <w:t>期分类模式、分类工作要求存在调整可能性，如省、市、区垃圾分类办或城管部门要求进行模式调整，在服务期间中标人需按照采购人要求及时进行模式调整，新增或更换相应设施设备产生的费用需由中标人承担。同时，为垃圾分类检查工作需要，中标人还需要提供给采购人一辆用于垃圾分类检查车辆，车辆要求以签订合同时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 xml:space="preserve"> 三、其他要求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val="en-US" w:eastAsia="zh-CN"/>
        </w:rPr>
        <w:t xml:space="preserve">   </w:t>
      </w:r>
      <w:r>
        <w:rPr>
          <w:rFonts w:hint="eastAsia" w:ascii="仿宋" w:hAnsi="仿宋" w:eastAsia="仿宋" w:cs="仿宋"/>
          <w:b w:val="0"/>
          <w:bCs w:val="0"/>
          <w:color w:val="000000"/>
          <w:kern w:val="2"/>
          <w:sz w:val="24"/>
          <w:szCs w:val="24"/>
          <w:lang w:val="en-US" w:eastAsia="zh-CN" w:bidi="ar-SA"/>
        </w:rPr>
        <w:t>▲</w:t>
      </w:r>
      <w:r>
        <w:rPr>
          <w:rFonts w:hint="eastAsia" w:ascii="仿宋" w:hAnsi="仿宋" w:eastAsia="仿宋" w:cs="仿宋"/>
          <w:b/>
          <w:color w:val="000000"/>
          <w:sz w:val="24"/>
          <w:szCs w:val="24"/>
          <w:lang w:eastAsia="zh-CN"/>
        </w:rPr>
        <w:t>（</w:t>
      </w:r>
      <w:r>
        <w:rPr>
          <w:rFonts w:hint="eastAsia" w:ascii="仿宋" w:hAnsi="仿宋" w:eastAsia="仿宋" w:cs="仿宋"/>
          <w:b/>
          <w:color w:val="000000"/>
          <w:sz w:val="24"/>
          <w:szCs w:val="24"/>
          <w:lang w:val="en-US" w:eastAsia="zh-CN"/>
        </w:rPr>
        <w:t>一</w:t>
      </w:r>
      <w:r>
        <w:rPr>
          <w:rFonts w:hint="eastAsia" w:ascii="仿宋" w:hAnsi="仿宋" w:eastAsia="仿宋" w:cs="仿宋"/>
          <w:b/>
          <w:color w:val="000000"/>
          <w:sz w:val="24"/>
          <w:szCs w:val="24"/>
          <w:lang w:eastAsia="zh-CN"/>
        </w:rPr>
        <w:t>）</w:t>
      </w:r>
      <w:r>
        <w:rPr>
          <w:rFonts w:hint="eastAsia" w:ascii="仿宋" w:hAnsi="仿宋" w:eastAsia="仿宋" w:cs="仿宋"/>
          <w:b/>
          <w:bCs/>
          <w:color w:val="000000"/>
          <w:sz w:val="24"/>
          <w:szCs w:val="24"/>
          <w:lang w:eastAsia="zh-CN"/>
        </w:rPr>
        <w:t>人员配置</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1"/>
        <w:jc w:val="left"/>
        <w:textAlignment w:val="auto"/>
        <w:rPr>
          <w:rFonts w:hint="eastAsia" w:ascii="仿宋" w:hAnsi="仿宋" w:eastAsia="仿宋" w:cs="仿宋"/>
          <w:sz w:val="24"/>
          <w:szCs w:val="24"/>
          <w:lang w:val="en-US" w:eastAsia="zh-CN"/>
        </w:rPr>
      </w:pPr>
      <w:r>
        <w:rPr>
          <w:rFonts w:hint="eastAsia" w:ascii="仿宋" w:hAnsi="仿宋" w:eastAsia="仿宋" w:cs="仿宋"/>
          <w:b w:val="0"/>
          <w:bCs w:val="0"/>
          <w:color w:val="000000"/>
          <w:sz w:val="24"/>
          <w:szCs w:val="24"/>
          <w:lang w:val="en-US" w:eastAsia="zh-CN"/>
        </w:rPr>
        <w:t>运营总管。城厢辖区需配备1名总管，负责所有社区垃圾分类协调和管理工作。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val="0"/>
          <w:bCs w:val="0"/>
          <w:color w:val="000000"/>
          <w:sz w:val="24"/>
          <w:szCs w:val="24"/>
          <w:lang w:val="en-US" w:eastAsia="zh-CN"/>
        </w:rPr>
        <w:t>2、管理员。每个社区配置1名垃圾分类负责人，一人负责1个社区。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b w:val="0"/>
          <w:bCs w:val="0"/>
          <w:color w:val="000000"/>
          <w:sz w:val="24"/>
          <w:szCs w:val="24"/>
          <w:lang w:val="en-US" w:eastAsia="zh-CN"/>
        </w:rPr>
        <w:t>3、定时定点人员。</w:t>
      </w:r>
      <w:r>
        <w:rPr>
          <w:rFonts w:hint="eastAsia" w:ascii="仿宋" w:hAnsi="仿宋" w:eastAsia="仿宋" w:cs="仿宋"/>
          <w:color w:val="000000"/>
          <w:sz w:val="24"/>
          <w:szCs w:val="24"/>
          <w:lang w:val="en-US" w:eastAsia="zh-CN"/>
        </w:rPr>
        <w:t>定时定投模式小区需按照实际投放点位按每个点位配备一名管理员，多层为每216户备配一人,高层为300户配备一人,不足户数的小区由采购人确定人员配置,中标人必须认可,费用不作增加。定时定点点位数按照目前在运行的点位延续，中标人不得随意删减。</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4、拖桶工。根据实际需求安排收运和拖桶工人，负责空桶放置和满桶收运转运至集置点，拖桶工不少于50人，且定时定点结束后所有垃圾桶撤除完毕时间不得超过1小时，否则必须无条件增加拖桶工。</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5、巡检员（含宣传员）。每个社区配备2个垃圾包专职巡检员（含宣传员），用于协助社区做好垃圾分类工作，查找垃圾包源头，劝导居民参与垃圾分类等各种工作，配合社区做好垃圾分类宣传。</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6、回收员。每个再生资源回收网点需设置一名回收员，满足开放时间要求的情况下可以与其他网点进行交叉任职，需向采购人备案并认可。</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7、集置点清洗员。第三方公司需安排人员对街道统一集置点进行灰桶清洗和保洁，原则上一个集置点1名保洁员。</w:t>
      </w:r>
    </w:p>
    <w:p>
      <w:pPr>
        <w:pStyle w:val="24"/>
        <w:keepNext w:val="0"/>
        <w:keepLines w:val="0"/>
        <w:pageBreakBefore w:val="0"/>
        <w:kinsoku/>
        <w:wordWrap/>
        <w:overflowPunct/>
        <w:topLinePunct w:val="0"/>
        <w:bidi w:val="0"/>
        <w:spacing w:line="360" w:lineRule="auto"/>
        <w:ind w:firstLine="480"/>
        <w:textAlignment w:val="auto"/>
        <w:rPr>
          <w:rFonts w:hint="eastAsia" w:ascii="仿宋" w:hAnsi="仿宋" w:eastAsia="仿宋" w:cs="仿宋"/>
          <w:sz w:val="24"/>
          <w:szCs w:val="24"/>
          <w:lang w:val="en-US" w:eastAsia="zh-CN"/>
        </w:rPr>
      </w:pPr>
      <w:r>
        <w:rPr>
          <w:rFonts w:hint="eastAsia" w:ascii="仿宋" w:hAnsi="仿宋" w:eastAsia="仿宋" w:cs="仿宋"/>
          <w:b w:val="0"/>
          <w:bCs w:val="0"/>
          <w:color w:val="000000"/>
          <w:sz w:val="24"/>
          <w:szCs w:val="24"/>
          <w:lang w:val="en-US" w:eastAsia="zh-CN"/>
        </w:rPr>
        <w:t>8、误时投放点监督员。因定时定点工作带来部分居民投放不便，城厢部分小区确实有必要设置误时投放点。每个社区可以设置不超过2个误时投放点，中标人需要在误时投放点开放时间8:30-18:30安排垃圾分类监督员指导居民分类工作，确保误时投放点开放状态时人不离岗。误时投放点设置按照社区意愿设置，社区确实不需要设置的，经街道报备同意后可以不设置。</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（二）宣传制作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000000"/>
          <w:sz w:val="24"/>
          <w:szCs w:val="24"/>
          <w:lang w:val="en-US" w:eastAsia="zh-CN"/>
        </w:rPr>
      </w:pPr>
      <w:r>
        <w:rPr>
          <w:rFonts w:hint="eastAsia" w:ascii="仿宋" w:hAnsi="仿宋" w:eastAsia="仿宋" w:cs="仿宋"/>
          <w:color w:val="000000"/>
          <w:sz w:val="24"/>
          <w:szCs w:val="24"/>
        </w:rPr>
        <w:t>在智能分类投放站点设置宣传牌，小区居民集中区域的活动广场、主要出入口、灯柱公益广告、社区（物业）宣传栏、电梯内、楼道上张贴垃圾分类的宣传横幅、海报、公益广告、公益视频等，宣传垃圾分类理念，培养垃圾分类行为习惯。相关标志标识符合</w:t>
      </w:r>
      <w:r>
        <w:rPr>
          <w:rFonts w:hint="eastAsia" w:ascii="仿宋" w:hAnsi="仿宋" w:eastAsia="仿宋" w:cs="仿宋"/>
          <w:color w:val="000000"/>
          <w:sz w:val="24"/>
          <w:szCs w:val="24"/>
          <w:lang w:eastAsia="zh-CN"/>
        </w:rPr>
        <w:t>最新</w:t>
      </w:r>
      <w:r>
        <w:rPr>
          <w:rFonts w:hint="eastAsia" w:ascii="仿宋" w:hAnsi="仿宋" w:eastAsia="仿宋" w:cs="仿宋"/>
          <w:color w:val="000000"/>
          <w:sz w:val="24"/>
          <w:szCs w:val="24"/>
        </w:rPr>
        <w:t>规范；在小区明显位置设置分类指示牌</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公示牌</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，并按要求公示定时定点投放点位、“一长五员制”、再生资源回收站点、大件（特殊）垃圾等相关信息；分类指示牌无破损、脏污或遮挡。小区垃圾集置点、再生资源回收站点和大件（特殊）垃圾投放点</w:t>
      </w:r>
      <w:r>
        <w:rPr>
          <w:rFonts w:hint="eastAsia" w:ascii="仿宋" w:hAnsi="仿宋" w:eastAsia="仿宋" w:cs="仿宋"/>
          <w:color w:val="000000"/>
          <w:sz w:val="24"/>
          <w:szCs w:val="24"/>
          <w:lang w:eastAsia="zh-CN"/>
        </w:rPr>
        <w:t>标志标牌</w:t>
      </w:r>
      <w:r>
        <w:rPr>
          <w:rFonts w:hint="eastAsia" w:ascii="仿宋" w:hAnsi="仿宋" w:eastAsia="仿宋" w:cs="仿宋"/>
          <w:color w:val="000000"/>
          <w:sz w:val="24"/>
          <w:szCs w:val="24"/>
        </w:rPr>
        <w:t>设置规范</w:t>
      </w:r>
      <w:r>
        <w:rPr>
          <w:rFonts w:hint="eastAsia" w:ascii="仿宋" w:hAnsi="仿宋" w:eastAsia="仿宋" w:cs="仿宋"/>
          <w:b/>
          <w:bCs/>
          <w:color w:val="000000"/>
          <w:sz w:val="24"/>
          <w:szCs w:val="24"/>
          <w:lang w:eastAsia="zh-CN"/>
        </w:rPr>
        <w:t>（包括再生资源网点配置价目公示牌、人员信息公示牌等）。</w:t>
      </w:r>
      <w:r>
        <w:rPr>
          <w:rFonts w:hint="eastAsia" w:ascii="仿宋" w:hAnsi="仿宋" w:eastAsia="仿宋" w:cs="仿宋"/>
          <w:b/>
          <w:bCs/>
          <w:color w:val="000000"/>
          <w:sz w:val="24"/>
          <w:szCs w:val="24"/>
          <w:highlight w:val="none"/>
          <w:lang w:val="en-US" w:eastAsia="zh-CN"/>
        </w:rPr>
        <w:t>如有宣传口径调整，所有宣传设施更换的广告费用需由中标人承担。</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三</w:t>
      </w:r>
      <w:r>
        <w:rPr>
          <w:rFonts w:hint="eastAsia" w:ascii="仿宋" w:hAnsi="仿宋" w:eastAsia="仿宋" w:cs="仿宋"/>
          <w:b/>
          <w:bCs/>
          <w:color w:val="000000"/>
          <w:sz w:val="24"/>
          <w:szCs w:val="24"/>
        </w:rPr>
        <w:t>）分类服务管理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、设施</w:t>
      </w:r>
      <w:r>
        <w:rPr>
          <w:rFonts w:hint="eastAsia" w:ascii="仿宋" w:hAnsi="仿宋" w:eastAsia="仿宋" w:cs="仿宋"/>
          <w:color w:val="000000"/>
          <w:sz w:val="24"/>
          <w:szCs w:val="24"/>
          <w:lang w:val="en-US" w:eastAsia="zh-CN"/>
        </w:rPr>
        <w:t>管理</w:t>
      </w:r>
      <w:r>
        <w:rPr>
          <w:rFonts w:hint="eastAsia" w:ascii="仿宋" w:hAnsi="仿宋" w:eastAsia="仿宋" w:cs="仿宋"/>
          <w:color w:val="000000"/>
          <w:sz w:val="24"/>
          <w:szCs w:val="24"/>
        </w:rPr>
        <w:t>：小区内无杂色桶；投放点位设置四分类桶，</w:t>
      </w:r>
      <w:r>
        <w:rPr>
          <w:rFonts w:hint="eastAsia" w:ascii="仿宋" w:hAnsi="仿宋" w:eastAsia="仿宋" w:cs="仿宋"/>
          <w:color w:val="000000"/>
          <w:sz w:val="24"/>
          <w:szCs w:val="24"/>
          <w:lang w:eastAsia="zh-CN"/>
        </w:rPr>
        <w:t>每日</w:t>
      </w:r>
      <w:r>
        <w:rPr>
          <w:rFonts w:hint="eastAsia" w:ascii="仿宋" w:hAnsi="仿宋" w:eastAsia="仿宋" w:cs="仿宋"/>
          <w:color w:val="000000"/>
          <w:sz w:val="24"/>
          <w:szCs w:val="24"/>
        </w:rPr>
        <w:t>定时定点进行投放收集，要求实现对</w:t>
      </w:r>
      <w:r>
        <w:rPr>
          <w:rFonts w:hint="eastAsia" w:ascii="仿宋" w:hAnsi="仿宋" w:eastAsia="仿宋" w:cs="仿宋"/>
          <w:color w:val="000000"/>
          <w:sz w:val="24"/>
          <w:szCs w:val="24"/>
          <w:lang w:eastAsia="zh-CN"/>
        </w:rPr>
        <w:t>各类垃圾</w:t>
      </w:r>
      <w:r>
        <w:rPr>
          <w:rFonts w:hint="eastAsia" w:ascii="仿宋" w:hAnsi="仿宋" w:eastAsia="仿宋" w:cs="仿宋"/>
          <w:color w:val="000000"/>
          <w:sz w:val="24"/>
          <w:szCs w:val="24"/>
        </w:rPr>
        <w:t>的称重计量。小区产生的易腐垃圾质量应当符合餐厨垃圾处置企业的收运标准，包括实现垃圾破袋。</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lang w:val="en-US"/>
        </w:rPr>
      </w:pPr>
      <w:r>
        <w:rPr>
          <w:rFonts w:hint="eastAsia" w:ascii="仿宋" w:hAnsi="仿宋" w:eastAsia="仿宋" w:cs="仿宋"/>
          <w:b w:val="0"/>
          <w:bCs w:val="0"/>
          <w:color w:val="000000"/>
          <w:sz w:val="24"/>
          <w:szCs w:val="24"/>
          <w:lang w:val="en-US" w:eastAsia="zh-CN"/>
        </w:rPr>
        <w:t>2、定时定投模式推进后，所有相应的设施设备、物资、人员需由中标人及时跟进，采购人不作任何费用补贴和支付，相关费用由中标人承担。</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3、分类质量：易腐垃圾、其他垃圾、可回收物和有害垃圾分类投放， 居民参与率90%以上，居民满意率90%以上，分类准确率80%以上，无混装、错投等情况</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以上指标需</w:t>
      </w:r>
      <w:r>
        <w:rPr>
          <w:rFonts w:hint="eastAsia" w:ascii="仿宋" w:hAnsi="仿宋" w:eastAsia="仿宋" w:cs="仿宋"/>
          <w:color w:val="000000"/>
          <w:sz w:val="24"/>
          <w:szCs w:val="24"/>
          <w:lang w:eastAsia="zh-CN"/>
        </w:rPr>
        <w:t>根据区</w:t>
      </w:r>
      <w:r>
        <w:rPr>
          <w:rFonts w:hint="eastAsia" w:ascii="仿宋" w:hAnsi="仿宋" w:eastAsia="仿宋" w:cs="仿宋"/>
          <w:color w:val="000000"/>
          <w:sz w:val="24"/>
          <w:szCs w:val="24"/>
          <w:lang w:val="en-US" w:eastAsia="zh-CN"/>
        </w:rPr>
        <w:t>级有关部门</w:t>
      </w:r>
      <w:r>
        <w:rPr>
          <w:rFonts w:hint="eastAsia" w:ascii="仿宋" w:hAnsi="仿宋" w:eastAsia="仿宋" w:cs="仿宋"/>
          <w:color w:val="000000"/>
          <w:sz w:val="24"/>
          <w:szCs w:val="24"/>
          <w:lang w:eastAsia="zh-CN"/>
        </w:rPr>
        <w:t>最新要求</w:t>
      </w:r>
      <w:r>
        <w:rPr>
          <w:rFonts w:hint="eastAsia" w:ascii="仿宋" w:hAnsi="仿宋" w:eastAsia="仿宋" w:cs="仿宋"/>
          <w:color w:val="000000"/>
          <w:sz w:val="24"/>
          <w:szCs w:val="24"/>
          <w:lang w:val="en-US" w:eastAsia="zh-CN"/>
        </w:rPr>
        <w:t>作相应</w:t>
      </w:r>
      <w:r>
        <w:rPr>
          <w:rFonts w:hint="eastAsia" w:ascii="仿宋" w:hAnsi="仿宋" w:eastAsia="仿宋" w:cs="仿宋"/>
          <w:color w:val="000000"/>
          <w:sz w:val="24"/>
          <w:szCs w:val="24"/>
          <w:lang w:eastAsia="zh-CN"/>
        </w:rPr>
        <w:t>调整）</w:t>
      </w:r>
      <w:r>
        <w:rPr>
          <w:rFonts w:hint="eastAsia" w:ascii="仿宋" w:hAnsi="仿宋" w:eastAsia="仿宋" w:cs="仿宋"/>
          <w:color w:val="00000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4、分类清运</w:t>
      </w:r>
      <w:r>
        <w:rPr>
          <w:rFonts w:hint="eastAsia" w:ascii="仿宋" w:hAnsi="仿宋" w:eastAsia="仿宋" w:cs="仿宋"/>
          <w:color w:val="000000"/>
          <w:sz w:val="24"/>
          <w:szCs w:val="24"/>
          <w:lang w:val="en-US" w:eastAsia="zh-CN"/>
        </w:rPr>
        <w:t>处置</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由中标人清运人员负责消毒清洗，</w:t>
      </w:r>
      <w:r>
        <w:rPr>
          <w:rFonts w:hint="eastAsia" w:ascii="仿宋" w:hAnsi="仿宋" w:eastAsia="仿宋" w:cs="仿宋"/>
          <w:color w:val="000000"/>
          <w:sz w:val="24"/>
          <w:szCs w:val="24"/>
        </w:rPr>
        <w:t>易腐垃圾、其他垃圾、可回收物和有害垃圾做到及时分类清运，无垃圾满溢、堆积和脏乱差等现象</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有害垃圾需由中标人负责交由具备处理资质的单位进行处置，费用由中标人承担。</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5、智能监管：按要求配置使用封装电子称，实现四分类垃圾数据实时上传且准确无误。</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6、在推进定时定投小区，中标人需安排巡检员承担撤桶后居民乱投放物的清理工作，有物业管理的小区或者具备物业处理能力的小区由物业公司负责清理，最终由采购人确定。</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向全体居民派发智能卡1张/户，并备有总户数20%的备用卡。智能卡丢失或折损等情况，由中标方负责补办。</w:t>
      </w:r>
      <w:r>
        <w:rPr>
          <w:rFonts w:hint="eastAsia" w:ascii="仿宋" w:hAnsi="仿宋" w:eastAsia="仿宋" w:cs="仿宋"/>
          <w:color w:val="000000"/>
          <w:sz w:val="24"/>
          <w:szCs w:val="24"/>
          <w:lang w:val="en-US" w:eastAsia="zh-CN"/>
        </w:rPr>
        <w:t>如街道有新要求，卡片发放需按照街道最新要求。</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对当天的巡检情况进行登记，并对巡检的家庭进行回访，</w:t>
      </w:r>
      <w:r>
        <w:rPr>
          <w:rFonts w:hint="eastAsia" w:ascii="仿宋" w:hAnsi="仿宋" w:eastAsia="仿宋" w:cs="仿宋"/>
          <w:color w:val="000000"/>
          <w:sz w:val="24"/>
          <w:szCs w:val="24"/>
          <w:lang w:val="en-US" w:eastAsia="zh-CN"/>
        </w:rPr>
        <w:t>形成书面台帐，</w:t>
      </w:r>
      <w:r>
        <w:rPr>
          <w:rFonts w:hint="eastAsia" w:ascii="仿宋" w:hAnsi="仿宋" w:eastAsia="仿宋" w:cs="仿宋"/>
          <w:color w:val="000000"/>
          <w:sz w:val="24"/>
          <w:szCs w:val="24"/>
        </w:rPr>
        <w:t>就垃圾分类投放准确情况和分类准确情况进行评价并提出分类建议</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巡检反馈率不低于90%</w:t>
      </w:r>
      <w:r>
        <w:rPr>
          <w:rFonts w:hint="eastAsia" w:ascii="仿宋" w:hAnsi="仿宋" w:eastAsia="仿宋" w:cs="仿宋"/>
          <w:color w:val="000000"/>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bCs/>
          <w:color w:val="000000"/>
          <w:sz w:val="24"/>
          <w:szCs w:val="24"/>
        </w:rPr>
      </w:pPr>
      <w:r>
        <w:rPr>
          <w:rFonts w:hint="eastAsia" w:ascii="仿宋" w:hAnsi="仿宋" w:eastAsia="仿宋" w:cs="仿宋"/>
          <w:b w:val="0"/>
          <w:bCs w:val="0"/>
          <w:color w:val="000000"/>
          <w:sz w:val="24"/>
          <w:szCs w:val="24"/>
          <w:lang w:val="en-US" w:eastAsia="zh-CN"/>
        </w:rPr>
        <w:t>9</w:t>
      </w:r>
      <w:r>
        <w:rPr>
          <w:rFonts w:hint="eastAsia" w:ascii="仿宋" w:hAnsi="仿宋" w:eastAsia="仿宋" w:cs="仿宋"/>
          <w:b w:val="0"/>
          <w:bCs w:val="0"/>
          <w:color w:val="000000"/>
          <w:sz w:val="24"/>
          <w:szCs w:val="24"/>
          <w:lang w:eastAsia="zh-CN"/>
        </w:rPr>
        <w:t>、</w:t>
      </w:r>
      <w:r>
        <w:rPr>
          <w:rFonts w:hint="eastAsia" w:ascii="仿宋" w:hAnsi="仿宋" w:eastAsia="仿宋" w:cs="仿宋"/>
          <w:color w:val="000000"/>
          <w:sz w:val="24"/>
          <w:szCs w:val="24"/>
          <w:lang w:eastAsia="zh-CN"/>
        </w:rPr>
        <w:t>每月初梳理小区内居民垃圾分类开展情况，理出分类参与次数较少、易腐垃圾日均量较差的占整个小区的一半</w:t>
      </w:r>
      <w:r>
        <w:rPr>
          <w:rFonts w:hint="eastAsia" w:ascii="仿宋" w:hAnsi="仿宋" w:eastAsia="仿宋" w:cs="仿宋"/>
          <w:color w:val="000000"/>
          <w:sz w:val="24"/>
          <w:szCs w:val="24"/>
        </w:rPr>
        <w:t>居民</w:t>
      </w:r>
      <w:r>
        <w:rPr>
          <w:rFonts w:hint="eastAsia" w:ascii="仿宋" w:hAnsi="仿宋" w:eastAsia="仿宋" w:cs="仿宋"/>
          <w:color w:val="000000"/>
          <w:sz w:val="24"/>
          <w:szCs w:val="24"/>
          <w:lang w:eastAsia="zh-CN"/>
        </w:rPr>
        <w:t>，每月对其开展</w:t>
      </w:r>
      <w:r>
        <w:rPr>
          <w:rFonts w:hint="eastAsia" w:ascii="仿宋" w:hAnsi="仿宋" w:eastAsia="仿宋" w:cs="仿宋"/>
          <w:color w:val="000000"/>
          <w:sz w:val="24"/>
          <w:szCs w:val="24"/>
        </w:rPr>
        <w:t>登门培训回访</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次</w:t>
      </w:r>
      <w:r>
        <w:rPr>
          <w:rFonts w:hint="eastAsia" w:ascii="仿宋" w:hAnsi="仿宋" w:eastAsia="仿宋" w:cs="仿宋"/>
          <w:color w:val="000000"/>
          <w:sz w:val="24"/>
          <w:szCs w:val="24"/>
          <w:lang w:eastAsia="zh-CN"/>
        </w:rPr>
        <w:t>，并</w:t>
      </w:r>
      <w:r>
        <w:rPr>
          <w:rFonts w:hint="eastAsia" w:ascii="仿宋" w:hAnsi="仿宋" w:eastAsia="仿宋" w:cs="仿宋"/>
          <w:color w:val="000000"/>
          <w:sz w:val="24"/>
          <w:szCs w:val="24"/>
        </w:rPr>
        <w:t>对每户居民入户派发垃圾分类宣传资料。回访率不低于90%</w:t>
      </w:r>
      <w:r>
        <w:rPr>
          <w:rFonts w:hint="eastAsia" w:ascii="仿宋" w:hAnsi="仿宋" w:eastAsia="仿宋" w:cs="仿宋"/>
          <w:color w:val="000000"/>
          <w:sz w:val="24"/>
          <w:szCs w:val="24"/>
          <w:lang w:eastAsia="zh-CN"/>
        </w:rPr>
        <w:t>。同时再登门回访的基础上结合</w:t>
      </w:r>
      <w:r>
        <w:rPr>
          <w:rFonts w:hint="eastAsia" w:ascii="仿宋" w:hAnsi="仿宋" w:eastAsia="仿宋" w:cs="仿宋"/>
          <w:color w:val="000000"/>
          <w:sz w:val="24"/>
          <w:szCs w:val="24"/>
        </w:rPr>
        <w:t>短信等形式回访，产生的通讯费用等由</w:t>
      </w:r>
      <w:r>
        <w:rPr>
          <w:rFonts w:hint="eastAsia" w:ascii="仿宋" w:hAnsi="仿宋" w:eastAsia="仿宋" w:cs="仿宋"/>
          <w:color w:val="000000"/>
          <w:sz w:val="24"/>
          <w:szCs w:val="24"/>
          <w:lang w:eastAsia="zh-CN"/>
        </w:rPr>
        <w:t>中标人</w:t>
      </w:r>
      <w:r>
        <w:rPr>
          <w:rFonts w:hint="eastAsia" w:ascii="仿宋" w:hAnsi="仿宋" w:eastAsia="仿宋" w:cs="仿宋"/>
          <w:color w:val="000000"/>
          <w:sz w:val="24"/>
          <w:szCs w:val="24"/>
        </w:rPr>
        <w:t>自行负责。</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对服务的社区、物业及涉及垃圾分类的管理单位开展培训</w:t>
      </w:r>
      <w:r>
        <w:rPr>
          <w:rFonts w:hint="eastAsia" w:ascii="仿宋" w:hAnsi="仿宋" w:eastAsia="仿宋" w:cs="仿宋"/>
          <w:color w:val="000000"/>
          <w:sz w:val="24"/>
          <w:szCs w:val="24"/>
          <w:lang w:val="en-US" w:eastAsia="zh-CN"/>
        </w:rPr>
        <w:t>每季度</w:t>
      </w:r>
      <w:r>
        <w:rPr>
          <w:rFonts w:hint="eastAsia" w:ascii="仿宋" w:hAnsi="仿宋" w:eastAsia="仿宋" w:cs="仿宋"/>
          <w:color w:val="000000"/>
          <w:sz w:val="24"/>
          <w:szCs w:val="24"/>
        </w:rPr>
        <w:t>不少于</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次。</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组织居民开展垃圾智能化分类的指导培训工作，进行现场分类的引导和督导。</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对上述工作开展书面日记账工作或软件日记账登记工作</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街道或社区有权进行定期督查。</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向指定的社区、物业和居民开放垃圾智能分类云平台，并向管理单位和居民开放相对应的功能和数据。</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5、宣传报道需根据采购人的要求进行实时提供，具体规格、要求以采购人要求为准。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16、</w:t>
      </w:r>
      <w:r>
        <w:rPr>
          <w:rFonts w:hint="eastAsia" w:ascii="仿宋" w:hAnsi="仿宋" w:eastAsia="仿宋" w:cs="仿宋"/>
          <w:color w:val="000000"/>
          <w:sz w:val="24"/>
          <w:szCs w:val="24"/>
        </w:rPr>
        <w:t>积极开展居民指导工作，逐步提高居民参与率和垃圾分类准确率，项目正式实施后，</w:t>
      </w:r>
      <w:r>
        <w:rPr>
          <w:rFonts w:hint="eastAsia" w:ascii="仿宋" w:hAnsi="仿宋" w:eastAsia="仿宋" w:cs="仿宋"/>
          <w:color w:val="000000"/>
          <w:sz w:val="24"/>
          <w:szCs w:val="24"/>
          <w:lang w:val="en-US" w:eastAsia="zh-CN"/>
        </w:rPr>
        <w:t>1</w:t>
      </w:r>
      <w:r>
        <w:rPr>
          <w:rFonts w:hint="eastAsia" w:ascii="仿宋" w:hAnsi="仿宋" w:eastAsia="仿宋" w:cs="仿宋"/>
          <w:b w:val="0"/>
          <w:bCs w:val="0"/>
          <w:color w:val="000000"/>
          <w:sz w:val="24"/>
          <w:szCs w:val="24"/>
        </w:rPr>
        <w:t>个月内，</w:t>
      </w:r>
      <w:r>
        <w:rPr>
          <w:rFonts w:hint="eastAsia" w:ascii="仿宋" w:hAnsi="仿宋" w:eastAsia="仿宋" w:cs="仿宋"/>
          <w:b w:val="0"/>
          <w:bCs w:val="0"/>
          <w:color w:val="000000"/>
          <w:sz w:val="24"/>
          <w:szCs w:val="24"/>
          <w:lang w:eastAsia="zh-CN"/>
        </w:rPr>
        <w:t>易腐垃圾、其他垃圾、可回收垃圾和有害垃圾分类投放，居民参与率</w:t>
      </w:r>
      <w:r>
        <w:rPr>
          <w:rFonts w:hint="eastAsia" w:ascii="仿宋" w:hAnsi="仿宋" w:eastAsia="仿宋" w:cs="仿宋"/>
          <w:b w:val="0"/>
          <w:bCs w:val="0"/>
          <w:color w:val="000000"/>
          <w:sz w:val="24"/>
          <w:szCs w:val="24"/>
          <w:lang w:val="en-US" w:eastAsia="zh-CN"/>
        </w:rPr>
        <w:t>90以上，居民满意率90以上，分类准确率80以上，无混装、错投等情况</w:t>
      </w:r>
      <w:r>
        <w:rPr>
          <w:rFonts w:hint="eastAsia" w:ascii="仿宋" w:hAnsi="仿宋" w:eastAsia="仿宋" w:cs="仿宋"/>
          <w:b w:val="0"/>
          <w:bCs w:val="0"/>
          <w:color w:val="00000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17、</w:t>
      </w:r>
      <w:r>
        <w:rPr>
          <w:rFonts w:hint="eastAsia" w:ascii="仿宋" w:hAnsi="仿宋" w:eastAsia="仿宋" w:cs="仿宋"/>
          <w:color w:val="000000"/>
          <w:sz w:val="24"/>
          <w:szCs w:val="24"/>
        </w:rPr>
        <w:t>积极协助</w:t>
      </w:r>
      <w:r>
        <w:rPr>
          <w:rFonts w:hint="eastAsia" w:ascii="仿宋" w:hAnsi="仿宋" w:eastAsia="仿宋" w:cs="仿宋"/>
          <w:color w:val="000000"/>
          <w:sz w:val="24"/>
          <w:szCs w:val="24"/>
          <w:lang w:eastAsia="zh-CN"/>
        </w:rPr>
        <w:t>平台</w:t>
      </w:r>
      <w:r>
        <w:rPr>
          <w:rFonts w:hint="eastAsia" w:ascii="仿宋" w:hAnsi="仿宋" w:eastAsia="仿宋" w:cs="仿宋"/>
          <w:color w:val="000000"/>
          <w:sz w:val="24"/>
          <w:szCs w:val="24"/>
        </w:rPr>
        <w:t>、社区、物业开展垃圾分类宣传工作，并积极配合社区、物业解决垃圾分类工作中涉及信访、居民意见等问题。</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18、</w:t>
      </w:r>
      <w:r>
        <w:rPr>
          <w:rFonts w:hint="eastAsia" w:ascii="仿宋" w:hAnsi="仿宋" w:eastAsia="仿宋" w:cs="仿宋"/>
          <w:color w:val="000000"/>
          <w:sz w:val="24"/>
          <w:szCs w:val="24"/>
          <w:lang w:eastAsia="zh-CN"/>
        </w:rPr>
        <w:t>对未建成再生资源网点的小区，</w:t>
      </w:r>
      <w:r>
        <w:rPr>
          <w:rFonts w:hint="eastAsia" w:ascii="仿宋" w:hAnsi="仿宋" w:eastAsia="仿宋" w:cs="仿宋"/>
          <w:color w:val="000000"/>
          <w:sz w:val="24"/>
          <w:szCs w:val="24"/>
          <w:lang w:val="en-US" w:eastAsia="zh-CN"/>
        </w:rPr>
        <w:t>适时组织移动式回收，但需经采购人认可。</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19、做好各易腐垃圾收集柜、</w:t>
      </w:r>
      <w:r>
        <w:rPr>
          <w:rFonts w:hint="eastAsia" w:ascii="仿宋" w:hAnsi="仿宋" w:eastAsia="仿宋" w:cs="仿宋"/>
          <w:color w:val="000000"/>
          <w:sz w:val="24"/>
          <w:szCs w:val="24"/>
          <w:lang w:eastAsia="zh-CN"/>
        </w:rPr>
        <w:t>投放点的卫生保洁工作，定时定点及时补上空桶，结束后及时把所有的桶都撤到指定位置。</w:t>
      </w:r>
      <w:r>
        <w:rPr>
          <w:rFonts w:hint="eastAsia" w:ascii="仿宋" w:hAnsi="仿宋" w:eastAsia="仿宋" w:cs="仿宋"/>
          <w:b w:val="0"/>
          <w:bCs w:val="0"/>
          <w:color w:val="000000"/>
          <w:sz w:val="24"/>
          <w:szCs w:val="24"/>
          <w:lang w:val="en-US" w:eastAsia="zh-CN"/>
        </w:rPr>
        <w:t>定期合理处理低价值可回收物和有害垃圾。</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b w:val="0"/>
          <w:bCs w:val="0"/>
          <w:color w:val="000000"/>
          <w:sz w:val="24"/>
          <w:szCs w:val="24"/>
          <w:lang w:val="en-US" w:eastAsia="zh-CN"/>
        </w:rPr>
        <w:t>20、中标方负责做好采购人提供集置点的管理和卫生保洁工作。</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21、</w:t>
      </w:r>
      <w:r>
        <w:rPr>
          <w:rFonts w:hint="eastAsia" w:ascii="仿宋" w:hAnsi="仿宋" w:eastAsia="仿宋" w:cs="仿宋"/>
          <w:b w:val="0"/>
          <w:bCs/>
          <w:color w:val="000000"/>
          <w:sz w:val="24"/>
          <w:szCs w:val="24"/>
          <w:lang w:eastAsia="zh-CN"/>
        </w:rPr>
        <w:t>按要求、按时做好萧山区生活垃圾智能监管系统的问题整改，问题整改情况将计入考核。</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22、根据萧山区城管局和萧山区生活垃圾分类办最新要求做好相关工作。</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color w:val="000000"/>
          <w:sz w:val="24"/>
          <w:szCs w:val="24"/>
          <w:lang w:val="en-US" w:eastAsia="zh-CN"/>
        </w:rPr>
      </w:pPr>
      <w:r>
        <w:rPr>
          <w:rFonts w:hint="eastAsia" w:ascii="仿宋" w:hAnsi="仿宋" w:eastAsia="仿宋" w:cs="仿宋"/>
          <w:b/>
          <w:bCs w:val="0"/>
          <w:color w:val="000000"/>
          <w:sz w:val="24"/>
          <w:szCs w:val="24"/>
          <w:lang w:val="en-US" w:eastAsia="zh-CN"/>
        </w:rPr>
        <w:t>（四）按时交接</w:t>
      </w:r>
    </w:p>
    <w:p>
      <w:pPr>
        <w:keepNext w:val="0"/>
        <w:keepLines w:val="0"/>
        <w:pageBreakBefore w:val="0"/>
        <w:numPr>
          <w:ilvl w:val="0"/>
          <w:numId w:val="0"/>
        </w:numPr>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b w:val="0"/>
          <w:bCs/>
          <w:color w:val="000000"/>
          <w:sz w:val="24"/>
          <w:szCs w:val="24"/>
          <w:lang w:val="en-US" w:eastAsia="zh-CN"/>
        </w:rPr>
        <w:t>▲由于本项目时间延续不可中断的特殊性，以及所服务小区的体量较大，投标人提供承诺书，承诺中标后并在合同签订后一个月内完成与原服务单位的工作交接，购置本项目所需的设施设备、车辆和配备相应的人员，以及完居居民数据帐户的建立，并接入采购人所在地的区级平台，无法在上述规定期限内完成各项服务内容的，则视为主动放弃，合同自动终止，并且对采购人造成的损失由中标人承担。</w:t>
      </w:r>
      <w:r>
        <w:rPr>
          <w:rFonts w:hint="eastAsia" w:ascii="仿宋" w:hAnsi="仿宋" w:eastAsia="仿宋" w:cs="仿宋"/>
          <w:b w:val="0"/>
          <w:bCs w:val="0"/>
          <w:color w:val="000000"/>
          <w:kern w:val="2"/>
          <w:sz w:val="24"/>
          <w:szCs w:val="24"/>
          <w:lang w:val="en-US" w:eastAsia="zh-CN" w:bidi="ar-SA"/>
        </w:rPr>
        <w:t>（投标单位必须提供承诺书）</w:t>
      </w:r>
    </w:p>
    <w:p>
      <w:pPr>
        <w:keepNext w:val="0"/>
        <w:keepLines w:val="0"/>
        <w:pageBreakBefore w:val="0"/>
        <w:numPr>
          <w:ilvl w:val="0"/>
          <w:numId w:val="9"/>
        </w:numPr>
        <w:kinsoku/>
        <w:wordWrap/>
        <w:overflowPunct/>
        <w:topLinePunct w:val="0"/>
        <w:bidi w:val="0"/>
        <w:adjustRightInd/>
        <w:spacing w:line="360" w:lineRule="auto"/>
        <w:ind w:firstLine="482" w:firstLineChars="20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机动车辆配备</w:t>
      </w:r>
    </w:p>
    <w:p>
      <w:pPr>
        <w:keepNext w:val="0"/>
        <w:keepLines w:val="0"/>
        <w:pageBreakBefore w:val="0"/>
        <w:numPr>
          <w:ilvl w:val="0"/>
          <w:numId w:val="0"/>
        </w:numPr>
        <w:kinsoku/>
        <w:wordWrap/>
        <w:overflowPunct/>
        <w:topLinePunct w:val="0"/>
        <w:bidi w:val="0"/>
        <w:adjustRightInd/>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为切实对垃圾分类各项工作进行整治以及应急大型会议和活动需要，中标方需在服务期限内配备皮卡汽车一辆，配合采购人开展各类如杂色桶、垃圾桶外置等专项整治以及各类垃圾分类应急活动。</w:t>
      </w:r>
    </w:p>
    <w:p>
      <w:pPr>
        <w:keepNext w:val="0"/>
        <w:keepLines w:val="0"/>
        <w:pageBreakBefore w:val="0"/>
        <w:numPr>
          <w:ilvl w:val="0"/>
          <w:numId w:val="0"/>
        </w:numPr>
        <w:kinsoku/>
        <w:wordWrap/>
        <w:overflowPunct/>
        <w:topLinePunct w:val="0"/>
        <w:bidi w:val="0"/>
        <w:adjustRightInd/>
        <w:spacing w:line="360" w:lineRule="auto"/>
        <w:ind w:firstLine="482"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（六）模式转换及部分小区人员、设施设备配置要求</w:t>
      </w:r>
    </w:p>
    <w:p>
      <w:pPr>
        <w:keepNext w:val="0"/>
        <w:keepLines w:val="0"/>
        <w:pageBreakBefore w:val="0"/>
        <w:numPr>
          <w:ilvl w:val="0"/>
          <w:numId w:val="0"/>
        </w:numPr>
        <w:kinsoku/>
        <w:wordWrap/>
        <w:overflowPunct/>
        <w:topLinePunct w:val="0"/>
        <w:bidi w:val="0"/>
        <w:adjustRightInd/>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b w:val="0"/>
          <w:bCs/>
          <w:color w:val="000000"/>
          <w:sz w:val="24"/>
          <w:szCs w:val="24"/>
          <w:lang w:val="en-US" w:eastAsia="zh-CN"/>
        </w:rPr>
        <w:t>▲</w:t>
      </w:r>
      <w:r>
        <w:rPr>
          <w:rFonts w:hint="eastAsia" w:ascii="仿宋" w:hAnsi="仿宋" w:eastAsia="仿宋" w:cs="仿宋"/>
          <w:color w:val="000000"/>
          <w:sz w:val="24"/>
          <w:szCs w:val="24"/>
          <w:lang w:val="en-US" w:eastAsia="zh-CN"/>
        </w:rPr>
        <w:t>在服务期限内，采购人对小区的分类模式实施转换，中标人需及时跟进。部分小区因户数较少或建筑密度较低，中标人需根据采购人要求，进行人员及设施设备的增加，费用不作增加。</w:t>
      </w:r>
    </w:p>
    <w:p>
      <w:pPr>
        <w:keepNext w:val="0"/>
        <w:keepLines w:val="0"/>
        <w:pageBreakBefore w:val="0"/>
        <w:numPr>
          <w:ilvl w:val="0"/>
          <w:numId w:val="0"/>
        </w:numPr>
        <w:kinsoku/>
        <w:wordWrap/>
        <w:overflowPunct/>
        <w:topLinePunct w:val="0"/>
        <w:bidi w:val="0"/>
        <w:adjustRightInd/>
        <w:spacing w:line="360" w:lineRule="auto"/>
        <w:ind w:leftChars="20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（七）服务期限内居民户数增加或调整</w:t>
      </w:r>
    </w:p>
    <w:p>
      <w:pPr>
        <w:keepNext w:val="0"/>
        <w:keepLines w:val="0"/>
        <w:pageBreakBefore w:val="0"/>
        <w:numPr>
          <w:ilvl w:val="0"/>
          <w:numId w:val="0"/>
        </w:numPr>
        <w:kinsoku/>
        <w:wordWrap/>
        <w:overflowPunct/>
        <w:topLinePunct w:val="0"/>
        <w:bidi w:val="0"/>
        <w:adjustRightInd/>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采购人只对实际居住户数进行费用结算，服务期内实际居住户数会有增加或减少，经所服务小区的社区确认户数后按实结算。</w:t>
      </w:r>
    </w:p>
    <w:p>
      <w:pPr>
        <w:keepNext w:val="0"/>
        <w:keepLines w:val="0"/>
        <w:pageBreakBefore w:val="0"/>
        <w:numPr>
          <w:ilvl w:val="0"/>
          <w:numId w:val="0"/>
        </w:numPr>
        <w:kinsoku/>
        <w:wordWrap/>
        <w:overflowPunct/>
        <w:topLinePunct w:val="0"/>
        <w:bidi w:val="0"/>
        <w:adjustRightInd/>
        <w:spacing w:line="360" w:lineRule="auto"/>
        <w:ind w:firstLine="482" w:firstLineChars="20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（八）新交付小区定时定投模式户数保底结算</w:t>
      </w:r>
    </w:p>
    <w:p>
      <w:pPr>
        <w:keepNext w:val="0"/>
        <w:keepLines w:val="0"/>
        <w:pageBreakBefore w:val="0"/>
        <w:numPr>
          <w:ilvl w:val="0"/>
          <w:numId w:val="0"/>
        </w:numPr>
        <w:kinsoku/>
        <w:wordWrap/>
        <w:overflowPunct/>
        <w:topLinePunct w:val="0"/>
        <w:bidi w:val="0"/>
        <w:adjustRightInd/>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鉴于定时定投模式小区的人员、设施配置系按照总户数设置点位，运营成本未作减少，故对该类小区入住率未达50%的，实际居住户数按50%保底结算。</w:t>
      </w:r>
    </w:p>
    <w:p>
      <w:pPr>
        <w:keepNext w:val="0"/>
        <w:keepLines w:val="0"/>
        <w:pageBreakBefore w:val="0"/>
        <w:numPr>
          <w:ilvl w:val="0"/>
          <w:numId w:val="0"/>
        </w:numPr>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b w:val="0"/>
          <w:bCs/>
          <w:color w:val="000000"/>
          <w:sz w:val="24"/>
          <w:szCs w:val="24"/>
        </w:rPr>
        <w:t>▲</w:t>
      </w:r>
      <w:r>
        <w:rPr>
          <w:rFonts w:hint="eastAsia" w:ascii="仿宋" w:hAnsi="仿宋" w:eastAsia="仿宋" w:cs="仿宋"/>
          <w:b/>
          <w:bCs/>
          <w:color w:val="000000"/>
          <w:sz w:val="24"/>
          <w:szCs w:val="24"/>
          <w:lang w:val="en-US" w:eastAsia="zh-CN"/>
        </w:rPr>
        <w:t>（九）</w:t>
      </w:r>
      <w:r>
        <w:rPr>
          <w:rFonts w:hint="eastAsia" w:ascii="仿宋" w:hAnsi="仿宋" w:eastAsia="仿宋" w:cs="仿宋"/>
          <w:b w:val="0"/>
          <w:bCs/>
          <w:color w:val="000000"/>
          <w:sz w:val="24"/>
          <w:szCs w:val="24"/>
          <w:lang w:val="en-US" w:eastAsia="zh-CN"/>
        </w:rPr>
        <w:t xml:space="preserve"> </w:t>
      </w:r>
      <w:r>
        <w:rPr>
          <w:rFonts w:hint="eastAsia" w:ascii="仿宋" w:hAnsi="仿宋" w:eastAsia="仿宋" w:cs="仿宋"/>
          <w:color w:val="000000"/>
          <w:sz w:val="24"/>
          <w:szCs w:val="24"/>
          <w:lang w:val="en-US" w:eastAsia="zh-CN"/>
        </w:rPr>
        <w:t>投标人提供承诺书，承诺中标后并在合同签订后一个月内，重新设置购买或与原服务单位协商折价购买资产，包括（但不限于）本项目所有服务小区的车辆、定时定投亭、电子称、再生资源网点、易腐垃圾收集柜及其他设施设备等，具体新资产的清单、明细、数量以及配备比例需经采购人认可，该费用包含在投标总价中，若无法按时配备到位的，则视为主动放弃，合同自动终止，并且对采购人造成的损失由中标人承担。</w:t>
      </w:r>
      <w:r>
        <w:rPr>
          <w:rFonts w:hint="eastAsia" w:ascii="仿宋" w:hAnsi="仿宋" w:eastAsia="仿宋" w:cs="仿宋"/>
          <w:b w:val="0"/>
          <w:bCs w:val="0"/>
          <w:color w:val="000000"/>
          <w:kern w:val="2"/>
          <w:sz w:val="24"/>
          <w:szCs w:val="24"/>
          <w:lang w:val="en-US" w:eastAsia="zh-CN" w:bidi="ar-SA"/>
        </w:rPr>
        <w:t>（投标单位必须提供承诺书）</w:t>
      </w:r>
    </w:p>
    <w:p>
      <w:pPr>
        <w:keepNext w:val="0"/>
        <w:keepLines w:val="0"/>
        <w:pageBreakBefore w:val="0"/>
        <w:numPr>
          <w:ilvl w:val="0"/>
          <w:numId w:val="0"/>
        </w:numPr>
        <w:kinsoku/>
        <w:wordWrap/>
        <w:overflowPunct/>
        <w:topLinePunct w:val="0"/>
        <w:bidi w:val="0"/>
        <w:snapToGrid w:val="0"/>
        <w:spacing w:line="360" w:lineRule="auto"/>
        <w:ind w:firstLine="241" w:firstLineChars="1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（十）沿街商铺收运</w:t>
      </w:r>
    </w:p>
    <w:p>
      <w:pPr>
        <w:keepNext w:val="0"/>
        <w:keepLines w:val="0"/>
        <w:pageBreakBefore w:val="0"/>
        <w:numPr>
          <w:ilvl w:val="0"/>
          <w:numId w:val="0"/>
        </w:numPr>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服务期限内如有沿街商铺需要收运，投标人需按采购人要求及时推进收运工作，费用参照居民户按实结算或按上级有关规定执行，最终由采购人决定。</w:t>
      </w:r>
    </w:p>
    <w:p>
      <w:pPr>
        <w:keepNext w:val="0"/>
        <w:keepLines w:val="0"/>
        <w:pageBreakBefore w:val="0"/>
        <w:numPr>
          <w:ilvl w:val="0"/>
          <w:numId w:val="0"/>
        </w:numPr>
        <w:kinsoku/>
        <w:wordWrap/>
        <w:overflowPunct/>
        <w:topLinePunct w:val="0"/>
        <w:bidi w:val="0"/>
        <w:snapToGrid w:val="0"/>
        <w:spacing w:line="360" w:lineRule="auto"/>
        <w:ind w:firstLine="241" w:firstLineChars="1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kern w:val="2"/>
          <w:sz w:val="24"/>
          <w:szCs w:val="24"/>
          <w:lang w:val="en-US" w:eastAsia="zh-CN" w:bidi="ar-SA"/>
        </w:rPr>
        <w:t>（十一）</w:t>
      </w:r>
      <w:r>
        <w:rPr>
          <w:rFonts w:hint="eastAsia" w:ascii="仿宋" w:hAnsi="仿宋" w:eastAsia="仿宋" w:cs="仿宋"/>
          <w:b/>
          <w:bCs/>
          <w:color w:val="000000"/>
          <w:sz w:val="24"/>
          <w:szCs w:val="24"/>
          <w:lang w:val="en-US" w:eastAsia="zh-CN"/>
        </w:rPr>
        <w:t>服务质量考核</w:t>
      </w:r>
    </w:p>
    <w:p>
      <w:pPr>
        <w:keepNext w:val="0"/>
        <w:keepLines w:val="0"/>
        <w:pageBreakBefore w:val="0"/>
        <w:numPr>
          <w:ilvl w:val="0"/>
          <w:numId w:val="0"/>
        </w:numPr>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b w:val="0"/>
          <w:bCs/>
          <w:color w:val="000000"/>
          <w:sz w:val="24"/>
          <w:szCs w:val="24"/>
          <w:lang w:val="en-US" w:eastAsia="zh-CN"/>
        </w:rPr>
        <w:t>▲</w:t>
      </w:r>
      <w:r>
        <w:rPr>
          <w:rFonts w:hint="eastAsia" w:ascii="仿宋" w:hAnsi="仿宋" w:eastAsia="仿宋" w:cs="仿宋"/>
          <w:color w:val="000000"/>
          <w:sz w:val="24"/>
          <w:szCs w:val="24"/>
          <w:lang w:val="en-US" w:eastAsia="zh-CN"/>
        </w:rPr>
        <w:t>采购人或下属社区每月对中标人的服务质量进行考核，具体考核细则在合同签订时予以明确，采购人或下属社区在服务期间会根据实际情况作相应调整。有关考核条款，中标人在投标时视作认可。</w:t>
      </w:r>
    </w:p>
    <w:p>
      <w:pPr>
        <w:keepNext w:val="0"/>
        <w:keepLines w:val="0"/>
        <w:pageBreakBefore w:val="0"/>
        <w:numPr>
          <w:ilvl w:val="0"/>
          <w:numId w:val="0"/>
        </w:numPr>
        <w:kinsoku/>
        <w:wordWrap/>
        <w:overflowPunct/>
        <w:topLinePunct w:val="0"/>
        <w:bidi w:val="0"/>
        <w:snapToGrid w:val="0"/>
        <w:spacing w:line="360" w:lineRule="auto"/>
        <w:ind w:firstLine="480" w:firstLineChars="200"/>
        <w:jc w:val="left"/>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w:t>
      </w:r>
      <w:r>
        <w:rPr>
          <w:rFonts w:hint="eastAsia" w:ascii="仿宋" w:hAnsi="仿宋" w:eastAsia="仿宋" w:cs="仿宋"/>
          <w:b/>
          <w:bCs w:val="0"/>
          <w:color w:val="000000"/>
          <w:sz w:val="24"/>
          <w:szCs w:val="24"/>
          <w:lang w:val="en-US" w:eastAsia="zh-CN"/>
        </w:rPr>
        <w:t>（十二）</w:t>
      </w:r>
      <w:r>
        <w:rPr>
          <w:rFonts w:hint="eastAsia" w:ascii="仿宋" w:hAnsi="仿宋" w:eastAsia="仿宋" w:cs="仿宋"/>
          <w:b w:val="0"/>
          <w:bCs/>
          <w:color w:val="000000"/>
          <w:sz w:val="24"/>
          <w:szCs w:val="24"/>
          <w:lang w:val="en-US" w:eastAsia="zh-CN"/>
        </w:rPr>
        <w:t>采购人正在推进大物业管家模式，如小区推进大物业管家，则乙方在做好交接后，退出该小区的服务工作。</w:t>
      </w:r>
    </w:p>
    <w:p>
      <w:pPr>
        <w:keepNext w:val="0"/>
        <w:keepLines w:val="0"/>
        <w:pageBreakBefore w:val="0"/>
        <w:numPr>
          <w:ilvl w:val="0"/>
          <w:numId w:val="0"/>
        </w:numPr>
        <w:kinsoku/>
        <w:wordWrap/>
        <w:overflowPunct/>
        <w:topLinePunct w:val="0"/>
        <w:bidi w:val="0"/>
        <w:snapToGrid w:val="0"/>
        <w:spacing w:line="360" w:lineRule="auto"/>
        <w:ind w:left="0" w:leftChars="0" w:firstLine="241" w:firstLineChars="1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kern w:val="2"/>
          <w:sz w:val="24"/>
          <w:szCs w:val="24"/>
          <w:lang w:val="en-US" w:eastAsia="zh-CN" w:bidi="ar-SA"/>
        </w:rPr>
        <w:t>（十三）</w:t>
      </w:r>
      <w:r>
        <w:rPr>
          <w:rFonts w:hint="eastAsia" w:ascii="仿宋" w:hAnsi="仿宋" w:eastAsia="仿宋" w:cs="仿宋"/>
          <w:color w:val="000000"/>
          <w:sz w:val="24"/>
          <w:szCs w:val="24"/>
          <w:lang w:val="en-US" w:eastAsia="zh-CN"/>
        </w:rPr>
        <w:t>服务期间，所服务小区创建省市区示范小区、片区等各类荣誉，采购人获得上级部门资金奖励的，采购人给予中标人该资金奖励的50%。</w:t>
      </w:r>
    </w:p>
    <w:p>
      <w:pPr>
        <w:keepNext w:val="0"/>
        <w:keepLines w:val="0"/>
        <w:pageBreakBefore w:val="0"/>
        <w:widowControl w:val="0"/>
        <w:numPr>
          <w:ilvl w:val="0"/>
          <w:numId w:val="0"/>
        </w:numPr>
        <w:kinsoku/>
        <w:wordWrap/>
        <w:overflowPunct/>
        <w:topLinePunct w:val="0"/>
        <w:bidi w:val="0"/>
        <w:snapToGrid w:val="0"/>
        <w:spacing w:line="360" w:lineRule="auto"/>
        <w:ind w:left="0" w:leftChars="0" w:firstLine="241" w:firstLineChars="1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kern w:val="2"/>
          <w:sz w:val="24"/>
          <w:szCs w:val="24"/>
          <w:lang w:val="en-US" w:eastAsia="zh-CN" w:bidi="ar-SA"/>
        </w:rPr>
        <w:t>（十四）</w:t>
      </w:r>
      <w:r>
        <w:rPr>
          <w:rFonts w:hint="eastAsia" w:ascii="仿宋" w:hAnsi="仿宋" w:eastAsia="仿宋" w:cs="仿宋"/>
          <w:color w:val="000000"/>
          <w:sz w:val="24"/>
          <w:szCs w:val="24"/>
          <w:lang w:val="en-US" w:eastAsia="zh-CN"/>
        </w:rPr>
        <w:t>垃圾分类模式转换为定时定点投放模式后，所有垃圾房（亭）上公益广告需变更为定时定点投放公益广告，相关费用由中标人支付。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四、商务需求</w:t>
      </w:r>
    </w:p>
    <w:p>
      <w:pPr>
        <w:pStyle w:val="34"/>
        <w:keepNext w:val="0"/>
        <w:keepLines w:val="0"/>
        <w:pageBreakBefore w:val="0"/>
        <w:widowControl w:val="0"/>
        <w:kinsoku/>
        <w:wordWrap/>
        <w:overflowPunct/>
        <w:topLinePunct w:val="0"/>
        <w:autoSpaceDE/>
        <w:autoSpaceDN/>
        <w:bidi w:val="0"/>
        <w:adjustRightInd/>
        <w:snapToGrid/>
        <w:spacing w:before="156" w:line="360" w:lineRule="auto"/>
        <w:ind w:firstLine="482" w:firstLineChars="200"/>
        <w:textAlignment w:val="auto"/>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1、</w:t>
      </w:r>
      <w:r>
        <w:rPr>
          <w:rFonts w:hint="eastAsia" w:ascii="仿宋" w:hAnsi="仿宋" w:eastAsia="仿宋" w:cs="仿宋"/>
          <w:b/>
          <w:color w:val="000000"/>
          <w:sz w:val="24"/>
          <w:szCs w:val="24"/>
        </w:rPr>
        <w:t>合同的签订</w:t>
      </w:r>
      <w:r>
        <w:rPr>
          <w:rFonts w:hint="eastAsia" w:ascii="仿宋" w:hAnsi="仿宋" w:eastAsia="仿宋" w:cs="仿宋"/>
          <w:b/>
          <w:color w:val="000000"/>
          <w:sz w:val="24"/>
          <w:szCs w:val="24"/>
          <w:lang w:eastAsia="zh-CN"/>
        </w:rPr>
        <w:t>、</w:t>
      </w:r>
      <w:r>
        <w:rPr>
          <w:rFonts w:hint="eastAsia" w:ascii="仿宋" w:hAnsi="仿宋" w:eastAsia="仿宋" w:cs="仿宋"/>
          <w:b/>
          <w:color w:val="000000"/>
          <w:sz w:val="24"/>
          <w:szCs w:val="24"/>
          <w:lang w:val="en-US" w:eastAsia="zh-CN"/>
        </w:rPr>
        <w:t>履行及违约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trike/>
          <w:dstrike w:val="0"/>
          <w:color w:val="000000"/>
          <w:sz w:val="24"/>
          <w:szCs w:val="24"/>
          <w:u w:val="single"/>
          <w:lang w:val="en-US" w:eastAsia="zh-CN"/>
        </w:rPr>
      </w:pPr>
      <w:r>
        <w:rPr>
          <w:rFonts w:hint="eastAsia" w:ascii="仿宋" w:hAnsi="仿宋" w:eastAsia="仿宋" w:cs="仿宋"/>
          <w:b w:val="0"/>
          <w:bCs/>
          <w:color w:val="000000"/>
          <w:sz w:val="24"/>
          <w:szCs w:val="24"/>
          <w:lang w:val="en-US" w:eastAsia="zh-CN"/>
        </w:rPr>
        <w:t>▲</w:t>
      </w:r>
      <w:r>
        <w:rPr>
          <w:rFonts w:hint="eastAsia" w:ascii="仿宋" w:hAnsi="仿宋" w:eastAsia="仿宋" w:cs="仿宋"/>
          <w:color w:val="auto"/>
          <w:sz w:val="24"/>
          <w:szCs w:val="24"/>
          <w:lang w:val="en-US" w:eastAsia="zh-CN"/>
        </w:rPr>
        <w:t>（1）合同签订</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中标人需在收到中标通知书后一个月内，与采购人签订服务合同，逾期未签的视为放弃。</w:t>
      </w:r>
      <w:r>
        <w:rPr>
          <w:rFonts w:hint="eastAsia" w:ascii="仿宋" w:hAnsi="仿宋" w:eastAsia="仿宋" w:cs="仿宋"/>
          <w:color w:val="auto"/>
          <w:sz w:val="24"/>
          <w:szCs w:val="24"/>
        </w:rPr>
        <w:t>本次招标服务期限为</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年</w:t>
      </w:r>
      <w:r>
        <w:rPr>
          <w:rFonts w:hint="eastAsia" w:ascii="仿宋" w:hAnsi="仿宋" w:eastAsia="仿宋" w:cs="仿宋"/>
          <w:color w:val="auto"/>
          <w:sz w:val="24"/>
          <w:szCs w:val="24"/>
        </w:rPr>
        <w:t>（具体起始时间在合同中约定）</w:t>
      </w:r>
      <w:r>
        <w:rPr>
          <w:rFonts w:hint="eastAsia" w:ascii="仿宋" w:hAnsi="仿宋" w:eastAsia="仿宋" w:cs="仿宋"/>
          <w:color w:val="auto"/>
          <w:sz w:val="24"/>
          <w:szCs w:val="24"/>
          <w:lang w:eastAsia="zh-CN"/>
        </w:rPr>
        <w:t>。</w:t>
      </w:r>
    </w:p>
    <w:p>
      <w:pPr>
        <w:pStyle w:val="2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000000"/>
          <w:kern w:val="0"/>
          <w:sz w:val="24"/>
          <w:szCs w:val="24"/>
          <w:lang w:eastAsia="zh-CN"/>
        </w:rPr>
      </w:pPr>
      <w:r>
        <w:rPr>
          <w:rFonts w:hint="eastAsia" w:ascii="仿宋" w:hAnsi="仿宋" w:eastAsia="仿宋" w:cs="仿宋"/>
          <w:b w:val="0"/>
          <w:bCs/>
          <w:color w:val="000000"/>
          <w:sz w:val="24"/>
          <w:szCs w:val="24"/>
          <w:lang w:val="en-US" w:eastAsia="zh-CN"/>
        </w:rPr>
        <w:t>▲</w:t>
      </w:r>
      <w:r>
        <w:rPr>
          <w:rFonts w:hint="eastAsia" w:ascii="仿宋" w:hAnsi="仿宋" w:eastAsia="仿宋" w:cs="仿宋"/>
          <w:color w:val="000000"/>
          <w:sz w:val="24"/>
          <w:szCs w:val="24"/>
          <w:lang w:val="en-US" w:eastAsia="zh-CN"/>
        </w:rPr>
        <w:t>（2）合同履行：中标人需在合同签订后15日内，向采购人支付合同价款的1%作为履约保证金，以</w:t>
      </w:r>
      <w:r>
        <w:rPr>
          <w:rFonts w:hint="eastAsia" w:ascii="仿宋" w:hAnsi="仿宋" w:eastAsia="仿宋" w:cs="仿宋"/>
          <w:color w:val="000000"/>
          <w:kern w:val="0"/>
          <w:sz w:val="24"/>
          <w:szCs w:val="24"/>
        </w:rPr>
        <w:t>支票、汇票、本票非现金形式提交</w:t>
      </w:r>
      <w:r>
        <w:rPr>
          <w:rFonts w:hint="eastAsia" w:ascii="仿宋" w:hAnsi="仿宋" w:eastAsia="仿宋" w:cs="仿宋"/>
          <w:color w:val="000000"/>
          <w:kern w:val="0"/>
          <w:sz w:val="24"/>
          <w:szCs w:val="24"/>
          <w:lang w:eastAsia="zh-CN"/>
        </w:rPr>
        <w:t>。</w:t>
      </w:r>
    </w:p>
    <w:p>
      <w:pPr>
        <w:pStyle w:val="2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color w:val="000000"/>
          <w:sz w:val="24"/>
          <w:szCs w:val="24"/>
          <w:lang w:val="en-US" w:eastAsia="zh-CN"/>
        </w:rPr>
        <w:t>▲</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违约责任：因本次采购服务项目涉及采购人下属社区的众多小区，</w:t>
      </w:r>
      <w:r>
        <w:rPr>
          <w:rFonts w:hint="eastAsia" w:ascii="仿宋" w:hAnsi="仿宋" w:eastAsia="仿宋" w:cs="仿宋"/>
          <w:color w:val="000000"/>
          <w:sz w:val="24"/>
          <w:szCs w:val="24"/>
          <w:lang w:val="en-US" w:eastAsia="zh-CN"/>
        </w:rPr>
        <w:t>中标人需在合同签订后一个月内，完成所有服务小区的垃圾分类投入运营，</w:t>
      </w:r>
      <w:r>
        <w:rPr>
          <w:rFonts w:hint="eastAsia" w:ascii="仿宋" w:hAnsi="仿宋" w:eastAsia="仿宋" w:cs="仿宋"/>
          <w:strike w:val="0"/>
          <w:dstrike w:val="0"/>
          <w:color w:val="000000"/>
          <w:sz w:val="24"/>
          <w:szCs w:val="24"/>
          <w:lang w:val="en-US" w:eastAsia="zh-CN"/>
        </w:rPr>
        <w:t>且</w:t>
      </w:r>
      <w:r>
        <w:rPr>
          <w:rFonts w:hint="eastAsia" w:ascii="仿宋" w:hAnsi="仿宋" w:eastAsia="仿宋" w:cs="仿宋"/>
          <w:color w:val="000000"/>
          <w:sz w:val="24"/>
          <w:szCs w:val="24"/>
          <w:lang w:val="en-US" w:eastAsia="zh-CN"/>
        </w:rPr>
        <w:t>垃圾分类投入运营完成需由所有服务社区出具书面确认证明，否则视为违约，合同自动终止，履约保证金不予退还，并且对采购人造成的损失由中标人承担。</w:t>
      </w:r>
    </w:p>
    <w:p>
      <w:pPr>
        <w:keepNext w:val="0"/>
        <w:keepLines w:val="0"/>
        <w:pageBreakBefore w:val="0"/>
        <w:widowControl w:val="0"/>
        <w:kinsoku/>
        <w:wordWrap/>
        <w:overflowPunct/>
        <w:topLinePunct w:val="0"/>
        <w:bidi w:val="0"/>
        <w:snapToGrid w:val="0"/>
        <w:spacing w:line="360" w:lineRule="auto"/>
        <w:ind w:firstLine="472" w:firstLineChars="196"/>
        <w:jc w:val="lef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2、</w:t>
      </w:r>
      <w:r>
        <w:rPr>
          <w:rFonts w:hint="eastAsia" w:ascii="仿宋" w:hAnsi="仿宋" w:eastAsia="仿宋" w:cs="仿宋"/>
          <w:b/>
          <w:color w:val="000000"/>
          <w:sz w:val="24"/>
          <w:szCs w:val="24"/>
        </w:rPr>
        <w:t>付款方式</w:t>
      </w:r>
    </w:p>
    <w:p>
      <w:pPr>
        <w:keepNext w:val="0"/>
        <w:keepLines w:val="0"/>
        <w:pageBreakBefore w:val="0"/>
        <w:widowControl w:val="0"/>
        <w:kinsoku/>
        <w:wordWrap/>
        <w:overflowPunct/>
        <w:topLinePunct w:val="0"/>
        <w:bidi w:val="0"/>
        <w:snapToGrid w:val="0"/>
        <w:spacing w:line="360" w:lineRule="auto"/>
        <w:ind w:firstLine="720" w:firstLineChars="3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按实际服务户数和服务时间以及供应商与</w:t>
      </w:r>
      <w:r>
        <w:rPr>
          <w:rFonts w:hint="eastAsia" w:ascii="仿宋" w:hAnsi="仿宋" w:eastAsia="仿宋" w:cs="仿宋"/>
          <w:color w:val="000000"/>
          <w:sz w:val="24"/>
          <w:szCs w:val="24"/>
          <w:lang w:val="en-US" w:eastAsia="zh-CN"/>
        </w:rPr>
        <w:t>采购人</w:t>
      </w:r>
      <w:r>
        <w:rPr>
          <w:rFonts w:hint="eastAsia" w:ascii="仿宋" w:hAnsi="仿宋" w:eastAsia="仿宋" w:cs="仿宋"/>
          <w:color w:val="000000"/>
          <w:sz w:val="24"/>
          <w:szCs w:val="24"/>
        </w:rPr>
        <w:t>签订合同价等形式确定的价格，按</w:t>
      </w:r>
      <w:r>
        <w:rPr>
          <w:rFonts w:hint="eastAsia" w:ascii="仿宋" w:hAnsi="仿宋" w:eastAsia="仿宋" w:cs="仿宋"/>
          <w:color w:val="000000"/>
          <w:sz w:val="24"/>
          <w:szCs w:val="24"/>
          <w:lang w:eastAsia="zh-CN"/>
        </w:rPr>
        <w:t>实际户数、实际服务天数按</w:t>
      </w:r>
      <w:r>
        <w:rPr>
          <w:rFonts w:hint="eastAsia" w:ascii="仿宋" w:hAnsi="仿宋" w:eastAsia="仿宋" w:cs="仿宋"/>
          <w:color w:val="000000"/>
          <w:sz w:val="24"/>
          <w:szCs w:val="24"/>
        </w:rPr>
        <w:t>实结算。（具体</w:t>
      </w:r>
      <w:r>
        <w:rPr>
          <w:rFonts w:hint="eastAsia" w:ascii="仿宋" w:hAnsi="仿宋" w:eastAsia="仿宋" w:cs="仿宋"/>
          <w:color w:val="000000"/>
          <w:sz w:val="24"/>
          <w:szCs w:val="24"/>
          <w:lang w:val="en-US" w:eastAsia="zh-CN"/>
        </w:rPr>
        <w:t>以实际合同签订为准）</w:t>
      </w:r>
    </w:p>
    <w:p>
      <w:pPr>
        <w:keepNext w:val="0"/>
        <w:keepLines w:val="0"/>
        <w:pageBreakBefore w:val="0"/>
        <w:widowControl w:val="0"/>
        <w:kinsoku/>
        <w:wordWrap/>
        <w:overflowPunct/>
        <w:topLinePunct w:val="0"/>
        <w:bidi w:val="0"/>
        <w:snapToGrid w:val="0"/>
        <w:spacing w:line="360" w:lineRule="auto"/>
        <w:ind w:firstLine="472" w:firstLineChars="196"/>
        <w:jc w:val="left"/>
        <w:textAlignment w:val="auto"/>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3、报价说明：</w:t>
      </w:r>
    </w:p>
    <w:p>
      <w:pPr>
        <w:keepNext w:val="0"/>
        <w:keepLines w:val="0"/>
        <w:pageBreakBefore w:val="0"/>
        <w:widowControl w:val="0"/>
        <w:kinsoku/>
        <w:wordWrap/>
        <w:overflowPunct/>
        <w:topLinePunct w:val="0"/>
        <w:bidi w:val="0"/>
        <w:snapToGrid w:val="0"/>
        <w:spacing w:line="360" w:lineRule="auto"/>
        <w:ind w:firstLine="723" w:firstLineChars="300"/>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投标人需在</w:t>
      </w:r>
      <w:r>
        <w:rPr>
          <w:rFonts w:hint="eastAsia" w:ascii="仿宋" w:hAnsi="仿宋" w:eastAsia="仿宋" w:cs="仿宋"/>
          <w:b/>
          <w:bCs/>
          <w:color w:val="000000"/>
          <w:sz w:val="24"/>
          <w:szCs w:val="24"/>
          <w:lang w:val="zh-CN" w:eastAsia="zh-CN"/>
        </w:rPr>
        <w:t>投标(开标)一览表</w:t>
      </w:r>
      <w:r>
        <w:rPr>
          <w:rFonts w:hint="eastAsia" w:ascii="仿宋" w:hAnsi="仿宋" w:eastAsia="仿宋" w:cs="仿宋"/>
          <w:b/>
          <w:bCs/>
          <w:color w:val="000000"/>
          <w:sz w:val="24"/>
          <w:szCs w:val="24"/>
          <w:lang w:val="en-US" w:eastAsia="zh-CN"/>
        </w:rPr>
        <w:t>中填写每户服务投标单价与暂定投标总价，暂定服务户数为：63500户，</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 xml:space="preserve">每户服务投标单价不超过345元/户/年，其中35元积分兑换费（宣传费）单独结算。（服务户数为采购人初步统计数量，实际服务户数可能出现差异，各投标人须综合衡量，充分考虑投标风险）。 </w:t>
      </w:r>
    </w:p>
    <w:p>
      <w:pPr>
        <w:snapToGrid w:val="0"/>
        <w:spacing w:line="360" w:lineRule="auto"/>
        <w:jc w:val="center"/>
        <w:rPr>
          <w:rFonts w:hint="eastAsia" w:ascii="仿宋" w:hAnsi="仿宋" w:eastAsia="仿宋" w:cs="仿宋"/>
          <w:b/>
          <w:bCs/>
          <w:color w:val="auto"/>
          <w:sz w:val="24"/>
          <w:szCs w:val="24"/>
          <w:highlight w:val="none"/>
        </w:rPr>
      </w:pPr>
    </w:p>
    <w:p>
      <w:pPr>
        <w:widowControl/>
        <w:ind w:firstLine="720" w:firstLineChars="300"/>
        <w:jc w:val="left"/>
        <w:rPr>
          <w:rFonts w:hint="eastAsia" w:ascii="仿宋" w:hAnsi="仿宋" w:eastAsia="仿宋" w:cs="仿宋"/>
          <w:bCs/>
          <w:color w:val="auto"/>
          <w:sz w:val="24"/>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1" w:name="_Toc184312108"/>
      <w:bookmarkEnd w:id="31"/>
      <w:bookmarkStart w:id="32" w:name="_Toc184313288"/>
      <w:bookmarkEnd w:id="32"/>
      <w:bookmarkStart w:id="33" w:name="_Toc184312071"/>
      <w:bookmarkEnd w:id="33"/>
      <w:bookmarkStart w:id="34" w:name="_Toc184310275"/>
      <w:bookmarkEnd w:id="34"/>
      <w:bookmarkStart w:id="35" w:name="_Toc184308084"/>
      <w:bookmarkEnd w:id="35"/>
      <w:bookmarkStart w:id="36" w:name="_Toc184313251"/>
      <w:bookmarkEnd w:id="36"/>
      <w:bookmarkStart w:id="37" w:name="_Toc184308050"/>
      <w:bookmarkEnd w:id="37"/>
      <w:bookmarkStart w:id="38" w:name="_Toc184314414"/>
      <w:bookmarkEnd w:id="38"/>
      <w:bookmarkStart w:id="39" w:name="_Toc184314475"/>
      <w:bookmarkEnd w:id="39"/>
      <w:bookmarkStart w:id="40" w:name="_Toc184312077"/>
      <w:bookmarkEnd w:id="40"/>
      <w:bookmarkStart w:id="41" w:name="_Toc184313287"/>
      <w:bookmarkEnd w:id="41"/>
      <w:bookmarkStart w:id="42" w:name="_Toc184308043"/>
      <w:bookmarkEnd w:id="42"/>
      <w:bookmarkStart w:id="43" w:name="_Toc184313253"/>
      <w:bookmarkEnd w:id="43"/>
      <w:bookmarkStart w:id="44" w:name="_Toc184308073"/>
      <w:bookmarkEnd w:id="44"/>
      <w:bookmarkStart w:id="45" w:name="_Toc184308078"/>
      <w:bookmarkEnd w:id="45"/>
      <w:bookmarkStart w:id="46" w:name="_Toc184310319"/>
      <w:bookmarkEnd w:id="46"/>
      <w:bookmarkStart w:id="47" w:name="_Toc184308044"/>
      <w:bookmarkEnd w:id="47"/>
      <w:bookmarkStart w:id="48" w:name="_Toc184308106"/>
      <w:bookmarkEnd w:id="48"/>
      <w:bookmarkStart w:id="49" w:name="_Toc184312075"/>
      <w:bookmarkEnd w:id="49"/>
      <w:bookmarkStart w:id="50" w:name="_Toc184313249"/>
      <w:bookmarkEnd w:id="50"/>
      <w:bookmarkStart w:id="51" w:name="_Toc184308081"/>
      <w:bookmarkEnd w:id="51"/>
      <w:bookmarkStart w:id="52" w:name="_Toc184312089"/>
      <w:bookmarkEnd w:id="52"/>
      <w:bookmarkStart w:id="53" w:name="_Toc184312115"/>
      <w:bookmarkEnd w:id="53"/>
      <w:bookmarkStart w:id="54" w:name="_Toc184314446"/>
      <w:bookmarkEnd w:id="54"/>
      <w:bookmarkStart w:id="55" w:name="_Toc184308104"/>
      <w:bookmarkEnd w:id="55"/>
      <w:bookmarkStart w:id="56" w:name="_Toc184308045"/>
      <w:bookmarkEnd w:id="56"/>
      <w:bookmarkStart w:id="57" w:name="_Toc184308105"/>
      <w:bookmarkEnd w:id="57"/>
      <w:bookmarkStart w:id="58" w:name="_Toc184313290"/>
      <w:bookmarkEnd w:id="58"/>
      <w:bookmarkStart w:id="59" w:name="_Toc184310294"/>
      <w:bookmarkEnd w:id="59"/>
      <w:bookmarkStart w:id="60" w:name="_Toc184308061"/>
      <w:bookmarkEnd w:id="60"/>
      <w:bookmarkStart w:id="61" w:name="_Toc184308069"/>
      <w:bookmarkEnd w:id="61"/>
      <w:bookmarkStart w:id="62" w:name="_Toc184312137"/>
      <w:bookmarkEnd w:id="62"/>
      <w:bookmarkStart w:id="63" w:name="_Toc184310344"/>
      <w:bookmarkEnd w:id="63"/>
      <w:bookmarkStart w:id="64" w:name="_Toc184314438"/>
      <w:bookmarkEnd w:id="64"/>
      <w:bookmarkStart w:id="65" w:name="_Toc184312111"/>
      <w:bookmarkEnd w:id="65"/>
      <w:bookmarkStart w:id="66" w:name="_Toc184313304"/>
      <w:bookmarkEnd w:id="66"/>
      <w:bookmarkStart w:id="67" w:name="_Toc184310318"/>
      <w:bookmarkEnd w:id="67"/>
      <w:bookmarkStart w:id="68" w:name="_Toc184312098"/>
      <w:bookmarkEnd w:id="68"/>
      <w:bookmarkStart w:id="69" w:name="_Toc184313269"/>
      <w:bookmarkEnd w:id="69"/>
      <w:bookmarkStart w:id="70" w:name="_Toc184313270"/>
      <w:bookmarkEnd w:id="70"/>
      <w:bookmarkStart w:id="71" w:name="_Toc184312113"/>
      <w:bookmarkEnd w:id="71"/>
      <w:bookmarkStart w:id="72" w:name="_Toc184308089"/>
      <w:bookmarkEnd w:id="72"/>
      <w:bookmarkStart w:id="73" w:name="_Toc184310290"/>
      <w:bookmarkEnd w:id="73"/>
      <w:bookmarkStart w:id="74" w:name="_Toc184314443"/>
      <w:bookmarkEnd w:id="74"/>
      <w:bookmarkStart w:id="75" w:name="_Toc184312129"/>
      <w:bookmarkEnd w:id="75"/>
      <w:bookmarkStart w:id="76" w:name="_Toc184310321"/>
      <w:bookmarkEnd w:id="76"/>
      <w:bookmarkStart w:id="77" w:name="_Toc184310341"/>
      <w:bookmarkEnd w:id="77"/>
      <w:bookmarkStart w:id="78" w:name="_Toc184313245"/>
      <w:bookmarkEnd w:id="78"/>
      <w:bookmarkStart w:id="79" w:name="_Toc184314433"/>
      <w:bookmarkEnd w:id="79"/>
      <w:bookmarkStart w:id="80" w:name="_Toc184314458"/>
      <w:bookmarkEnd w:id="80"/>
      <w:bookmarkStart w:id="81" w:name="_Toc184308090"/>
      <w:bookmarkEnd w:id="81"/>
      <w:bookmarkStart w:id="82" w:name="_Toc184313261"/>
      <w:bookmarkEnd w:id="82"/>
      <w:bookmarkStart w:id="83" w:name="_Toc184312138"/>
      <w:bookmarkEnd w:id="83"/>
      <w:bookmarkStart w:id="84" w:name="_Toc184310282"/>
      <w:bookmarkEnd w:id="84"/>
      <w:bookmarkStart w:id="85" w:name="_Toc184313302"/>
      <w:bookmarkEnd w:id="85"/>
      <w:bookmarkStart w:id="86" w:name="_Toc184308065"/>
      <w:bookmarkEnd w:id="86"/>
      <w:bookmarkStart w:id="87" w:name="_Toc184313285"/>
      <w:bookmarkEnd w:id="87"/>
      <w:bookmarkStart w:id="88" w:name="_Toc184312127"/>
      <w:bookmarkEnd w:id="88"/>
      <w:bookmarkStart w:id="89" w:name="_Toc184313306"/>
      <w:bookmarkEnd w:id="89"/>
      <w:bookmarkStart w:id="90" w:name="_Toc184312084"/>
      <w:bookmarkEnd w:id="90"/>
      <w:bookmarkStart w:id="91" w:name="_Toc184308091"/>
      <w:bookmarkEnd w:id="91"/>
      <w:bookmarkStart w:id="92" w:name="_Toc184310330"/>
      <w:bookmarkEnd w:id="92"/>
      <w:bookmarkStart w:id="93" w:name="_Toc184313300"/>
      <w:bookmarkEnd w:id="93"/>
      <w:bookmarkStart w:id="94" w:name="_Toc184308058"/>
      <w:bookmarkEnd w:id="94"/>
      <w:bookmarkStart w:id="95" w:name="_Toc184312107"/>
      <w:bookmarkEnd w:id="95"/>
      <w:bookmarkStart w:id="96" w:name="_Toc184313279"/>
      <w:bookmarkEnd w:id="96"/>
      <w:bookmarkStart w:id="97" w:name="_Toc184313308"/>
      <w:bookmarkEnd w:id="97"/>
      <w:bookmarkStart w:id="98" w:name="_Toc184314459"/>
      <w:bookmarkEnd w:id="98"/>
      <w:bookmarkStart w:id="99" w:name="_Toc184312087"/>
      <w:bookmarkEnd w:id="99"/>
      <w:bookmarkStart w:id="100" w:name="_Toc184312095"/>
      <w:bookmarkEnd w:id="100"/>
      <w:bookmarkStart w:id="101" w:name="_Toc184314477"/>
      <w:bookmarkEnd w:id="101"/>
      <w:bookmarkStart w:id="102" w:name="_Toc184313242"/>
      <w:bookmarkEnd w:id="102"/>
      <w:bookmarkStart w:id="103" w:name="_Toc184310284"/>
      <w:bookmarkEnd w:id="103"/>
      <w:bookmarkStart w:id="104" w:name="_Toc184313243"/>
      <w:bookmarkEnd w:id="104"/>
      <w:bookmarkStart w:id="105" w:name="_Toc184312081"/>
      <w:bookmarkEnd w:id="105"/>
      <w:bookmarkStart w:id="106" w:name="_Toc184313254"/>
      <w:bookmarkEnd w:id="106"/>
      <w:bookmarkStart w:id="107" w:name="_Toc184308077"/>
      <w:bookmarkEnd w:id="107"/>
      <w:bookmarkStart w:id="108" w:name="_Toc184310285"/>
      <w:bookmarkEnd w:id="108"/>
      <w:bookmarkStart w:id="109" w:name="_Toc184312079"/>
      <w:bookmarkEnd w:id="109"/>
      <w:bookmarkStart w:id="110" w:name="_Toc184308094"/>
      <w:bookmarkEnd w:id="110"/>
      <w:bookmarkStart w:id="111" w:name="_Toc184310279"/>
      <w:bookmarkEnd w:id="111"/>
      <w:bookmarkStart w:id="112" w:name="_Toc184310315"/>
      <w:bookmarkEnd w:id="112"/>
      <w:bookmarkStart w:id="113" w:name="_Toc184310339"/>
      <w:bookmarkEnd w:id="113"/>
      <w:bookmarkStart w:id="114" w:name="_Toc184313262"/>
      <w:bookmarkEnd w:id="114"/>
      <w:bookmarkStart w:id="115" w:name="_Toc184308062"/>
      <w:bookmarkEnd w:id="115"/>
      <w:bookmarkStart w:id="116" w:name="_Toc184310287"/>
      <w:bookmarkEnd w:id="116"/>
      <w:bookmarkStart w:id="117" w:name="_Toc184313250"/>
      <w:bookmarkEnd w:id="117"/>
      <w:bookmarkStart w:id="118" w:name="_Toc184312100"/>
      <w:bookmarkEnd w:id="118"/>
      <w:bookmarkStart w:id="119" w:name="_Toc184308075"/>
      <w:bookmarkEnd w:id="119"/>
      <w:bookmarkStart w:id="120" w:name="_Toc184308042"/>
      <w:bookmarkEnd w:id="120"/>
      <w:bookmarkStart w:id="121" w:name="_Toc184310314"/>
      <w:bookmarkEnd w:id="121"/>
      <w:bookmarkStart w:id="122" w:name="_Toc184312106"/>
      <w:bookmarkEnd w:id="122"/>
      <w:bookmarkStart w:id="123" w:name="_Toc184310337"/>
      <w:bookmarkEnd w:id="123"/>
      <w:bookmarkStart w:id="124" w:name="_Toc184314465"/>
      <w:bookmarkEnd w:id="124"/>
      <w:bookmarkStart w:id="125" w:name="_Toc184313272"/>
      <w:bookmarkEnd w:id="125"/>
      <w:bookmarkStart w:id="126" w:name="_Toc184313265"/>
      <w:bookmarkEnd w:id="126"/>
      <w:bookmarkStart w:id="127" w:name="_Toc184314447"/>
      <w:bookmarkEnd w:id="127"/>
      <w:bookmarkStart w:id="128" w:name="_Toc184313241"/>
      <w:bookmarkEnd w:id="128"/>
      <w:bookmarkStart w:id="129" w:name="_Toc184308047"/>
      <w:bookmarkEnd w:id="129"/>
      <w:bookmarkStart w:id="130" w:name="_Toc184310300"/>
      <w:bookmarkEnd w:id="130"/>
      <w:bookmarkStart w:id="131" w:name="_Toc184314454"/>
      <w:bookmarkEnd w:id="131"/>
      <w:bookmarkStart w:id="132" w:name="_Toc184312085"/>
      <w:bookmarkEnd w:id="132"/>
      <w:bookmarkStart w:id="133" w:name="_Toc184313257"/>
      <w:bookmarkEnd w:id="133"/>
      <w:bookmarkStart w:id="134" w:name="_Toc184312069"/>
      <w:bookmarkEnd w:id="134"/>
      <w:bookmarkStart w:id="135" w:name="_Toc184312109"/>
      <w:bookmarkEnd w:id="135"/>
      <w:bookmarkStart w:id="136" w:name="_Toc184312118"/>
      <w:bookmarkEnd w:id="136"/>
      <w:bookmarkStart w:id="137" w:name="_Toc184312082"/>
      <w:bookmarkEnd w:id="137"/>
      <w:bookmarkStart w:id="138" w:name="_Toc184310274"/>
      <w:bookmarkEnd w:id="138"/>
      <w:bookmarkStart w:id="139" w:name="_Toc184310340"/>
      <w:bookmarkEnd w:id="139"/>
      <w:bookmarkStart w:id="140" w:name="_Toc184314470"/>
      <w:bookmarkEnd w:id="140"/>
      <w:bookmarkStart w:id="141" w:name="_Toc184313281"/>
      <w:bookmarkEnd w:id="141"/>
      <w:bookmarkStart w:id="142" w:name="_Toc184314482"/>
      <w:bookmarkEnd w:id="142"/>
      <w:bookmarkStart w:id="143" w:name="_Toc184313266"/>
      <w:bookmarkEnd w:id="143"/>
      <w:bookmarkStart w:id="144" w:name="_Toc184313303"/>
      <w:bookmarkEnd w:id="144"/>
      <w:bookmarkStart w:id="145" w:name="_Toc184312133"/>
      <w:bookmarkEnd w:id="145"/>
      <w:bookmarkStart w:id="146" w:name="_Toc184310313"/>
      <w:bookmarkEnd w:id="146"/>
      <w:bookmarkStart w:id="147" w:name="_Toc184308082"/>
      <w:bookmarkEnd w:id="147"/>
      <w:bookmarkStart w:id="148" w:name="_Toc184308054"/>
      <w:bookmarkEnd w:id="148"/>
      <w:bookmarkStart w:id="149" w:name="_Toc184314462"/>
      <w:bookmarkEnd w:id="149"/>
      <w:bookmarkStart w:id="150" w:name="_Toc184313268"/>
      <w:bookmarkEnd w:id="150"/>
      <w:bookmarkStart w:id="151" w:name="_Toc184310293"/>
      <w:bookmarkEnd w:id="151"/>
      <w:bookmarkStart w:id="152" w:name="_Toc184314439"/>
      <w:bookmarkEnd w:id="152"/>
      <w:bookmarkStart w:id="153" w:name="_Toc184308083"/>
      <w:bookmarkEnd w:id="153"/>
      <w:bookmarkStart w:id="154" w:name="_Toc184313260"/>
      <w:bookmarkEnd w:id="154"/>
      <w:bookmarkStart w:id="155" w:name="_Toc184308064"/>
      <w:bookmarkEnd w:id="155"/>
      <w:bookmarkStart w:id="156" w:name="_Toc184314479"/>
      <w:bookmarkEnd w:id="156"/>
      <w:bookmarkStart w:id="157" w:name="_Toc184312120"/>
      <w:bookmarkEnd w:id="157"/>
      <w:bookmarkStart w:id="158" w:name="_Toc184308041"/>
      <w:bookmarkEnd w:id="158"/>
      <w:bookmarkStart w:id="159" w:name="_Toc184314478"/>
      <w:bookmarkEnd w:id="159"/>
      <w:bookmarkStart w:id="160" w:name="_Toc184310298"/>
      <w:bookmarkEnd w:id="160"/>
      <w:bookmarkStart w:id="161" w:name="_Toc184308102"/>
      <w:bookmarkEnd w:id="161"/>
      <w:bookmarkStart w:id="162" w:name="_Toc184310333"/>
      <w:bookmarkEnd w:id="162"/>
      <w:bookmarkStart w:id="163" w:name="_Toc184308057"/>
      <w:bookmarkEnd w:id="163"/>
      <w:bookmarkStart w:id="164" w:name="_Toc184308087"/>
      <w:bookmarkEnd w:id="164"/>
      <w:bookmarkStart w:id="165" w:name="_Toc184314473"/>
      <w:bookmarkEnd w:id="165"/>
      <w:bookmarkStart w:id="166" w:name="_Toc184308097"/>
      <w:bookmarkEnd w:id="166"/>
      <w:bookmarkStart w:id="167" w:name="_Toc184314426"/>
      <w:bookmarkEnd w:id="167"/>
      <w:bookmarkStart w:id="168" w:name="_Toc184313293"/>
      <w:bookmarkEnd w:id="168"/>
      <w:bookmarkStart w:id="169" w:name="_Toc184312068"/>
      <w:bookmarkEnd w:id="169"/>
      <w:bookmarkStart w:id="170" w:name="_Toc184308068"/>
      <w:bookmarkEnd w:id="170"/>
      <w:bookmarkStart w:id="171" w:name="_Toc184310320"/>
      <w:bookmarkEnd w:id="171"/>
      <w:bookmarkStart w:id="172" w:name="_Toc184308076"/>
      <w:bookmarkEnd w:id="172"/>
      <w:bookmarkStart w:id="173" w:name="_Toc184310335"/>
      <w:bookmarkEnd w:id="173"/>
      <w:bookmarkStart w:id="174" w:name="_Toc184310295"/>
      <w:bookmarkEnd w:id="174"/>
      <w:bookmarkStart w:id="175" w:name="_Toc184314444"/>
      <w:bookmarkEnd w:id="175"/>
      <w:bookmarkStart w:id="176" w:name="_Toc184312121"/>
      <w:bookmarkEnd w:id="176"/>
      <w:bookmarkStart w:id="177" w:name="_Toc184312080"/>
      <w:bookmarkEnd w:id="177"/>
      <w:bookmarkStart w:id="178" w:name="_Toc184310325"/>
      <w:bookmarkEnd w:id="178"/>
      <w:bookmarkStart w:id="179" w:name="_Toc184313291"/>
      <w:bookmarkEnd w:id="179"/>
      <w:bookmarkStart w:id="180" w:name="_Toc184312135"/>
      <w:bookmarkEnd w:id="180"/>
      <w:bookmarkStart w:id="181" w:name="_Toc184312117"/>
      <w:bookmarkEnd w:id="181"/>
      <w:bookmarkStart w:id="182" w:name="_Toc184314463"/>
      <w:bookmarkEnd w:id="182"/>
      <w:bookmarkStart w:id="183" w:name="_Toc184312092"/>
      <w:bookmarkEnd w:id="183"/>
      <w:bookmarkStart w:id="184" w:name="_Toc184314434"/>
      <w:bookmarkEnd w:id="184"/>
      <w:bookmarkStart w:id="185" w:name="_Toc184312116"/>
      <w:bookmarkEnd w:id="185"/>
      <w:bookmarkStart w:id="186" w:name="_Toc184308066"/>
      <w:bookmarkEnd w:id="186"/>
      <w:bookmarkStart w:id="187" w:name="_Toc184312076"/>
      <w:bookmarkEnd w:id="187"/>
      <w:bookmarkStart w:id="188" w:name="_Toc184310276"/>
      <w:bookmarkEnd w:id="188"/>
      <w:bookmarkStart w:id="189" w:name="_Toc184310280"/>
      <w:bookmarkEnd w:id="189"/>
      <w:bookmarkStart w:id="190" w:name="_Toc184313259"/>
      <w:bookmarkEnd w:id="190"/>
      <w:bookmarkStart w:id="191" w:name="_Toc184308086"/>
      <w:bookmarkEnd w:id="191"/>
      <w:bookmarkStart w:id="192" w:name="_Toc184314432"/>
      <w:bookmarkEnd w:id="192"/>
      <w:bookmarkStart w:id="193" w:name="_Toc184310299"/>
      <w:bookmarkEnd w:id="193"/>
      <w:bookmarkStart w:id="194" w:name="_Toc184312125"/>
      <w:bookmarkEnd w:id="194"/>
      <w:bookmarkStart w:id="195" w:name="_Toc184314423"/>
      <w:bookmarkEnd w:id="195"/>
      <w:bookmarkStart w:id="196" w:name="_Toc184308039"/>
      <w:bookmarkEnd w:id="196"/>
      <w:bookmarkStart w:id="197" w:name="_Toc184308049"/>
      <w:bookmarkEnd w:id="197"/>
      <w:bookmarkStart w:id="198" w:name="_Toc184308098"/>
      <w:bookmarkEnd w:id="198"/>
      <w:bookmarkStart w:id="199" w:name="_Toc184308051"/>
      <w:bookmarkEnd w:id="199"/>
      <w:bookmarkStart w:id="200" w:name="_Toc184312074"/>
      <w:bookmarkEnd w:id="200"/>
      <w:bookmarkStart w:id="201" w:name="_Toc184313292"/>
      <w:bookmarkEnd w:id="201"/>
      <w:bookmarkStart w:id="202" w:name="_Toc184313289"/>
      <w:bookmarkEnd w:id="202"/>
      <w:bookmarkStart w:id="203" w:name="_Toc184314441"/>
      <w:bookmarkEnd w:id="203"/>
      <w:bookmarkStart w:id="204" w:name="_Toc184313240"/>
      <w:bookmarkEnd w:id="204"/>
      <w:bookmarkStart w:id="205" w:name="_Toc184313305"/>
      <w:bookmarkEnd w:id="205"/>
      <w:bookmarkStart w:id="206" w:name="_Toc184310292"/>
      <w:bookmarkEnd w:id="206"/>
      <w:bookmarkStart w:id="207" w:name="_Toc184313271"/>
      <w:bookmarkEnd w:id="207"/>
      <w:bookmarkStart w:id="208" w:name="_Toc184310277"/>
      <w:bookmarkEnd w:id="208"/>
      <w:bookmarkStart w:id="209" w:name="_Toc184308067"/>
      <w:bookmarkEnd w:id="209"/>
      <w:bookmarkStart w:id="210" w:name="_Toc184314413"/>
      <w:bookmarkEnd w:id="210"/>
      <w:bookmarkStart w:id="211" w:name="_Toc184314431"/>
      <w:bookmarkEnd w:id="211"/>
      <w:bookmarkStart w:id="212" w:name="_Toc184312093"/>
      <w:bookmarkEnd w:id="212"/>
      <w:bookmarkStart w:id="213" w:name="_Toc184310272"/>
      <w:bookmarkEnd w:id="213"/>
      <w:bookmarkStart w:id="214" w:name="_Toc184308071"/>
      <w:bookmarkEnd w:id="214"/>
      <w:bookmarkStart w:id="215" w:name="_Toc184308088"/>
      <w:bookmarkEnd w:id="215"/>
      <w:bookmarkStart w:id="216" w:name="_Toc184310288"/>
      <w:bookmarkEnd w:id="216"/>
      <w:bookmarkStart w:id="217" w:name="_Toc184313278"/>
      <w:bookmarkEnd w:id="217"/>
      <w:bookmarkStart w:id="218" w:name="_Toc184310281"/>
      <w:bookmarkEnd w:id="218"/>
      <w:bookmarkStart w:id="219" w:name="_Toc184310342"/>
      <w:bookmarkEnd w:id="219"/>
      <w:bookmarkStart w:id="220" w:name="_Toc184314452"/>
      <w:bookmarkEnd w:id="220"/>
      <w:bookmarkStart w:id="221" w:name="_Toc184312102"/>
      <w:bookmarkEnd w:id="221"/>
      <w:bookmarkStart w:id="222" w:name="_Toc184312136"/>
      <w:bookmarkEnd w:id="222"/>
      <w:bookmarkStart w:id="223" w:name="_Toc184310343"/>
      <w:bookmarkEnd w:id="223"/>
      <w:bookmarkStart w:id="224" w:name="_Toc184312110"/>
      <w:bookmarkEnd w:id="224"/>
      <w:bookmarkStart w:id="225" w:name="_Toc184314449"/>
      <w:bookmarkEnd w:id="225"/>
      <w:bookmarkStart w:id="226" w:name="_Toc184310305"/>
      <w:bookmarkEnd w:id="226"/>
      <w:bookmarkStart w:id="227" w:name="_Toc184312083"/>
      <w:bookmarkEnd w:id="227"/>
      <w:bookmarkStart w:id="228" w:name="_Toc184314460"/>
      <w:bookmarkEnd w:id="228"/>
      <w:bookmarkStart w:id="229" w:name="_Toc184313297"/>
      <w:bookmarkEnd w:id="229"/>
      <w:bookmarkStart w:id="230" w:name="_Toc184313309"/>
      <w:bookmarkEnd w:id="230"/>
      <w:bookmarkStart w:id="231" w:name="_Toc184313283"/>
      <w:bookmarkEnd w:id="231"/>
      <w:bookmarkStart w:id="232" w:name="_Toc184310278"/>
      <w:bookmarkEnd w:id="232"/>
      <w:bookmarkStart w:id="233" w:name="_Toc184314418"/>
      <w:bookmarkEnd w:id="233"/>
      <w:bookmarkStart w:id="234" w:name="_Toc184313255"/>
      <w:bookmarkEnd w:id="234"/>
      <w:bookmarkStart w:id="235" w:name="_Toc184312072"/>
      <w:bookmarkEnd w:id="235"/>
      <w:bookmarkStart w:id="236" w:name="_Toc184312139"/>
      <w:bookmarkEnd w:id="236"/>
      <w:bookmarkStart w:id="237" w:name="_Toc184314471"/>
      <w:bookmarkEnd w:id="237"/>
      <w:bookmarkStart w:id="238" w:name="_Toc184313274"/>
      <w:bookmarkEnd w:id="238"/>
      <w:bookmarkStart w:id="239" w:name="_Toc184310310"/>
      <w:bookmarkEnd w:id="239"/>
      <w:bookmarkStart w:id="240" w:name="_Toc184313282"/>
      <w:bookmarkEnd w:id="240"/>
      <w:bookmarkStart w:id="241" w:name="_Toc184312134"/>
      <w:bookmarkEnd w:id="241"/>
      <w:bookmarkStart w:id="242" w:name="_Toc184310331"/>
      <w:bookmarkEnd w:id="242"/>
      <w:bookmarkStart w:id="243" w:name="_Toc184310329"/>
      <w:bookmarkEnd w:id="243"/>
      <w:bookmarkStart w:id="244" w:name="_Toc184314436"/>
      <w:bookmarkEnd w:id="244"/>
      <w:bookmarkStart w:id="245" w:name="_Toc184308052"/>
      <w:bookmarkEnd w:id="245"/>
      <w:bookmarkStart w:id="246" w:name="_Toc184314466"/>
      <w:bookmarkEnd w:id="246"/>
      <w:bookmarkStart w:id="247" w:name="_Toc184314453"/>
      <w:bookmarkEnd w:id="247"/>
      <w:bookmarkStart w:id="248" w:name="_Toc184313284"/>
      <w:bookmarkEnd w:id="248"/>
      <w:bookmarkStart w:id="249" w:name="_Toc184310301"/>
      <w:bookmarkEnd w:id="249"/>
      <w:bookmarkStart w:id="250" w:name="_Toc184312073"/>
      <w:bookmarkEnd w:id="250"/>
      <w:bookmarkStart w:id="251" w:name="_Toc184310324"/>
      <w:bookmarkEnd w:id="251"/>
      <w:bookmarkStart w:id="252" w:name="_Toc184312131"/>
      <w:bookmarkEnd w:id="252"/>
      <w:bookmarkStart w:id="253" w:name="_Toc184308053"/>
      <w:bookmarkEnd w:id="253"/>
      <w:bookmarkStart w:id="254" w:name="_Toc184310308"/>
      <w:bookmarkEnd w:id="254"/>
      <w:bookmarkStart w:id="255" w:name="_Toc184314461"/>
      <w:bookmarkEnd w:id="255"/>
      <w:bookmarkStart w:id="256" w:name="_Toc184314410"/>
      <w:bookmarkEnd w:id="256"/>
      <w:bookmarkStart w:id="257" w:name="_Toc184310296"/>
      <w:bookmarkEnd w:id="257"/>
      <w:bookmarkStart w:id="258" w:name="_Toc184312078"/>
      <w:bookmarkEnd w:id="258"/>
      <w:bookmarkStart w:id="259" w:name="_Toc184314480"/>
      <w:bookmarkEnd w:id="259"/>
      <w:bookmarkStart w:id="260" w:name="_Toc184312101"/>
      <w:bookmarkEnd w:id="260"/>
      <w:bookmarkStart w:id="261" w:name="_Toc184313252"/>
      <w:bookmarkEnd w:id="261"/>
      <w:bookmarkStart w:id="262" w:name="_Toc184312119"/>
      <w:bookmarkEnd w:id="262"/>
      <w:bookmarkStart w:id="263" w:name="_Toc184312070"/>
      <w:bookmarkEnd w:id="263"/>
      <w:bookmarkStart w:id="264" w:name="_Toc184308108"/>
      <w:bookmarkEnd w:id="264"/>
      <w:bookmarkStart w:id="265" w:name="_Toc184310306"/>
      <w:bookmarkEnd w:id="265"/>
      <w:bookmarkStart w:id="266" w:name="_Toc184308099"/>
      <w:bookmarkEnd w:id="266"/>
      <w:bookmarkStart w:id="267" w:name="_Toc184310317"/>
      <w:bookmarkEnd w:id="267"/>
      <w:bookmarkStart w:id="268" w:name="_Toc184308055"/>
      <w:bookmarkEnd w:id="268"/>
      <w:bookmarkStart w:id="269" w:name="_Toc184314419"/>
      <w:bookmarkEnd w:id="269"/>
      <w:bookmarkStart w:id="270" w:name="_Toc184312090"/>
      <w:bookmarkEnd w:id="270"/>
      <w:bookmarkStart w:id="271" w:name="_Toc184310323"/>
      <w:bookmarkEnd w:id="271"/>
      <w:bookmarkStart w:id="272" w:name="_Toc184312124"/>
      <w:bookmarkEnd w:id="272"/>
      <w:bookmarkStart w:id="273" w:name="_Toc184313256"/>
      <w:bookmarkEnd w:id="273"/>
      <w:bookmarkStart w:id="274" w:name="_Toc184314457"/>
      <w:bookmarkEnd w:id="274"/>
      <w:bookmarkStart w:id="275" w:name="_Toc184314474"/>
      <w:bookmarkEnd w:id="275"/>
      <w:bookmarkStart w:id="276" w:name="_Toc184314437"/>
      <w:bookmarkEnd w:id="276"/>
      <w:bookmarkStart w:id="277" w:name="_Toc184310336"/>
      <w:bookmarkEnd w:id="277"/>
      <w:bookmarkStart w:id="278" w:name="_Toc184313307"/>
      <w:bookmarkEnd w:id="278"/>
      <w:bookmarkStart w:id="279" w:name="_Toc184314420"/>
      <w:bookmarkEnd w:id="279"/>
      <w:bookmarkStart w:id="280" w:name="_Toc184308080"/>
      <w:bookmarkEnd w:id="280"/>
      <w:bookmarkStart w:id="281" w:name="_Toc184308038"/>
      <w:bookmarkEnd w:id="281"/>
      <w:bookmarkStart w:id="282" w:name="_Toc184314416"/>
      <w:bookmarkEnd w:id="282"/>
      <w:bookmarkStart w:id="283" w:name="_Toc184313295"/>
      <w:bookmarkEnd w:id="283"/>
      <w:bookmarkStart w:id="284" w:name="_Toc184314455"/>
      <w:bookmarkEnd w:id="284"/>
      <w:bookmarkStart w:id="285" w:name="_Toc184312088"/>
      <w:bookmarkEnd w:id="285"/>
      <w:bookmarkStart w:id="286" w:name="_Toc184313247"/>
      <w:bookmarkEnd w:id="286"/>
      <w:bookmarkStart w:id="287" w:name="_Toc184313298"/>
      <w:bookmarkEnd w:id="287"/>
      <w:bookmarkStart w:id="288" w:name="_Toc184308093"/>
      <w:bookmarkEnd w:id="288"/>
      <w:bookmarkStart w:id="289" w:name="_Toc184313273"/>
      <w:bookmarkEnd w:id="289"/>
      <w:bookmarkStart w:id="290" w:name="_Toc184314422"/>
      <w:bookmarkEnd w:id="290"/>
      <w:bookmarkStart w:id="291" w:name="_Toc184312114"/>
      <w:bookmarkEnd w:id="291"/>
      <w:bookmarkStart w:id="292" w:name="_Toc184314451"/>
      <w:bookmarkEnd w:id="292"/>
      <w:bookmarkStart w:id="293" w:name="_Toc184310291"/>
      <w:bookmarkEnd w:id="293"/>
      <w:bookmarkStart w:id="294" w:name="_Toc184313263"/>
      <w:bookmarkEnd w:id="294"/>
      <w:bookmarkStart w:id="295" w:name="_Toc184314429"/>
      <w:bookmarkEnd w:id="295"/>
      <w:bookmarkStart w:id="296" w:name="_Toc184313276"/>
      <w:bookmarkEnd w:id="296"/>
      <w:bookmarkStart w:id="297" w:name="_Toc184308095"/>
      <w:bookmarkEnd w:id="297"/>
      <w:bookmarkStart w:id="298" w:name="_Toc184314467"/>
      <w:bookmarkEnd w:id="298"/>
      <w:bookmarkStart w:id="299" w:name="_Toc184314468"/>
      <w:bookmarkEnd w:id="299"/>
      <w:bookmarkStart w:id="300" w:name="_Toc184314456"/>
      <w:bookmarkEnd w:id="300"/>
      <w:bookmarkStart w:id="301" w:name="_Toc184313310"/>
      <w:bookmarkEnd w:id="301"/>
      <w:bookmarkStart w:id="302" w:name="_Toc184314472"/>
      <w:bookmarkEnd w:id="302"/>
      <w:bookmarkStart w:id="303" w:name="_Toc184310311"/>
      <w:bookmarkEnd w:id="303"/>
      <w:bookmarkStart w:id="304" w:name="_Toc184313299"/>
      <w:bookmarkEnd w:id="304"/>
      <w:bookmarkStart w:id="305" w:name="_Toc184312105"/>
      <w:bookmarkEnd w:id="305"/>
      <w:bookmarkStart w:id="306" w:name="_Toc184312099"/>
      <w:bookmarkEnd w:id="306"/>
      <w:bookmarkStart w:id="307" w:name="_Toc184312096"/>
      <w:bookmarkEnd w:id="307"/>
      <w:bookmarkStart w:id="308" w:name="_Toc184308040"/>
      <w:bookmarkEnd w:id="308"/>
      <w:bookmarkStart w:id="309" w:name="_Toc184313267"/>
      <w:bookmarkEnd w:id="309"/>
      <w:bookmarkStart w:id="310" w:name="_Toc184308048"/>
      <w:bookmarkEnd w:id="310"/>
      <w:bookmarkStart w:id="311" w:name="_Toc184310332"/>
      <w:bookmarkEnd w:id="311"/>
      <w:bookmarkStart w:id="312" w:name="_Toc184312130"/>
      <w:bookmarkEnd w:id="312"/>
      <w:bookmarkStart w:id="313" w:name="_Toc184314464"/>
      <w:bookmarkEnd w:id="313"/>
      <w:bookmarkStart w:id="314" w:name="_Toc184310326"/>
      <w:bookmarkEnd w:id="314"/>
      <w:bookmarkStart w:id="315" w:name="_Toc184310302"/>
      <w:bookmarkEnd w:id="315"/>
      <w:bookmarkStart w:id="316" w:name="_Toc184312104"/>
      <w:bookmarkEnd w:id="316"/>
      <w:bookmarkStart w:id="317" w:name="_Toc184310334"/>
      <w:bookmarkEnd w:id="317"/>
      <w:bookmarkStart w:id="318" w:name="_Toc184308072"/>
      <w:bookmarkEnd w:id="318"/>
      <w:bookmarkStart w:id="319" w:name="_Toc184313280"/>
      <w:bookmarkEnd w:id="319"/>
      <w:bookmarkStart w:id="320" w:name="_Toc184310328"/>
      <w:bookmarkEnd w:id="320"/>
      <w:bookmarkStart w:id="321" w:name="_Toc184313286"/>
      <w:bookmarkEnd w:id="321"/>
      <w:bookmarkStart w:id="322" w:name="_Toc184312132"/>
      <w:bookmarkEnd w:id="322"/>
      <w:bookmarkStart w:id="323" w:name="_Toc184314440"/>
      <w:bookmarkEnd w:id="323"/>
      <w:bookmarkStart w:id="324" w:name="_Toc184314425"/>
      <w:bookmarkEnd w:id="324"/>
      <w:bookmarkStart w:id="325" w:name="_Toc184314428"/>
      <w:bookmarkEnd w:id="325"/>
      <w:bookmarkStart w:id="326" w:name="_Toc184314417"/>
      <w:bookmarkEnd w:id="326"/>
      <w:bookmarkStart w:id="327" w:name="_Toc184308037"/>
      <w:bookmarkEnd w:id="327"/>
      <w:bookmarkStart w:id="328" w:name="_Toc184314448"/>
      <w:bookmarkEnd w:id="328"/>
      <w:bookmarkStart w:id="329" w:name="_Toc184314450"/>
      <w:bookmarkEnd w:id="329"/>
      <w:bookmarkStart w:id="330" w:name="_Toc184312086"/>
      <w:bookmarkEnd w:id="330"/>
      <w:bookmarkStart w:id="331" w:name="_Toc184313258"/>
      <w:bookmarkEnd w:id="331"/>
      <w:bookmarkStart w:id="332" w:name="_Toc184314427"/>
      <w:bookmarkEnd w:id="332"/>
      <w:bookmarkStart w:id="333" w:name="_Toc184308092"/>
      <w:bookmarkEnd w:id="333"/>
      <w:bookmarkStart w:id="334" w:name="_Toc184312112"/>
      <w:bookmarkEnd w:id="334"/>
      <w:bookmarkStart w:id="335" w:name="_Toc184314424"/>
      <w:bookmarkEnd w:id="335"/>
      <w:bookmarkStart w:id="336" w:name="_Toc184314411"/>
      <w:bookmarkEnd w:id="336"/>
      <w:bookmarkStart w:id="337" w:name="_Toc184308063"/>
      <w:bookmarkEnd w:id="337"/>
      <w:bookmarkStart w:id="338" w:name="_Toc184312126"/>
      <w:bookmarkEnd w:id="338"/>
      <w:bookmarkStart w:id="339" w:name="_Toc184312122"/>
      <w:bookmarkEnd w:id="339"/>
      <w:bookmarkStart w:id="340" w:name="_Toc184308056"/>
      <w:bookmarkEnd w:id="340"/>
      <w:bookmarkStart w:id="341" w:name="_Toc184313275"/>
      <w:bookmarkEnd w:id="341"/>
      <w:bookmarkStart w:id="342" w:name="_Toc184314445"/>
      <w:bookmarkEnd w:id="342"/>
      <w:bookmarkStart w:id="343" w:name="_Toc184310273"/>
      <w:bookmarkEnd w:id="343"/>
      <w:bookmarkStart w:id="344" w:name="_Toc184314415"/>
      <w:bookmarkEnd w:id="344"/>
      <w:bookmarkStart w:id="345" w:name="_Toc184310307"/>
      <w:bookmarkEnd w:id="345"/>
      <w:bookmarkStart w:id="346" w:name="_Toc184312128"/>
      <w:bookmarkEnd w:id="346"/>
      <w:bookmarkStart w:id="347" w:name="_Toc184313296"/>
      <w:bookmarkEnd w:id="347"/>
      <w:bookmarkStart w:id="348" w:name="_Toc184310316"/>
      <w:bookmarkEnd w:id="348"/>
      <w:bookmarkStart w:id="349" w:name="_Toc184312094"/>
      <w:bookmarkEnd w:id="349"/>
      <w:bookmarkStart w:id="350" w:name="_Toc184310283"/>
      <w:bookmarkEnd w:id="350"/>
      <w:bookmarkStart w:id="351" w:name="_Toc184310327"/>
      <w:bookmarkEnd w:id="351"/>
      <w:bookmarkStart w:id="352" w:name="_Toc184308070"/>
      <w:bookmarkEnd w:id="352"/>
      <w:bookmarkStart w:id="353" w:name="_Toc184308074"/>
      <w:bookmarkEnd w:id="353"/>
      <w:bookmarkStart w:id="354" w:name="_Toc184312091"/>
      <w:bookmarkEnd w:id="354"/>
      <w:bookmarkStart w:id="355" w:name="_Toc184308107"/>
      <w:bookmarkEnd w:id="355"/>
      <w:bookmarkStart w:id="356" w:name="_Toc184314421"/>
      <w:bookmarkEnd w:id="356"/>
      <w:bookmarkStart w:id="357" w:name="_Toc184308046"/>
      <w:bookmarkEnd w:id="357"/>
      <w:bookmarkStart w:id="358" w:name="_Toc184308085"/>
      <w:bookmarkEnd w:id="358"/>
      <w:bookmarkStart w:id="359" w:name="_Toc184313244"/>
      <w:bookmarkEnd w:id="359"/>
      <w:bookmarkStart w:id="360" w:name="_Toc184314481"/>
      <w:bookmarkEnd w:id="360"/>
      <w:bookmarkStart w:id="361" w:name="_Toc184312097"/>
      <w:bookmarkEnd w:id="361"/>
      <w:bookmarkStart w:id="362" w:name="_Toc184313301"/>
      <w:bookmarkEnd w:id="362"/>
      <w:bookmarkStart w:id="363" w:name="_Toc184314435"/>
      <w:bookmarkEnd w:id="363"/>
      <w:bookmarkStart w:id="364" w:name="_Toc184310309"/>
      <w:bookmarkEnd w:id="364"/>
      <w:bookmarkStart w:id="365" w:name="_Toc184313277"/>
      <w:bookmarkEnd w:id="365"/>
      <w:bookmarkStart w:id="366" w:name="_Toc184314476"/>
      <w:bookmarkEnd w:id="366"/>
      <w:bookmarkStart w:id="367" w:name="_Toc184314469"/>
      <w:bookmarkEnd w:id="367"/>
      <w:bookmarkStart w:id="368" w:name="_Toc184312103"/>
      <w:bookmarkEnd w:id="368"/>
      <w:bookmarkStart w:id="369" w:name="_Toc184308036"/>
      <w:bookmarkEnd w:id="369"/>
      <w:bookmarkStart w:id="370" w:name="_Toc184310289"/>
      <w:bookmarkEnd w:id="370"/>
      <w:bookmarkStart w:id="371" w:name="_Toc184310286"/>
      <w:bookmarkEnd w:id="371"/>
      <w:bookmarkStart w:id="372" w:name="_Toc184313294"/>
      <w:bookmarkEnd w:id="372"/>
      <w:bookmarkStart w:id="373" w:name="_Toc184310312"/>
      <w:bookmarkEnd w:id="373"/>
      <w:bookmarkStart w:id="374" w:name="_Toc184313264"/>
      <w:bookmarkEnd w:id="374"/>
      <w:bookmarkStart w:id="375" w:name="_Toc184308060"/>
      <w:bookmarkEnd w:id="375"/>
      <w:bookmarkStart w:id="376" w:name="_Toc184308079"/>
      <w:bookmarkEnd w:id="376"/>
      <w:bookmarkStart w:id="377" w:name="_Toc184308103"/>
      <w:bookmarkEnd w:id="377"/>
      <w:bookmarkStart w:id="378" w:name="_Toc184314412"/>
      <w:bookmarkEnd w:id="378"/>
      <w:bookmarkStart w:id="379" w:name="_Toc184310304"/>
      <w:bookmarkEnd w:id="379"/>
      <w:bookmarkStart w:id="380" w:name="_Toc184313248"/>
      <w:bookmarkEnd w:id="380"/>
      <w:bookmarkStart w:id="381" w:name="_Toc184308059"/>
      <w:bookmarkEnd w:id="381"/>
      <w:bookmarkStart w:id="382" w:name="_Toc184310303"/>
      <w:bookmarkEnd w:id="382"/>
      <w:bookmarkStart w:id="383" w:name="_Toc184310338"/>
      <w:bookmarkEnd w:id="383"/>
      <w:bookmarkStart w:id="384" w:name="_Toc184313246"/>
      <w:bookmarkEnd w:id="384"/>
      <w:bookmarkStart w:id="385" w:name="_Toc184310297"/>
      <w:bookmarkEnd w:id="385"/>
      <w:bookmarkStart w:id="386" w:name="_Toc184308100"/>
      <w:bookmarkEnd w:id="386"/>
      <w:bookmarkStart w:id="387" w:name="_Toc184314430"/>
      <w:bookmarkEnd w:id="387"/>
      <w:bookmarkStart w:id="388" w:name="_Toc184312123"/>
      <w:bookmarkEnd w:id="388"/>
      <w:bookmarkStart w:id="389" w:name="_Toc184313238"/>
      <w:bookmarkEnd w:id="389"/>
      <w:bookmarkStart w:id="390" w:name="_Toc184312067"/>
      <w:bookmarkEnd w:id="390"/>
      <w:bookmarkStart w:id="391" w:name="_Toc184310322"/>
      <w:bookmarkEnd w:id="391"/>
      <w:bookmarkStart w:id="392" w:name="_Toc184314442"/>
      <w:bookmarkEnd w:id="392"/>
      <w:bookmarkStart w:id="393" w:name="_Toc184313239"/>
      <w:bookmarkEnd w:id="393"/>
      <w:bookmarkStart w:id="394" w:name="_Toc184308096"/>
      <w:bookmarkEnd w:id="394"/>
      <w:bookmarkStart w:id="395" w:name="_Toc184308101"/>
      <w:bookmarkEnd w:id="395"/>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b/>
          <w:color w:val="auto"/>
          <w:sz w:val="32"/>
          <w:szCs w:val="20"/>
          <w:highlight w:val="none"/>
        </w:rPr>
        <w:t>评标办法前附表</w:t>
      </w:r>
    </w:p>
    <w:tbl>
      <w:tblPr>
        <w:tblStyle w:val="63"/>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97"/>
        <w:gridCol w:w="1401"/>
        <w:gridCol w:w="4871"/>
        <w:gridCol w:w="805"/>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51" w:type="dxa"/>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869" w:type="dxa"/>
            <w:gridSpan w:val="3"/>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评分内容和标准</w:t>
            </w:r>
          </w:p>
        </w:tc>
        <w:tc>
          <w:tcPr>
            <w:tcW w:w="805" w:type="dxa"/>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区间</w:t>
            </w:r>
          </w:p>
        </w:tc>
        <w:tc>
          <w:tcPr>
            <w:tcW w:w="956" w:type="dxa"/>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打分</w:t>
            </w:r>
          </w:p>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51" w:type="dxa"/>
            <w:vMerge w:val="restart"/>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商务资信分</w:t>
            </w:r>
            <w:r>
              <w:rPr>
                <w:rFonts w:hint="eastAsia" w:ascii="仿宋" w:hAnsi="仿宋" w:eastAsia="仿宋" w:cs="仿宋"/>
                <w:color w:val="auto"/>
                <w:sz w:val="24"/>
                <w:szCs w:val="24"/>
                <w:highlight w:val="none"/>
                <w:lang w:val="en-US" w:eastAsia="zh-CN"/>
              </w:rPr>
              <w:t>29分</w:t>
            </w:r>
          </w:p>
        </w:tc>
        <w:tc>
          <w:tcPr>
            <w:tcW w:w="597" w:type="dxa"/>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272" w:type="dxa"/>
            <w:gridSpan w:val="2"/>
            <w:noWrap w:val="0"/>
            <w:vAlign w:val="center"/>
          </w:tcPr>
          <w:p>
            <w:pPr>
              <w:spacing w:after="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投标人具有体系认证证书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质量管理体系认证证书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环境管理体系认证证书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职业健康安全管理体系认证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并在有效期内，</w:t>
            </w:r>
            <w:r>
              <w:rPr>
                <w:rFonts w:hint="eastAsia" w:ascii="仿宋" w:hAnsi="仿宋" w:eastAsia="仿宋" w:cs="仿宋"/>
                <w:color w:val="auto"/>
                <w:sz w:val="24"/>
                <w:szCs w:val="24"/>
                <w:highlight w:val="none"/>
                <w:lang w:val="en-US" w:eastAsia="zh-CN"/>
              </w:rPr>
              <w:t>每</w:t>
            </w:r>
            <w:r>
              <w:rPr>
                <w:rFonts w:hint="eastAsia" w:ascii="仿宋" w:hAnsi="仿宋" w:eastAsia="仿宋" w:cs="仿宋"/>
                <w:color w:val="auto"/>
                <w:sz w:val="24"/>
                <w:szCs w:val="24"/>
                <w:highlight w:val="none"/>
              </w:rPr>
              <w:t>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w:t>
            </w:r>
            <w:r>
              <w:rPr>
                <w:rFonts w:hint="eastAsia" w:ascii="仿宋" w:hAnsi="仿宋" w:eastAsia="仿宋" w:cs="仿宋"/>
                <w:color w:val="auto"/>
                <w:sz w:val="24"/>
                <w:szCs w:val="24"/>
                <w:highlight w:val="none"/>
                <w:lang w:val="en-US" w:eastAsia="zh-CN"/>
              </w:rPr>
              <w:t>得3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提供有效期内的</w:t>
            </w:r>
            <w:r>
              <w:rPr>
                <w:rFonts w:hint="eastAsia" w:ascii="仿宋" w:hAnsi="仿宋" w:eastAsia="仿宋" w:cs="仿宋"/>
                <w:color w:val="auto"/>
                <w:sz w:val="24"/>
                <w:szCs w:val="24"/>
                <w:highlight w:val="none"/>
                <w:lang w:eastAsia="zh-CN"/>
              </w:rPr>
              <w:t>认证证书扫描件和全国认证认可信息公共服务平台（</w:t>
            </w: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"http://cx.cnca.cn/CertECloud/result/skipResultList"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http://cx.cnca.cn/CertECloud/result/skipResultList</w:t>
            </w:r>
            <w:r>
              <w:rPr>
                <w:rFonts w:hint="eastAsia" w:ascii="仿宋" w:hAnsi="仿宋" w:eastAsia="仿宋" w:cs="仿宋"/>
                <w:color w:val="auto"/>
                <w:sz w:val="24"/>
                <w:szCs w:val="24"/>
                <w:highlight w:val="none"/>
                <w:lang w:eastAsia="zh-CN"/>
              </w:rPr>
              <w:fldChar w:fldCharType="end"/>
            </w:r>
            <w:r>
              <w:rPr>
                <w:rFonts w:hint="eastAsia" w:ascii="仿宋" w:hAnsi="仿宋" w:eastAsia="仿宋" w:cs="仿宋"/>
                <w:color w:val="auto"/>
                <w:sz w:val="24"/>
                <w:szCs w:val="24"/>
                <w:highlight w:val="none"/>
                <w:lang w:eastAsia="zh-CN"/>
              </w:rPr>
              <w:t>）查询截图。</w:t>
            </w:r>
          </w:p>
        </w:tc>
        <w:tc>
          <w:tcPr>
            <w:tcW w:w="805" w:type="dxa"/>
            <w:noWrap w:val="0"/>
            <w:vAlign w:val="center"/>
          </w:tcPr>
          <w:p>
            <w:pPr>
              <w:spacing w:after="0"/>
              <w:ind w:left="194" w:leftChars="0" w:hanging="194" w:hangingChars="81"/>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0-3</w:t>
            </w:r>
          </w:p>
        </w:tc>
        <w:tc>
          <w:tcPr>
            <w:tcW w:w="956" w:type="dxa"/>
            <w:noWrap w:val="0"/>
            <w:vAlign w:val="center"/>
          </w:tcPr>
          <w:p>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51" w:type="dxa"/>
            <w:vMerge w:val="continue"/>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color w:val="auto"/>
                <w:sz w:val="24"/>
                <w:szCs w:val="24"/>
                <w:highlight w:val="none"/>
              </w:rPr>
            </w:pPr>
          </w:p>
        </w:tc>
        <w:tc>
          <w:tcPr>
            <w:tcW w:w="597" w:type="dxa"/>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272" w:type="dxa"/>
            <w:gridSpan w:val="2"/>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2020年1月1日以来，投标人获得垃圾分类工作的奖项或荣誉：获得市级及以上政府机构颁发的奖项或荣誉的，每提供一个奖项或荣誉的得2分；获得区级及以上政府机构颁发的奖项或荣誉的，每提供一个奖项或荣誉的得0.5分；本项最高得3分，不重复计分。</w:t>
            </w:r>
          </w:p>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（提供证书扫描件或政府机构颁发的有效文件、公示等能体现该奖项或荣誉的，否则不得分。）</w:t>
            </w:r>
          </w:p>
        </w:tc>
        <w:tc>
          <w:tcPr>
            <w:tcW w:w="805" w:type="dxa"/>
            <w:noWrap w:val="0"/>
            <w:vAlign w:val="center"/>
          </w:tcPr>
          <w:p>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c>
          <w:tcPr>
            <w:tcW w:w="956" w:type="dxa"/>
            <w:noWrap w:val="0"/>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1" w:type="dxa"/>
            <w:vMerge w:val="continue"/>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color w:val="auto"/>
                <w:sz w:val="24"/>
                <w:szCs w:val="24"/>
                <w:highlight w:val="none"/>
              </w:rPr>
            </w:pPr>
          </w:p>
        </w:tc>
        <w:tc>
          <w:tcPr>
            <w:tcW w:w="597" w:type="dxa"/>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272" w:type="dxa"/>
            <w:gridSpan w:val="2"/>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2020年1月1日以来，投标人服务过的垃圾分类小区（村、社）</w:t>
            </w:r>
            <w:r>
              <w:rPr>
                <w:rFonts w:hint="eastAsia" w:ascii="仿宋" w:hAnsi="仿宋" w:eastAsia="仿宋" w:cs="仿宋"/>
                <w:color w:val="auto"/>
                <w:sz w:val="24"/>
                <w:szCs w:val="24"/>
                <w:highlight w:val="none"/>
              </w:rPr>
              <w:t>被</w:t>
            </w:r>
            <w:r>
              <w:rPr>
                <w:rFonts w:hint="eastAsia" w:ascii="仿宋" w:hAnsi="仿宋" w:eastAsia="仿宋" w:cs="仿宋"/>
                <w:color w:val="auto"/>
                <w:sz w:val="24"/>
                <w:szCs w:val="24"/>
                <w:highlight w:val="none"/>
                <w:lang w:val="en-US" w:eastAsia="zh-CN"/>
              </w:rPr>
              <w:t>国家</w:t>
            </w:r>
            <w:r>
              <w:rPr>
                <w:rFonts w:hint="eastAsia" w:ascii="仿宋" w:hAnsi="仿宋" w:eastAsia="仿宋" w:cs="仿宋"/>
                <w:color w:val="auto"/>
                <w:sz w:val="24"/>
                <w:szCs w:val="24"/>
                <w:highlight w:val="none"/>
              </w:rPr>
              <w:t>级主流媒体报道的（报道内容需是正面积极的），每提供一例报道得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2020年1月1日以来，投标人服务过的垃圾分类小区（村、社）</w:t>
            </w:r>
            <w:r>
              <w:rPr>
                <w:rFonts w:hint="eastAsia" w:ascii="仿宋" w:hAnsi="仿宋" w:eastAsia="仿宋" w:cs="仿宋"/>
                <w:color w:val="auto"/>
                <w:sz w:val="24"/>
                <w:szCs w:val="24"/>
                <w:highlight w:val="none"/>
              </w:rPr>
              <w:t>被</w:t>
            </w:r>
            <w:r>
              <w:rPr>
                <w:rFonts w:hint="eastAsia" w:ascii="仿宋" w:hAnsi="仿宋" w:eastAsia="仿宋" w:cs="仿宋"/>
                <w:color w:val="auto"/>
                <w:sz w:val="24"/>
                <w:szCs w:val="24"/>
                <w:highlight w:val="none"/>
                <w:lang w:val="en-US" w:eastAsia="zh-CN"/>
              </w:rPr>
              <w:t>省</w:t>
            </w:r>
            <w:r>
              <w:rPr>
                <w:rFonts w:hint="eastAsia" w:ascii="仿宋" w:hAnsi="仿宋" w:eastAsia="仿宋" w:cs="仿宋"/>
                <w:color w:val="auto"/>
                <w:sz w:val="24"/>
                <w:szCs w:val="24"/>
                <w:highlight w:val="none"/>
              </w:rPr>
              <w:t>级主流媒体报道的（报道内容需是正面积极的），每提供一例报道得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2020年1月1日以来，投标人服务过的垃圾分类小区（村、社）</w:t>
            </w:r>
            <w:r>
              <w:rPr>
                <w:rFonts w:hint="eastAsia" w:ascii="仿宋" w:hAnsi="仿宋" w:eastAsia="仿宋" w:cs="仿宋"/>
                <w:color w:val="auto"/>
                <w:sz w:val="24"/>
                <w:szCs w:val="24"/>
                <w:highlight w:val="none"/>
              </w:rPr>
              <w:t>被</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级主流媒体报道的（报道内容需是正面积极的），每提供一例报道得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本项最高得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w:t>
            </w:r>
            <w:r>
              <w:rPr>
                <w:rFonts w:hint="eastAsia" w:ascii="仿宋" w:hAnsi="仿宋" w:eastAsia="仿宋" w:cs="仿宋"/>
                <w:color w:val="auto"/>
                <w:sz w:val="24"/>
                <w:szCs w:val="24"/>
                <w:highlight w:val="none"/>
              </w:rPr>
              <w:t>主流媒体报道的</w:t>
            </w:r>
            <w:r>
              <w:rPr>
                <w:rFonts w:hint="eastAsia" w:ascii="仿宋" w:hAnsi="仿宋" w:eastAsia="仿宋" w:cs="仿宋"/>
                <w:color w:val="auto"/>
                <w:sz w:val="24"/>
                <w:szCs w:val="24"/>
                <w:highlight w:val="none"/>
                <w:lang w:val="en-US" w:eastAsia="zh-CN"/>
              </w:rPr>
              <w:t>时间为准，不重复计分。</w:t>
            </w:r>
          </w:p>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（提供垃圾分类服务协议及属地政府或区县级及以上政府相关部门</w:t>
            </w:r>
            <w:r>
              <w:rPr>
                <w:rFonts w:hint="eastAsia" w:ascii="仿宋" w:hAnsi="仿宋" w:eastAsia="仿宋" w:cs="仿宋"/>
                <w:color w:val="auto"/>
                <w:sz w:val="24"/>
                <w:szCs w:val="24"/>
                <w:highlight w:val="none"/>
              </w:rPr>
              <w:t>盖章证明</w:t>
            </w:r>
            <w:r>
              <w:rPr>
                <w:rFonts w:hint="eastAsia" w:ascii="仿宋" w:hAnsi="仿宋" w:eastAsia="仿宋" w:cs="仿宋"/>
                <w:color w:val="auto"/>
                <w:sz w:val="24"/>
                <w:szCs w:val="24"/>
                <w:highlight w:val="none"/>
                <w:lang w:val="en-US" w:eastAsia="zh-CN"/>
              </w:rPr>
              <w:t>扫描件及</w:t>
            </w:r>
            <w:r>
              <w:rPr>
                <w:rFonts w:hint="eastAsia" w:ascii="仿宋" w:hAnsi="仿宋" w:eastAsia="仿宋" w:cs="仿宋"/>
                <w:color w:val="auto"/>
                <w:sz w:val="24"/>
                <w:szCs w:val="24"/>
                <w:highlight w:val="none"/>
              </w:rPr>
              <w:t>提供相关主流媒体报道证明材料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否则不得分。</w:t>
            </w:r>
            <w:r>
              <w:rPr>
                <w:rFonts w:hint="eastAsia" w:ascii="仿宋" w:hAnsi="仿宋" w:eastAsia="仿宋" w:cs="仿宋"/>
                <w:color w:val="auto"/>
                <w:sz w:val="24"/>
                <w:szCs w:val="24"/>
                <w:highlight w:val="none"/>
                <w:lang w:eastAsia="zh-CN"/>
              </w:rPr>
              <w:t>）</w:t>
            </w:r>
          </w:p>
        </w:tc>
        <w:tc>
          <w:tcPr>
            <w:tcW w:w="805" w:type="dxa"/>
            <w:noWrap w:val="0"/>
            <w:vAlign w:val="center"/>
          </w:tcPr>
          <w:p>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c>
          <w:tcPr>
            <w:tcW w:w="956" w:type="dxa"/>
            <w:noWrap w:val="0"/>
            <w:vAlign w:val="center"/>
          </w:tcPr>
          <w:p>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1" w:type="dxa"/>
            <w:vMerge w:val="continue"/>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color w:val="auto"/>
                <w:sz w:val="24"/>
                <w:szCs w:val="24"/>
                <w:highlight w:val="none"/>
              </w:rPr>
            </w:pPr>
          </w:p>
        </w:tc>
        <w:tc>
          <w:tcPr>
            <w:tcW w:w="597" w:type="dxa"/>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272" w:type="dxa"/>
            <w:gridSpan w:val="2"/>
            <w:noWrap w:val="0"/>
            <w:vAlign w:val="center"/>
          </w:tcPr>
          <w:p>
            <w:pPr>
              <w:spacing w:after="0"/>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投标人服务过的垃圾分类小区（村、社）自2020年1月1日以来被市级及以上政府机构列为垃圾分类示范小区（村、社）的，小区（村、社）数量30个（含）以上的得5分，20个（含）-30个（不含）的得3分，20个（不含）以下的得1分，没有的不得分。一个小区（村、社）只计1次，不重复计分。</w:t>
            </w:r>
          </w:p>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sz w:val="24"/>
                <w:szCs w:val="24"/>
                <w:highlight w:val="none"/>
                <w:lang w:val="en-US" w:eastAsia="zh-CN"/>
              </w:rPr>
              <w:t>（提供垃圾分类服务协议及属地政府或区县级及以上政府相关部门盖章证明原件扫描件及提供相关证明材料能体现其垃圾分类示范小区（村、社）的，否则不得分。）</w:t>
            </w:r>
          </w:p>
        </w:tc>
        <w:tc>
          <w:tcPr>
            <w:tcW w:w="805" w:type="dxa"/>
            <w:noWrap w:val="0"/>
            <w:vAlign w:val="center"/>
          </w:tcPr>
          <w:p>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c>
          <w:tcPr>
            <w:tcW w:w="956" w:type="dxa"/>
            <w:noWrap w:val="0"/>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51" w:type="dxa"/>
            <w:vMerge w:val="continue"/>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color w:val="auto"/>
                <w:sz w:val="24"/>
                <w:szCs w:val="24"/>
                <w:highlight w:val="none"/>
              </w:rPr>
            </w:pPr>
          </w:p>
        </w:tc>
        <w:tc>
          <w:tcPr>
            <w:tcW w:w="597" w:type="dxa"/>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272" w:type="dxa"/>
            <w:gridSpan w:val="2"/>
            <w:noWrap w:val="0"/>
            <w:vAlign w:val="center"/>
          </w:tcPr>
          <w:p>
            <w:pPr>
              <w:spacing w:after="0"/>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投标产品具有涉及再生资源相关平台软件的著作权登记的，每个得</w:t>
            </w:r>
            <w:r>
              <w:rPr>
                <w:rFonts w:hint="eastAsia" w:cs="仿宋"/>
                <w:b w:val="0"/>
                <w:bCs w:val="0"/>
                <w:i w:val="0"/>
                <w:iCs w:val="0"/>
                <w:color w:val="auto"/>
                <w:sz w:val="24"/>
                <w:szCs w:val="24"/>
                <w:highlight w:val="none"/>
                <w:lang w:val="en-US" w:eastAsia="zh-CN"/>
              </w:rPr>
              <w:t>1</w:t>
            </w:r>
            <w:r>
              <w:rPr>
                <w:rFonts w:hint="eastAsia" w:ascii="仿宋" w:hAnsi="仿宋" w:eastAsia="仿宋" w:cs="仿宋"/>
                <w:b w:val="0"/>
                <w:bCs w:val="0"/>
                <w:i w:val="0"/>
                <w:iCs w:val="0"/>
                <w:color w:val="auto"/>
                <w:sz w:val="24"/>
                <w:szCs w:val="24"/>
                <w:highlight w:val="none"/>
                <w:lang w:val="en-US" w:eastAsia="zh-CN"/>
              </w:rPr>
              <w:t>分，最高得</w:t>
            </w:r>
            <w:r>
              <w:rPr>
                <w:rFonts w:hint="eastAsia" w:cs="仿宋"/>
                <w:b w:val="0"/>
                <w:bCs w:val="0"/>
                <w:i w:val="0"/>
                <w:iCs w:val="0"/>
                <w:color w:val="auto"/>
                <w:sz w:val="24"/>
                <w:szCs w:val="24"/>
                <w:highlight w:val="none"/>
                <w:lang w:val="en-US" w:eastAsia="zh-CN"/>
              </w:rPr>
              <w:t>3</w:t>
            </w:r>
            <w:r>
              <w:rPr>
                <w:rFonts w:hint="eastAsia" w:ascii="仿宋" w:hAnsi="仿宋" w:eastAsia="仿宋" w:cs="仿宋"/>
                <w:b w:val="0"/>
                <w:bCs w:val="0"/>
                <w:i w:val="0"/>
                <w:iCs w:val="0"/>
                <w:color w:val="auto"/>
                <w:sz w:val="24"/>
                <w:szCs w:val="24"/>
                <w:highlight w:val="none"/>
                <w:lang w:val="en-US" w:eastAsia="zh-CN"/>
              </w:rPr>
              <w:t>分。</w:t>
            </w:r>
          </w:p>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sz w:val="24"/>
                <w:szCs w:val="24"/>
                <w:highlight w:val="none"/>
                <w:lang w:val="en-US" w:eastAsia="zh-CN"/>
              </w:rPr>
              <w:t>（需提供软件著作权登记证书复印件，否则不得分。）</w:t>
            </w:r>
          </w:p>
        </w:tc>
        <w:tc>
          <w:tcPr>
            <w:tcW w:w="805" w:type="dxa"/>
            <w:noWrap w:val="0"/>
            <w:vAlign w:val="center"/>
          </w:tcPr>
          <w:p>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c>
          <w:tcPr>
            <w:tcW w:w="956" w:type="dxa"/>
            <w:noWrap w:val="0"/>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1" w:type="dxa"/>
            <w:vMerge w:val="continue"/>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color w:val="auto"/>
                <w:sz w:val="24"/>
                <w:szCs w:val="24"/>
                <w:highlight w:val="none"/>
              </w:rPr>
            </w:pPr>
          </w:p>
        </w:tc>
        <w:tc>
          <w:tcPr>
            <w:tcW w:w="597" w:type="dxa"/>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272" w:type="dxa"/>
            <w:gridSpan w:val="2"/>
            <w:noWrap w:val="0"/>
            <w:vAlign w:val="center"/>
          </w:tcPr>
          <w:p>
            <w:pPr>
              <w:spacing w:after="0"/>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投标人服务过的垃圾分类小区（村、社）的生活垃圾分类模式被省级及以上政府机构列入省级城镇（农村）生活垃圾分类模式的，每提供一个服务过的生活垃圾分类模式的得2分，最高得4分。</w:t>
            </w:r>
          </w:p>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sz w:val="24"/>
                <w:szCs w:val="24"/>
                <w:highlight w:val="none"/>
                <w:lang w:val="en-US" w:eastAsia="zh-CN"/>
              </w:rPr>
              <w:t>（1.提供垃圾分类服务协议，若不能体现该小区（村、社）名字的，需要提供属地政府或区县级及以上政府相关部门盖章证明扫描件；2.提供证明材料体现相关内容；否则不得分。）</w:t>
            </w:r>
          </w:p>
        </w:tc>
        <w:tc>
          <w:tcPr>
            <w:tcW w:w="805" w:type="dxa"/>
            <w:noWrap w:val="0"/>
            <w:vAlign w:val="center"/>
          </w:tcPr>
          <w:p>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w:t>
            </w:r>
          </w:p>
        </w:tc>
        <w:tc>
          <w:tcPr>
            <w:tcW w:w="956" w:type="dxa"/>
            <w:noWrap w:val="0"/>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1" w:type="dxa"/>
            <w:vMerge w:val="continue"/>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color w:val="auto"/>
                <w:sz w:val="24"/>
                <w:szCs w:val="24"/>
                <w:highlight w:val="none"/>
              </w:rPr>
            </w:pPr>
          </w:p>
        </w:tc>
        <w:tc>
          <w:tcPr>
            <w:tcW w:w="597" w:type="dxa"/>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272" w:type="dxa"/>
            <w:gridSpan w:val="2"/>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服务过的垃圾分类镇街或小区（村、社）自2019年1月1日以来被省级及以上政府机构列为垃圾分类示范片区或示范小区或高标准（村、社）的，每一个得1分，最高得3分，没有的不得分。一个片区、小区（村、社）只计1次，不重复计分。</w:t>
            </w:r>
          </w:p>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（1.提供垃圾分类服务协议，及属地政府 或 区县级及以上政府相关部门盖章证明扫描件；2.提供证明材料体现其相关内容的；否则不得分。） </w:t>
            </w:r>
          </w:p>
        </w:tc>
        <w:tc>
          <w:tcPr>
            <w:tcW w:w="805" w:type="dxa"/>
            <w:noWrap w:val="0"/>
            <w:vAlign w:val="center"/>
          </w:tcPr>
          <w:p>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c>
          <w:tcPr>
            <w:tcW w:w="956" w:type="dxa"/>
            <w:noWrap w:val="0"/>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851" w:type="dxa"/>
            <w:vMerge w:val="continue"/>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color w:val="auto"/>
                <w:sz w:val="24"/>
                <w:szCs w:val="24"/>
                <w:highlight w:val="none"/>
              </w:rPr>
            </w:pPr>
          </w:p>
        </w:tc>
        <w:tc>
          <w:tcPr>
            <w:tcW w:w="597" w:type="dxa"/>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272" w:type="dxa"/>
            <w:gridSpan w:val="2"/>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rPr>
              <w:t>再生资源</w:t>
            </w:r>
            <w:r>
              <w:rPr>
                <w:rFonts w:hint="eastAsia" w:ascii="仿宋" w:hAnsi="仿宋" w:eastAsia="仿宋" w:cs="仿宋"/>
                <w:b w:val="0"/>
                <w:bCs w:val="0"/>
                <w:color w:val="auto"/>
                <w:sz w:val="24"/>
                <w:szCs w:val="24"/>
                <w:highlight w:val="none"/>
                <w:lang w:val="en-US" w:eastAsia="zh-CN"/>
              </w:rPr>
              <w:t>回收</w:t>
            </w:r>
            <w:r>
              <w:rPr>
                <w:rFonts w:hint="eastAsia" w:ascii="仿宋" w:hAnsi="仿宋" w:eastAsia="仿宋" w:cs="仿宋"/>
                <w:b w:val="0"/>
                <w:bCs w:val="0"/>
                <w:color w:val="auto"/>
                <w:sz w:val="24"/>
                <w:szCs w:val="24"/>
                <w:highlight w:val="none"/>
                <w:lang w:val="en-US"/>
              </w:rPr>
              <w:t>：</w:t>
            </w:r>
            <w:r>
              <w:rPr>
                <w:rFonts w:hint="eastAsia" w:ascii="仿宋" w:hAnsi="仿宋" w:eastAsia="仿宋" w:cs="仿宋"/>
                <w:b w:val="0"/>
                <w:bCs w:val="0"/>
                <w:color w:val="auto"/>
                <w:sz w:val="24"/>
                <w:szCs w:val="24"/>
                <w:highlight w:val="none"/>
                <w:lang w:val="en-US" w:eastAsia="zh-CN"/>
              </w:rPr>
              <w:t>打通再生资源处置链条，有再生资源合法处理渠道。</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需与</w:t>
            </w:r>
            <w:r>
              <w:rPr>
                <w:rFonts w:hint="eastAsia" w:ascii="仿宋" w:hAnsi="仿宋" w:eastAsia="仿宋" w:cs="仿宋"/>
                <w:b w:val="0"/>
                <w:bCs w:val="0"/>
                <w:color w:val="auto"/>
                <w:sz w:val="24"/>
                <w:szCs w:val="24"/>
                <w:highlight w:val="none"/>
                <w:lang w:val="en-US"/>
              </w:rPr>
              <w:t>具备再生资源分拣中心的垃圾终端处理单位</w:t>
            </w:r>
            <w:r>
              <w:rPr>
                <w:rFonts w:hint="eastAsia" w:ascii="仿宋" w:hAnsi="仿宋" w:eastAsia="仿宋" w:cs="仿宋"/>
                <w:b w:val="0"/>
                <w:bCs w:val="0"/>
                <w:color w:val="auto"/>
                <w:sz w:val="24"/>
                <w:szCs w:val="24"/>
                <w:highlight w:val="none"/>
                <w:lang w:val="en-US" w:eastAsia="zh-CN"/>
              </w:rPr>
              <w:t>签订有合作协议和自行</w:t>
            </w:r>
            <w:r>
              <w:rPr>
                <w:rFonts w:hint="eastAsia" w:ascii="仿宋" w:hAnsi="仿宋" w:eastAsia="仿宋" w:cs="仿宋"/>
                <w:b w:val="0"/>
                <w:bCs w:val="0"/>
                <w:color w:val="auto"/>
                <w:sz w:val="24"/>
                <w:szCs w:val="24"/>
                <w:highlight w:val="none"/>
                <w:lang w:val="en-US"/>
              </w:rPr>
              <w:t>具备再生资源分拣中心</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得</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en-US"/>
              </w:rPr>
              <w:t>分。（</w:t>
            </w:r>
            <w:r>
              <w:rPr>
                <w:rFonts w:hint="eastAsia" w:ascii="仿宋" w:hAnsi="仿宋" w:eastAsia="仿宋" w:cs="仿宋"/>
                <w:b w:val="0"/>
                <w:bCs w:val="0"/>
                <w:color w:val="auto"/>
                <w:sz w:val="24"/>
                <w:szCs w:val="24"/>
                <w:highlight w:val="none"/>
              </w:rPr>
              <w:t>需提供</w:t>
            </w:r>
            <w:r>
              <w:rPr>
                <w:rFonts w:hint="eastAsia" w:ascii="仿宋" w:hAnsi="仿宋" w:eastAsia="仿宋" w:cs="仿宋"/>
                <w:b w:val="0"/>
                <w:bCs w:val="0"/>
                <w:color w:val="auto"/>
                <w:sz w:val="24"/>
                <w:szCs w:val="24"/>
                <w:highlight w:val="none"/>
                <w:lang w:val="en-US"/>
              </w:rPr>
              <w:t>再生资源分拣中心</w:t>
            </w:r>
            <w:r>
              <w:rPr>
                <w:rFonts w:hint="eastAsia" w:ascii="仿宋" w:hAnsi="仿宋" w:eastAsia="仿宋" w:cs="仿宋"/>
                <w:b w:val="0"/>
                <w:bCs w:val="0"/>
                <w:color w:val="auto"/>
                <w:sz w:val="24"/>
                <w:szCs w:val="24"/>
                <w:highlight w:val="none"/>
              </w:rPr>
              <w:t>场地照片、用地审批许可证件</w:t>
            </w:r>
            <w:r>
              <w:rPr>
                <w:rFonts w:hint="eastAsia" w:ascii="仿宋" w:hAnsi="仿宋" w:eastAsia="仿宋" w:cs="仿宋"/>
                <w:b w:val="0"/>
                <w:bCs w:val="0"/>
                <w:color w:val="auto"/>
                <w:sz w:val="24"/>
                <w:szCs w:val="24"/>
                <w:highlight w:val="none"/>
                <w:lang w:val="en-US"/>
              </w:rPr>
              <w:t>或产权证书或</w:t>
            </w:r>
            <w:r>
              <w:rPr>
                <w:rFonts w:hint="eastAsia" w:ascii="仿宋" w:hAnsi="仿宋" w:eastAsia="仿宋" w:cs="仿宋"/>
                <w:b w:val="0"/>
                <w:bCs w:val="0"/>
                <w:color w:val="auto"/>
                <w:sz w:val="24"/>
                <w:szCs w:val="24"/>
                <w:highlight w:val="none"/>
              </w:rPr>
              <w:t>租赁</w:t>
            </w:r>
            <w:r>
              <w:rPr>
                <w:rFonts w:hint="eastAsia" w:ascii="仿宋" w:hAnsi="仿宋" w:eastAsia="仿宋" w:cs="仿宋"/>
                <w:b w:val="0"/>
                <w:bCs w:val="0"/>
                <w:color w:val="auto"/>
                <w:sz w:val="24"/>
                <w:szCs w:val="24"/>
                <w:highlight w:val="none"/>
                <w:lang w:val="en-US"/>
              </w:rPr>
              <w:t>协议</w:t>
            </w:r>
            <w:r>
              <w:rPr>
                <w:rFonts w:hint="eastAsia" w:ascii="仿宋" w:hAnsi="仿宋" w:eastAsia="仿宋" w:cs="仿宋"/>
                <w:b w:val="0"/>
                <w:bCs w:val="0"/>
                <w:color w:val="auto"/>
                <w:sz w:val="24"/>
                <w:szCs w:val="24"/>
                <w:highlight w:val="none"/>
              </w:rPr>
              <w:t>复印件，租赁的除提供上述复印件外，另</w:t>
            </w:r>
            <w:r>
              <w:rPr>
                <w:rFonts w:hint="eastAsia" w:ascii="仿宋" w:hAnsi="仿宋" w:eastAsia="仿宋" w:cs="仿宋"/>
                <w:b w:val="0"/>
                <w:bCs w:val="0"/>
                <w:color w:val="auto"/>
                <w:sz w:val="24"/>
                <w:szCs w:val="24"/>
                <w:highlight w:val="none"/>
                <w:lang w:val="en-US"/>
              </w:rPr>
              <w:t>须</w:t>
            </w:r>
            <w:r>
              <w:rPr>
                <w:rFonts w:hint="eastAsia" w:ascii="仿宋" w:hAnsi="仿宋" w:eastAsia="仿宋" w:cs="仿宋"/>
                <w:b w:val="0"/>
                <w:bCs w:val="0"/>
                <w:color w:val="auto"/>
                <w:sz w:val="24"/>
                <w:szCs w:val="24"/>
                <w:highlight w:val="none"/>
              </w:rPr>
              <w:t>提供租赁合同复印件，否则不得分。）</w:t>
            </w:r>
          </w:p>
        </w:tc>
        <w:tc>
          <w:tcPr>
            <w:tcW w:w="805" w:type="dxa"/>
            <w:noWrap w:val="0"/>
            <w:vAlign w:val="center"/>
          </w:tcPr>
          <w:p>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c>
          <w:tcPr>
            <w:tcW w:w="956" w:type="dxa"/>
            <w:noWrap w:val="0"/>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851" w:type="dxa"/>
            <w:vMerge w:val="restart"/>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技术和服务方案分</w:t>
            </w:r>
            <w:r>
              <w:rPr>
                <w:rFonts w:hint="eastAsia" w:ascii="仿宋" w:hAnsi="仿宋" w:eastAsia="仿宋" w:cs="仿宋"/>
                <w:color w:val="auto"/>
                <w:sz w:val="24"/>
                <w:szCs w:val="24"/>
                <w:highlight w:val="none"/>
                <w:lang w:val="en-US" w:eastAsia="zh-CN"/>
              </w:rPr>
              <w:t>61分</w:t>
            </w:r>
          </w:p>
        </w:tc>
        <w:tc>
          <w:tcPr>
            <w:tcW w:w="597" w:type="dxa"/>
            <w:vMerge w:val="restart"/>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401" w:type="dxa"/>
            <w:vMerge w:val="restart"/>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投标方案的合理性、科学性、全面性（根据对投标项目的理解程度、总体设计、组织实施、独到优势等情况综合评定）</w:t>
            </w:r>
          </w:p>
        </w:tc>
        <w:tc>
          <w:tcPr>
            <w:tcW w:w="4871" w:type="dxa"/>
            <w:noWrap w:val="0"/>
            <w:vAlign w:val="center"/>
          </w:tcPr>
          <w:p>
            <w:pPr>
              <w:keepNext w:val="0"/>
              <w:keepLines w:val="0"/>
              <w:pageBreakBefore w:val="0"/>
              <w:widowControl/>
              <w:kinsoku/>
              <w:wordWrap/>
              <w:overflowPunct/>
              <w:topLinePunct w:val="0"/>
              <w:bidi w:val="0"/>
              <w:spacing w:after="0" w:line="240" w:lineRule="auto"/>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u w:val="none"/>
                <w:lang w:eastAsia="zh-CN"/>
              </w:rPr>
              <w:t>整体技术是否先进高效，</w:t>
            </w:r>
            <w:r>
              <w:rPr>
                <w:rFonts w:hint="eastAsia" w:ascii="仿宋" w:hAnsi="仿宋" w:eastAsia="仿宋" w:cs="仿宋"/>
                <w:color w:val="auto"/>
                <w:sz w:val="24"/>
                <w:szCs w:val="24"/>
                <w:highlight w:val="none"/>
                <w:u w:val="none"/>
              </w:rPr>
              <w:t>投放</w:t>
            </w:r>
            <w:r>
              <w:rPr>
                <w:rFonts w:hint="eastAsia" w:ascii="仿宋" w:hAnsi="仿宋" w:eastAsia="仿宋" w:cs="仿宋"/>
                <w:color w:val="auto"/>
                <w:sz w:val="24"/>
                <w:szCs w:val="24"/>
                <w:highlight w:val="none"/>
                <w:u w:val="none"/>
                <w:lang w:eastAsia="zh-CN"/>
              </w:rPr>
              <w:t>布点是否</w:t>
            </w:r>
            <w:r>
              <w:rPr>
                <w:rFonts w:hint="eastAsia" w:ascii="仿宋" w:hAnsi="仿宋" w:eastAsia="仿宋" w:cs="仿宋"/>
                <w:color w:val="auto"/>
                <w:sz w:val="24"/>
                <w:szCs w:val="24"/>
                <w:highlight w:val="none"/>
                <w:u w:val="none"/>
              </w:rPr>
              <w:t>科学合理</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垃圾收集运输方案</w:t>
            </w:r>
            <w:r>
              <w:rPr>
                <w:rFonts w:hint="eastAsia" w:ascii="仿宋" w:hAnsi="仿宋" w:eastAsia="仿宋" w:cs="仿宋"/>
                <w:color w:val="auto"/>
                <w:sz w:val="24"/>
                <w:szCs w:val="24"/>
                <w:highlight w:val="none"/>
                <w:u w:val="none"/>
                <w:lang w:val="en-US" w:eastAsia="zh-CN"/>
              </w:rPr>
              <w:t>是否</w:t>
            </w:r>
            <w:r>
              <w:rPr>
                <w:rFonts w:hint="eastAsia" w:ascii="仿宋" w:hAnsi="仿宋" w:eastAsia="仿宋" w:cs="仿宋"/>
                <w:color w:val="auto"/>
                <w:sz w:val="24"/>
                <w:szCs w:val="24"/>
                <w:highlight w:val="none"/>
                <w:u w:val="none"/>
              </w:rPr>
              <w:t>合理</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视觉形象及功能性设计</w:t>
            </w:r>
            <w:r>
              <w:rPr>
                <w:rFonts w:hint="eastAsia" w:ascii="仿宋" w:hAnsi="仿宋" w:eastAsia="仿宋" w:cs="仿宋"/>
                <w:color w:val="auto"/>
                <w:sz w:val="24"/>
                <w:szCs w:val="24"/>
                <w:highlight w:val="none"/>
                <w:u w:val="none"/>
                <w:lang w:eastAsia="zh-CN"/>
              </w:rPr>
              <w:t>等</w:t>
            </w:r>
            <w:r>
              <w:rPr>
                <w:rFonts w:hint="eastAsia" w:ascii="仿宋" w:hAnsi="仿宋" w:eastAsia="仿宋" w:cs="仿宋"/>
                <w:color w:val="auto"/>
                <w:sz w:val="24"/>
                <w:szCs w:val="24"/>
                <w:highlight w:val="none"/>
                <w:u w:val="none"/>
                <w:lang w:val="en-US" w:eastAsia="zh-CN"/>
              </w:rPr>
              <w:t>综合评定</w:t>
            </w:r>
            <w:r>
              <w:rPr>
                <w:rFonts w:hint="eastAsia" w:ascii="仿宋" w:hAnsi="仿宋" w:eastAsia="仿宋" w:cs="仿宋"/>
                <w:color w:val="auto"/>
                <w:sz w:val="24"/>
                <w:szCs w:val="24"/>
                <w:highlight w:val="none"/>
                <w:u w:val="none"/>
                <w:shd w:val="clear" w:color="auto" w:fill="FFFFFF"/>
                <w:lang w:eastAsia="zh-CN"/>
              </w:rPr>
              <w:t>。</w:t>
            </w:r>
            <w:r>
              <w:rPr>
                <w:rFonts w:hint="eastAsia" w:ascii="仿宋" w:hAnsi="仿宋" w:eastAsia="仿宋" w:cs="仿宋"/>
                <w:color w:val="auto"/>
                <w:sz w:val="24"/>
                <w:szCs w:val="24"/>
                <w:highlight w:val="none"/>
                <w:u w:val="none"/>
                <w:shd w:val="clear" w:color="auto" w:fill="FFFFFF"/>
                <w:lang w:val="en-US" w:eastAsia="zh-CN"/>
              </w:rPr>
              <w:t>方案合理的得4-5分，方案一般的得3分，方案欠缺的的2分，方案不合理的得1分，不提供的不得分。</w:t>
            </w:r>
          </w:p>
        </w:tc>
        <w:tc>
          <w:tcPr>
            <w:tcW w:w="805" w:type="dxa"/>
            <w:noWrap w:val="0"/>
            <w:vAlign w:val="center"/>
          </w:tcPr>
          <w:p>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c>
          <w:tcPr>
            <w:tcW w:w="956" w:type="dxa"/>
            <w:noWrap w:val="0"/>
            <w:vAlign w:val="center"/>
          </w:tcPr>
          <w:p>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1" w:type="dxa"/>
            <w:vMerge w:val="continue"/>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color w:val="auto"/>
                <w:sz w:val="24"/>
                <w:szCs w:val="24"/>
                <w:highlight w:val="none"/>
              </w:rPr>
            </w:pPr>
          </w:p>
        </w:tc>
        <w:tc>
          <w:tcPr>
            <w:tcW w:w="597" w:type="dxa"/>
            <w:vMerge w:val="continue"/>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color w:val="auto"/>
                <w:sz w:val="24"/>
                <w:szCs w:val="24"/>
                <w:highlight w:val="none"/>
                <w:lang w:val="en-US" w:eastAsia="zh-CN"/>
              </w:rPr>
            </w:pPr>
          </w:p>
        </w:tc>
        <w:tc>
          <w:tcPr>
            <w:tcW w:w="1401" w:type="dxa"/>
            <w:vMerge w:val="continue"/>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color w:val="auto"/>
                <w:sz w:val="24"/>
                <w:szCs w:val="24"/>
                <w:highlight w:val="none"/>
              </w:rPr>
            </w:pPr>
          </w:p>
        </w:tc>
        <w:tc>
          <w:tcPr>
            <w:tcW w:w="4871" w:type="dxa"/>
            <w:noWrap w:val="0"/>
            <w:vAlign w:val="center"/>
          </w:tcPr>
          <w:p>
            <w:pPr>
              <w:keepNext w:val="0"/>
              <w:keepLines w:val="0"/>
              <w:pageBreakBefore w:val="0"/>
              <w:widowControl/>
              <w:kinsoku/>
              <w:wordWrap/>
              <w:overflowPunct/>
              <w:topLinePunct w:val="0"/>
              <w:bidi w:val="0"/>
              <w:spacing w:after="0" w:line="24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rPr>
              <w:t>对</w:t>
            </w:r>
            <w:r>
              <w:rPr>
                <w:rFonts w:hint="eastAsia" w:ascii="仿宋" w:hAnsi="仿宋" w:eastAsia="仿宋" w:cs="仿宋"/>
                <w:color w:val="auto"/>
                <w:sz w:val="24"/>
                <w:szCs w:val="24"/>
                <w:highlight w:val="none"/>
                <w:u w:val="none"/>
                <w:lang w:val="en-US" w:eastAsia="zh-CN"/>
              </w:rPr>
              <w:t>采购人</w:t>
            </w:r>
            <w:r>
              <w:rPr>
                <w:rFonts w:hint="eastAsia" w:ascii="仿宋" w:hAnsi="仿宋" w:eastAsia="仿宋" w:cs="仿宋"/>
                <w:color w:val="auto"/>
                <w:sz w:val="24"/>
                <w:szCs w:val="24"/>
                <w:highlight w:val="none"/>
                <w:u w:val="none"/>
              </w:rPr>
              <w:t>垃圾分类现状</w:t>
            </w:r>
            <w:r>
              <w:rPr>
                <w:rFonts w:hint="eastAsia" w:ascii="仿宋" w:hAnsi="仿宋" w:eastAsia="仿宋" w:cs="仿宋"/>
                <w:color w:val="auto"/>
                <w:sz w:val="24"/>
                <w:szCs w:val="24"/>
                <w:highlight w:val="none"/>
                <w:u w:val="none"/>
                <w:lang w:val="en-US" w:eastAsia="zh-CN"/>
              </w:rPr>
              <w:t>的描述，</w:t>
            </w:r>
            <w:r>
              <w:rPr>
                <w:rFonts w:hint="eastAsia" w:ascii="仿宋" w:hAnsi="仿宋" w:eastAsia="仿宋" w:cs="仿宋"/>
                <w:color w:val="auto"/>
                <w:sz w:val="24"/>
                <w:szCs w:val="24"/>
                <w:highlight w:val="none"/>
                <w:u w:val="none"/>
              </w:rPr>
              <w:t>对在本项目所在地内推进过程中可能出现的问题和困难，</w:t>
            </w:r>
            <w:r>
              <w:rPr>
                <w:rFonts w:hint="eastAsia" w:ascii="仿宋" w:hAnsi="仿宋" w:eastAsia="仿宋" w:cs="仿宋"/>
                <w:color w:val="auto"/>
                <w:sz w:val="24"/>
                <w:szCs w:val="24"/>
                <w:highlight w:val="none"/>
                <w:u w:val="none"/>
                <w:lang w:eastAsia="zh-CN"/>
              </w:rPr>
              <w:t>提供</w:t>
            </w:r>
            <w:r>
              <w:rPr>
                <w:rFonts w:hint="eastAsia" w:ascii="仿宋" w:hAnsi="仿宋" w:eastAsia="仿宋" w:cs="仿宋"/>
                <w:color w:val="auto"/>
                <w:sz w:val="24"/>
                <w:szCs w:val="24"/>
                <w:highlight w:val="none"/>
                <w:u w:val="none"/>
              </w:rPr>
              <w:t>经验自行克服解决，为采购人推进项目提供有效帮助</w:t>
            </w:r>
            <w:r>
              <w:rPr>
                <w:rFonts w:hint="eastAsia" w:ascii="仿宋" w:hAnsi="仿宋" w:eastAsia="仿宋" w:cs="仿宋"/>
                <w:color w:val="auto"/>
                <w:sz w:val="24"/>
                <w:szCs w:val="24"/>
                <w:highlight w:val="none"/>
                <w:u w:val="none"/>
                <w:lang w:val="en-US" w:eastAsia="zh-CN"/>
              </w:rPr>
              <w:t>等综合评定</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分析到位的得4分，分析一般的得3分，分析欠缺的2分，分析</w:t>
            </w:r>
            <w:r>
              <w:rPr>
                <w:rFonts w:hint="eastAsia" w:ascii="仿宋" w:hAnsi="仿宋" w:eastAsia="仿宋" w:cs="仿宋"/>
                <w:color w:val="auto"/>
                <w:sz w:val="24"/>
                <w:szCs w:val="24"/>
                <w:highlight w:val="none"/>
                <w:u w:val="none"/>
                <w:shd w:val="clear" w:color="auto" w:fill="FFFFFF"/>
                <w:lang w:val="en-US" w:eastAsia="zh-CN"/>
              </w:rPr>
              <w:t>不合理的得1分，不提供的不得分。</w:t>
            </w:r>
          </w:p>
        </w:tc>
        <w:tc>
          <w:tcPr>
            <w:tcW w:w="805" w:type="dxa"/>
            <w:noWrap w:val="0"/>
            <w:vAlign w:val="center"/>
          </w:tcPr>
          <w:p>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w:t>
            </w:r>
          </w:p>
        </w:tc>
        <w:tc>
          <w:tcPr>
            <w:tcW w:w="956" w:type="dxa"/>
            <w:noWrap w:val="0"/>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851" w:type="dxa"/>
            <w:vMerge w:val="continue"/>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rPr>
            </w:pPr>
          </w:p>
        </w:tc>
        <w:tc>
          <w:tcPr>
            <w:tcW w:w="597" w:type="dxa"/>
            <w:vMerge w:val="restart"/>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401" w:type="dxa"/>
            <w:vMerge w:val="restart"/>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投标方案中提供或使用主要设备的优劣综合评定</w:t>
            </w:r>
            <w:r>
              <w:rPr>
                <w:rFonts w:hint="eastAsia" w:ascii="仿宋" w:hAnsi="仿宋" w:eastAsia="仿宋" w:cs="仿宋"/>
                <w:color w:val="auto"/>
                <w:sz w:val="24"/>
                <w:szCs w:val="24"/>
                <w:highlight w:val="none"/>
                <w:lang w:eastAsia="zh-CN"/>
              </w:rPr>
              <w:t>。</w:t>
            </w:r>
          </w:p>
        </w:tc>
        <w:tc>
          <w:tcPr>
            <w:tcW w:w="4871" w:type="dxa"/>
            <w:noWrap w:val="0"/>
            <w:vAlign w:val="center"/>
          </w:tcPr>
          <w:p>
            <w:pPr>
              <w:keepNext w:val="0"/>
              <w:keepLines w:val="0"/>
              <w:pageBreakBefore w:val="0"/>
              <w:widowControl/>
              <w:kinsoku/>
              <w:wordWrap/>
              <w:overflowPunct/>
              <w:topLinePunct w:val="0"/>
              <w:bidi w:val="0"/>
              <w:spacing w:after="0" w:line="240" w:lineRule="auto"/>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u w:val="none"/>
              </w:rPr>
              <w:t>使用主要设备</w:t>
            </w:r>
            <w:r>
              <w:rPr>
                <w:rFonts w:hint="eastAsia" w:ascii="仿宋" w:hAnsi="仿宋" w:eastAsia="仿宋" w:cs="仿宋"/>
                <w:color w:val="auto"/>
                <w:sz w:val="24"/>
                <w:szCs w:val="24"/>
                <w:highlight w:val="none"/>
                <w:u w:val="none"/>
                <w:lang w:val="en-US" w:eastAsia="zh-CN"/>
              </w:rPr>
              <w:t>的基本功能、技术指标与需求的吻合程度和偏差情况（包括所投</w:t>
            </w:r>
            <w:r>
              <w:rPr>
                <w:rFonts w:hint="eastAsia" w:cs="仿宋"/>
                <w:color w:val="auto"/>
                <w:sz w:val="24"/>
                <w:szCs w:val="24"/>
                <w:highlight w:val="none"/>
                <w:u w:val="none"/>
                <w:lang w:val="en-US" w:eastAsia="zh-CN"/>
              </w:rPr>
              <w:t>入设备</w:t>
            </w:r>
            <w:r>
              <w:rPr>
                <w:rFonts w:hint="eastAsia" w:ascii="仿宋" w:hAnsi="仿宋" w:eastAsia="仿宋" w:cs="仿宋"/>
                <w:color w:val="auto"/>
                <w:sz w:val="24"/>
                <w:szCs w:val="24"/>
                <w:highlight w:val="none"/>
                <w:u w:val="none"/>
                <w:lang w:val="en-US" w:eastAsia="zh-CN"/>
              </w:rPr>
              <w:t>的品牌、规格型号、详细配置、主要技术参数等）进行综合评定。设备配置优于招标需求的得4分，设备配置一般的得3分，设备配置欠缺的2分，设备配置</w:t>
            </w:r>
            <w:r>
              <w:rPr>
                <w:rFonts w:hint="eastAsia" w:ascii="仿宋" w:hAnsi="仿宋" w:eastAsia="仿宋" w:cs="仿宋"/>
                <w:color w:val="auto"/>
                <w:sz w:val="24"/>
                <w:szCs w:val="24"/>
                <w:highlight w:val="none"/>
                <w:u w:val="none"/>
                <w:shd w:val="clear" w:color="auto" w:fill="FFFFFF"/>
                <w:lang w:val="en-US" w:eastAsia="zh-CN"/>
              </w:rPr>
              <w:t>不合理的得1分，不提供的不得分。</w:t>
            </w:r>
          </w:p>
        </w:tc>
        <w:tc>
          <w:tcPr>
            <w:tcW w:w="805" w:type="dxa"/>
            <w:noWrap w:val="0"/>
            <w:vAlign w:val="center"/>
          </w:tcPr>
          <w:p>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w:t>
            </w:r>
          </w:p>
        </w:tc>
        <w:tc>
          <w:tcPr>
            <w:tcW w:w="956" w:type="dxa"/>
            <w:noWrap w:val="0"/>
            <w:vAlign w:val="center"/>
          </w:tcPr>
          <w:p>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851" w:type="dxa"/>
            <w:vMerge w:val="continue"/>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rPr>
            </w:pPr>
          </w:p>
        </w:tc>
        <w:tc>
          <w:tcPr>
            <w:tcW w:w="597" w:type="dxa"/>
            <w:vMerge w:val="continue"/>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color w:val="auto"/>
                <w:sz w:val="24"/>
                <w:szCs w:val="24"/>
                <w:highlight w:val="none"/>
                <w:lang w:val="en-US" w:eastAsia="zh-CN"/>
              </w:rPr>
            </w:pPr>
          </w:p>
        </w:tc>
        <w:tc>
          <w:tcPr>
            <w:tcW w:w="1401" w:type="dxa"/>
            <w:vMerge w:val="continue"/>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color w:val="auto"/>
                <w:sz w:val="24"/>
                <w:szCs w:val="24"/>
                <w:highlight w:val="none"/>
              </w:rPr>
            </w:pPr>
          </w:p>
        </w:tc>
        <w:tc>
          <w:tcPr>
            <w:tcW w:w="4871" w:type="dxa"/>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2"/>
                <w:sz w:val="24"/>
                <w:szCs w:val="24"/>
                <w:highlight w:val="none"/>
                <w:u w:val="none"/>
                <w:lang w:val="en-US" w:eastAsia="zh-CN" w:bidi="ar-SA"/>
              </w:rPr>
              <w:t>投标人具有三轮电瓶车收运车辆的，车辆的数量在100辆（含）以上的得3分</w:t>
            </w:r>
            <w:r>
              <w:rPr>
                <w:rFonts w:hint="eastAsia" w:ascii="仿宋" w:hAnsi="仿宋" w:eastAsia="仿宋" w:cs="仿宋"/>
                <w:b w:val="0"/>
                <w:bCs w:val="0"/>
                <w:color w:val="auto"/>
                <w:kern w:val="2"/>
                <w:sz w:val="24"/>
                <w:szCs w:val="24"/>
                <w:highlight w:val="none"/>
                <w:u w:val="none"/>
                <w:lang w:val="zh-CN" w:eastAsia="zh-CN" w:bidi="ar-SA"/>
              </w:rPr>
              <w:t>，</w:t>
            </w:r>
            <w:r>
              <w:rPr>
                <w:rFonts w:hint="eastAsia" w:ascii="仿宋" w:hAnsi="仿宋" w:eastAsia="仿宋" w:cs="仿宋"/>
                <w:b w:val="0"/>
                <w:bCs w:val="0"/>
                <w:color w:val="auto"/>
                <w:kern w:val="2"/>
                <w:sz w:val="24"/>
                <w:szCs w:val="24"/>
                <w:highlight w:val="none"/>
                <w:u w:val="none"/>
                <w:lang w:val="en-US" w:eastAsia="zh-CN" w:bidi="ar-SA"/>
              </w:rPr>
              <w:t>50辆（含）-100辆（不含）的得 1分，50辆（不含）以下的不得分。（需提供购买发票、车辆保险单复印件</w:t>
            </w:r>
            <w:r>
              <w:rPr>
                <w:rFonts w:hint="eastAsia" w:ascii="仿宋" w:hAnsi="仿宋" w:eastAsia="仿宋" w:cs="仿宋"/>
                <w:b w:val="0"/>
                <w:bCs w:val="0"/>
                <w:color w:val="auto"/>
                <w:kern w:val="2"/>
                <w:sz w:val="24"/>
                <w:szCs w:val="24"/>
                <w:highlight w:val="none"/>
                <w:u w:val="none"/>
                <w:lang w:val="zh-CN" w:eastAsia="zh-CN" w:bidi="ar-SA"/>
              </w:rPr>
              <w:t>，</w:t>
            </w:r>
            <w:r>
              <w:rPr>
                <w:rFonts w:hint="eastAsia" w:ascii="仿宋" w:hAnsi="仿宋" w:eastAsia="仿宋" w:cs="仿宋"/>
                <w:b w:val="0"/>
                <w:bCs w:val="0"/>
                <w:color w:val="auto"/>
                <w:kern w:val="2"/>
                <w:sz w:val="24"/>
                <w:szCs w:val="24"/>
                <w:highlight w:val="none"/>
                <w:u w:val="none"/>
                <w:lang w:val="en-US" w:eastAsia="zh-CN" w:bidi="ar-SA"/>
              </w:rPr>
              <w:t>若</w:t>
            </w:r>
            <w:r>
              <w:rPr>
                <w:rFonts w:hint="eastAsia" w:ascii="仿宋" w:hAnsi="仿宋" w:eastAsia="仿宋" w:cs="仿宋"/>
                <w:b w:val="0"/>
                <w:bCs w:val="0"/>
                <w:color w:val="auto"/>
                <w:kern w:val="2"/>
                <w:sz w:val="24"/>
                <w:szCs w:val="24"/>
                <w:highlight w:val="none"/>
                <w:u w:val="none"/>
                <w:lang w:val="zh-CN" w:eastAsia="zh-CN" w:bidi="ar-SA"/>
              </w:rPr>
              <w:t>租赁的除提供上述复印件外，另</w:t>
            </w:r>
            <w:r>
              <w:rPr>
                <w:rFonts w:hint="eastAsia" w:ascii="仿宋" w:hAnsi="仿宋" w:eastAsia="仿宋" w:cs="仿宋"/>
                <w:b w:val="0"/>
                <w:bCs w:val="0"/>
                <w:color w:val="auto"/>
                <w:kern w:val="2"/>
                <w:sz w:val="24"/>
                <w:szCs w:val="24"/>
                <w:highlight w:val="none"/>
                <w:u w:val="none"/>
                <w:lang w:val="en-US" w:eastAsia="zh-CN" w:bidi="ar-SA"/>
              </w:rPr>
              <w:t>须</w:t>
            </w:r>
            <w:r>
              <w:rPr>
                <w:rFonts w:hint="eastAsia" w:ascii="仿宋" w:hAnsi="仿宋" w:eastAsia="仿宋" w:cs="仿宋"/>
                <w:b w:val="0"/>
                <w:bCs w:val="0"/>
                <w:color w:val="auto"/>
                <w:kern w:val="2"/>
                <w:sz w:val="24"/>
                <w:szCs w:val="24"/>
                <w:highlight w:val="none"/>
                <w:u w:val="none"/>
                <w:lang w:val="zh-CN" w:eastAsia="zh-CN" w:bidi="ar-SA"/>
              </w:rPr>
              <w:t>提供租凭合同复印件，</w:t>
            </w:r>
            <w:r>
              <w:rPr>
                <w:rFonts w:hint="eastAsia" w:ascii="仿宋" w:hAnsi="仿宋" w:eastAsia="仿宋" w:cs="仿宋"/>
                <w:b w:val="0"/>
                <w:bCs w:val="0"/>
                <w:color w:val="auto"/>
                <w:kern w:val="2"/>
                <w:sz w:val="24"/>
                <w:szCs w:val="24"/>
                <w:highlight w:val="none"/>
                <w:u w:val="none"/>
                <w:lang w:val="en-US" w:eastAsia="zh-CN" w:bidi="ar-SA"/>
              </w:rPr>
              <w:t>否则不得分。）</w:t>
            </w:r>
          </w:p>
        </w:tc>
        <w:tc>
          <w:tcPr>
            <w:tcW w:w="805" w:type="dxa"/>
            <w:noWrap w:val="0"/>
            <w:vAlign w:val="center"/>
          </w:tcPr>
          <w:p>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c>
          <w:tcPr>
            <w:tcW w:w="956" w:type="dxa"/>
            <w:noWrap w:val="0"/>
            <w:vAlign w:val="center"/>
          </w:tcPr>
          <w:p>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51" w:type="dxa"/>
            <w:vMerge w:val="continue"/>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rPr>
            </w:pPr>
          </w:p>
        </w:tc>
        <w:tc>
          <w:tcPr>
            <w:tcW w:w="597" w:type="dxa"/>
            <w:vMerge w:val="restart"/>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401" w:type="dxa"/>
            <w:vMerge w:val="restart"/>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保证进度和项目完成的方案和措施等综合评定</w:t>
            </w:r>
          </w:p>
        </w:tc>
        <w:tc>
          <w:tcPr>
            <w:tcW w:w="4871" w:type="dxa"/>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具有完善的应急预案，根据投标人对项目推进过程中可能出现的问题有完整的、可行的应对方案进行综合评定。</w:t>
            </w:r>
            <w:r>
              <w:rPr>
                <w:rFonts w:hint="eastAsia" w:ascii="仿宋" w:hAnsi="仿宋" w:eastAsia="仿宋" w:cs="仿宋"/>
                <w:color w:val="auto"/>
                <w:sz w:val="24"/>
                <w:szCs w:val="24"/>
                <w:highlight w:val="none"/>
                <w:u w:val="none"/>
                <w:shd w:val="clear" w:color="auto" w:fill="FFFFFF"/>
                <w:lang w:val="en-US" w:eastAsia="zh-CN"/>
              </w:rPr>
              <w:t>方案合理的得3分，方案一般的得2分，方案欠缺的的1分，不提供的不得分。</w:t>
            </w:r>
          </w:p>
        </w:tc>
        <w:tc>
          <w:tcPr>
            <w:tcW w:w="805" w:type="dxa"/>
            <w:noWrap w:val="0"/>
            <w:vAlign w:val="center"/>
          </w:tcPr>
          <w:p>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c>
          <w:tcPr>
            <w:tcW w:w="956" w:type="dxa"/>
            <w:noWrap w:val="0"/>
            <w:vAlign w:val="center"/>
          </w:tcPr>
          <w:p>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51" w:type="dxa"/>
            <w:vMerge w:val="continue"/>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lang w:val="en-US" w:eastAsia="zh-CN"/>
              </w:rPr>
            </w:pPr>
          </w:p>
        </w:tc>
        <w:tc>
          <w:tcPr>
            <w:tcW w:w="597" w:type="dxa"/>
            <w:vMerge w:val="continue"/>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color w:val="auto"/>
                <w:sz w:val="24"/>
                <w:szCs w:val="24"/>
                <w:highlight w:val="none"/>
                <w:lang w:val="en-US" w:eastAsia="zh-CN"/>
              </w:rPr>
            </w:pPr>
          </w:p>
        </w:tc>
        <w:tc>
          <w:tcPr>
            <w:tcW w:w="1401" w:type="dxa"/>
            <w:vMerge w:val="continue"/>
            <w:noWrap w:val="0"/>
            <w:vAlign w:val="center"/>
          </w:tcPr>
          <w:p>
            <w:pPr>
              <w:widowControl/>
              <w:spacing w:line="240" w:lineRule="auto"/>
              <w:jc w:val="center"/>
              <w:rPr>
                <w:rFonts w:hint="eastAsia" w:ascii="仿宋" w:hAnsi="仿宋" w:eastAsia="仿宋" w:cs="仿宋"/>
                <w:color w:val="auto"/>
                <w:sz w:val="24"/>
                <w:szCs w:val="24"/>
                <w:highlight w:val="none"/>
              </w:rPr>
            </w:pPr>
          </w:p>
        </w:tc>
        <w:tc>
          <w:tcPr>
            <w:tcW w:w="4871" w:type="dxa"/>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bCs/>
                <w:color w:val="auto"/>
                <w:sz w:val="24"/>
                <w:szCs w:val="24"/>
                <w:highlight w:val="none"/>
              </w:rPr>
              <w:t>投标人</w:t>
            </w:r>
            <w:r>
              <w:rPr>
                <w:rFonts w:hint="eastAsia" w:ascii="仿宋" w:hAnsi="仿宋" w:eastAsia="仿宋" w:cs="仿宋"/>
                <w:bCs/>
                <w:color w:val="auto"/>
                <w:sz w:val="24"/>
                <w:szCs w:val="24"/>
                <w:highlight w:val="none"/>
                <w:lang w:val="en-US" w:eastAsia="zh-CN"/>
              </w:rPr>
              <w:t>能</w:t>
            </w:r>
            <w:r>
              <w:rPr>
                <w:rFonts w:hint="eastAsia" w:ascii="仿宋" w:hAnsi="仿宋" w:eastAsia="仿宋" w:cs="仿宋"/>
                <w:bCs/>
                <w:color w:val="auto"/>
                <w:sz w:val="24"/>
                <w:szCs w:val="24"/>
                <w:highlight w:val="none"/>
              </w:rPr>
              <w:t>根据项目实际情况制定管理方案和其他配置方案</w:t>
            </w:r>
            <w:r>
              <w:rPr>
                <w:rFonts w:hint="eastAsia" w:ascii="仿宋" w:hAnsi="仿宋" w:eastAsia="仿宋" w:cs="仿宋"/>
                <w:bCs/>
                <w:color w:val="auto"/>
                <w:sz w:val="24"/>
                <w:szCs w:val="24"/>
                <w:highlight w:val="none"/>
                <w:lang w:val="en-US" w:eastAsia="zh-CN"/>
              </w:rPr>
              <w:t>的</w:t>
            </w:r>
            <w:r>
              <w:rPr>
                <w:rFonts w:hint="eastAsia" w:ascii="仿宋" w:hAnsi="仿宋" w:eastAsia="仿宋" w:cs="仿宋"/>
                <w:color w:val="auto"/>
                <w:sz w:val="24"/>
                <w:szCs w:val="24"/>
                <w:highlight w:val="none"/>
                <w:u w:val="none"/>
                <w:lang w:val="en-US" w:eastAsia="zh-CN"/>
              </w:rPr>
              <w:t>进行综合评定。</w:t>
            </w:r>
            <w:r>
              <w:rPr>
                <w:rFonts w:hint="eastAsia" w:ascii="仿宋" w:hAnsi="仿宋" w:eastAsia="仿宋" w:cs="仿宋"/>
                <w:color w:val="auto"/>
                <w:sz w:val="24"/>
                <w:szCs w:val="24"/>
                <w:highlight w:val="none"/>
                <w:u w:val="none"/>
                <w:shd w:val="clear" w:color="auto" w:fill="FFFFFF"/>
                <w:lang w:val="en-US" w:eastAsia="zh-CN"/>
              </w:rPr>
              <w:t>方案合理的得3分，方案一般的得2分，方案欠缺的的1分，不提供的不得分。</w:t>
            </w:r>
          </w:p>
        </w:tc>
        <w:tc>
          <w:tcPr>
            <w:tcW w:w="805" w:type="dxa"/>
            <w:noWrap w:val="0"/>
            <w:vAlign w:val="center"/>
          </w:tcPr>
          <w:p>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c>
          <w:tcPr>
            <w:tcW w:w="956" w:type="dxa"/>
            <w:noWrap w:val="0"/>
            <w:vAlign w:val="center"/>
          </w:tcPr>
          <w:p>
            <w:pPr>
              <w:pStyle w:val="3"/>
              <w:spacing w:line="240" w:lineRule="auto"/>
              <w:ind w:left="432" w:leftChars="0" w:hanging="432"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lang w:val="en-US" w:eastAsia="zh-CN"/>
              </w:rPr>
            </w:pPr>
          </w:p>
        </w:tc>
        <w:tc>
          <w:tcPr>
            <w:tcW w:w="597" w:type="dxa"/>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401" w:type="dxa"/>
            <w:noWrap w:val="0"/>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宣传推广服务经验</w:t>
            </w:r>
          </w:p>
        </w:tc>
        <w:tc>
          <w:tcPr>
            <w:tcW w:w="4871" w:type="dxa"/>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在宣传推广方面具有一定经验，根据垃圾分类项目宣传推广及运营管理经验和宣传效果进行评定。</w:t>
            </w:r>
          </w:p>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具有宣传推广及运营管理经验且宣传效果较好的得3分；</w:t>
            </w:r>
          </w:p>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具有宣传推广经验（须宣传效果较好）或运营管理经验的得1.5分；</w:t>
            </w:r>
          </w:p>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b w:val="0"/>
                <w:bCs w:val="0"/>
                <w:i w:val="0"/>
                <w:iCs w:val="0"/>
                <w:color w:val="0000FF"/>
                <w:sz w:val="24"/>
                <w:szCs w:val="24"/>
                <w:highlight w:val="none"/>
                <w:lang w:val="zh-CN" w:eastAsia="zh-CN"/>
              </w:rPr>
            </w:pPr>
            <w:r>
              <w:rPr>
                <w:rFonts w:hint="eastAsia" w:ascii="仿宋" w:hAnsi="仿宋" w:eastAsia="仿宋" w:cs="仿宋"/>
                <w:color w:val="auto"/>
                <w:sz w:val="24"/>
                <w:szCs w:val="24"/>
                <w:highlight w:val="none"/>
                <w:lang w:val="en-US" w:eastAsia="zh-CN"/>
              </w:rPr>
              <w:t>本项最高3分，</w:t>
            </w:r>
            <w:r>
              <w:rPr>
                <w:rFonts w:hint="eastAsia" w:ascii="仿宋" w:hAnsi="仿宋" w:eastAsia="仿宋" w:cs="仿宋"/>
                <w:color w:val="auto"/>
                <w:sz w:val="24"/>
                <w:szCs w:val="24"/>
                <w:highlight w:val="none"/>
                <w:lang w:val="zh-CN" w:eastAsia="zh-CN"/>
              </w:rPr>
              <w:t>其余不得分。</w:t>
            </w:r>
          </w:p>
        </w:tc>
        <w:tc>
          <w:tcPr>
            <w:tcW w:w="805" w:type="dxa"/>
            <w:noWrap w:val="0"/>
            <w:vAlign w:val="center"/>
          </w:tcPr>
          <w:p>
            <w:pPr>
              <w:spacing w:after="0"/>
              <w:jc w:val="center"/>
              <w:rPr>
                <w:rFonts w:hint="eastAsia" w:ascii="仿宋" w:hAnsi="仿宋" w:eastAsia="仿宋" w:cs="仿宋"/>
                <w:b w:val="0"/>
                <w:bCs w:val="0"/>
                <w:i w:val="0"/>
                <w:iCs w:val="0"/>
                <w:color w:val="0000FF"/>
                <w:sz w:val="24"/>
                <w:szCs w:val="24"/>
                <w:highlight w:val="none"/>
                <w:lang w:val="en-US" w:eastAsia="zh-CN"/>
              </w:rPr>
            </w:pPr>
            <w:r>
              <w:rPr>
                <w:rFonts w:hint="eastAsia" w:ascii="仿宋" w:hAnsi="仿宋" w:eastAsia="仿宋" w:cs="仿宋"/>
                <w:color w:val="auto"/>
                <w:sz w:val="24"/>
                <w:szCs w:val="24"/>
                <w:highlight w:val="none"/>
                <w:lang w:val="en-US" w:eastAsia="zh-CN"/>
              </w:rPr>
              <w:t>0-3</w:t>
            </w:r>
          </w:p>
        </w:tc>
        <w:tc>
          <w:tcPr>
            <w:tcW w:w="956" w:type="dxa"/>
            <w:noWrap w:val="0"/>
            <w:vAlign w:val="center"/>
          </w:tcPr>
          <w:p>
            <w:pPr>
              <w:spacing w:after="0"/>
              <w:rPr>
                <w:rFonts w:hint="eastAsia" w:ascii="仿宋" w:hAnsi="仿宋" w:eastAsia="仿宋" w:cs="仿宋"/>
                <w:b w:val="0"/>
                <w:bCs w:val="0"/>
                <w:i w:val="0"/>
                <w:iCs w:val="0"/>
                <w:color w:val="0000FF"/>
                <w:sz w:val="24"/>
                <w:szCs w:val="24"/>
                <w:highlight w:val="none"/>
                <w:lang w:val="en-US" w:eastAsia="zh-CN"/>
              </w:rPr>
            </w:pPr>
            <w:r>
              <w:rPr>
                <w:rFonts w:hint="eastAsia" w:ascii="仿宋" w:hAnsi="仿宋" w:eastAsia="仿宋" w:cs="仿宋"/>
                <w:color w:val="auto"/>
                <w:sz w:val="24"/>
                <w:szCs w:val="24"/>
                <w:highlight w:val="none"/>
                <w:lang w:val="en-US" w:eastAsia="zh-CN"/>
              </w:rPr>
              <w:t>客观</w:t>
            </w:r>
            <w:r>
              <w:rPr>
                <w:rFonts w:hint="eastAsia" w:ascii="仿宋" w:hAnsi="仿宋" w:eastAsia="仿宋" w:cs="仿宋"/>
                <w:b w:val="0"/>
                <w:bCs w:val="0"/>
                <w:color w:val="auto"/>
                <w:kern w:val="44"/>
                <w:sz w:val="24"/>
                <w:szCs w:val="24"/>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lang w:val="en-US" w:eastAsia="zh-CN"/>
              </w:rPr>
            </w:pPr>
          </w:p>
        </w:tc>
        <w:tc>
          <w:tcPr>
            <w:tcW w:w="597" w:type="dxa"/>
            <w:vMerge w:val="restart"/>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401" w:type="dxa"/>
            <w:vMerge w:val="restart"/>
            <w:noWrap w:val="0"/>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项目负责人及技术力量安排等（综合评定）</w:t>
            </w:r>
          </w:p>
        </w:tc>
        <w:tc>
          <w:tcPr>
            <w:tcW w:w="4871" w:type="dxa"/>
            <w:noWrap w:val="0"/>
            <w:vAlign w:val="center"/>
          </w:tcPr>
          <w:p>
            <w:pPr>
              <w:keepNext w:val="0"/>
              <w:keepLines w:val="0"/>
              <w:pageBreakBefore w:val="0"/>
              <w:widowControl/>
              <w:kinsoku/>
              <w:wordWrap/>
              <w:overflowPunct/>
              <w:topLinePunct w:val="0"/>
              <w:bidi w:val="0"/>
              <w:spacing w:after="0" w:line="24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拟担任本项目的项目组实施人员的专业素质、技术能力、经验等情况，数量是否充足，配置是否合理等，是否具有同类项目建设经验等情况综合评分，最高得3分。</w:t>
            </w:r>
            <w:r>
              <w:rPr>
                <w:rFonts w:hint="eastAsia" w:ascii="仿宋" w:hAnsi="仿宋" w:eastAsia="仿宋" w:cs="仿宋"/>
                <w:color w:val="auto"/>
                <w:sz w:val="24"/>
                <w:szCs w:val="24"/>
                <w:highlight w:val="none"/>
                <w:lang w:val="en-US" w:eastAsia="zh-CN"/>
              </w:rPr>
              <w:t>人员安排合理的得3分，人员安排一般的得2分，人员安排欠缺的得1分，不提供不得分。</w:t>
            </w:r>
          </w:p>
        </w:tc>
        <w:tc>
          <w:tcPr>
            <w:tcW w:w="805" w:type="dxa"/>
            <w:noWrap w:val="0"/>
            <w:vAlign w:val="center"/>
          </w:tcPr>
          <w:p>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c>
          <w:tcPr>
            <w:tcW w:w="956" w:type="dxa"/>
            <w:noWrap w:val="0"/>
            <w:vAlign w:val="center"/>
          </w:tcPr>
          <w:p>
            <w:pPr>
              <w:pStyle w:val="3"/>
              <w:spacing w:line="240" w:lineRule="auto"/>
              <w:ind w:left="432" w:leftChars="0" w:hanging="432"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51" w:type="dxa"/>
            <w:vMerge w:val="continue"/>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lang w:val="en-US" w:eastAsia="zh-CN"/>
              </w:rPr>
            </w:pPr>
          </w:p>
        </w:tc>
        <w:tc>
          <w:tcPr>
            <w:tcW w:w="597" w:type="dxa"/>
            <w:vMerge w:val="continue"/>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color w:val="auto"/>
                <w:sz w:val="24"/>
                <w:szCs w:val="24"/>
                <w:highlight w:val="none"/>
                <w:lang w:val="en-US" w:eastAsia="zh-CN"/>
              </w:rPr>
            </w:pPr>
          </w:p>
        </w:tc>
        <w:tc>
          <w:tcPr>
            <w:tcW w:w="1401" w:type="dxa"/>
            <w:vMerge w:val="continue"/>
            <w:noWrap w:val="0"/>
            <w:vAlign w:val="center"/>
          </w:tcPr>
          <w:p>
            <w:pPr>
              <w:widowControl/>
              <w:spacing w:line="240" w:lineRule="auto"/>
              <w:jc w:val="center"/>
              <w:rPr>
                <w:rFonts w:hint="eastAsia" w:ascii="仿宋" w:hAnsi="仿宋" w:eastAsia="仿宋" w:cs="仿宋"/>
                <w:color w:val="auto"/>
                <w:sz w:val="24"/>
                <w:szCs w:val="24"/>
                <w:highlight w:val="none"/>
              </w:rPr>
            </w:pPr>
          </w:p>
        </w:tc>
        <w:tc>
          <w:tcPr>
            <w:tcW w:w="4871" w:type="dxa"/>
            <w:noWrap w:val="0"/>
            <w:vAlign w:val="top"/>
          </w:tcPr>
          <w:p>
            <w:pPr>
              <w:pStyle w:val="26"/>
              <w:snapToGrid w:val="0"/>
              <w:spacing w:line="240" w:lineRule="auto"/>
              <w:ind w:firstLine="0" w:firstLineChars="0"/>
              <w:rPr>
                <w:rFonts w:hint="default" w:ascii="仿宋" w:hAnsi="仿宋" w:eastAsia="仿宋" w:cs="仿宋"/>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项目经理</w:t>
            </w:r>
            <w:r>
              <w:rPr>
                <w:rFonts w:hint="eastAsia" w:ascii="仿宋" w:hAnsi="仿宋" w:eastAsia="仿宋" w:cs="仿宋"/>
                <w:color w:val="auto"/>
                <w:sz w:val="24"/>
                <w:szCs w:val="24"/>
                <w:highlight w:val="none"/>
                <w:u w:val="none"/>
                <w:lang w:val="en-US" w:eastAsia="zh-CN"/>
              </w:rPr>
              <w:t>：拟担任本项目经理具有本科及以上学历，具有人社局颁发的环保类工程师证书，具有垃圾分类项目经理证书，每满足一个得1分，最高3分。</w:t>
            </w:r>
          </w:p>
          <w:p>
            <w:pPr>
              <w:pStyle w:val="26"/>
              <w:snapToGrid w:val="0"/>
              <w:spacing w:line="240" w:lineRule="auto"/>
              <w:ind w:firstLine="0" w:firstLineChars="0"/>
              <w:rPr>
                <w:rFonts w:hint="eastAsia" w:ascii="仿宋" w:hAnsi="仿宋" w:eastAsia="仿宋" w:cs="仿宋"/>
                <w:color w:val="auto"/>
                <w:sz w:val="24"/>
                <w:szCs w:val="24"/>
                <w:highlight w:val="none"/>
                <w:u w:val="none"/>
                <w:lang w:val="en-US" w:eastAsia="zh-CN"/>
              </w:rPr>
            </w:pPr>
            <w:r>
              <w:rPr>
                <w:rFonts w:hint="eastAsia" w:ascii="仿宋" w:hAnsi="仿宋" w:eastAsia="仿宋" w:cs="仿宋"/>
                <w:b/>
                <w:bCs/>
                <w:color w:val="auto"/>
                <w:sz w:val="24"/>
                <w:szCs w:val="24"/>
                <w:highlight w:val="none"/>
                <w:u w:val="none"/>
              </w:rPr>
              <w:t>项目组</w:t>
            </w:r>
            <w:r>
              <w:rPr>
                <w:rFonts w:hint="eastAsia" w:ascii="仿宋" w:hAnsi="仿宋" w:eastAsia="仿宋" w:cs="仿宋"/>
                <w:b/>
                <w:bCs/>
                <w:color w:val="auto"/>
                <w:sz w:val="24"/>
                <w:szCs w:val="24"/>
                <w:highlight w:val="none"/>
                <w:u w:val="none"/>
                <w:lang w:val="en-US" w:eastAsia="zh-CN"/>
              </w:rPr>
              <w:t>人员</w:t>
            </w:r>
            <w:r>
              <w:rPr>
                <w:rFonts w:hint="eastAsia" w:ascii="仿宋" w:hAnsi="仿宋" w:eastAsia="仿宋" w:cs="仿宋"/>
                <w:color w:val="auto"/>
                <w:sz w:val="24"/>
                <w:szCs w:val="24"/>
                <w:highlight w:val="none"/>
                <w:u w:val="none"/>
                <w:lang w:val="en-US" w:eastAsia="zh-CN"/>
              </w:rPr>
              <w:t>：拟担任本项目组成员，具有5个本科及以上学历且具有垃圾分类相关证书的，得1分；</w:t>
            </w:r>
          </w:p>
          <w:p>
            <w:pPr>
              <w:spacing w:after="0"/>
              <w:rPr>
                <w:rFonts w:hint="eastAsia" w:ascii="Times New Roman" w:hAnsi="Times New Roman" w:eastAsia="宋体" w:cs="Times New Roman"/>
                <w:color w:val="auto"/>
                <w:kern w:val="2"/>
                <w:sz w:val="21"/>
                <w:szCs w:val="24"/>
                <w:lang w:val="zh-CN" w:eastAsia="zh-CN" w:bidi="ar-SA"/>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zh-CN" w:eastAsia="zh-CN"/>
              </w:rPr>
              <w:t>需提供</w:t>
            </w:r>
            <w:r>
              <w:rPr>
                <w:rFonts w:hint="eastAsia" w:ascii="仿宋" w:hAnsi="仿宋" w:eastAsia="仿宋" w:cs="仿宋"/>
                <w:color w:val="auto"/>
                <w:sz w:val="24"/>
                <w:szCs w:val="24"/>
                <w:lang w:val="en-US" w:eastAsia="zh-CN"/>
              </w:rPr>
              <w:t>人员学历证书、相关资格证书、职称证书</w:t>
            </w:r>
            <w:r>
              <w:rPr>
                <w:rFonts w:hint="eastAsia" w:ascii="仿宋" w:hAnsi="仿宋" w:eastAsia="仿宋" w:cs="仿宋"/>
                <w:color w:val="auto"/>
                <w:sz w:val="24"/>
                <w:szCs w:val="24"/>
                <w:lang w:val="zh-CN" w:eastAsia="zh-CN"/>
              </w:rPr>
              <w:t>复印件</w:t>
            </w:r>
            <w:r>
              <w:rPr>
                <w:rFonts w:hint="eastAsia" w:ascii="仿宋" w:hAnsi="仿宋" w:eastAsia="仿宋" w:cs="仿宋"/>
                <w:color w:val="auto"/>
                <w:sz w:val="24"/>
                <w:szCs w:val="24"/>
                <w:lang w:val="en-US" w:eastAsia="zh-CN"/>
              </w:rPr>
              <w:t>及近6个月以上社保证明，</w:t>
            </w:r>
            <w:r>
              <w:rPr>
                <w:rFonts w:hint="eastAsia" w:ascii="仿宋" w:hAnsi="仿宋" w:eastAsia="仿宋" w:cs="仿宋"/>
                <w:color w:val="auto"/>
                <w:sz w:val="24"/>
                <w:szCs w:val="24"/>
                <w:lang w:val="zh-CN" w:eastAsia="zh-CN"/>
              </w:rPr>
              <w:t>否则不得分。）</w:t>
            </w:r>
          </w:p>
        </w:tc>
        <w:tc>
          <w:tcPr>
            <w:tcW w:w="805" w:type="dxa"/>
            <w:noWrap w:val="0"/>
            <w:vAlign w:val="center"/>
          </w:tcPr>
          <w:p>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w:t>
            </w:r>
          </w:p>
        </w:tc>
        <w:tc>
          <w:tcPr>
            <w:tcW w:w="956" w:type="dxa"/>
            <w:noWrap w:val="0"/>
            <w:vAlign w:val="center"/>
          </w:tcPr>
          <w:p>
            <w:pPr>
              <w:pStyle w:val="3"/>
              <w:spacing w:line="240" w:lineRule="auto"/>
              <w:ind w:left="432" w:leftChars="0" w:hanging="432"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lang w:val="en-US" w:eastAsia="zh-CN"/>
              </w:rPr>
            </w:pPr>
          </w:p>
        </w:tc>
        <w:tc>
          <w:tcPr>
            <w:tcW w:w="597" w:type="dxa"/>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401" w:type="dxa"/>
            <w:noWrap w:val="0"/>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服务承诺</w:t>
            </w:r>
          </w:p>
        </w:tc>
        <w:tc>
          <w:tcPr>
            <w:tcW w:w="4871" w:type="dxa"/>
            <w:noWrap w:val="0"/>
            <w:vAlign w:val="center"/>
          </w:tcPr>
          <w:p>
            <w:pPr>
              <w:keepNext w:val="0"/>
              <w:keepLines w:val="0"/>
              <w:pageBreakBefore w:val="0"/>
              <w:widowControl/>
              <w:kinsoku/>
              <w:wordWrap/>
              <w:overflowPunct/>
              <w:topLinePunct w:val="0"/>
              <w:bidi w:val="0"/>
              <w:spacing w:after="0" w:line="24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根据本地化服务能力、售后服务方案、措施、响应等情况综合评定。</w:t>
            </w:r>
            <w:r>
              <w:rPr>
                <w:rFonts w:hint="eastAsia" w:ascii="仿宋" w:hAnsi="仿宋" w:eastAsia="仿宋" w:cs="仿宋"/>
                <w:color w:val="auto"/>
                <w:sz w:val="24"/>
                <w:szCs w:val="24"/>
                <w:highlight w:val="none"/>
                <w:lang w:val="en-US" w:eastAsia="zh-CN"/>
              </w:rPr>
              <w:t>方案合理的得3分，方案一般的得2分，方案欠缺的得1分，不提供的不得分。</w:t>
            </w:r>
          </w:p>
        </w:tc>
        <w:tc>
          <w:tcPr>
            <w:tcW w:w="805" w:type="dxa"/>
            <w:noWrap w:val="0"/>
            <w:vAlign w:val="center"/>
          </w:tcPr>
          <w:p>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c>
          <w:tcPr>
            <w:tcW w:w="956" w:type="dxa"/>
            <w:noWrap w:val="0"/>
            <w:vAlign w:val="center"/>
          </w:tcPr>
          <w:p>
            <w:pPr>
              <w:pStyle w:val="3"/>
              <w:spacing w:line="240" w:lineRule="auto"/>
              <w:ind w:left="432" w:leftChars="0" w:hanging="432"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lang w:val="en-US" w:eastAsia="zh-CN"/>
              </w:rPr>
            </w:pPr>
          </w:p>
        </w:tc>
        <w:tc>
          <w:tcPr>
            <w:tcW w:w="597" w:type="dxa"/>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401" w:type="dxa"/>
            <w:noWrap w:val="0"/>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智能</w:t>
            </w:r>
            <w:r>
              <w:rPr>
                <w:rFonts w:hint="eastAsia" w:ascii="仿宋" w:hAnsi="仿宋" w:eastAsia="仿宋" w:cs="仿宋"/>
                <w:color w:val="auto"/>
                <w:sz w:val="24"/>
                <w:szCs w:val="24"/>
                <w:highlight w:val="none"/>
              </w:rPr>
              <w:t>平台</w:t>
            </w:r>
            <w:r>
              <w:rPr>
                <w:rFonts w:hint="eastAsia" w:ascii="仿宋" w:hAnsi="仿宋" w:eastAsia="仿宋" w:cs="仿宋"/>
                <w:color w:val="auto"/>
                <w:sz w:val="24"/>
                <w:szCs w:val="24"/>
                <w:highlight w:val="none"/>
                <w:lang w:val="en-US" w:eastAsia="zh-CN"/>
              </w:rPr>
              <w:t>系统</w:t>
            </w:r>
          </w:p>
        </w:tc>
        <w:tc>
          <w:tcPr>
            <w:tcW w:w="4871" w:type="dxa"/>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b w:val="0"/>
                <w:bCs w:val="0"/>
                <w:color w:val="auto"/>
                <w:kern w:val="2"/>
                <w:sz w:val="24"/>
                <w:szCs w:val="24"/>
                <w:highlight w:val="none"/>
                <w:u w:val="none"/>
                <w:lang w:val="zh-CN" w:eastAsia="zh-CN" w:bidi="ar-SA"/>
              </w:rPr>
              <w:t>投标单位提供智能垃圾分类平台系统，实现垃圾分类过程管理，平台功能包括：垃圾分类数据展示、数据分析对比、事件巡检、设备管理、住户芯片识别、刷卡或二维码开箱功能，全部满足得</w:t>
            </w:r>
            <w:r>
              <w:rPr>
                <w:rFonts w:hint="eastAsia" w:ascii="仿宋" w:hAnsi="仿宋" w:eastAsia="仿宋" w:cs="仿宋"/>
                <w:b w:val="0"/>
                <w:bCs w:val="0"/>
                <w:color w:val="auto"/>
                <w:kern w:val="2"/>
                <w:sz w:val="24"/>
                <w:szCs w:val="24"/>
                <w:highlight w:val="none"/>
                <w:u w:val="none"/>
                <w:lang w:val="en-US" w:eastAsia="zh-CN" w:bidi="ar-SA"/>
              </w:rPr>
              <w:t>5</w:t>
            </w:r>
            <w:r>
              <w:rPr>
                <w:rFonts w:hint="eastAsia" w:ascii="仿宋" w:hAnsi="仿宋" w:eastAsia="仿宋" w:cs="仿宋"/>
                <w:b w:val="0"/>
                <w:bCs w:val="0"/>
                <w:color w:val="auto"/>
                <w:kern w:val="2"/>
                <w:sz w:val="24"/>
                <w:szCs w:val="24"/>
                <w:highlight w:val="none"/>
                <w:u w:val="none"/>
                <w:lang w:val="zh-CN" w:eastAsia="zh-CN" w:bidi="ar-SA"/>
              </w:rPr>
              <w:t>分，不满足的每项扣1分，扣完为止。（</w:t>
            </w:r>
            <w:r>
              <w:rPr>
                <w:rFonts w:hint="eastAsia" w:ascii="仿宋" w:hAnsi="仿宋" w:eastAsia="仿宋" w:cs="仿宋"/>
                <w:b w:val="0"/>
                <w:bCs w:val="0"/>
                <w:color w:val="auto"/>
                <w:kern w:val="2"/>
                <w:sz w:val="24"/>
                <w:szCs w:val="24"/>
                <w:highlight w:val="none"/>
                <w:u w:val="none"/>
                <w:lang w:val="en-US" w:eastAsia="zh-CN" w:bidi="ar-SA"/>
              </w:rPr>
              <w:t>提供</w:t>
            </w:r>
            <w:r>
              <w:rPr>
                <w:rFonts w:hint="eastAsia" w:ascii="仿宋" w:hAnsi="仿宋" w:eastAsia="仿宋" w:cs="仿宋"/>
                <w:b w:val="0"/>
                <w:bCs w:val="0"/>
                <w:color w:val="auto"/>
                <w:kern w:val="2"/>
                <w:sz w:val="24"/>
                <w:szCs w:val="24"/>
                <w:highlight w:val="none"/>
                <w:u w:val="none"/>
                <w:lang w:val="zh-CN" w:eastAsia="zh-CN" w:bidi="ar-SA"/>
              </w:rPr>
              <w:t>功能截图</w:t>
            </w:r>
            <w:r>
              <w:rPr>
                <w:rFonts w:hint="eastAsia" w:ascii="仿宋" w:hAnsi="仿宋" w:eastAsia="仿宋" w:cs="仿宋"/>
                <w:b w:val="0"/>
                <w:bCs w:val="0"/>
                <w:color w:val="auto"/>
                <w:kern w:val="2"/>
                <w:sz w:val="24"/>
                <w:szCs w:val="24"/>
                <w:highlight w:val="none"/>
                <w:u w:val="none"/>
                <w:lang w:val="en-US" w:eastAsia="zh-CN" w:bidi="ar-SA"/>
              </w:rPr>
              <w:t>能体现其平台功能的</w:t>
            </w:r>
            <w:r>
              <w:rPr>
                <w:rFonts w:hint="eastAsia" w:ascii="仿宋" w:hAnsi="仿宋" w:eastAsia="仿宋" w:cs="仿宋"/>
                <w:b w:val="0"/>
                <w:bCs w:val="0"/>
                <w:color w:val="auto"/>
                <w:kern w:val="2"/>
                <w:sz w:val="24"/>
                <w:szCs w:val="24"/>
                <w:highlight w:val="none"/>
                <w:u w:val="none"/>
                <w:lang w:val="zh-CN" w:eastAsia="zh-CN" w:bidi="ar-SA"/>
              </w:rPr>
              <w:t>证明材料，不提供不得分）</w:t>
            </w:r>
          </w:p>
        </w:tc>
        <w:tc>
          <w:tcPr>
            <w:tcW w:w="805" w:type="dxa"/>
            <w:noWrap w:val="0"/>
            <w:vAlign w:val="center"/>
          </w:tcPr>
          <w:p>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c>
          <w:tcPr>
            <w:tcW w:w="956" w:type="dxa"/>
            <w:noWrap w:val="0"/>
            <w:vAlign w:val="center"/>
          </w:tcPr>
          <w:p>
            <w:pPr>
              <w:pStyle w:val="3"/>
              <w:spacing w:line="240" w:lineRule="auto"/>
              <w:ind w:left="432" w:leftChars="0" w:hanging="432"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lang w:val="en-US" w:eastAsia="zh-CN"/>
              </w:rPr>
            </w:pPr>
          </w:p>
        </w:tc>
        <w:tc>
          <w:tcPr>
            <w:tcW w:w="597" w:type="dxa"/>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401" w:type="dxa"/>
            <w:noWrap w:val="0"/>
            <w:vAlign w:val="center"/>
          </w:tcPr>
          <w:p>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投放亭</w:t>
            </w:r>
          </w:p>
        </w:tc>
        <w:tc>
          <w:tcPr>
            <w:tcW w:w="4871" w:type="dxa"/>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b w:val="0"/>
                <w:bCs w:val="0"/>
                <w:color w:val="auto"/>
                <w:kern w:val="2"/>
                <w:sz w:val="24"/>
                <w:szCs w:val="24"/>
                <w:highlight w:val="none"/>
                <w:u w:val="none"/>
                <w:lang w:val="zh-CN" w:eastAsia="zh-CN" w:bidi="ar-SA"/>
              </w:rPr>
            </w:pPr>
            <w:r>
              <w:rPr>
                <w:rFonts w:hint="eastAsia" w:ascii="仿宋" w:hAnsi="仿宋" w:eastAsia="仿宋" w:cs="仿宋"/>
                <w:b w:val="0"/>
                <w:bCs w:val="0"/>
                <w:color w:val="auto"/>
                <w:kern w:val="2"/>
                <w:sz w:val="24"/>
                <w:szCs w:val="24"/>
                <w:highlight w:val="none"/>
                <w:u w:val="none"/>
                <w:lang w:val="zh-CN" w:eastAsia="zh-CN" w:bidi="ar-SA"/>
              </w:rPr>
              <w:t>标文件中提供定时投放亭照片（须多角度拍摄），设计合理、样式美观的得</w:t>
            </w:r>
            <w:r>
              <w:rPr>
                <w:rFonts w:hint="eastAsia" w:ascii="仿宋" w:hAnsi="仿宋" w:eastAsia="仿宋" w:cs="仿宋"/>
                <w:b w:val="0"/>
                <w:bCs w:val="0"/>
                <w:color w:val="auto"/>
                <w:kern w:val="2"/>
                <w:sz w:val="24"/>
                <w:szCs w:val="24"/>
                <w:highlight w:val="none"/>
                <w:u w:val="none"/>
                <w:lang w:val="en-US" w:eastAsia="zh-CN" w:bidi="ar-SA"/>
              </w:rPr>
              <w:t>3</w:t>
            </w:r>
            <w:r>
              <w:rPr>
                <w:rFonts w:hint="eastAsia" w:ascii="仿宋" w:hAnsi="仿宋" w:eastAsia="仿宋" w:cs="仿宋"/>
                <w:b w:val="0"/>
                <w:bCs w:val="0"/>
                <w:color w:val="auto"/>
                <w:kern w:val="2"/>
                <w:sz w:val="24"/>
                <w:szCs w:val="24"/>
                <w:highlight w:val="none"/>
                <w:u w:val="none"/>
                <w:lang w:val="zh-CN" w:eastAsia="zh-CN" w:bidi="ar-SA"/>
              </w:rPr>
              <w:t>分，设计欠合理或样式欠美观的得1分，设计不合理或样式不美观的得0分。</w:t>
            </w:r>
          </w:p>
        </w:tc>
        <w:tc>
          <w:tcPr>
            <w:tcW w:w="805" w:type="dxa"/>
            <w:noWrap w:val="0"/>
            <w:vAlign w:val="center"/>
          </w:tcPr>
          <w:p>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c>
          <w:tcPr>
            <w:tcW w:w="956" w:type="dxa"/>
            <w:noWrap w:val="0"/>
            <w:vAlign w:val="center"/>
          </w:tcPr>
          <w:p>
            <w:pPr>
              <w:pStyle w:val="3"/>
              <w:spacing w:line="240" w:lineRule="auto"/>
              <w:ind w:left="432" w:leftChars="0" w:hanging="432" w:firstLineChars="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lang w:val="en-US" w:eastAsia="zh-CN"/>
              </w:rPr>
            </w:pPr>
          </w:p>
        </w:tc>
        <w:tc>
          <w:tcPr>
            <w:tcW w:w="597" w:type="dxa"/>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401" w:type="dxa"/>
            <w:noWrap w:val="0"/>
            <w:vAlign w:val="center"/>
          </w:tcPr>
          <w:p>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合理的培训计划</w:t>
            </w:r>
          </w:p>
        </w:tc>
        <w:tc>
          <w:tcPr>
            <w:tcW w:w="4871" w:type="dxa"/>
            <w:noWrap w:val="0"/>
            <w:vAlign w:val="center"/>
          </w:tcPr>
          <w:p>
            <w:pPr>
              <w:keepNext w:val="0"/>
              <w:keepLines w:val="0"/>
              <w:pageBreakBefore w:val="0"/>
              <w:widowControl/>
              <w:kinsoku/>
              <w:wordWrap/>
              <w:overflowPunct/>
              <w:topLinePunct w:val="0"/>
              <w:bidi w:val="0"/>
              <w:spacing w:after="0" w:line="240" w:lineRule="auto"/>
              <w:textAlignment w:val="auto"/>
              <w:rPr>
                <w:rFonts w:hint="default"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sz w:val="24"/>
                <w:highlight w:val="none"/>
                <w:shd w:val="clear"/>
                <w:lang w:eastAsia="zh-CN"/>
              </w:rPr>
              <w:t>是否具有详细、科学、合理的培训计划，</w:t>
            </w:r>
            <w:r>
              <w:rPr>
                <w:rFonts w:hint="eastAsia" w:ascii="仿宋" w:hAnsi="仿宋" w:eastAsia="仿宋" w:cs="仿宋"/>
                <w:sz w:val="24"/>
                <w:highlight w:val="none"/>
                <w:shd w:val="clear"/>
                <w:lang w:val="en-US" w:eastAsia="zh-CN"/>
              </w:rPr>
              <w:t>根据</w:t>
            </w:r>
            <w:r>
              <w:rPr>
                <w:rFonts w:hint="eastAsia" w:ascii="仿宋" w:hAnsi="仿宋" w:eastAsia="仿宋" w:cs="仿宋"/>
                <w:sz w:val="24"/>
                <w:highlight w:val="none"/>
                <w:shd w:val="clear"/>
                <w:lang w:eastAsia="zh-CN"/>
              </w:rPr>
              <w:t>培训内容、时间段、</w:t>
            </w:r>
            <w:r>
              <w:rPr>
                <w:rFonts w:hint="eastAsia" w:ascii="仿宋" w:hAnsi="仿宋" w:eastAsia="仿宋" w:cs="仿宋"/>
                <w:sz w:val="24"/>
                <w:highlight w:val="none"/>
                <w:shd w:val="clear"/>
                <w:lang w:val="en-US" w:eastAsia="zh-CN"/>
              </w:rPr>
              <w:t>培训效果</w:t>
            </w:r>
            <w:r>
              <w:rPr>
                <w:rFonts w:hint="eastAsia" w:ascii="仿宋" w:hAnsi="仿宋" w:eastAsia="仿宋" w:cs="仿宋"/>
                <w:sz w:val="24"/>
                <w:highlight w:val="none"/>
                <w:shd w:val="clear"/>
                <w:lang w:eastAsia="zh-CN"/>
              </w:rPr>
              <w:t>等情况</w:t>
            </w:r>
            <w:r>
              <w:rPr>
                <w:rFonts w:hint="eastAsia" w:ascii="仿宋" w:hAnsi="仿宋" w:eastAsia="仿宋" w:cs="仿宋"/>
                <w:sz w:val="24"/>
                <w:highlight w:val="none"/>
                <w:shd w:val="clear"/>
                <w:lang w:val="en-US" w:eastAsia="zh-CN"/>
              </w:rPr>
              <w:t>综合评定。方案合理的得2分，方案有欠缺的得1分，不提供的不得分。</w:t>
            </w:r>
          </w:p>
        </w:tc>
        <w:tc>
          <w:tcPr>
            <w:tcW w:w="805" w:type="dxa"/>
            <w:noWrap w:val="0"/>
            <w:vAlign w:val="center"/>
          </w:tcPr>
          <w:p>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w:t>
            </w:r>
          </w:p>
        </w:tc>
        <w:tc>
          <w:tcPr>
            <w:tcW w:w="956" w:type="dxa"/>
            <w:noWrap w:val="0"/>
            <w:vAlign w:val="center"/>
          </w:tcPr>
          <w:p>
            <w:pPr>
              <w:pStyle w:val="3"/>
              <w:spacing w:line="240" w:lineRule="auto"/>
              <w:ind w:left="432" w:leftChars="0" w:hanging="432"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lang w:val="en-US" w:eastAsia="zh-CN"/>
              </w:rPr>
            </w:pPr>
          </w:p>
        </w:tc>
        <w:tc>
          <w:tcPr>
            <w:tcW w:w="597" w:type="dxa"/>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401" w:type="dxa"/>
            <w:noWrap w:val="0"/>
            <w:vAlign w:val="center"/>
          </w:tcPr>
          <w:p>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w:t>
            </w:r>
          </w:p>
        </w:tc>
        <w:tc>
          <w:tcPr>
            <w:tcW w:w="4871" w:type="dxa"/>
            <w:noWrap w:val="0"/>
            <w:vAlign w:val="center"/>
          </w:tcPr>
          <w:p>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textAlignment w:val="auto"/>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1、定时定投模式用具（入户垃圾桶，卡片等）①色彩鲜艳、易分辨的得1分，色彩一般、分辨一般的0.5分；不鲜艳、不易分辨的得0分；②样式、标识符合采购要求的得1分，一般的得0.5分，不符合的得0分；③质量牢固可靠、不易破损的得1分，一般的得0.5分，差的得0分。</w:t>
            </w:r>
          </w:p>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b w:val="0"/>
                <w:bCs w:val="0"/>
                <w:color w:val="auto"/>
                <w:kern w:val="2"/>
                <w:sz w:val="24"/>
                <w:szCs w:val="24"/>
                <w:highlight w:val="none"/>
                <w:u w:val="none"/>
                <w:lang w:val="zh-CN" w:eastAsia="zh-CN" w:bidi="ar-SA"/>
              </w:rPr>
            </w:pPr>
            <w:r>
              <w:rPr>
                <w:rFonts w:hint="eastAsia" w:ascii="仿宋" w:hAnsi="仿宋" w:eastAsia="仿宋" w:cs="仿宋"/>
                <w:b w:val="0"/>
                <w:bCs w:val="0"/>
                <w:color w:val="auto"/>
                <w:kern w:val="2"/>
                <w:sz w:val="24"/>
                <w:szCs w:val="24"/>
                <w:highlight w:val="none"/>
                <w:u w:val="none"/>
                <w:lang w:val="en-US" w:eastAsia="zh-CN" w:bidi="ar-SA"/>
              </w:rPr>
              <w:t>2、封装电子秤：</w:t>
            </w:r>
            <w:r>
              <w:rPr>
                <w:rFonts w:hint="eastAsia" w:ascii="仿宋" w:hAnsi="仿宋" w:eastAsia="仿宋" w:cs="仿宋"/>
                <w:color w:val="auto"/>
                <w:sz w:val="24"/>
                <w:szCs w:val="24"/>
                <w:highlight w:val="none"/>
              </w:rPr>
              <w:t>①质量精度准确、牢固、操作简便的得0.5分，一般的得0.3分，差的得0分；②二维码及易腐垃圾、其他垃圾、可回收垃圾、有害垃圾实时智能秤重拍照及评价功能，符合的得0.5分，不符合的得0分；③</w:t>
            </w:r>
            <w:r>
              <w:rPr>
                <w:rFonts w:hint="eastAsia" w:ascii="仿宋" w:hAnsi="仿宋" w:eastAsia="仿宋" w:cs="仿宋"/>
                <w:color w:val="auto"/>
                <w:sz w:val="24"/>
                <w:szCs w:val="24"/>
                <w:highlight w:val="none"/>
                <w:lang w:val="en-US" w:eastAsia="zh-CN"/>
              </w:rPr>
              <w:t>可回收物积分种类可按照区级要求，达到10种及以上</w:t>
            </w:r>
            <w:r>
              <w:rPr>
                <w:rFonts w:hint="eastAsia" w:ascii="仿宋" w:hAnsi="仿宋" w:eastAsia="仿宋" w:cs="仿宋"/>
                <w:color w:val="auto"/>
                <w:sz w:val="24"/>
                <w:szCs w:val="24"/>
                <w:highlight w:val="none"/>
              </w:rPr>
              <w:t>，符合的得0.5分，不符合的得0分；④实时查询用户投放记录和积分功能，符合的得0.5分，不符合的得0分。</w:t>
            </w:r>
          </w:p>
        </w:tc>
        <w:tc>
          <w:tcPr>
            <w:tcW w:w="805" w:type="dxa"/>
            <w:noWrap w:val="0"/>
            <w:vAlign w:val="center"/>
          </w:tcPr>
          <w:p>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tc>
        <w:tc>
          <w:tcPr>
            <w:tcW w:w="956" w:type="dxa"/>
            <w:noWrap w:val="0"/>
            <w:vAlign w:val="center"/>
          </w:tcPr>
          <w:p>
            <w:pPr>
              <w:pStyle w:val="3"/>
              <w:spacing w:line="240" w:lineRule="auto"/>
              <w:ind w:left="432" w:leftChars="0" w:hanging="432"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lang w:val="en-US" w:eastAsia="zh-CN"/>
              </w:rPr>
            </w:pPr>
          </w:p>
        </w:tc>
        <w:tc>
          <w:tcPr>
            <w:tcW w:w="597" w:type="dxa"/>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401" w:type="dxa"/>
            <w:noWrap w:val="0"/>
            <w:vAlign w:val="center"/>
          </w:tcPr>
          <w:p>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u w:val="none"/>
                <w:lang w:val="en-US" w:eastAsia="zh-CN" w:bidi="ar-SA"/>
              </w:rPr>
              <w:t>鉴于本项目在使用中能够稳定、可靠地实现相关功能故要求进行现场演示。演示时间控制在10分钟以内采购人仅对投标人提供电源，其他演示所需设备由投标人自带。</w:t>
            </w:r>
          </w:p>
        </w:tc>
        <w:tc>
          <w:tcPr>
            <w:tcW w:w="4871" w:type="dxa"/>
            <w:noWrap w:val="0"/>
            <w:vAlign w:val="center"/>
          </w:tcPr>
          <w:p>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textAlignment w:val="auto"/>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现场演示包括以下几点：</w:t>
            </w:r>
          </w:p>
          <w:p>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textAlignment w:val="auto"/>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1.能演示智慧云平台监控小区各项数据，查看小区内居民详细的参与情况。符合得1分，不符合不得分。</w:t>
            </w:r>
          </w:p>
          <w:p>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textAlignment w:val="auto"/>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2.能演示手机客户端巡检时对垃圾袋分类投放情况进行手机拍照、打分功能，做到追根溯源。符合得1分，不符合不得分。</w:t>
            </w:r>
          </w:p>
          <w:p>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textAlignment w:val="auto"/>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3.能演示云平台展示整个小区数据信息，包含易腐垃圾量、可回收物量、参与率、知晓率等功能。符合得1分，不符合不得分。</w:t>
            </w:r>
          </w:p>
          <w:p>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textAlignment w:val="auto"/>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4.能演示移动端app预约上门回收、订单查询等功能。符合得1分，不符合不得分。</w:t>
            </w:r>
          </w:p>
          <w:p>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textAlignment w:val="auto"/>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5.能演示封装电子秤：二维码和人脸识别功能，易腐垃圾、其他垃圾、可回收垃圾、有害垃圾实时智能秤重、拍照及评价功能。实时查询用户投放记录和积分。符合得2分，不符合不得分。</w:t>
            </w:r>
          </w:p>
          <w:p>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textAlignment w:val="auto"/>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6.能演示用户通过移动端获取积分明细，投放明细，积分兑换的功能。符合得1分，不符合不得分。</w:t>
            </w:r>
          </w:p>
          <w:p>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textAlignment w:val="auto"/>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7.能演示用户在积分商城进行线上线下兑换商品功能。符合得1分，不符合不得分。</w:t>
            </w:r>
          </w:p>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b w:val="0"/>
                <w:bCs w:val="0"/>
                <w:color w:val="auto"/>
                <w:kern w:val="2"/>
                <w:sz w:val="24"/>
                <w:szCs w:val="24"/>
                <w:highlight w:val="none"/>
                <w:u w:val="none"/>
                <w:lang w:val="zh-CN" w:eastAsia="zh-CN" w:bidi="ar-SA"/>
              </w:rPr>
            </w:pPr>
            <w:r>
              <w:rPr>
                <w:rFonts w:hint="eastAsia" w:ascii="仿宋" w:hAnsi="仿宋" w:eastAsia="仿宋" w:cs="仿宋"/>
                <w:b w:val="0"/>
                <w:bCs w:val="0"/>
                <w:color w:val="auto"/>
                <w:kern w:val="2"/>
                <w:sz w:val="24"/>
                <w:szCs w:val="24"/>
                <w:highlight w:val="none"/>
                <w:u w:val="none"/>
                <w:lang w:val="en-US" w:eastAsia="zh-CN" w:bidi="ar-SA"/>
              </w:rPr>
              <w:t>8.能演示云平台对设备进行日常监管维护功能，展示智能卡管理、积分查询、日常巡检反馈等功能。符合得2分，不符合不得分。</w:t>
            </w:r>
          </w:p>
        </w:tc>
        <w:tc>
          <w:tcPr>
            <w:tcW w:w="805" w:type="dxa"/>
            <w:noWrap w:val="0"/>
            <w:vAlign w:val="center"/>
          </w:tcPr>
          <w:p>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0-10</w:t>
            </w:r>
          </w:p>
        </w:tc>
        <w:tc>
          <w:tcPr>
            <w:tcW w:w="956" w:type="dxa"/>
            <w:noWrap w:val="0"/>
            <w:vAlign w:val="center"/>
          </w:tcPr>
          <w:p>
            <w:pPr>
              <w:pStyle w:val="3"/>
              <w:spacing w:line="240" w:lineRule="auto"/>
              <w:ind w:left="432" w:leftChars="0" w:hanging="432"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851" w:type="dxa"/>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价格10分</w:t>
            </w:r>
          </w:p>
        </w:tc>
        <w:tc>
          <w:tcPr>
            <w:tcW w:w="597" w:type="dxa"/>
            <w:noWrap w:val="0"/>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401" w:type="dxa"/>
            <w:noWrap w:val="0"/>
            <w:vAlign w:val="center"/>
          </w:tcPr>
          <w:p>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价格权值=0.</w:t>
            </w:r>
            <w:r>
              <w:rPr>
                <w:rFonts w:hint="eastAsia" w:ascii="仿宋" w:hAnsi="仿宋" w:eastAsia="仿宋" w:cs="仿宋"/>
                <w:color w:val="auto"/>
                <w:sz w:val="24"/>
                <w:szCs w:val="24"/>
                <w:highlight w:val="none"/>
                <w:lang w:val="en-US" w:eastAsia="zh-CN"/>
              </w:rPr>
              <w:t>10</w:t>
            </w:r>
          </w:p>
        </w:tc>
        <w:tc>
          <w:tcPr>
            <w:tcW w:w="4871" w:type="dxa"/>
            <w:noWrap w:val="0"/>
            <w:vAlign w:val="center"/>
          </w:tcPr>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评标过程中，不得去掉报价中的最高报价和最低报价。</w:t>
            </w:r>
          </w:p>
          <w:p>
            <w:pPr>
              <w:keepNext w:val="0"/>
              <w:keepLines w:val="0"/>
              <w:pageBreakBefore w:val="0"/>
              <w:widowControl/>
              <w:kinsoku/>
              <w:wordWrap/>
              <w:overflowPunct/>
              <w:topLinePunct w:val="0"/>
              <w:bidi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对于未预留份额专门面向中小企业的政府采购货物项目，以</w:t>
            </w:r>
            <w:r>
              <w:rPr>
                <w:rFonts w:hint="eastAsia" w:ascii="仿宋" w:hAnsi="仿宋" w:eastAsia="仿宋" w:cs="仿宋"/>
                <w:color w:val="auto"/>
                <w:sz w:val="24"/>
                <w:szCs w:val="24"/>
                <w:highlight w:val="none"/>
                <w:lang w:val="zh-CN"/>
              </w:rPr>
              <w:t>及预留份额政府采购货物项目中的非预留部</w:t>
            </w:r>
            <w:r>
              <w:rPr>
                <w:rFonts w:hint="eastAsia" w:ascii="仿宋" w:hAnsi="仿宋" w:eastAsia="仿宋" w:cs="仿宋"/>
                <w:color w:val="auto"/>
                <w:sz w:val="24"/>
                <w:szCs w:val="24"/>
                <w:highlight w:val="none"/>
                <w:shd w:val="clear"/>
                <w:lang w:val="zh-CN"/>
              </w:rPr>
              <w:t>分标项，对小型和微型企业的投标报价给予</w:t>
            </w:r>
            <w:r>
              <w:rPr>
                <w:rFonts w:hint="eastAsia" w:ascii="仿宋" w:hAnsi="仿宋" w:eastAsia="仿宋" w:cs="仿宋"/>
                <w:color w:val="auto"/>
                <w:sz w:val="24"/>
                <w:szCs w:val="24"/>
                <w:highlight w:val="none"/>
                <w:shd w:val="clear"/>
                <w:lang w:val="en-US" w:eastAsia="zh-CN"/>
              </w:rPr>
              <w:t>1</w:t>
            </w:r>
            <w:r>
              <w:rPr>
                <w:rFonts w:hint="eastAsia" w:ascii="仿宋" w:hAnsi="仿宋" w:eastAsia="仿宋" w:cs="仿宋"/>
                <w:color w:val="auto"/>
                <w:sz w:val="24"/>
                <w:szCs w:val="24"/>
                <w:highlight w:val="none"/>
                <w:shd w:val="clear"/>
                <w:lang w:val="zh-CN" w:eastAsia="zh-CN"/>
              </w:rPr>
              <w:t>0</w:t>
            </w:r>
            <w:r>
              <w:rPr>
                <w:rFonts w:hint="eastAsia" w:ascii="仿宋" w:hAnsi="仿宋" w:eastAsia="仿宋" w:cs="仿宋"/>
                <w:color w:val="auto"/>
                <w:sz w:val="24"/>
                <w:szCs w:val="24"/>
                <w:highlight w:val="none"/>
                <w:shd w:val="clear"/>
                <w:lang w:val="zh-CN"/>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auto"/>
                <w:sz w:val="24"/>
                <w:szCs w:val="24"/>
                <w:highlight w:val="none"/>
                <w:shd w:val="clear"/>
                <w:lang w:val="en-US" w:eastAsia="zh-CN"/>
              </w:rPr>
              <w:t>4</w:t>
            </w:r>
            <w:r>
              <w:rPr>
                <w:rFonts w:hint="eastAsia" w:ascii="仿宋" w:hAnsi="仿宋" w:eastAsia="仿宋" w:cs="仿宋"/>
                <w:color w:val="auto"/>
                <w:sz w:val="24"/>
                <w:szCs w:val="24"/>
                <w:highlight w:val="none"/>
                <w:shd w:val="clear"/>
                <w:lang w:val="zh-CN"/>
              </w:rPr>
              <w:t>%的扣除，用扣除后的价格参加评审。</w:t>
            </w:r>
          </w:p>
        </w:tc>
        <w:tc>
          <w:tcPr>
            <w:tcW w:w="805" w:type="dxa"/>
            <w:noWrap w:val="0"/>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0-10</w:t>
            </w:r>
          </w:p>
        </w:tc>
        <w:tc>
          <w:tcPr>
            <w:tcW w:w="956" w:type="dxa"/>
            <w:noWrap w:val="0"/>
            <w:vAlign w:val="center"/>
          </w:tcPr>
          <w:p>
            <w:pPr>
              <w:pStyle w:val="3"/>
              <w:spacing w:line="240" w:lineRule="auto"/>
              <w:ind w:left="432" w:leftChars="0" w:hanging="432"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bl>
    <w:p>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b w:val="0"/>
          <w:bCs/>
          <w:color w:val="auto"/>
          <w:sz w:val="24"/>
          <w:szCs w:val="24"/>
          <w:highlight w:val="none"/>
        </w:rPr>
        <w:t>1、评分条款中涉及的业绩、荣誉、人员、社保等分公司均有效。</w:t>
      </w:r>
    </w:p>
    <w:p>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hint="eastAsia" w:ascii="仿宋" w:hAnsi="仿宋" w:eastAsia="仿宋" w:cs="仿宋"/>
          <w:b w:val="0"/>
          <w:bCs/>
          <w:color w:val="auto"/>
          <w:highlight w:val="none"/>
        </w:rPr>
      </w:pPr>
      <w:r>
        <w:rPr>
          <w:rFonts w:hint="eastAsia" w:ascii="仿宋" w:hAnsi="仿宋" w:eastAsia="仿宋" w:cs="仿宋"/>
          <w:b w:val="0"/>
          <w:bCs/>
          <w:color w:val="auto"/>
          <w:sz w:val="24"/>
          <w:szCs w:val="24"/>
          <w:highlight w:val="none"/>
        </w:rPr>
        <w:t>3、投标人编制投标文件（商务技术文件部分）时，建议按此目录（序号和内容）提供评标标准相应的商务技术资料。</w:t>
      </w:r>
      <w:r>
        <w:rPr>
          <w:rFonts w:hint="eastAsia" w:ascii="仿宋" w:hAnsi="仿宋" w:eastAsia="仿宋" w:cs="仿宋"/>
          <w:b w:val="0"/>
          <w:bCs/>
          <w:color w:val="auto"/>
          <w:highlight w:val="none"/>
        </w:rPr>
        <w:t> </w:t>
      </w:r>
    </w:p>
    <w:p>
      <w:pPr>
        <w:snapToGrid w:val="0"/>
        <w:spacing w:line="360" w:lineRule="auto"/>
        <w:rPr>
          <w:rFonts w:hint="eastAsia" w:ascii="仿宋" w:hAnsi="仿宋" w:eastAsia="仿宋" w:cs="仿宋"/>
          <w:b/>
          <w:color w:val="auto"/>
          <w:sz w:val="32"/>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br w:type="column"/>
      </w: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29"/>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29"/>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pPr>
        <w:pStyle w:val="2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9"/>
    <w:p>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6" w:name="第五部分"/>
      <w:bookmarkStart w:id="397" w:name="_Toc86217003"/>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700"/>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rPr>
          <w:rFonts w:hint="eastAsia" w:ascii="仿宋" w:hAnsi="仿宋" w:eastAsia="仿宋" w:cs="仿宋"/>
          <w:color w:val="auto"/>
          <w:sz w:val="24"/>
          <w:highlight w:val="none"/>
        </w:rPr>
      </w:pPr>
    </w:p>
    <w:p>
      <w:pPr>
        <w:pStyle w:val="4"/>
        <w:rPr>
          <w:rFonts w:hint="eastAsia" w:ascii="仿宋" w:hAnsi="仿宋" w:eastAsia="仿宋" w:cs="仿宋"/>
          <w:color w:val="auto"/>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597"/>
        <w:spacing w:before="120" w:line="22" w:lineRule="atLeast"/>
        <w:rPr>
          <w:rFonts w:hint="eastAsia" w:ascii="仿宋" w:hAnsi="仿宋" w:eastAsia="仿宋" w:cs="仿宋"/>
          <w:color w:val="auto"/>
          <w:szCs w:val="24"/>
          <w:highlight w:val="none"/>
        </w:rPr>
      </w:pPr>
    </w:p>
    <w:p>
      <w:pPr>
        <w:pStyle w:val="597"/>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7" w:h="16840"/>
          <w:pgMar w:top="1474" w:right="1473" w:bottom="1474" w:left="1814" w:header="851" w:footer="851" w:gutter="0"/>
          <w:cols w:space="720" w:num="1"/>
        </w:sectPr>
      </w:pPr>
    </w:p>
    <w:p>
      <w:pPr>
        <w:rPr>
          <w:rFonts w:hint="eastAsia" w:ascii="仿宋" w:hAnsi="仿宋" w:eastAsia="仿宋" w:cs="仿宋"/>
          <w:b/>
          <w:color w:val="auto"/>
          <w:sz w:val="24"/>
          <w:highlight w:val="none"/>
        </w:r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color w:val="auto"/>
          <w:sz w:val="24"/>
          <w:highlight w:val="none"/>
        </w:rPr>
      </w:pPr>
      <w:bookmarkStart w:id="398" w:name="_Toc22967"/>
      <w:bookmarkStart w:id="399" w:name="_Toc20421"/>
      <w:bookmarkStart w:id="400" w:name="_Toc15367"/>
      <w:bookmarkStart w:id="401" w:name="_Toc28855"/>
      <w:bookmarkStart w:id="402" w:name="_Toc19273"/>
      <w:r>
        <w:rPr>
          <w:rFonts w:hint="eastAsia" w:ascii="仿宋" w:hAnsi="仿宋" w:eastAsia="仿宋" w:cs="仿宋"/>
          <w:b/>
          <w:color w:val="auto"/>
          <w:sz w:val="24"/>
          <w:highlight w:val="none"/>
        </w:rPr>
        <w:t>1.1 合同组成部分</w:t>
      </w:r>
      <w:bookmarkEnd w:id="398"/>
      <w:bookmarkEnd w:id="399"/>
      <w:bookmarkEnd w:id="400"/>
      <w:bookmarkEnd w:id="401"/>
      <w:bookmarkEnd w:id="40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403" w:name="_Toc6311"/>
      <w:bookmarkStart w:id="404" w:name="_Toc22185"/>
      <w:bookmarkStart w:id="405" w:name="_Toc6773"/>
      <w:bookmarkStart w:id="406" w:name="_Toc2918"/>
      <w:bookmarkStart w:id="407" w:name="_Toc18585"/>
      <w:r>
        <w:rPr>
          <w:rFonts w:hint="eastAsia" w:ascii="仿宋" w:hAnsi="仿宋" w:eastAsia="仿宋" w:cs="仿宋"/>
          <w:b/>
          <w:color w:val="auto"/>
          <w:sz w:val="24"/>
          <w:highlight w:val="none"/>
        </w:rPr>
        <w:t>1.2 标的</w:t>
      </w:r>
      <w:bookmarkEnd w:id="403"/>
      <w:bookmarkEnd w:id="404"/>
      <w:bookmarkEnd w:id="405"/>
      <w:bookmarkEnd w:id="406"/>
      <w:bookmarkEnd w:id="407"/>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pPr>
        <w:spacing w:line="560" w:lineRule="exact"/>
        <w:ind w:firstLine="480" w:firstLineChars="200"/>
        <w:rPr>
          <w:rFonts w:hint="eastAsia" w:ascii="仿宋" w:hAnsi="仿宋" w:eastAsia="仿宋" w:cs="仿宋"/>
          <w:color w:val="auto"/>
          <w:sz w:val="24"/>
          <w:highlight w:val="none"/>
          <w:u w:val="single"/>
        </w:rPr>
      </w:pPr>
      <w:bookmarkStart w:id="408" w:name="_Toc4929"/>
      <w:bookmarkStart w:id="409" w:name="_Toc21124"/>
      <w:bookmarkStart w:id="410" w:name="_Toc13918"/>
      <w:bookmarkStart w:id="411" w:name="_Toc5635"/>
      <w:bookmarkStart w:id="412" w:name="_Toc1386"/>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8"/>
      <w:bookmarkEnd w:id="409"/>
      <w:bookmarkEnd w:id="410"/>
      <w:bookmarkEnd w:id="411"/>
      <w:bookmarkEnd w:id="41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8"/>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8"/>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8"/>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8"/>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318"/>
              <w:spacing w:line="560" w:lineRule="exact"/>
              <w:ind w:firstLine="200"/>
              <w:jc w:val="center"/>
              <w:rPr>
                <w:rFonts w:hint="eastAsia" w:ascii="仿宋" w:hAnsi="仿宋" w:eastAsia="仿宋" w:cs="仿宋"/>
                <w:color w:val="auto"/>
                <w:sz w:val="24"/>
                <w:szCs w:val="24"/>
                <w:highlight w:val="none"/>
              </w:rPr>
            </w:pPr>
          </w:p>
        </w:tc>
      </w:tr>
    </w:tbl>
    <w:p>
      <w:pPr>
        <w:spacing w:line="560" w:lineRule="exact"/>
        <w:ind w:firstLine="480" w:firstLineChars="200"/>
        <w:rPr>
          <w:rFonts w:hint="eastAsia" w:ascii="仿宋" w:hAnsi="仿宋" w:eastAsia="仿宋" w:cs="仿宋"/>
          <w:color w:val="auto"/>
          <w:sz w:val="24"/>
          <w:highlight w:val="none"/>
        </w:rPr>
      </w:pPr>
      <w:bookmarkStart w:id="413" w:name="_Toc26916"/>
      <w:bookmarkStart w:id="414" w:name="_Toc30506"/>
      <w:bookmarkStart w:id="415" w:name="_Toc3654"/>
      <w:bookmarkStart w:id="416" w:name="_Toc14993"/>
      <w:bookmarkStart w:id="417" w:name="_Toc30158"/>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4"/>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3"/>
    <w:bookmarkEnd w:id="414"/>
    <w:bookmarkEnd w:id="415"/>
    <w:bookmarkEnd w:id="416"/>
    <w:bookmarkEnd w:id="417"/>
    <w:p>
      <w:pPr>
        <w:pStyle w:val="958"/>
        <w:spacing w:before="0" w:beforeAutospacing="0" w:after="0" w:afterAutospacing="0" w:line="360" w:lineRule="auto"/>
        <w:ind w:firstLine="480"/>
        <w:rPr>
          <w:rFonts w:hint="eastAsia" w:ascii="仿宋" w:hAnsi="仿宋" w:eastAsia="仿宋" w:cs="仿宋"/>
          <w:b/>
          <w:color w:val="auto"/>
          <w:highlight w:val="none"/>
        </w:rPr>
      </w:pPr>
      <w:bookmarkStart w:id="418" w:name="_Toc10340"/>
      <w:bookmarkStart w:id="419" w:name="_Toc1814"/>
      <w:bookmarkStart w:id="420" w:name="_Toc22618"/>
      <w:bookmarkStart w:id="421" w:name="_Toc31421"/>
      <w:bookmarkStart w:id="422" w:name="_Toc8772"/>
      <w:bookmarkStart w:id="423" w:name="_Toc3625"/>
      <w:bookmarkStart w:id="424" w:name="_Toc4760"/>
      <w:bookmarkStart w:id="425" w:name="_Toc11108"/>
      <w:r>
        <w:rPr>
          <w:rFonts w:hint="eastAsia" w:ascii="仿宋" w:hAnsi="仿宋" w:eastAsia="仿宋" w:cs="仿宋"/>
          <w:b/>
          <w:color w:val="auto"/>
          <w:highlight w:val="none"/>
        </w:rPr>
        <w:t>1.4履约保证金</w:t>
      </w:r>
    </w:p>
    <w:p>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4"/>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8"/>
      <w:bookmarkEnd w:id="419"/>
      <w:bookmarkEnd w:id="420"/>
      <w:r>
        <w:rPr>
          <w:rFonts w:hint="eastAsia" w:ascii="仿宋" w:hAnsi="仿宋" w:eastAsia="仿宋" w:cs="仿宋"/>
          <w:b/>
          <w:color w:val="auto"/>
          <w:sz w:val="24"/>
          <w:highlight w:val="none"/>
        </w:rPr>
        <w:t>预付款</w:t>
      </w:r>
    </w:p>
    <w:p>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8"/>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8"/>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21"/>
      <w:bookmarkEnd w:id="422"/>
      <w:bookmarkEnd w:id="423"/>
      <w:bookmarkEnd w:id="424"/>
      <w:bookmarkEnd w:id="425"/>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hint="eastAsia" w:ascii="仿宋" w:hAnsi="仿宋" w:eastAsia="仿宋" w:cs="仿宋"/>
          <w:bCs/>
          <w:color w:val="auto"/>
          <w:sz w:val="24"/>
          <w:highlight w:val="none"/>
        </w:rPr>
      </w:pPr>
      <w:bookmarkStart w:id="426" w:name="_Toc2375"/>
      <w:bookmarkStart w:id="427" w:name="_Toc3079"/>
      <w:bookmarkStart w:id="428" w:name="_Toc8586"/>
      <w:bookmarkStart w:id="429" w:name="_Toc24662"/>
      <w:bookmarkStart w:id="430" w:name="_Toc5698"/>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6"/>
      <w:bookmarkEnd w:id="427"/>
      <w:bookmarkEnd w:id="428"/>
      <w:bookmarkEnd w:id="429"/>
      <w:bookmarkEnd w:id="43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pStyle w:val="4"/>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bookmarkStart w:id="431" w:name="_Toc26807"/>
      <w:bookmarkStart w:id="432" w:name="_Toc32454"/>
      <w:bookmarkStart w:id="433" w:name="_Toc18683"/>
      <w:bookmarkStart w:id="434" w:name="_Toc9497"/>
      <w:bookmarkStart w:id="435" w:name="_Toc30329"/>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31"/>
    <w:bookmarkEnd w:id="432"/>
    <w:bookmarkEnd w:id="433"/>
    <w:bookmarkEnd w:id="434"/>
    <w:bookmarkEnd w:id="435"/>
    <w:p>
      <w:pPr>
        <w:spacing w:line="560" w:lineRule="exact"/>
        <w:ind w:firstLine="482" w:firstLineChars="200"/>
        <w:outlineLvl w:val="0"/>
        <w:rPr>
          <w:rFonts w:hint="eastAsia" w:ascii="仿宋" w:hAnsi="仿宋" w:eastAsia="仿宋" w:cs="仿宋"/>
          <w:b/>
          <w:color w:val="auto"/>
          <w:sz w:val="24"/>
          <w:highlight w:val="none"/>
        </w:rPr>
      </w:pPr>
      <w:bookmarkStart w:id="436" w:name="_Toc28375"/>
      <w:bookmarkStart w:id="437" w:name="_Toc16021"/>
      <w:bookmarkStart w:id="438" w:name="_Toc15583"/>
      <w:r>
        <w:rPr>
          <w:rFonts w:hint="eastAsia" w:ascii="仿宋" w:hAnsi="仿宋" w:eastAsia="仿宋" w:cs="仿宋"/>
          <w:b/>
          <w:color w:val="auto"/>
          <w:sz w:val="24"/>
          <w:highlight w:val="none"/>
        </w:rPr>
        <w:t>1.9合同争议的解决</w:t>
      </w:r>
      <w:bookmarkEnd w:id="436"/>
      <w:bookmarkEnd w:id="437"/>
      <w:bookmarkEnd w:id="438"/>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bookmarkStart w:id="439" w:name="_Toc11173"/>
      <w:bookmarkStart w:id="440" w:name="_Toc15322"/>
      <w:bookmarkStart w:id="441" w:name="_Toc7245"/>
      <w:r>
        <w:rPr>
          <w:rFonts w:hint="eastAsia" w:ascii="仿宋" w:hAnsi="仿宋" w:eastAsia="仿宋" w:cs="仿宋"/>
          <w:b/>
          <w:color w:val="auto"/>
          <w:sz w:val="24"/>
          <w:highlight w:val="none"/>
        </w:rPr>
        <w:t>2.0 合同生效</w:t>
      </w:r>
      <w:bookmarkEnd w:id="439"/>
      <w:bookmarkEnd w:id="440"/>
      <w:bookmarkEnd w:id="441"/>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hint="eastAsia" w:ascii="仿宋" w:hAnsi="仿宋" w:eastAsia="仿宋" w:cs="仿宋"/>
          <w:b/>
          <w:color w:val="auto"/>
          <w:sz w:val="24"/>
          <w:highlight w:val="none"/>
        </w:rPr>
      </w:pP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pPr>
        <w:pStyle w:val="700"/>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hint="eastAsia" w:ascii="仿宋" w:hAnsi="仿宋" w:eastAsia="仿宋" w:cs="仿宋"/>
          <w:b/>
          <w:color w:val="auto"/>
          <w:sz w:val="24"/>
          <w:highlight w:val="none"/>
        </w:rPr>
      </w:pPr>
      <w:bookmarkStart w:id="442" w:name="_Toc25079"/>
      <w:bookmarkStart w:id="443" w:name="_Toc31297"/>
      <w:bookmarkStart w:id="444" w:name="_Toc19680"/>
      <w:bookmarkStart w:id="445" w:name="_Toc5228"/>
      <w:bookmarkStart w:id="446" w:name="_Toc14021"/>
      <w:r>
        <w:rPr>
          <w:rFonts w:hint="eastAsia" w:ascii="仿宋" w:hAnsi="仿宋" w:eastAsia="仿宋" w:cs="仿宋"/>
          <w:b/>
          <w:color w:val="auto"/>
          <w:sz w:val="24"/>
          <w:highlight w:val="none"/>
        </w:rPr>
        <w:t>2.1 定义</w:t>
      </w:r>
      <w:bookmarkEnd w:id="442"/>
      <w:bookmarkEnd w:id="443"/>
      <w:bookmarkEnd w:id="444"/>
      <w:bookmarkEnd w:id="445"/>
      <w:bookmarkEnd w:id="44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0"/>
        <w:rPr>
          <w:rFonts w:hint="eastAsia" w:ascii="仿宋" w:hAnsi="仿宋" w:eastAsia="仿宋" w:cs="仿宋"/>
          <w:b/>
          <w:color w:val="auto"/>
          <w:sz w:val="24"/>
          <w:highlight w:val="none"/>
        </w:rPr>
      </w:pPr>
      <w:bookmarkStart w:id="447" w:name="_Toc31402"/>
      <w:bookmarkStart w:id="448" w:name="_Toc3769"/>
      <w:bookmarkStart w:id="449" w:name="_Toc16752"/>
      <w:bookmarkStart w:id="450" w:name="_Toc23289"/>
      <w:bookmarkStart w:id="451" w:name="_Toc19539"/>
      <w:r>
        <w:rPr>
          <w:rFonts w:hint="eastAsia" w:ascii="仿宋" w:hAnsi="仿宋" w:eastAsia="仿宋" w:cs="仿宋"/>
          <w:b/>
          <w:color w:val="auto"/>
          <w:sz w:val="24"/>
          <w:highlight w:val="none"/>
        </w:rPr>
        <w:t>2.2 技术规范</w:t>
      </w:r>
      <w:bookmarkEnd w:id="447"/>
      <w:bookmarkEnd w:id="448"/>
      <w:bookmarkEnd w:id="449"/>
      <w:bookmarkEnd w:id="450"/>
      <w:bookmarkEnd w:id="45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452" w:name="_Toc27945"/>
      <w:bookmarkStart w:id="453" w:name="_Toc4133"/>
      <w:bookmarkStart w:id="454" w:name="_Toc12412"/>
      <w:bookmarkStart w:id="455" w:name="_Toc13673"/>
      <w:bookmarkStart w:id="456" w:name="_Toc9161"/>
      <w:r>
        <w:rPr>
          <w:rFonts w:hint="eastAsia" w:ascii="仿宋" w:hAnsi="仿宋" w:eastAsia="仿宋" w:cs="仿宋"/>
          <w:b/>
          <w:color w:val="auto"/>
          <w:sz w:val="24"/>
          <w:highlight w:val="none"/>
        </w:rPr>
        <w:t>2.3 知识产权</w:t>
      </w:r>
      <w:bookmarkEnd w:id="452"/>
      <w:bookmarkEnd w:id="453"/>
      <w:bookmarkEnd w:id="454"/>
      <w:bookmarkEnd w:id="455"/>
      <w:bookmarkEnd w:id="45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auto"/>
          <w:sz w:val="24"/>
          <w:highlight w:val="none"/>
        </w:rPr>
      </w:pPr>
      <w:bookmarkStart w:id="457" w:name="_Toc32670"/>
      <w:bookmarkStart w:id="458" w:name="_Toc31233"/>
      <w:bookmarkStart w:id="459" w:name="_Toc26555"/>
      <w:bookmarkStart w:id="460" w:name="_Toc22011"/>
      <w:bookmarkStart w:id="461" w:name="_Toc15447"/>
      <w:r>
        <w:rPr>
          <w:rFonts w:hint="eastAsia" w:ascii="仿宋" w:hAnsi="仿宋" w:eastAsia="仿宋" w:cs="仿宋"/>
          <w:b/>
          <w:color w:val="auto"/>
          <w:sz w:val="24"/>
          <w:highlight w:val="none"/>
        </w:rPr>
        <w:t>2.5 结算方式和付款条件</w:t>
      </w:r>
      <w:bookmarkEnd w:id="457"/>
      <w:bookmarkEnd w:id="458"/>
      <w:bookmarkEnd w:id="459"/>
      <w:bookmarkEnd w:id="460"/>
      <w:bookmarkEnd w:id="46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62" w:name="_Toc13154"/>
      <w:bookmarkStart w:id="463" w:name="_Toc16163"/>
      <w:bookmarkStart w:id="464" w:name="_Toc13467"/>
      <w:bookmarkStart w:id="465" w:name="_Toc18990"/>
      <w:bookmarkStart w:id="466" w:name="_Toc30507"/>
      <w:r>
        <w:rPr>
          <w:rFonts w:hint="eastAsia" w:ascii="仿宋" w:hAnsi="仿宋" w:eastAsia="仿宋" w:cs="仿宋"/>
          <w:b/>
          <w:color w:val="auto"/>
          <w:sz w:val="24"/>
          <w:highlight w:val="none"/>
        </w:rPr>
        <w:t>2.6 技术资料和保密义务</w:t>
      </w:r>
      <w:bookmarkEnd w:id="462"/>
      <w:bookmarkEnd w:id="463"/>
      <w:bookmarkEnd w:id="464"/>
      <w:bookmarkEnd w:id="465"/>
      <w:bookmarkEnd w:id="46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467" w:name="_Toc19069"/>
      <w:r>
        <w:rPr>
          <w:rFonts w:hint="eastAsia" w:ascii="仿宋" w:hAnsi="仿宋" w:eastAsia="仿宋" w:cs="仿宋"/>
          <w:b/>
          <w:color w:val="auto"/>
          <w:sz w:val="24"/>
          <w:highlight w:val="none"/>
        </w:rPr>
        <w:t>2.7 质量保证</w:t>
      </w:r>
      <w:bookmarkEnd w:id="46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468" w:name="_Toc22267"/>
      <w:r>
        <w:rPr>
          <w:rFonts w:hint="eastAsia" w:ascii="仿宋" w:hAnsi="仿宋" w:eastAsia="仿宋" w:cs="仿宋"/>
          <w:b/>
          <w:color w:val="auto"/>
          <w:sz w:val="24"/>
          <w:highlight w:val="none"/>
        </w:rPr>
        <w:t>2.8 延迟履行</w:t>
      </w:r>
      <w:bookmarkEnd w:id="46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auto"/>
          <w:sz w:val="24"/>
          <w:highlight w:val="none"/>
        </w:rPr>
      </w:pPr>
      <w:bookmarkStart w:id="469" w:name="_Toc10611"/>
      <w:r>
        <w:rPr>
          <w:rFonts w:hint="eastAsia" w:ascii="仿宋" w:hAnsi="仿宋" w:eastAsia="仿宋" w:cs="仿宋"/>
          <w:b/>
          <w:color w:val="auto"/>
          <w:sz w:val="24"/>
          <w:highlight w:val="none"/>
        </w:rPr>
        <w:t>2.9 合同变更</w:t>
      </w:r>
      <w:bookmarkEnd w:id="46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70" w:name="_Toc23368"/>
      <w:bookmarkStart w:id="471" w:name="_Toc10663"/>
      <w:bookmarkStart w:id="472" w:name="_Toc26689"/>
      <w:bookmarkStart w:id="473" w:name="_Toc21830"/>
      <w:bookmarkStart w:id="474" w:name="_Toc42"/>
      <w:r>
        <w:rPr>
          <w:rFonts w:hint="eastAsia" w:ascii="仿宋" w:hAnsi="仿宋" w:eastAsia="仿宋" w:cs="仿宋"/>
          <w:b/>
          <w:color w:val="auto"/>
          <w:sz w:val="24"/>
          <w:highlight w:val="none"/>
        </w:rPr>
        <w:t>2.10 合同转让和分包</w:t>
      </w:r>
      <w:bookmarkEnd w:id="470"/>
      <w:bookmarkEnd w:id="471"/>
      <w:bookmarkEnd w:id="472"/>
      <w:bookmarkEnd w:id="473"/>
      <w:bookmarkEnd w:id="47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highlight w:val="none"/>
        </w:rPr>
      </w:pPr>
      <w:bookmarkStart w:id="475" w:name="_Toc32494"/>
      <w:bookmarkStart w:id="476" w:name="_Toc4720"/>
      <w:bookmarkStart w:id="477" w:name="_Toc25571"/>
      <w:bookmarkStart w:id="478" w:name="_Toc14371"/>
      <w:bookmarkStart w:id="479" w:name="_Toc26633"/>
      <w:r>
        <w:rPr>
          <w:rFonts w:hint="eastAsia" w:ascii="仿宋" w:hAnsi="仿宋" w:eastAsia="仿宋" w:cs="仿宋"/>
          <w:b/>
          <w:color w:val="auto"/>
          <w:sz w:val="24"/>
          <w:highlight w:val="none"/>
        </w:rPr>
        <w:t>2.11 不可抗力</w:t>
      </w:r>
      <w:bookmarkEnd w:id="475"/>
      <w:bookmarkEnd w:id="476"/>
      <w:bookmarkEnd w:id="477"/>
      <w:bookmarkEnd w:id="478"/>
      <w:bookmarkEnd w:id="47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480" w:name="_Toc25783"/>
      <w:bookmarkStart w:id="481" w:name="_Toc3638"/>
      <w:bookmarkStart w:id="482" w:name="_Toc23854"/>
      <w:bookmarkStart w:id="483" w:name="_Toc14115"/>
      <w:bookmarkStart w:id="484" w:name="_Toc24465"/>
      <w:r>
        <w:rPr>
          <w:rFonts w:hint="eastAsia" w:ascii="仿宋" w:hAnsi="仿宋" w:eastAsia="仿宋" w:cs="仿宋"/>
          <w:b/>
          <w:color w:val="auto"/>
          <w:sz w:val="24"/>
          <w:highlight w:val="none"/>
        </w:rPr>
        <w:t>2.12 税费</w:t>
      </w:r>
      <w:bookmarkEnd w:id="480"/>
      <w:bookmarkEnd w:id="481"/>
      <w:bookmarkEnd w:id="482"/>
      <w:bookmarkEnd w:id="483"/>
      <w:bookmarkEnd w:id="48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auto"/>
          <w:sz w:val="24"/>
          <w:highlight w:val="none"/>
        </w:rPr>
      </w:pPr>
      <w:bookmarkStart w:id="485" w:name="_Toc7315"/>
      <w:bookmarkStart w:id="486" w:name="_Toc30105"/>
      <w:bookmarkStart w:id="487" w:name="_Toc14814"/>
      <w:bookmarkStart w:id="488" w:name="_Toc25525"/>
      <w:bookmarkStart w:id="489" w:name="_Toc26883"/>
      <w:r>
        <w:rPr>
          <w:rFonts w:hint="eastAsia" w:ascii="仿宋" w:hAnsi="仿宋" w:eastAsia="仿宋" w:cs="仿宋"/>
          <w:b/>
          <w:color w:val="auto"/>
          <w:sz w:val="24"/>
          <w:highlight w:val="none"/>
        </w:rPr>
        <w:t>2.13 乙方破产</w:t>
      </w:r>
      <w:bookmarkEnd w:id="485"/>
      <w:bookmarkEnd w:id="486"/>
      <w:bookmarkEnd w:id="487"/>
      <w:bookmarkEnd w:id="488"/>
      <w:bookmarkEnd w:id="48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490" w:name="_Toc1123"/>
      <w:bookmarkStart w:id="491" w:name="_Toc23323"/>
      <w:bookmarkStart w:id="492" w:name="_Toc2016"/>
      <w:r>
        <w:rPr>
          <w:rFonts w:hint="eastAsia" w:ascii="仿宋" w:hAnsi="仿宋" w:eastAsia="仿宋" w:cs="仿宋"/>
          <w:b/>
          <w:color w:val="auto"/>
          <w:sz w:val="24"/>
          <w:highlight w:val="none"/>
        </w:rPr>
        <w:t>2.14 合同中止、终止</w:t>
      </w:r>
      <w:bookmarkEnd w:id="490"/>
      <w:bookmarkEnd w:id="491"/>
      <w:bookmarkEnd w:id="49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93" w:name="_Toc17363"/>
      <w:bookmarkStart w:id="494" w:name="_Toc1969"/>
      <w:bookmarkStart w:id="495" w:name="_Toc14525"/>
      <w:r>
        <w:rPr>
          <w:rFonts w:hint="eastAsia" w:ascii="仿宋" w:hAnsi="仿宋" w:eastAsia="仿宋" w:cs="仿宋"/>
          <w:b/>
          <w:color w:val="auto"/>
          <w:sz w:val="24"/>
          <w:highlight w:val="none"/>
        </w:rPr>
        <w:t>2.15 检验和验收</w:t>
      </w:r>
      <w:bookmarkEnd w:id="493"/>
      <w:bookmarkEnd w:id="494"/>
      <w:bookmarkEnd w:id="495"/>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96" w:name="_Toc9808"/>
      <w:bookmarkStart w:id="497" w:name="_Toc25198"/>
      <w:bookmarkStart w:id="498" w:name="_Toc31892"/>
      <w:bookmarkStart w:id="499" w:name="_Toc12666"/>
      <w:bookmarkStart w:id="500" w:name="_Toc2308"/>
      <w:r>
        <w:rPr>
          <w:rFonts w:hint="eastAsia" w:ascii="仿宋" w:hAnsi="仿宋" w:eastAsia="仿宋" w:cs="仿宋"/>
          <w:b/>
          <w:color w:val="auto"/>
          <w:sz w:val="24"/>
          <w:highlight w:val="none"/>
        </w:rPr>
        <w:t>2.16 通知和送达</w:t>
      </w:r>
      <w:bookmarkEnd w:id="496"/>
      <w:bookmarkEnd w:id="497"/>
      <w:bookmarkEnd w:id="498"/>
      <w:bookmarkEnd w:id="499"/>
      <w:bookmarkEnd w:id="500"/>
    </w:p>
    <w:p>
      <w:pPr>
        <w:spacing w:line="560" w:lineRule="exact"/>
        <w:ind w:firstLine="480" w:firstLineChars="200"/>
        <w:rPr>
          <w:rFonts w:hint="eastAsia" w:ascii="仿宋" w:hAnsi="仿宋" w:eastAsia="仿宋" w:cs="仿宋"/>
          <w:color w:val="auto"/>
          <w:sz w:val="24"/>
          <w:highlight w:val="none"/>
        </w:rPr>
      </w:pPr>
      <w:bookmarkStart w:id="501" w:name="_Toc18401"/>
      <w:bookmarkStart w:id="502"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1"/>
      <w:bookmarkEnd w:id="502"/>
    </w:p>
    <w:p>
      <w:pPr>
        <w:spacing w:line="560" w:lineRule="exact"/>
        <w:ind w:firstLine="482" w:firstLineChars="200"/>
        <w:outlineLvl w:val="0"/>
        <w:rPr>
          <w:rFonts w:hint="eastAsia" w:ascii="仿宋" w:hAnsi="仿宋" w:eastAsia="仿宋" w:cs="仿宋"/>
          <w:b/>
          <w:color w:val="auto"/>
          <w:sz w:val="24"/>
          <w:highlight w:val="none"/>
        </w:rPr>
      </w:pPr>
      <w:bookmarkStart w:id="503" w:name="_Toc27644"/>
      <w:bookmarkStart w:id="504" w:name="_Toc20808"/>
      <w:bookmarkStart w:id="505" w:name="_Toc12254"/>
      <w:bookmarkStart w:id="506" w:name="_Toc28906"/>
      <w:bookmarkStart w:id="507" w:name="_Toc5063"/>
      <w:r>
        <w:rPr>
          <w:rFonts w:hint="eastAsia" w:ascii="仿宋" w:hAnsi="仿宋" w:eastAsia="仿宋" w:cs="仿宋"/>
          <w:b/>
          <w:color w:val="auto"/>
          <w:sz w:val="24"/>
          <w:highlight w:val="none"/>
        </w:rPr>
        <w:t>2.17 合同使用的文字和适用的法律</w:t>
      </w:r>
      <w:bookmarkEnd w:id="503"/>
      <w:bookmarkEnd w:id="504"/>
      <w:bookmarkEnd w:id="505"/>
      <w:bookmarkEnd w:id="506"/>
      <w:bookmarkEnd w:id="50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bookmarkStart w:id="508" w:name="_Toc4355"/>
      <w:bookmarkStart w:id="509" w:name="_Toc18540"/>
      <w:bookmarkStart w:id="510" w:name="_Toc30599"/>
      <w:r>
        <w:rPr>
          <w:rFonts w:hint="eastAsia" w:ascii="仿宋" w:hAnsi="仿宋" w:eastAsia="仿宋" w:cs="仿宋"/>
          <w:b/>
          <w:color w:val="auto"/>
          <w:sz w:val="24"/>
          <w:highlight w:val="none"/>
        </w:rPr>
        <w:t>2.18 计量单位</w:t>
      </w:r>
      <w:bookmarkEnd w:id="508"/>
      <w:bookmarkEnd w:id="509"/>
      <w:bookmarkEnd w:id="51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11" w:name="_Toc331685784"/>
      <w:r>
        <w:rPr>
          <w:rFonts w:hint="eastAsia" w:ascii="仿宋" w:hAnsi="仿宋" w:eastAsia="仿宋" w:cs="仿宋"/>
          <w:b/>
          <w:color w:val="auto"/>
          <w:sz w:val="24"/>
          <w:highlight w:val="none"/>
        </w:rPr>
        <w:t xml:space="preserve"> </w:t>
      </w:r>
      <w:bookmarkEnd w:id="511"/>
      <w:r>
        <w:rPr>
          <w:rFonts w:hint="eastAsia" w:ascii="仿宋" w:hAnsi="仿宋" w:eastAsia="仿宋" w:cs="仿宋"/>
          <w:b/>
          <w:color w:val="auto"/>
          <w:sz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pPr>
              <w:spacing w:line="360" w:lineRule="auto"/>
              <w:rPr>
                <w:rFonts w:hint="eastAsia" w:ascii="仿宋" w:hAnsi="仿宋" w:eastAsia="仿宋" w:cs="仿宋"/>
                <w:color w:val="auto"/>
                <w:sz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6"/>
      <w:r>
        <w:rPr>
          <w:rFonts w:hint="eastAsia" w:ascii="仿宋" w:hAnsi="仿宋" w:eastAsia="仿宋" w:cs="仿宋"/>
          <w:b/>
          <w:color w:val="auto"/>
          <w:sz w:val="36"/>
          <w:szCs w:val="20"/>
          <w:highlight w:val="none"/>
        </w:rPr>
        <w:t xml:space="preserve"> </w:t>
      </w:r>
      <w:bookmarkEnd w:id="397"/>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2" w:name="_Hlk101257010"/>
      <w:r>
        <w:rPr>
          <w:rFonts w:hint="eastAsia" w:ascii="仿宋" w:hAnsi="仿宋" w:eastAsia="仿宋" w:cs="仿宋"/>
          <w:color w:val="auto"/>
          <w:sz w:val="24"/>
          <w:highlight w:val="none"/>
        </w:rPr>
        <w:t>（如果有)</w:t>
      </w:r>
      <w:bookmarkEnd w:id="512"/>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4"/>
        <w:rPr>
          <w:rFonts w:hint="eastAsia" w:ascii="仿宋" w:hAnsi="仿宋" w:eastAsia="仿宋" w:cs="仿宋"/>
          <w:color w:val="auto"/>
          <w:highlight w:val="none"/>
          <w:lang w:val="en-US"/>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仿宋" w:hAnsi="仿宋" w:eastAsia="仿宋" w:cs="仿宋"/>
          <w:color w:val="auto"/>
          <w:sz w:val="24"/>
          <w:highlight w:val="none"/>
        </w:rPr>
      </w:pP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7"/>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color w:val="auto"/>
          <w:kern w:val="0"/>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62"/>
        <w:gridCol w:w="2308"/>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1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362"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308" w:type="dxa"/>
            <w:vAlign w:val="center"/>
          </w:tcPr>
          <w:p>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服务要求</w:t>
            </w:r>
          </w:p>
        </w:tc>
        <w:tc>
          <w:tcPr>
            <w:tcW w:w="2268" w:type="dxa"/>
            <w:vAlign w:val="center"/>
          </w:tcPr>
          <w:p>
            <w:pPr>
              <w:jc w:val="center"/>
              <w:rPr>
                <w:rFonts w:hint="eastAsia" w:ascii="仿宋" w:hAnsi="仿宋" w:eastAsia="仿宋" w:cs="仿宋"/>
                <w:b/>
                <w:color w:val="auto"/>
                <w:sz w:val="24"/>
                <w:highlight w:val="none"/>
              </w:rPr>
            </w:pPr>
            <w:r>
              <w:rPr>
                <w:rFonts w:hint="eastAsia"/>
                <w:b/>
              </w:rPr>
              <w:t>数量</w:t>
            </w:r>
          </w:p>
        </w:tc>
        <w:tc>
          <w:tcPr>
            <w:tcW w:w="2126" w:type="dxa"/>
            <w:vAlign w:val="center"/>
          </w:tcPr>
          <w:p>
            <w:pPr>
              <w:jc w:val="center"/>
              <w:rPr>
                <w:rFonts w:hint="eastAsia" w:ascii="仿宋" w:hAnsi="仿宋" w:eastAsia="仿宋" w:cs="仿宋"/>
                <w:b/>
                <w:color w:val="auto"/>
                <w:sz w:val="24"/>
                <w:highlight w:val="none"/>
              </w:rPr>
            </w:pPr>
            <w:r>
              <w:rPr>
                <w:rFonts w:hint="eastAsia"/>
                <w:b/>
              </w:rPr>
              <w:t>单价</w:t>
            </w:r>
          </w:p>
        </w:tc>
        <w:tc>
          <w:tcPr>
            <w:tcW w:w="2127" w:type="dxa"/>
            <w:vAlign w:val="center"/>
          </w:tcPr>
          <w:p>
            <w:pPr>
              <w:jc w:val="center"/>
              <w:rPr>
                <w:rFonts w:hint="eastAsia" w:ascii="仿宋" w:hAnsi="仿宋" w:eastAsia="仿宋" w:cs="仿宋"/>
                <w:b/>
                <w:color w:val="auto"/>
                <w:sz w:val="24"/>
                <w:highlight w:val="none"/>
              </w:rPr>
            </w:pPr>
            <w:r>
              <w:rPr>
                <w:rFonts w:hint="eastAsia"/>
                <w:b/>
              </w:rPr>
              <w:t>总价</w:t>
            </w:r>
          </w:p>
        </w:tc>
        <w:tc>
          <w:tcPr>
            <w:tcW w:w="2126"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362"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2023年垃圾分类第三方服务</w:t>
            </w:r>
          </w:p>
        </w:tc>
        <w:tc>
          <w:tcPr>
            <w:tcW w:w="2308"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63500</w:t>
            </w: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362" w:type="dxa"/>
            <w:vAlign w:val="center"/>
          </w:tcPr>
          <w:p>
            <w:pPr>
              <w:snapToGrid w:val="0"/>
              <w:spacing w:line="360" w:lineRule="auto"/>
              <w:jc w:val="center"/>
              <w:rPr>
                <w:rFonts w:hint="eastAsia" w:ascii="仿宋" w:hAnsi="仿宋" w:eastAsia="仿宋" w:cs="仿宋"/>
                <w:color w:val="auto"/>
                <w:sz w:val="24"/>
                <w:highlight w:val="none"/>
              </w:rPr>
            </w:pPr>
          </w:p>
        </w:tc>
        <w:tc>
          <w:tcPr>
            <w:tcW w:w="2308"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362" w:type="dxa"/>
            <w:vAlign w:val="center"/>
          </w:tcPr>
          <w:p>
            <w:pPr>
              <w:snapToGrid w:val="0"/>
              <w:spacing w:line="360" w:lineRule="auto"/>
              <w:jc w:val="center"/>
              <w:rPr>
                <w:rFonts w:hint="eastAsia" w:ascii="仿宋" w:hAnsi="仿宋" w:eastAsia="仿宋" w:cs="仿宋"/>
                <w:color w:val="auto"/>
                <w:sz w:val="24"/>
                <w:highlight w:val="none"/>
              </w:rPr>
            </w:pPr>
          </w:p>
        </w:tc>
        <w:tc>
          <w:tcPr>
            <w:tcW w:w="2308"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360" w:lineRule="auto"/>
              <w:jc w:val="center"/>
              <w:rPr>
                <w:rFonts w:hint="eastAsia" w:ascii="仿宋" w:hAnsi="仿宋" w:eastAsia="仿宋" w:cs="仿宋"/>
                <w:color w:val="auto"/>
                <w:sz w:val="24"/>
                <w:highlight w:val="none"/>
              </w:rPr>
            </w:pPr>
          </w:p>
        </w:tc>
        <w:tc>
          <w:tcPr>
            <w:tcW w:w="3362" w:type="dxa"/>
            <w:vAlign w:val="center"/>
          </w:tcPr>
          <w:p>
            <w:pPr>
              <w:snapToGrid w:val="0"/>
              <w:spacing w:line="360" w:lineRule="auto"/>
              <w:jc w:val="center"/>
              <w:rPr>
                <w:rFonts w:hint="eastAsia" w:ascii="仿宋" w:hAnsi="仿宋" w:eastAsia="仿宋" w:cs="仿宋"/>
                <w:color w:val="auto"/>
                <w:sz w:val="24"/>
                <w:highlight w:val="none"/>
              </w:rPr>
            </w:pPr>
          </w:p>
        </w:tc>
        <w:tc>
          <w:tcPr>
            <w:tcW w:w="2308"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360" w:lineRule="auto"/>
              <w:jc w:val="center"/>
              <w:rPr>
                <w:rFonts w:hint="eastAsia" w:ascii="仿宋" w:hAnsi="仿宋" w:eastAsia="仿宋" w:cs="仿宋"/>
                <w:color w:val="auto"/>
                <w:sz w:val="24"/>
                <w:highlight w:val="none"/>
              </w:rPr>
            </w:pPr>
          </w:p>
        </w:tc>
        <w:tc>
          <w:tcPr>
            <w:tcW w:w="3362" w:type="dxa"/>
            <w:vAlign w:val="center"/>
          </w:tcPr>
          <w:p>
            <w:pPr>
              <w:snapToGrid w:val="0"/>
              <w:spacing w:line="360" w:lineRule="auto"/>
              <w:jc w:val="center"/>
              <w:rPr>
                <w:rFonts w:hint="eastAsia" w:ascii="仿宋" w:hAnsi="仿宋" w:eastAsia="仿宋" w:cs="仿宋"/>
                <w:color w:val="auto"/>
                <w:sz w:val="24"/>
                <w:highlight w:val="none"/>
              </w:rPr>
            </w:pPr>
          </w:p>
        </w:tc>
        <w:tc>
          <w:tcPr>
            <w:tcW w:w="2308"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3"/>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3"/>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pPr>
        <w:spacing w:line="360" w:lineRule="auto"/>
        <w:ind w:firstLine="482" w:firstLineChars="200"/>
        <w:rPr>
          <w:rFonts w:hint="eastAsia" w:ascii="仿宋" w:hAnsi="仿宋" w:eastAsia="仿宋" w:cs="仿宋"/>
          <w:b/>
          <w:color w:val="auto"/>
          <w:kern w:val="0"/>
          <w:sz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1"/>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13" w:name="OLE_LINK13"/>
      <w:bookmarkStart w:id="514" w:name="OLE_LINK14"/>
      <w:r>
        <w:rPr>
          <w:rFonts w:hint="eastAsia" w:ascii="仿宋" w:hAnsi="仿宋" w:eastAsia="仿宋" w:cs="仿宋"/>
          <w:b/>
          <w:color w:val="auto"/>
          <w:spacing w:val="6"/>
          <w:sz w:val="32"/>
          <w:szCs w:val="32"/>
          <w:highlight w:val="none"/>
        </w:rPr>
        <w:t>残疾人福利性单位声明函</w:t>
      </w:r>
    </w:p>
    <w:bookmarkEnd w:id="513"/>
    <w:bookmarkEnd w:id="514"/>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both"/>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5" w:name="_Hlk101131882"/>
      <w:r>
        <w:rPr>
          <w:rFonts w:hint="eastAsia" w:ascii="仿宋" w:hAnsi="仿宋" w:eastAsia="仿宋" w:cs="仿宋"/>
          <w:color w:val="auto"/>
          <w:kern w:val="0"/>
          <w:sz w:val="24"/>
          <w:highlight w:val="none"/>
          <w:u w:val="single"/>
        </w:rPr>
        <w:t>联合体成员X,……</w:t>
      </w:r>
      <w:bookmarkEnd w:id="515"/>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6"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6"/>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7"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7"/>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napToGrid w:val="0"/>
        <w:spacing w:line="360" w:lineRule="auto"/>
        <w:ind w:firstLine="3666" w:firstLineChars="1100"/>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4"/>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样品（演示）授权委托书</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1920"/>
        <w:rPr>
          <w:rFonts w:hint="eastAsia" w:ascii="仿宋" w:hAnsi="仿宋" w:eastAsia="仿宋" w:cs="仿宋"/>
          <w:color w:val="auto"/>
          <w:highlight w:val="none"/>
          <w:lang w:val="zh-CN"/>
        </w:rPr>
      </w:pP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snapToGrid w:val="0"/>
        <w:spacing w:line="360" w:lineRule="auto"/>
        <w:ind w:right="240"/>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pStyle w:val="4"/>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32"/>
          <w:szCs w:val="32"/>
          <w:highlight w:val="none"/>
        </w:rPr>
      </w:pPr>
    </w:p>
    <w:p>
      <w:pPr>
        <w:pStyle w:val="4"/>
        <w:rPr>
          <w:rFonts w:hint="eastAsia" w:ascii="仿宋" w:hAnsi="仿宋" w:eastAsia="仿宋" w:cs="仿宋"/>
          <w:color w:val="auto"/>
          <w:highlight w:val="none"/>
        </w:rPr>
      </w:pPr>
    </w:p>
    <w:p>
      <w:pPr>
        <w:pStyle w:val="4"/>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131845147"/>
    <w:bookmarkStart w:id="519" w:name="_Toc91899912"/>
    <w:bookmarkStart w:id="520" w:name="_Toc36110187"/>
    <w:bookmarkStart w:id="521" w:name="_Toc164085800"/>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90FA0"/>
    <w:multiLevelType w:val="singleLevel"/>
    <w:tmpl w:val="88990FA0"/>
    <w:lvl w:ilvl="0" w:tentative="0">
      <w:start w:val="1"/>
      <w:numFmt w:val="decimalEnclosedCircleChinese"/>
      <w:suff w:val="nothing"/>
      <w:lvlText w:val="%1　"/>
      <w:lvlJc w:val="left"/>
      <w:pPr>
        <w:ind w:left="0" w:firstLine="400"/>
      </w:pPr>
      <w:rPr>
        <w:rFonts w:hint="eastAsia"/>
      </w:rPr>
    </w:lvl>
  </w:abstractNum>
  <w:abstractNum w:abstractNumId="1">
    <w:nsid w:val="97210E60"/>
    <w:multiLevelType w:val="singleLevel"/>
    <w:tmpl w:val="97210E60"/>
    <w:lvl w:ilvl="0" w:tentative="0">
      <w:start w:val="5"/>
      <w:numFmt w:val="chineseCounting"/>
      <w:suff w:val="nothing"/>
      <w:lvlText w:val="（%1）"/>
      <w:lvlJc w:val="left"/>
      <w:rPr>
        <w:rFonts w:hint="eastAsia"/>
      </w:rPr>
    </w:lvl>
  </w:abstractNum>
  <w:abstractNum w:abstractNumId="2">
    <w:nsid w:val="A5802F80"/>
    <w:multiLevelType w:val="singleLevel"/>
    <w:tmpl w:val="A5802F80"/>
    <w:lvl w:ilvl="0" w:tentative="0">
      <w:start w:val="1"/>
      <w:numFmt w:val="decimal"/>
      <w:suff w:val="nothing"/>
      <w:lvlText w:val="（%1）"/>
      <w:lvlJc w:val="left"/>
    </w:lvl>
  </w:abstractNum>
  <w:abstractNum w:abstractNumId="3">
    <w:nsid w:val="B1672719"/>
    <w:multiLevelType w:val="singleLevel"/>
    <w:tmpl w:val="B1672719"/>
    <w:lvl w:ilvl="0" w:tentative="0">
      <w:start w:val="1"/>
      <w:numFmt w:val="decimal"/>
      <w:suff w:val="space"/>
      <w:lvlText w:val="%1、"/>
      <w:lvlJc w:val="left"/>
    </w:lvl>
  </w:abstractNum>
  <w:abstractNum w:abstractNumId="4">
    <w:nsid w:val="D7DA998B"/>
    <w:multiLevelType w:val="singleLevel"/>
    <w:tmpl w:val="D7DA998B"/>
    <w:lvl w:ilvl="0" w:tentative="0">
      <w:start w:val="1"/>
      <w:numFmt w:val="decimalEnclosedCircleChinese"/>
      <w:suff w:val="nothing"/>
      <w:lvlText w:val="%1　"/>
      <w:lvlJc w:val="left"/>
      <w:pPr>
        <w:ind w:left="0" w:firstLine="400"/>
      </w:pPr>
      <w:rPr>
        <w:rFonts w:hint="eastAsia"/>
      </w:rPr>
    </w:lvl>
  </w:abstractNum>
  <w:abstractNum w:abstractNumId="5">
    <w:nsid w:val="E5125FA7"/>
    <w:multiLevelType w:val="singleLevel"/>
    <w:tmpl w:val="E5125FA7"/>
    <w:lvl w:ilvl="0" w:tentative="0">
      <w:start w:val="1"/>
      <w:numFmt w:val="decimalEnclosedCircleChinese"/>
      <w:suff w:val="nothing"/>
      <w:lvlText w:val="%1　"/>
      <w:lvlJc w:val="left"/>
      <w:pPr>
        <w:ind w:left="0" w:firstLine="400"/>
      </w:pPr>
      <w:rPr>
        <w:rFonts w:hint="eastAsia"/>
      </w:rPr>
    </w:lvl>
  </w:abstractNum>
  <w:abstractNum w:abstractNumId="6">
    <w:nsid w:val="10AA757C"/>
    <w:multiLevelType w:val="singleLevel"/>
    <w:tmpl w:val="10AA757C"/>
    <w:lvl w:ilvl="0" w:tentative="0">
      <w:start w:val="1"/>
      <w:numFmt w:val="decimalEnclosedCircleChinese"/>
      <w:suff w:val="nothing"/>
      <w:lvlText w:val="%1　"/>
      <w:lvlJc w:val="left"/>
      <w:pPr>
        <w:ind w:left="0" w:firstLine="400"/>
      </w:pPr>
      <w:rPr>
        <w:rFonts w:hint="eastAsia"/>
      </w:rPr>
    </w:lvl>
  </w:abstractNum>
  <w:abstractNum w:abstractNumId="7">
    <w:nsid w:val="4649E2F1"/>
    <w:multiLevelType w:val="singleLevel"/>
    <w:tmpl w:val="4649E2F1"/>
    <w:lvl w:ilvl="0" w:tentative="0">
      <w:start w:val="8"/>
      <w:numFmt w:val="decimal"/>
      <w:suff w:val="nothing"/>
      <w:lvlText w:val="%1、"/>
      <w:lvlJc w:val="left"/>
    </w:lvl>
  </w:abstractNum>
  <w:abstractNum w:abstractNumId="8">
    <w:nsid w:val="6BA8B210"/>
    <w:multiLevelType w:val="singleLevel"/>
    <w:tmpl w:val="6BA8B210"/>
    <w:lvl w:ilvl="0" w:tentative="0">
      <w:start w:val="9"/>
      <w:numFmt w:val="decimal"/>
      <w:suff w:val="nothing"/>
      <w:lvlText w:val="%1、"/>
      <w:lvlJc w:val="left"/>
      <w:pPr>
        <w:ind w:left="480" w:firstLine="0"/>
      </w:pPr>
    </w:lvl>
  </w:abstractNum>
  <w:num w:numId="1">
    <w:abstractNumId w:val="2"/>
  </w:num>
  <w:num w:numId="2">
    <w:abstractNumId w:val="0"/>
  </w:num>
  <w:num w:numId="3">
    <w:abstractNumId w:val="5"/>
  </w:num>
  <w:num w:numId="4">
    <w:abstractNumId w:val="6"/>
  </w:num>
  <w:num w:numId="5">
    <w:abstractNumId w:val="4"/>
  </w:num>
  <w:num w:numId="6">
    <w:abstractNumId w:val="7"/>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OGU3ZDU0OWE3MmIzNzlhNzdiMzBhNTdiYmI4Yj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394F"/>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0D66DE"/>
    <w:rsid w:val="025F0711"/>
    <w:rsid w:val="026B2E25"/>
    <w:rsid w:val="02810A7C"/>
    <w:rsid w:val="02824D4D"/>
    <w:rsid w:val="02DC4B10"/>
    <w:rsid w:val="02DD76CE"/>
    <w:rsid w:val="02F36323"/>
    <w:rsid w:val="02F5619C"/>
    <w:rsid w:val="0326446A"/>
    <w:rsid w:val="032D5555"/>
    <w:rsid w:val="03544D12"/>
    <w:rsid w:val="036634D2"/>
    <w:rsid w:val="03C14E34"/>
    <w:rsid w:val="03DD35E4"/>
    <w:rsid w:val="04076900"/>
    <w:rsid w:val="040F60DE"/>
    <w:rsid w:val="041A5A3B"/>
    <w:rsid w:val="042311BA"/>
    <w:rsid w:val="042A28FC"/>
    <w:rsid w:val="042B157A"/>
    <w:rsid w:val="048F763B"/>
    <w:rsid w:val="049F330E"/>
    <w:rsid w:val="04AA775C"/>
    <w:rsid w:val="04AF1889"/>
    <w:rsid w:val="04F66F48"/>
    <w:rsid w:val="05043453"/>
    <w:rsid w:val="05251E14"/>
    <w:rsid w:val="055C30DB"/>
    <w:rsid w:val="05746676"/>
    <w:rsid w:val="05A16594"/>
    <w:rsid w:val="05A7762D"/>
    <w:rsid w:val="060E5941"/>
    <w:rsid w:val="06110FAF"/>
    <w:rsid w:val="06493CA7"/>
    <w:rsid w:val="065A6178"/>
    <w:rsid w:val="066F1CF3"/>
    <w:rsid w:val="06930BB8"/>
    <w:rsid w:val="06C17A3F"/>
    <w:rsid w:val="07245D42"/>
    <w:rsid w:val="07264C62"/>
    <w:rsid w:val="0764344E"/>
    <w:rsid w:val="0779354C"/>
    <w:rsid w:val="08061376"/>
    <w:rsid w:val="08452D77"/>
    <w:rsid w:val="086401F8"/>
    <w:rsid w:val="08751CAA"/>
    <w:rsid w:val="087E4C40"/>
    <w:rsid w:val="08A871D0"/>
    <w:rsid w:val="08D66AD6"/>
    <w:rsid w:val="08DA33A3"/>
    <w:rsid w:val="08E80F13"/>
    <w:rsid w:val="0931635A"/>
    <w:rsid w:val="09335624"/>
    <w:rsid w:val="0944690F"/>
    <w:rsid w:val="09535675"/>
    <w:rsid w:val="095F057D"/>
    <w:rsid w:val="09642282"/>
    <w:rsid w:val="09733572"/>
    <w:rsid w:val="09772C16"/>
    <w:rsid w:val="098353B5"/>
    <w:rsid w:val="09A92330"/>
    <w:rsid w:val="09B06B87"/>
    <w:rsid w:val="09C13146"/>
    <w:rsid w:val="09E04166"/>
    <w:rsid w:val="09E25AD6"/>
    <w:rsid w:val="0A1C0718"/>
    <w:rsid w:val="0A3E7710"/>
    <w:rsid w:val="0A557AA3"/>
    <w:rsid w:val="0A5B7E63"/>
    <w:rsid w:val="0AA374A5"/>
    <w:rsid w:val="0AAB7649"/>
    <w:rsid w:val="0ABC5606"/>
    <w:rsid w:val="0ABD1FA1"/>
    <w:rsid w:val="0B30404E"/>
    <w:rsid w:val="0B4C6C14"/>
    <w:rsid w:val="0B547599"/>
    <w:rsid w:val="0B631A88"/>
    <w:rsid w:val="0B683D45"/>
    <w:rsid w:val="0B7F3F11"/>
    <w:rsid w:val="0B884417"/>
    <w:rsid w:val="0BA23606"/>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2155F"/>
    <w:rsid w:val="0D4A7419"/>
    <w:rsid w:val="0D827401"/>
    <w:rsid w:val="0D84094E"/>
    <w:rsid w:val="0D8A00E9"/>
    <w:rsid w:val="0D8D589E"/>
    <w:rsid w:val="0DA01C73"/>
    <w:rsid w:val="0DC44CA8"/>
    <w:rsid w:val="0DD63300"/>
    <w:rsid w:val="0DF50604"/>
    <w:rsid w:val="0DF702FE"/>
    <w:rsid w:val="0E060E51"/>
    <w:rsid w:val="0E5604B2"/>
    <w:rsid w:val="0E574D87"/>
    <w:rsid w:val="0E6D5D79"/>
    <w:rsid w:val="0E9D0089"/>
    <w:rsid w:val="0EB803EE"/>
    <w:rsid w:val="0EF94D4B"/>
    <w:rsid w:val="0F192CA3"/>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4D6368"/>
    <w:rsid w:val="16A8729C"/>
    <w:rsid w:val="16B33777"/>
    <w:rsid w:val="16BC70A7"/>
    <w:rsid w:val="16C6339E"/>
    <w:rsid w:val="172F2D79"/>
    <w:rsid w:val="17557BEF"/>
    <w:rsid w:val="179450F0"/>
    <w:rsid w:val="17D349C1"/>
    <w:rsid w:val="1830729E"/>
    <w:rsid w:val="1870062C"/>
    <w:rsid w:val="18817102"/>
    <w:rsid w:val="18830A15"/>
    <w:rsid w:val="18852B28"/>
    <w:rsid w:val="188B5321"/>
    <w:rsid w:val="189E35C3"/>
    <w:rsid w:val="196F168A"/>
    <w:rsid w:val="19932372"/>
    <w:rsid w:val="19A20DD5"/>
    <w:rsid w:val="19AE03F1"/>
    <w:rsid w:val="19DD2EB7"/>
    <w:rsid w:val="1A071A03"/>
    <w:rsid w:val="1A0A7944"/>
    <w:rsid w:val="1A1F16AE"/>
    <w:rsid w:val="1A3B5C77"/>
    <w:rsid w:val="1A984BAD"/>
    <w:rsid w:val="1AB677C4"/>
    <w:rsid w:val="1AB8220E"/>
    <w:rsid w:val="1AD8423B"/>
    <w:rsid w:val="1AE4166C"/>
    <w:rsid w:val="1AF06CFB"/>
    <w:rsid w:val="1AF11B8D"/>
    <w:rsid w:val="1B11359C"/>
    <w:rsid w:val="1B2A271F"/>
    <w:rsid w:val="1B336AAA"/>
    <w:rsid w:val="1B3A5949"/>
    <w:rsid w:val="1B530544"/>
    <w:rsid w:val="1B713184"/>
    <w:rsid w:val="1BA209CF"/>
    <w:rsid w:val="1BB4777D"/>
    <w:rsid w:val="1BD75AB8"/>
    <w:rsid w:val="1C0459C2"/>
    <w:rsid w:val="1C1B3B4A"/>
    <w:rsid w:val="1C88086E"/>
    <w:rsid w:val="1C9D39D0"/>
    <w:rsid w:val="1D266CE1"/>
    <w:rsid w:val="1D3963AF"/>
    <w:rsid w:val="1D6A673C"/>
    <w:rsid w:val="1D7E2045"/>
    <w:rsid w:val="1D9247AE"/>
    <w:rsid w:val="1DB567EC"/>
    <w:rsid w:val="1DF51A98"/>
    <w:rsid w:val="1E293B80"/>
    <w:rsid w:val="1E3D060F"/>
    <w:rsid w:val="1E3F7D2E"/>
    <w:rsid w:val="1E4134E4"/>
    <w:rsid w:val="1E5062B3"/>
    <w:rsid w:val="1E523514"/>
    <w:rsid w:val="1E714A66"/>
    <w:rsid w:val="1E7C4AA1"/>
    <w:rsid w:val="1E802593"/>
    <w:rsid w:val="1E8B6156"/>
    <w:rsid w:val="1EA703CC"/>
    <w:rsid w:val="1EB7330C"/>
    <w:rsid w:val="1F0A0FF3"/>
    <w:rsid w:val="1F2B761C"/>
    <w:rsid w:val="1F5771FF"/>
    <w:rsid w:val="1FAA27D5"/>
    <w:rsid w:val="1FD52DD5"/>
    <w:rsid w:val="1FE868A9"/>
    <w:rsid w:val="20034907"/>
    <w:rsid w:val="20173E4B"/>
    <w:rsid w:val="204E48BC"/>
    <w:rsid w:val="208921B3"/>
    <w:rsid w:val="20973DEB"/>
    <w:rsid w:val="20B26522"/>
    <w:rsid w:val="20B44310"/>
    <w:rsid w:val="20D95AE6"/>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132A7F"/>
    <w:rsid w:val="258B00E2"/>
    <w:rsid w:val="25A917A6"/>
    <w:rsid w:val="25BE27CC"/>
    <w:rsid w:val="25CB4C74"/>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D82DC8"/>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0B2FE1"/>
    <w:rsid w:val="2C191F85"/>
    <w:rsid w:val="2CE82D6F"/>
    <w:rsid w:val="2D343236"/>
    <w:rsid w:val="2DD15014"/>
    <w:rsid w:val="2DDD44FF"/>
    <w:rsid w:val="2DF72DE4"/>
    <w:rsid w:val="2E0220AF"/>
    <w:rsid w:val="2E4B082A"/>
    <w:rsid w:val="2E5D4E86"/>
    <w:rsid w:val="2E5D790B"/>
    <w:rsid w:val="2E9A3C18"/>
    <w:rsid w:val="2EBB0FEE"/>
    <w:rsid w:val="2EC63002"/>
    <w:rsid w:val="2F0A6B38"/>
    <w:rsid w:val="2F4076A5"/>
    <w:rsid w:val="2F946CCB"/>
    <w:rsid w:val="2FD25781"/>
    <w:rsid w:val="2FDC745C"/>
    <w:rsid w:val="2FDF339A"/>
    <w:rsid w:val="2FFD7934"/>
    <w:rsid w:val="302A6B47"/>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A3740"/>
    <w:rsid w:val="363A3B40"/>
    <w:rsid w:val="36425EAC"/>
    <w:rsid w:val="365302AE"/>
    <w:rsid w:val="36607A0A"/>
    <w:rsid w:val="366E227C"/>
    <w:rsid w:val="366F2E0D"/>
    <w:rsid w:val="367B6A5C"/>
    <w:rsid w:val="36A74ADA"/>
    <w:rsid w:val="36AD60D5"/>
    <w:rsid w:val="36B224F9"/>
    <w:rsid w:val="36EC0CC9"/>
    <w:rsid w:val="373F410B"/>
    <w:rsid w:val="3743085E"/>
    <w:rsid w:val="3754266E"/>
    <w:rsid w:val="37EE7094"/>
    <w:rsid w:val="38296C89"/>
    <w:rsid w:val="383002EB"/>
    <w:rsid w:val="38586797"/>
    <w:rsid w:val="38BC0149"/>
    <w:rsid w:val="38D87D1C"/>
    <w:rsid w:val="39416E46"/>
    <w:rsid w:val="39636459"/>
    <w:rsid w:val="396B7F6C"/>
    <w:rsid w:val="39A959E1"/>
    <w:rsid w:val="39B417A9"/>
    <w:rsid w:val="39FC5695"/>
    <w:rsid w:val="3A006D8E"/>
    <w:rsid w:val="3A3651E5"/>
    <w:rsid w:val="3A6B7B46"/>
    <w:rsid w:val="3A744481"/>
    <w:rsid w:val="3A8C7BEF"/>
    <w:rsid w:val="3A906246"/>
    <w:rsid w:val="3B2349B7"/>
    <w:rsid w:val="3B616CFF"/>
    <w:rsid w:val="3B6259F6"/>
    <w:rsid w:val="3B976654"/>
    <w:rsid w:val="3BC01EFC"/>
    <w:rsid w:val="3BC7639E"/>
    <w:rsid w:val="3BCA786A"/>
    <w:rsid w:val="3BD31E2F"/>
    <w:rsid w:val="3BF15831"/>
    <w:rsid w:val="3C105946"/>
    <w:rsid w:val="3C471448"/>
    <w:rsid w:val="3C5F759A"/>
    <w:rsid w:val="3C6C525A"/>
    <w:rsid w:val="3CCE23CB"/>
    <w:rsid w:val="3CD17D17"/>
    <w:rsid w:val="3CD216CF"/>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523"/>
    <w:rsid w:val="3F2F0234"/>
    <w:rsid w:val="3F6363FE"/>
    <w:rsid w:val="3F756B8F"/>
    <w:rsid w:val="3F95482B"/>
    <w:rsid w:val="4019356B"/>
    <w:rsid w:val="40592157"/>
    <w:rsid w:val="406E1CAE"/>
    <w:rsid w:val="40A0133A"/>
    <w:rsid w:val="40C31A53"/>
    <w:rsid w:val="40C55A1F"/>
    <w:rsid w:val="40FF545D"/>
    <w:rsid w:val="410067C8"/>
    <w:rsid w:val="418F0D2A"/>
    <w:rsid w:val="41D01505"/>
    <w:rsid w:val="41DB105A"/>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D4EE0"/>
    <w:rsid w:val="445C3545"/>
    <w:rsid w:val="449101DD"/>
    <w:rsid w:val="44B30B0A"/>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8D27B6"/>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7A04D7"/>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021F09"/>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424C0"/>
    <w:rsid w:val="522E4CC3"/>
    <w:rsid w:val="5244713B"/>
    <w:rsid w:val="52615633"/>
    <w:rsid w:val="526F4DE4"/>
    <w:rsid w:val="52977FD4"/>
    <w:rsid w:val="52A25790"/>
    <w:rsid w:val="52A96B6F"/>
    <w:rsid w:val="52B45975"/>
    <w:rsid w:val="52D94AA4"/>
    <w:rsid w:val="52EA3A62"/>
    <w:rsid w:val="52F50BB8"/>
    <w:rsid w:val="53097272"/>
    <w:rsid w:val="53534895"/>
    <w:rsid w:val="53544462"/>
    <w:rsid w:val="537868FE"/>
    <w:rsid w:val="5397158E"/>
    <w:rsid w:val="54013861"/>
    <w:rsid w:val="543A3BB4"/>
    <w:rsid w:val="54487265"/>
    <w:rsid w:val="544D6070"/>
    <w:rsid w:val="54605E1E"/>
    <w:rsid w:val="548F12EC"/>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D1862"/>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B1CDB"/>
    <w:rsid w:val="58917D2F"/>
    <w:rsid w:val="5894085C"/>
    <w:rsid w:val="58AE4F0C"/>
    <w:rsid w:val="58B85899"/>
    <w:rsid w:val="58E363A9"/>
    <w:rsid w:val="595E1678"/>
    <w:rsid w:val="596D5BD4"/>
    <w:rsid w:val="597E3DD8"/>
    <w:rsid w:val="59B36DE2"/>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E13E74"/>
    <w:rsid w:val="5DFB0858"/>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A30C3E"/>
    <w:rsid w:val="5FCC5339"/>
    <w:rsid w:val="5FE34A5B"/>
    <w:rsid w:val="5FFE1E36"/>
    <w:rsid w:val="600E182D"/>
    <w:rsid w:val="60232584"/>
    <w:rsid w:val="6068418F"/>
    <w:rsid w:val="607330CE"/>
    <w:rsid w:val="60825176"/>
    <w:rsid w:val="609F2AC4"/>
    <w:rsid w:val="60A110DB"/>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A3D28"/>
    <w:rsid w:val="643E143A"/>
    <w:rsid w:val="64491666"/>
    <w:rsid w:val="648669A1"/>
    <w:rsid w:val="648B6EEF"/>
    <w:rsid w:val="64C158BF"/>
    <w:rsid w:val="64CE2EAA"/>
    <w:rsid w:val="64F4441F"/>
    <w:rsid w:val="653C3090"/>
    <w:rsid w:val="65854376"/>
    <w:rsid w:val="658767BE"/>
    <w:rsid w:val="65892531"/>
    <w:rsid w:val="66142D83"/>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175D05"/>
    <w:rsid w:val="693E15D3"/>
    <w:rsid w:val="69627681"/>
    <w:rsid w:val="6977531D"/>
    <w:rsid w:val="69B93C90"/>
    <w:rsid w:val="69CC2BFF"/>
    <w:rsid w:val="69FD55B8"/>
    <w:rsid w:val="6A0B1C62"/>
    <w:rsid w:val="6A2406C8"/>
    <w:rsid w:val="6A4B6899"/>
    <w:rsid w:val="6ADE0BD1"/>
    <w:rsid w:val="6ADE4CDC"/>
    <w:rsid w:val="6AE96859"/>
    <w:rsid w:val="6B147746"/>
    <w:rsid w:val="6B24787C"/>
    <w:rsid w:val="6B573233"/>
    <w:rsid w:val="6B5B6274"/>
    <w:rsid w:val="6B8D659C"/>
    <w:rsid w:val="6B935D53"/>
    <w:rsid w:val="6BFB7BD7"/>
    <w:rsid w:val="6C196F71"/>
    <w:rsid w:val="6C226FCB"/>
    <w:rsid w:val="6C31226F"/>
    <w:rsid w:val="6C552F0B"/>
    <w:rsid w:val="6C8C67B7"/>
    <w:rsid w:val="6C9D744C"/>
    <w:rsid w:val="6CBE317C"/>
    <w:rsid w:val="6CF21078"/>
    <w:rsid w:val="6D167928"/>
    <w:rsid w:val="6D26299B"/>
    <w:rsid w:val="6D4772EC"/>
    <w:rsid w:val="6D9078AF"/>
    <w:rsid w:val="6DAA3FEF"/>
    <w:rsid w:val="6DC0172B"/>
    <w:rsid w:val="6DCB690C"/>
    <w:rsid w:val="6DD41A5B"/>
    <w:rsid w:val="6DF07D03"/>
    <w:rsid w:val="6DF43C2E"/>
    <w:rsid w:val="6DF51CA3"/>
    <w:rsid w:val="6E8335BD"/>
    <w:rsid w:val="6E8E12EF"/>
    <w:rsid w:val="6E972936"/>
    <w:rsid w:val="6ED446C5"/>
    <w:rsid w:val="6F2A7D94"/>
    <w:rsid w:val="6F8331F1"/>
    <w:rsid w:val="6F9E54E7"/>
    <w:rsid w:val="6FAE1A09"/>
    <w:rsid w:val="6FD75BF8"/>
    <w:rsid w:val="707723D0"/>
    <w:rsid w:val="70F5661B"/>
    <w:rsid w:val="71360107"/>
    <w:rsid w:val="713B688E"/>
    <w:rsid w:val="71D43752"/>
    <w:rsid w:val="71EF18F4"/>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175F92"/>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112CFA"/>
    <w:rsid w:val="78775729"/>
    <w:rsid w:val="78A42DB0"/>
    <w:rsid w:val="78A656AB"/>
    <w:rsid w:val="78AC6133"/>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F7299"/>
    <w:rsid w:val="7B257FFD"/>
    <w:rsid w:val="7B273D20"/>
    <w:rsid w:val="7B343476"/>
    <w:rsid w:val="7B5A2978"/>
    <w:rsid w:val="7B5A7E4C"/>
    <w:rsid w:val="7B5E4B48"/>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EC1DCB"/>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19"/>
    <w:qFormat/>
    <w:uiPriority w:val="0"/>
    <w:pPr>
      <w:ind w:firstLine="420"/>
    </w:pPr>
    <w:rPr>
      <w:rFonts w:hAnsi="Calibri" w:cs="Times New Roman"/>
      <w:snapToGrid/>
      <w:szCs w:val="20"/>
    </w:rPr>
  </w:style>
  <w:style w:type="paragraph" w:styleId="26">
    <w:name w:val="Body Text Indent"/>
    <w:basedOn w:val="1"/>
    <w:next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4"/>
    <w:qFormat/>
    <w:uiPriority w:val="0"/>
    <w:rPr>
      <w:b/>
      <w:bCs/>
    </w:rPr>
  </w:style>
  <w:style w:type="paragraph" w:styleId="62">
    <w:name w:val="Body Text First Indent 2"/>
    <w:basedOn w:val="26"/>
    <w:next w:val="1"/>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99"/>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封面编号"/>
    <w:basedOn w:val="1"/>
    <w:qFormat/>
    <w:uiPriority w:val="0"/>
    <w:pPr>
      <w:spacing w:line="360" w:lineRule="auto"/>
      <w:jc w:val="center"/>
    </w:pPr>
    <w:rPr>
      <w:rFonts w:ascii="黑体" w:hAnsi="宋体" w:eastAsia="黑体" w:cs="宋体"/>
      <w:b/>
      <w:bCs/>
      <w:sz w:val="38"/>
      <w:szCs w:val="20"/>
    </w:rPr>
  </w:style>
  <w:style w:type="paragraph" w:customStyle="1" w:styleId="96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43793</Words>
  <Characters>46240</Characters>
  <Lines>281</Lines>
  <Paragraphs>79</Paragraphs>
  <TotalTime>4</TotalTime>
  <ScaleCrop>false</ScaleCrop>
  <LinksUpToDate>false</LinksUpToDate>
  <CharactersWithSpaces>51642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宇宇妈</cp:lastModifiedBy>
  <cp:lastPrinted>2021-12-27T03:06:00Z</cp:lastPrinted>
  <dcterms:modified xsi:type="dcterms:W3CDTF">2023-07-18T05:26:27Z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