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pStyle w:val="972"/>
        <w:spacing w:line="760" w:lineRule="exact"/>
        <w:rPr>
          <w:rFonts w:ascii="宋体" w:eastAsia="宋体"/>
          <w:sz w:val="72"/>
          <w:szCs w:val="72"/>
        </w:rPr>
      </w:pPr>
    </w:p>
    <w:p>
      <w:pPr>
        <w:pStyle w:val="85"/>
        <w:jc w:val="center"/>
        <w:rPr>
          <w:rFonts w:ascii="宋体" w:hAnsi="宋体" w:cs="宋体"/>
          <w:sz w:val="48"/>
          <w:szCs w:val="48"/>
          <w:lang w:eastAsia="zh-CN"/>
        </w:rPr>
      </w:pPr>
      <w:r>
        <w:rPr>
          <w:rFonts w:hint="eastAsia" w:ascii="宋体" w:hAnsi="宋体"/>
          <w:b/>
          <w:spacing w:val="-6"/>
          <w:sz w:val="48"/>
          <w:szCs w:val="48"/>
        </w:rPr>
        <w:t>2023年度管线探测与GIS数据更新服务</w:t>
      </w:r>
    </w:p>
    <w:p>
      <w:pPr>
        <w:adjustRightInd/>
        <w:spacing w:line="360" w:lineRule="auto"/>
        <w:jc w:val="center"/>
        <w:rPr>
          <w:rFonts w:ascii="宋体" w:hAnsi="宋体" w:cs="宋体"/>
          <w:b/>
          <w:bCs/>
          <w:sz w:val="72"/>
          <w:szCs w:val="72"/>
        </w:rPr>
      </w:pPr>
    </w:p>
    <w:p>
      <w:pPr>
        <w:adjustRightInd/>
        <w:spacing w:line="360" w:lineRule="auto"/>
        <w:jc w:val="center"/>
        <w:rPr>
          <w:rFonts w:ascii="宋体" w:hAnsi="宋体" w:cs="宋体"/>
          <w:b/>
          <w:bCs/>
          <w:sz w:val="72"/>
          <w:szCs w:val="72"/>
        </w:rPr>
      </w:pPr>
    </w:p>
    <w:p>
      <w:pPr>
        <w:adjustRightInd/>
        <w:spacing w:line="360" w:lineRule="auto"/>
        <w:jc w:val="center"/>
        <w:rPr>
          <w:rFonts w:ascii="宋体" w:hAnsi="宋体" w:cs="宋体"/>
          <w:b/>
          <w:bCs/>
          <w:sz w:val="72"/>
          <w:szCs w:val="72"/>
        </w:rPr>
      </w:pPr>
      <w:r>
        <w:rPr>
          <w:rFonts w:hint="eastAsia" w:ascii="宋体" w:hAnsi="宋体" w:cs="宋体"/>
          <w:b/>
          <w:bCs/>
          <w:sz w:val="72"/>
          <w:szCs w:val="72"/>
        </w:rPr>
        <w:t>公开竞争文件</w:t>
      </w:r>
    </w:p>
    <w:p>
      <w:pPr>
        <w:adjustRightInd/>
        <w:spacing w:line="360" w:lineRule="auto"/>
        <w:jc w:val="center"/>
        <w:rPr>
          <w:rFonts w:ascii="宋体" w:hAnsi="宋体" w:cs="宋体"/>
          <w:b/>
          <w:sz w:val="40"/>
          <w:szCs w:val="40"/>
        </w:rPr>
      </w:pPr>
      <w:r>
        <w:rPr>
          <w:rFonts w:hint="eastAsia" w:ascii="宋体" w:hAnsi="宋体" w:cs="宋体"/>
          <w:b/>
          <w:sz w:val="40"/>
          <w:szCs w:val="40"/>
        </w:rPr>
        <w:t>（电子交易）</w:t>
      </w:r>
    </w:p>
    <w:p>
      <w:pPr>
        <w:snapToGrid w:val="0"/>
        <w:spacing w:line="360" w:lineRule="auto"/>
        <w:jc w:val="center"/>
        <w:rPr>
          <w:rFonts w:ascii="宋体" w:hAnsi="宋体" w:cs="宋体"/>
          <w:b/>
          <w:bCs/>
          <w:sz w:val="30"/>
          <w:szCs w:val="30"/>
        </w:rPr>
      </w:pPr>
    </w:p>
    <w:p>
      <w:pPr>
        <w:snapToGrid w:val="0"/>
        <w:spacing w:line="360" w:lineRule="auto"/>
        <w:jc w:val="center"/>
        <w:rPr>
          <w:rFonts w:hint="default" w:ascii="宋体" w:hAnsi="宋体" w:eastAsia="宋体" w:cs="宋体"/>
          <w:b/>
          <w:bCs/>
          <w:sz w:val="30"/>
          <w:szCs w:val="30"/>
          <w:lang w:val="en-US" w:eastAsia="zh-CN"/>
        </w:rPr>
      </w:pPr>
      <w:r>
        <w:rPr>
          <w:rFonts w:hint="eastAsia" w:ascii="宋体" w:hAnsi="宋体" w:cs="宋体"/>
          <w:b/>
          <w:bCs/>
          <w:sz w:val="30"/>
          <w:szCs w:val="30"/>
        </w:rPr>
        <w:t>交易编号：BWZBDL2023-</w:t>
      </w:r>
      <w:r>
        <w:rPr>
          <w:rFonts w:hint="eastAsia" w:ascii="宋体" w:hAnsi="宋体" w:cs="宋体"/>
          <w:b/>
          <w:bCs/>
          <w:sz w:val="30"/>
          <w:szCs w:val="30"/>
          <w:lang w:val="en-US" w:eastAsia="zh-CN"/>
        </w:rPr>
        <w:t>347</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pStyle w:val="89"/>
        <w:rPr>
          <w:rFonts w:cs="宋体"/>
        </w:rPr>
      </w:pPr>
    </w:p>
    <w:p>
      <w:pPr>
        <w:pStyle w:val="85"/>
        <w:ind w:firstLine="0"/>
        <w:rPr>
          <w:rFonts w:ascii="宋体" w:hAnsi="宋体" w:cs="宋体"/>
          <w:lang w:eastAsia="zh-CN"/>
        </w:rPr>
      </w:pPr>
    </w:p>
    <w:p>
      <w:pPr>
        <w:spacing w:line="360" w:lineRule="auto"/>
        <w:ind w:firstLine="964" w:firstLineChars="300"/>
        <w:rPr>
          <w:rFonts w:ascii="宋体" w:hAnsi="宋体" w:cs="宋体"/>
          <w:b/>
          <w:spacing w:val="-20"/>
          <w:sz w:val="32"/>
          <w:szCs w:val="30"/>
        </w:rPr>
      </w:pPr>
      <w:r>
        <w:rPr>
          <w:rFonts w:hint="eastAsia" w:ascii="宋体" w:hAnsi="宋体" w:cs="宋体"/>
          <w:b/>
          <w:sz w:val="32"/>
          <w:szCs w:val="30"/>
        </w:rPr>
        <w:t>交易发起人：</w:t>
      </w:r>
      <w:r>
        <w:rPr>
          <w:rFonts w:hint="eastAsia" w:ascii="宋体" w:hAnsi="宋体" w:cs="宋体"/>
          <w:b/>
          <w:spacing w:val="57"/>
          <w:sz w:val="32"/>
          <w:szCs w:val="30"/>
        </w:rPr>
        <w:t>杭州萧山供水有限公司</w:t>
      </w:r>
      <w:r>
        <w:rPr>
          <w:rFonts w:hint="eastAsia" w:ascii="宋体" w:hAnsi="宋体" w:cs="宋体"/>
          <w:b/>
          <w:spacing w:val="45"/>
          <w:sz w:val="32"/>
          <w:szCs w:val="30"/>
        </w:rPr>
        <w:t xml:space="preserve"> </w:t>
      </w:r>
    </w:p>
    <w:p>
      <w:pPr>
        <w:spacing w:line="360" w:lineRule="auto"/>
        <w:ind w:firstLine="964" w:firstLineChars="300"/>
        <w:rPr>
          <w:rFonts w:ascii="宋体" w:hAnsi="宋体" w:cs="宋体"/>
          <w:b/>
          <w:sz w:val="32"/>
          <w:szCs w:val="32"/>
        </w:rPr>
      </w:pPr>
      <w:r>
        <w:rPr>
          <w:rFonts w:hint="eastAsia" w:ascii="宋体" w:hAnsi="宋体" w:cs="宋体"/>
          <w:b/>
          <w:sz w:val="32"/>
          <w:szCs w:val="30"/>
        </w:rPr>
        <w:t>代理机构：杭州博望建设工程招标投标代理有限公司</w:t>
      </w:r>
    </w:p>
    <w:p>
      <w:pPr>
        <w:snapToGrid w:val="0"/>
        <w:spacing w:line="360" w:lineRule="auto"/>
        <w:jc w:val="center"/>
        <w:rPr>
          <w:rFonts w:ascii="宋体" w:hAnsi="宋体" w:cs="宋体"/>
          <w:b/>
          <w:sz w:val="32"/>
          <w:szCs w:val="32"/>
        </w:rPr>
      </w:pPr>
      <w:r>
        <w:rPr>
          <w:rFonts w:hint="eastAsia" w:ascii="宋体" w:hAnsi="宋体" w:cs="宋体"/>
          <w:b/>
          <w:sz w:val="32"/>
          <w:szCs w:val="32"/>
        </w:rPr>
        <w:t>二〇二三年十</w:t>
      </w:r>
      <w:r>
        <w:rPr>
          <w:rFonts w:hint="eastAsia" w:ascii="宋体" w:hAnsi="宋体" w:cs="宋体"/>
          <w:b/>
          <w:sz w:val="32"/>
          <w:szCs w:val="32"/>
          <w:lang w:val="en-US" w:eastAsia="zh-CN"/>
        </w:rPr>
        <w:t>二</w:t>
      </w:r>
      <w:r>
        <w:rPr>
          <w:rFonts w:hint="eastAsia" w:ascii="宋体" w:hAnsi="宋体" w:cs="宋体"/>
          <w:b/>
          <w:sz w:val="32"/>
          <w:szCs w:val="32"/>
        </w:rPr>
        <w:t>月</w:t>
      </w:r>
      <w:r>
        <w:rPr>
          <w:rFonts w:hint="eastAsia" w:ascii="宋体" w:hAnsi="宋体" w:cs="宋体"/>
          <w:b/>
          <w:sz w:val="32"/>
          <w:szCs w:val="32"/>
          <w:lang w:val="en-US" w:eastAsia="zh-CN"/>
        </w:rPr>
        <w:t>十二</w:t>
      </w:r>
      <w:r>
        <w:rPr>
          <w:rFonts w:hint="eastAsia" w:ascii="宋体" w:hAnsi="宋体" w:cs="宋体"/>
          <w:b/>
          <w:sz w:val="32"/>
          <w:szCs w:val="32"/>
        </w:rPr>
        <w:t>日</w:t>
      </w:r>
    </w:p>
    <w:p>
      <w:pPr>
        <w:rPr>
          <w:rFonts w:ascii="宋体" w:hAnsi="宋体" w:cs="宋体"/>
          <w:b/>
          <w:sz w:val="48"/>
          <w:szCs w:val="48"/>
        </w:rPr>
      </w:pPr>
      <w:r>
        <w:rPr>
          <w:rFonts w:hint="eastAsia" w:ascii="宋体" w:hAnsi="宋体" w:cs="宋体"/>
          <w:b/>
          <w:sz w:val="48"/>
          <w:szCs w:val="48"/>
        </w:rPr>
        <w:br w:type="page"/>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交易公告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响应人须知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交易需求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交易办法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0" w:name="_Hlt91233176"/>
      <w:bookmarkEnd w:id="0"/>
      <w:bookmarkStart w:id="1"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2" w:name="第一部分"/>
      <w:r>
        <w:rPr>
          <w:rFonts w:hint="eastAsia" w:ascii="宋体" w:hAnsi="宋体" w:cs="宋体"/>
          <w:b/>
          <w:sz w:val="36"/>
          <w:szCs w:val="36"/>
        </w:rPr>
        <w:br w:type="page"/>
      </w:r>
      <w:bookmarkEnd w:id="1"/>
      <w:bookmarkEnd w:id="2"/>
      <w:bookmarkStart w:id="3" w:name="_Hlt74707423"/>
      <w:bookmarkEnd w:id="3"/>
      <w:bookmarkStart w:id="4" w:name="_Hlt74649545"/>
      <w:bookmarkEnd w:id="4"/>
      <w:bookmarkStart w:id="5" w:name="_Hlt74729822"/>
      <w:bookmarkEnd w:id="5"/>
      <w:bookmarkStart w:id="6" w:name="_Hlt74728647"/>
      <w:bookmarkEnd w:id="6"/>
      <w:bookmarkStart w:id="7" w:name="第二部分"/>
      <w:bookmarkStart w:id="8" w:name="_Toc91899870"/>
      <w:bookmarkStart w:id="9" w:name="_Toc91899871"/>
      <w:r>
        <w:rPr>
          <w:rFonts w:hint="eastAsia" w:ascii="宋体" w:hAnsi="宋体" w:cs="宋体"/>
          <w:b/>
          <w:sz w:val="36"/>
          <w:szCs w:val="20"/>
        </w:rPr>
        <w:t>第一部分 交易公告</w:t>
      </w:r>
    </w:p>
    <w:p>
      <w:pPr>
        <w:spacing w:line="360" w:lineRule="auto"/>
        <w:rPr>
          <w:rFonts w:ascii="宋体" w:hAnsi="宋体" w:cs="宋体"/>
          <w:b/>
          <w:sz w:val="24"/>
        </w:rPr>
      </w:pPr>
      <w:r>
        <w:rPr>
          <w:rFonts w:hint="eastAsia" w:ascii="宋体" w:hAnsi="宋体" w:cs="宋体"/>
          <w:b/>
          <w:sz w:val="24"/>
        </w:rPr>
        <w:t>一、基本情况</w:t>
      </w:r>
    </w:p>
    <w:p>
      <w:pPr>
        <w:spacing w:line="360" w:lineRule="auto"/>
        <w:ind w:firstLine="482" w:firstLineChars="200"/>
        <w:rPr>
          <w:rFonts w:hint="default" w:ascii="宋体" w:hAnsi="宋体" w:eastAsia="宋体" w:cs="宋体"/>
          <w:b/>
          <w:sz w:val="24"/>
          <w:lang w:val="en-US" w:eastAsia="zh-CN"/>
        </w:rPr>
      </w:pPr>
      <w:r>
        <w:rPr>
          <w:rFonts w:hint="eastAsia" w:ascii="宋体" w:hAnsi="宋体" w:cs="宋体"/>
          <w:b/>
          <w:sz w:val="24"/>
        </w:rPr>
        <w:t>交易编号：</w:t>
      </w:r>
      <w:r>
        <w:rPr>
          <w:rFonts w:hint="eastAsia" w:ascii="宋体" w:hAnsi="宋体" w:cs="宋体"/>
          <w:bCs/>
          <w:sz w:val="24"/>
        </w:rPr>
        <w:t>BWZBDL2023-</w:t>
      </w:r>
      <w:r>
        <w:rPr>
          <w:rFonts w:hint="eastAsia" w:ascii="宋体" w:hAnsi="宋体" w:cs="宋体"/>
          <w:bCs/>
          <w:sz w:val="24"/>
          <w:lang w:val="en-US" w:eastAsia="zh-CN"/>
        </w:rPr>
        <w:t>347</w:t>
      </w:r>
    </w:p>
    <w:p>
      <w:pPr>
        <w:spacing w:line="360" w:lineRule="auto"/>
        <w:ind w:firstLine="482" w:firstLineChars="200"/>
        <w:rPr>
          <w:rFonts w:ascii="宋体" w:hAnsi="宋体" w:cs="宋体"/>
          <w:bCs/>
          <w:sz w:val="24"/>
        </w:rPr>
      </w:pPr>
      <w:r>
        <w:rPr>
          <w:rFonts w:hint="eastAsia" w:ascii="宋体" w:hAnsi="宋体" w:cs="宋体"/>
          <w:b/>
          <w:sz w:val="24"/>
        </w:rPr>
        <w:t>交易名称：</w:t>
      </w:r>
      <w:r>
        <w:rPr>
          <w:rFonts w:hint="eastAsia" w:ascii="宋体" w:hAnsi="宋体" w:cs="宋体"/>
          <w:bCs/>
          <w:sz w:val="24"/>
        </w:rPr>
        <w:t>2023年度管线探测与GIS数据更新服务</w:t>
      </w:r>
    </w:p>
    <w:p>
      <w:pPr>
        <w:spacing w:line="360" w:lineRule="auto"/>
        <w:ind w:firstLine="482" w:firstLineChars="200"/>
        <w:rPr>
          <w:rFonts w:ascii="宋体" w:hAnsi="宋体" w:cs="宋体"/>
          <w:sz w:val="24"/>
        </w:rPr>
      </w:pPr>
      <w:r>
        <w:rPr>
          <w:rFonts w:hint="eastAsia" w:ascii="宋体" w:hAnsi="宋体" w:cs="宋体"/>
          <w:b/>
          <w:sz w:val="24"/>
        </w:rPr>
        <w:t>交易需求：</w:t>
      </w:r>
      <w:r>
        <w:rPr>
          <w:rFonts w:hint="eastAsia" w:ascii="宋体" w:hAnsi="宋体" w:cs="宋体"/>
          <w:bCs/>
          <w:sz w:val="24"/>
        </w:rPr>
        <w:t>2023年度管线探测与GIS数据更新服务</w:t>
      </w:r>
      <w:r>
        <w:rPr>
          <w:rFonts w:hint="eastAsia" w:hAnsi="宋体" w:cs="宋体"/>
          <w:bCs/>
          <w:sz w:val="24"/>
        </w:rPr>
        <w:t>，</w:t>
      </w:r>
      <w:r>
        <w:rPr>
          <w:rFonts w:hint="eastAsia" w:ascii="宋体" w:hAnsi="宋体" w:cs="宋体"/>
          <w:sz w:val="24"/>
        </w:rPr>
        <w:t>详见交易需求。</w:t>
      </w:r>
    </w:p>
    <w:p>
      <w:pPr>
        <w:pStyle w:val="17"/>
        <w:spacing w:line="360" w:lineRule="auto"/>
        <w:ind w:firstLine="482" w:firstLineChars="200"/>
        <w:rPr>
          <w:rFonts w:hAnsi="宋体" w:cs="宋体"/>
          <w:color w:val="auto"/>
        </w:rPr>
      </w:pPr>
      <w:r>
        <w:rPr>
          <w:rFonts w:hint="eastAsia" w:hAnsi="宋体" w:cs="宋体"/>
          <w:b/>
          <w:color w:val="auto"/>
          <w:sz w:val="24"/>
          <w:szCs w:val="18"/>
        </w:rPr>
        <w:t>合同履约期限：</w:t>
      </w:r>
      <w:r>
        <w:rPr>
          <w:rFonts w:hint="eastAsia" w:hAnsi="宋体" w:cs="宋体"/>
          <w:color w:val="auto"/>
          <w:sz w:val="24"/>
          <w:szCs w:val="28"/>
        </w:rPr>
        <w:t>详见公开竞争文件</w:t>
      </w:r>
    </w:p>
    <w:p>
      <w:pPr>
        <w:spacing w:line="360" w:lineRule="auto"/>
        <w:ind w:firstLine="482" w:firstLineChars="200"/>
        <w:rPr>
          <w:rFonts w:ascii="宋体" w:hAnsi="宋体" w:cs="宋体"/>
          <w:b/>
          <w:sz w:val="24"/>
        </w:rPr>
      </w:pPr>
      <w:r>
        <w:rPr>
          <w:rFonts w:hint="eastAsia" w:ascii="宋体" w:hAnsi="宋体" w:cs="宋体"/>
          <w:b/>
          <w:sz w:val="24"/>
        </w:rPr>
        <w:t>本项目接受联合体投标：</w:t>
      </w:r>
      <w:r>
        <w:rPr>
          <w:rFonts w:hint="eastAsia" w:ascii="宋体" w:hAnsi="宋体" w:cs="宋体"/>
          <w:bCs/>
          <w:sz w:val="24"/>
        </w:rPr>
        <w:t>（  ）是；（√）否。</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pacing w:line="360" w:lineRule="auto"/>
        <w:ind w:firstLine="480" w:firstLineChars="200"/>
        <w:rPr>
          <w:rFonts w:ascii="宋体" w:hAnsi="宋体" w:cs="宋体"/>
          <w:sz w:val="24"/>
        </w:rPr>
      </w:pPr>
      <w:r>
        <w:rPr>
          <w:rFonts w:hint="eastAsia" w:ascii="宋体" w:hAnsi="宋体" w:cs="宋体"/>
          <w:sz w:val="24"/>
        </w:rPr>
        <w:t>2、具有良好的商业信誉和健全的财务会计制度；</w:t>
      </w:r>
    </w:p>
    <w:p>
      <w:pPr>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pacing w:line="360" w:lineRule="auto"/>
        <w:ind w:firstLine="480" w:firstLineChars="200"/>
        <w:rPr>
          <w:rFonts w:ascii="宋体" w:hAnsi="宋体" w:cs="宋体"/>
          <w:sz w:val="24"/>
        </w:rPr>
      </w:pPr>
      <w:r>
        <w:rPr>
          <w:rFonts w:hint="eastAsia" w:ascii="宋体" w:hAnsi="宋体" w:cs="宋体"/>
          <w:sz w:val="24"/>
        </w:rPr>
        <w:t>5、参加交易活动前三年内，在经营活动中没有重大违法记录；</w:t>
      </w:r>
    </w:p>
    <w:p>
      <w:pPr>
        <w:spacing w:line="360" w:lineRule="auto"/>
        <w:ind w:firstLine="480" w:firstLineChars="200"/>
        <w:rPr>
          <w:rFonts w:ascii="宋体" w:hAnsi="宋体" w:cs="宋体"/>
          <w:color w:val="auto"/>
          <w:sz w:val="24"/>
        </w:rPr>
      </w:pPr>
      <w:r>
        <w:rPr>
          <w:rFonts w:hint="eastAsia" w:ascii="宋体" w:hAnsi="宋体" w:cs="宋体"/>
          <w:sz w:val="24"/>
        </w:rPr>
        <w:t>6、法律、行政法规规定的</w:t>
      </w:r>
      <w:r>
        <w:rPr>
          <w:rFonts w:hint="eastAsia" w:ascii="宋体" w:hAnsi="宋体" w:cs="宋体"/>
          <w:color w:val="auto"/>
          <w:sz w:val="24"/>
        </w:rPr>
        <w:t>其他条件；</w:t>
      </w:r>
    </w:p>
    <w:p>
      <w:pPr>
        <w:pStyle w:val="26"/>
        <w:ind w:firstLine="480" w:firstLineChars="200"/>
        <w:rPr>
          <w:rFonts w:hAnsi="宋体" w:cs="宋体"/>
          <w:color w:val="auto"/>
          <w:lang w:val="en-US"/>
        </w:rPr>
      </w:pPr>
      <w:r>
        <w:rPr>
          <w:rFonts w:hint="eastAsia" w:hAnsi="宋体" w:cs="宋体"/>
          <w:color w:val="auto"/>
        </w:rPr>
        <w:t>7、本项目的特定资格要求：</w:t>
      </w:r>
      <w:r>
        <w:rPr>
          <w:rFonts w:hint="eastAsia" w:hAnsi="宋体" w:cs="宋体"/>
          <w:color w:val="auto"/>
          <w:spacing w:val="-2"/>
          <w:kern w:val="10"/>
          <w:szCs w:val="21"/>
        </w:rPr>
        <w:t>投标人具有乙级（含）以上测绘资质（须含工程测量、地理信息系统工程专业范围）。</w:t>
      </w:r>
    </w:p>
    <w:p>
      <w:pPr>
        <w:pStyle w:val="26"/>
        <w:ind w:firstLine="480" w:firstLineChars="200"/>
        <w:rPr>
          <w:rFonts w:hAnsi="宋体" w:cs="宋体"/>
          <w:lang w:val="en-US"/>
        </w:rPr>
      </w:pPr>
      <w:r>
        <w:rPr>
          <w:rFonts w:hint="eastAsia" w:hAnsi="宋体" w:cs="宋体"/>
          <w:lang w:val="en-US"/>
        </w:rPr>
        <w:t>8、</w:t>
      </w:r>
      <w:r>
        <w:rPr>
          <w:rFonts w:hint="eastAsia" w:hAnsi="宋体" w:cs="宋体"/>
        </w:rPr>
        <w:t>本项目不接受联合体参与（潜在响应人能独立完成本项目）。</w:t>
      </w:r>
    </w:p>
    <w:p>
      <w:pPr>
        <w:spacing w:line="360" w:lineRule="auto"/>
        <w:rPr>
          <w:rFonts w:ascii="宋体" w:hAnsi="宋体" w:cs="宋体"/>
          <w:b/>
          <w:sz w:val="24"/>
        </w:rPr>
      </w:pPr>
      <w:r>
        <w:rPr>
          <w:rFonts w:hint="eastAsia" w:ascii="宋体" w:hAnsi="宋体" w:cs="宋体"/>
          <w:b/>
          <w:sz w:val="24"/>
        </w:rPr>
        <w:t xml:space="preserve">三、获取公开竞争文件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2023年12月</w:t>
      </w:r>
      <w:r>
        <w:rPr>
          <w:rFonts w:hint="eastAsia" w:ascii="宋体" w:hAnsi="宋体" w:cs="宋体"/>
          <w:sz w:val="24"/>
          <w:u w:val="single"/>
          <w:lang w:val="en-US" w:eastAsia="zh-CN"/>
        </w:rPr>
        <w:t>20</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sz w:val="24"/>
        </w:rPr>
        <w:t>，每天上午00:00至12:00 ，下午12:00至23:59（北京时间，线上获取法定节假日均可）</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响应人登录政采云平台https://www.zcygov.cn/在线申请获取公开竞争文件（进入“项目采购”应用，在获取采购文件菜单中选择项目，申请获取公开竞争文件）。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0</w:t>
      </w:r>
    </w:p>
    <w:p>
      <w:pPr>
        <w:spacing w:line="360" w:lineRule="auto"/>
        <w:rPr>
          <w:rFonts w:ascii="宋体" w:hAnsi="宋体" w:cs="宋体"/>
          <w:b/>
          <w:sz w:val="24"/>
        </w:rPr>
      </w:pPr>
      <w:r>
        <w:rPr>
          <w:rFonts w:hint="eastAsia" w:ascii="宋体" w:hAnsi="宋体" w:cs="宋体"/>
          <w:b/>
          <w:sz w:val="24"/>
        </w:rPr>
        <w:t>四、提交响应文件截止时间、交易时间和地点</w:t>
      </w:r>
    </w:p>
    <w:p>
      <w:pPr>
        <w:spacing w:line="360" w:lineRule="auto"/>
        <w:ind w:firstLine="482" w:firstLineChars="200"/>
        <w:rPr>
          <w:rFonts w:ascii="宋体" w:hAnsi="宋体" w:cs="宋体"/>
          <w:sz w:val="24"/>
        </w:rPr>
      </w:pPr>
      <w:r>
        <w:rPr>
          <w:rFonts w:hint="eastAsia" w:ascii="宋体" w:hAnsi="宋体" w:cs="宋体"/>
          <w:b/>
          <w:sz w:val="24"/>
        </w:rPr>
        <w:t>提交响应文件截止时间：</w:t>
      </w:r>
      <w:r>
        <w:rPr>
          <w:rFonts w:hint="eastAsia" w:ascii="宋体" w:hAnsi="宋体" w:cs="宋体"/>
          <w:sz w:val="24"/>
          <w:u w:val="single"/>
        </w:rPr>
        <w:t>2023年12月</w:t>
      </w:r>
      <w:r>
        <w:rPr>
          <w:rFonts w:hint="eastAsia" w:ascii="宋体" w:hAnsi="宋体" w:cs="宋体"/>
          <w:sz w:val="24"/>
          <w:u w:val="single"/>
          <w:lang w:val="en-US" w:eastAsia="zh-CN"/>
        </w:rPr>
        <w:t>20</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交易时间：</w:t>
      </w:r>
      <w:r>
        <w:rPr>
          <w:rFonts w:hint="eastAsia" w:ascii="宋体" w:hAnsi="宋体" w:cs="宋体"/>
          <w:sz w:val="24"/>
          <w:u w:val="single"/>
        </w:rPr>
        <w:t>2023年12月</w:t>
      </w:r>
      <w:r>
        <w:rPr>
          <w:rFonts w:hint="eastAsia" w:ascii="宋体" w:hAnsi="宋体" w:cs="宋体"/>
          <w:sz w:val="24"/>
          <w:u w:val="single"/>
          <w:lang w:val="en-US" w:eastAsia="zh-CN"/>
        </w:rPr>
        <w:t>20</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b/>
          <w:sz w:val="24"/>
        </w:rPr>
      </w:pPr>
      <w:r>
        <w:rPr>
          <w:rFonts w:hint="eastAsia" w:ascii="宋体" w:hAnsi="宋体" w:cs="宋体"/>
          <w:b/>
          <w:sz w:val="24"/>
        </w:rPr>
        <w:t>五、其他补充事宜</w:t>
      </w:r>
    </w:p>
    <w:p>
      <w:pPr>
        <w:spacing w:line="360" w:lineRule="auto"/>
        <w:ind w:firstLine="480" w:firstLineChars="200"/>
        <w:rPr>
          <w:rFonts w:ascii="宋体" w:hAnsi="宋体" w:cs="宋体"/>
          <w:sz w:val="24"/>
        </w:rPr>
      </w:pPr>
      <w:r>
        <w:rPr>
          <w:rFonts w:hint="eastAsia" w:ascii="宋体" w:hAnsi="宋体" w:cs="宋体"/>
          <w:sz w:val="24"/>
        </w:rPr>
        <w:t>1、响应人认为公开竞争文件使自己的权益受到损害的，可以自获取公开竞争文件之日起3天内，以书面形式向交易发起人和代理机构提出异议。异议响应人对交易发起人、代理机构的答复不满意或者交易发起人、代理机构未在规定的时间内作出答复的，可以在答复期满后10日内向基层交易监督机构提出投诉。</w:t>
      </w:r>
    </w:p>
    <w:p>
      <w:pPr>
        <w:spacing w:line="360" w:lineRule="auto"/>
        <w:ind w:firstLine="480" w:firstLineChars="200"/>
        <w:rPr>
          <w:rFonts w:ascii="宋体" w:hAnsi="宋体" w:cs="宋体"/>
          <w:sz w:val="24"/>
        </w:rPr>
      </w:pPr>
      <w:r>
        <w:rPr>
          <w:rFonts w:hint="eastAsia" w:ascii="宋体" w:hAnsi="宋体" w:cs="宋体"/>
          <w:sz w:val="24"/>
        </w:rPr>
        <w:t>2、其他事项：电子招投标的说明：①电子招投标：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公开竞争文件的获取：使用账号登录或者使用CA登录政采云平台；进入“项目采购”应用，在获取采购文件菜单中选择项目，获取公开竞争文件；④响应文件的制作：在“政采云电子交易客户端”中完成“填写基本信息”“导入响应文件”“标书关联”“标书检查”“电子签名”“生成电子标书”等操作；⑤交易发起人、代理机构将依托政采云平台完成本项目的电子交易活动，平台不接受未按上述方式获取公开竞争文件的响应人进行投标活动； ⑥对未按上述方式获取公开竞争文件的响应人对该文件提出的异议，交易发起人或代理机构将不予处理；⑦不提供公开竞争文件纸质版；⑧响应文件的传输递交：响应人在响应截止时间前将加密的响应文件上传至政府采购云平台；⑨响应文件的解密：响应人按照平台提示和公开竞争文件的规定在半小时内完成在线解密。通过“政府采购云平台”上传递交的响应文件无法按时解密，视为响应文件撤回；⑩具体操作指南：详见政采云平台“服务中心-帮助文档-项目采购-操作流程-电子招投标-政府采购项目电子交易管理操作指南-供应商”。</w:t>
      </w:r>
    </w:p>
    <w:p>
      <w:pPr>
        <w:spacing w:line="360" w:lineRule="auto"/>
        <w:rPr>
          <w:rFonts w:ascii="宋体" w:hAnsi="宋体" w:cs="宋体"/>
          <w:b/>
          <w:sz w:val="24"/>
        </w:rPr>
      </w:pPr>
      <w:r>
        <w:rPr>
          <w:rFonts w:hint="eastAsia" w:ascii="宋体" w:hAnsi="宋体" w:cs="宋体"/>
          <w:b/>
          <w:sz w:val="24"/>
        </w:rPr>
        <w:t>六、对本次交易提出异议、投诉，请按以下方式联系</w:t>
      </w:r>
    </w:p>
    <w:p>
      <w:pPr>
        <w:widowControl/>
        <w:spacing w:line="360" w:lineRule="auto"/>
        <w:ind w:firstLine="480" w:firstLineChars="200"/>
        <w:jc w:val="left"/>
        <w:rPr>
          <w:rFonts w:ascii="宋体" w:hAnsi="宋体" w:cs="宋体"/>
          <w:sz w:val="24"/>
          <w:szCs w:val="28"/>
        </w:rPr>
      </w:pPr>
      <w:r>
        <w:rPr>
          <w:rFonts w:hint="eastAsia" w:ascii="宋体" w:hAnsi="宋体" w:cs="宋体"/>
          <w:sz w:val="24"/>
          <w:szCs w:val="28"/>
        </w:rPr>
        <w:t>1、交易发起人信息</w:t>
      </w:r>
    </w:p>
    <w:p>
      <w:pPr>
        <w:pStyle w:val="26"/>
        <w:ind w:firstLine="472" w:firstLineChars="200"/>
        <w:rPr>
          <w:rFonts w:hAnsi="宋体" w:cs="宋体"/>
          <w:spacing w:val="-2"/>
          <w:kern w:val="10"/>
          <w:szCs w:val="21"/>
        </w:rPr>
      </w:pPr>
      <w:r>
        <w:rPr>
          <w:rFonts w:hint="eastAsia" w:hAnsi="宋体" w:cs="宋体"/>
          <w:spacing w:val="-2"/>
          <w:kern w:val="10"/>
          <w:szCs w:val="21"/>
        </w:rPr>
        <w:t xml:space="preserve">名称：杭州萧山供水有限公司 </w:t>
      </w:r>
    </w:p>
    <w:p>
      <w:pPr>
        <w:pStyle w:val="26"/>
        <w:ind w:firstLine="472" w:firstLineChars="200"/>
        <w:rPr>
          <w:rFonts w:hAnsi="宋体" w:cs="宋体"/>
          <w:spacing w:val="-2"/>
          <w:kern w:val="10"/>
          <w:szCs w:val="21"/>
          <w:lang w:val="en-US"/>
        </w:rPr>
      </w:pPr>
      <w:r>
        <w:rPr>
          <w:rFonts w:hint="eastAsia" w:hAnsi="宋体" w:cs="宋体"/>
          <w:spacing w:val="-2"/>
          <w:kern w:val="10"/>
          <w:szCs w:val="21"/>
        </w:rPr>
        <w:t>地址：</w:t>
      </w:r>
      <w:r>
        <w:rPr>
          <w:rFonts w:hint="eastAsia" w:hAnsi="宋体" w:cs="宋体"/>
          <w:spacing w:val="-2"/>
          <w:kern w:val="10"/>
          <w:szCs w:val="21"/>
          <w:lang w:val="en-US"/>
        </w:rPr>
        <w:t>萧山区蜀山街道潘水路428号</w:t>
      </w:r>
    </w:p>
    <w:p>
      <w:pPr>
        <w:pStyle w:val="26"/>
        <w:ind w:firstLine="472" w:firstLineChars="200"/>
        <w:rPr>
          <w:rFonts w:hAnsi="宋体" w:cs="宋体"/>
          <w:spacing w:val="-2"/>
          <w:kern w:val="10"/>
          <w:szCs w:val="21"/>
          <w:lang w:val="en-US"/>
        </w:rPr>
      </w:pPr>
      <w:r>
        <w:rPr>
          <w:rFonts w:hint="eastAsia" w:hAnsi="宋体" w:cs="宋体"/>
          <w:spacing w:val="-2"/>
          <w:kern w:val="10"/>
          <w:szCs w:val="21"/>
        </w:rPr>
        <w:t>项目联系人（询问）：</w:t>
      </w:r>
      <w:r>
        <w:rPr>
          <w:rFonts w:hint="eastAsia" w:hAnsi="宋体" w:cs="宋体"/>
          <w:spacing w:val="-2"/>
          <w:kern w:val="10"/>
          <w:szCs w:val="21"/>
          <w:lang w:val="en-US"/>
        </w:rPr>
        <w:t>戴工</w:t>
      </w:r>
    </w:p>
    <w:p>
      <w:pPr>
        <w:pStyle w:val="26"/>
        <w:ind w:firstLine="472" w:firstLineChars="200"/>
        <w:rPr>
          <w:rFonts w:hAnsi="宋体" w:cs="宋体"/>
          <w:spacing w:val="-2"/>
          <w:kern w:val="10"/>
          <w:szCs w:val="21"/>
          <w:lang w:val="en-US"/>
        </w:rPr>
      </w:pPr>
      <w:r>
        <w:rPr>
          <w:rFonts w:hint="eastAsia" w:hAnsi="宋体" w:cs="宋体"/>
          <w:spacing w:val="-2"/>
          <w:kern w:val="10"/>
          <w:szCs w:val="21"/>
        </w:rPr>
        <w:t>项目联系方式（询问）：</w:t>
      </w:r>
      <w:r>
        <w:rPr>
          <w:rFonts w:hint="eastAsia" w:hAnsi="宋体" w:cs="宋体"/>
          <w:spacing w:val="-2"/>
          <w:kern w:val="10"/>
          <w:szCs w:val="21"/>
          <w:lang w:val="en-US"/>
        </w:rPr>
        <w:t>19105811355</w:t>
      </w:r>
    </w:p>
    <w:p>
      <w:pPr>
        <w:spacing w:line="360" w:lineRule="auto"/>
        <w:ind w:firstLine="480" w:firstLineChars="200"/>
        <w:jc w:val="left"/>
        <w:rPr>
          <w:rFonts w:ascii="宋体" w:hAnsi="宋体" w:cs="宋体"/>
          <w:sz w:val="24"/>
          <w:szCs w:val="28"/>
        </w:rPr>
      </w:pPr>
      <w:bookmarkStart w:id="10" w:name="_Toc28359086"/>
      <w:bookmarkStart w:id="11" w:name="_Toc28359009"/>
      <w:r>
        <w:rPr>
          <w:rFonts w:hint="eastAsia" w:ascii="宋体" w:hAnsi="宋体" w:cs="宋体"/>
          <w:sz w:val="24"/>
          <w:szCs w:val="28"/>
        </w:rPr>
        <w:t>2</w:t>
      </w:r>
      <w:bookmarkEnd w:id="10"/>
      <w:bookmarkEnd w:id="11"/>
      <w:r>
        <w:rPr>
          <w:rFonts w:hint="eastAsia" w:ascii="宋体" w:hAnsi="宋体" w:cs="宋体"/>
          <w:sz w:val="24"/>
          <w:szCs w:val="28"/>
        </w:rPr>
        <w:t>、代理机构信息</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名称：杭州博望建设工程招标投标代理有限公司</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地址：杭州市萧山区金城路433号天汇园一幢A座5楼</w:t>
      </w:r>
    </w:p>
    <w:p>
      <w:pPr>
        <w:spacing w:line="360" w:lineRule="auto"/>
        <w:ind w:firstLine="480" w:firstLineChars="200"/>
        <w:jc w:val="left"/>
        <w:rPr>
          <w:rFonts w:ascii="宋体" w:hAnsi="宋体" w:cs="宋体"/>
          <w:sz w:val="24"/>
          <w:szCs w:val="28"/>
        </w:rPr>
      </w:pPr>
      <w:r>
        <w:rPr>
          <w:rFonts w:hint="eastAsia" w:ascii="宋体" w:hAnsi="宋体" w:cs="宋体"/>
          <w:sz w:val="24"/>
          <w:szCs w:val="28"/>
        </w:rPr>
        <w:t>项目联系人（询问）：芦燕</w:t>
      </w:r>
    </w:p>
    <w:p>
      <w:pPr>
        <w:spacing w:line="360" w:lineRule="auto"/>
        <w:ind w:firstLine="480" w:firstLineChars="200"/>
        <w:jc w:val="left"/>
        <w:rPr>
          <w:rFonts w:ascii="宋体" w:hAnsi="宋体" w:cs="宋体"/>
          <w:sz w:val="24"/>
        </w:rPr>
      </w:pPr>
      <w:r>
        <w:rPr>
          <w:rFonts w:hint="eastAsia" w:ascii="宋体" w:hAnsi="宋体" w:cs="宋体"/>
          <w:sz w:val="24"/>
          <w:szCs w:val="28"/>
        </w:rPr>
        <w:t>项目联系方式（询问）：0571-83881208</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若对项目电子交易系统操作有疑问，可登录政采云（https://www.zcygov.cn/），点击右侧咨询小采，获取采小蜜智能服务管家帮助，或拨打政采云服务热线95763获取热线服务帮助。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7"/>
      <w:r>
        <w:rPr>
          <w:rFonts w:hint="eastAsia" w:ascii="宋体" w:hAnsi="宋体" w:cs="宋体"/>
          <w:b/>
          <w:sz w:val="36"/>
          <w:szCs w:val="20"/>
        </w:rPr>
        <w:t xml:space="preserve"> 响应人须知</w:t>
      </w:r>
      <w:bookmarkEnd w:id="8"/>
    </w:p>
    <w:p>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6"/>
        <w:tblW w:w="9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事项</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项目属性</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sz w:val="24"/>
              </w:rPr>
            </w:pPr>
            <w:r>
              <w:rPr>
                <w:rFonts w:hint="eastAsia" w:ascii="宋体" w:hAnsi="宋体" w:cs="宋体"/>
                <w:bCs/>
                <w:sz w:val="24"/>
              </w:rPr>
              <w:t>（  ）</w:t>
            </w:r>
            <w:r>
              <w:rPr>
                <w:rFonts w:hint="eastAsia" w:ascii="宋体" w:hAnsi="宋体" w:cs="宋体"/>
                <w:kern w:val="0"/>
                <w:sz w:val="24"/>
              </w:rPr>
              <w:t>A货物类</w:t>
            </w:r>
            <w:r>
              <w:rPr>
                <w:rFonts w:hint="eastAsia" w:ascii="宋体" w:hAnsi="宋体" w:cs="宋体"/>
                <w:sz w:val="24"/>
              </w:rPr>
              <w:t>。</w:t>
            </w:r>
          </w:p>
          <w:p>
            <w:pPr>
              <w:rPr>
                <w:rFonts w:ascii="宋体" w:hAnsi="宋体" w:cs="宋体"/>
                <w:sz w:val="24"/>
              </w:rPr>
            </w:pPr>
            <w:r>
              <w:rPr>
                <w:rFonts w:hint="eastAsia" w:ascii="宋体" w:hAnsi="宋体" w:cs="宋体"/>
                <w:bCs/>
                <w:sz w:val="24"/>
              </w:rPr>
              <w:t>（√）</w:t>
            </w:r>
            <w:r>
              <w:rPr>
                <w:rFonts w:hint="eastAsia" w:ascii="宋体" w:hAnsi="宋体" w:cs="宋体"/>
                <w:kern w:val="0"/>
                <w:sz w:val="24"/>
              </w:rPr>
              <w:t>B服务类</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1" w:hRule="atLeast"/>
          <w:tblHeader/>
          <w:jc w:val="center"/>
        </w:trPr>
        <w:tc>
          <w:tcPr>
            <w:tcW w:w="629" w:type="dxa"/>
            <w:tcBorders>
              <w:top w:val="single" w:color="auto" w:sz="4" w:space="0"/>
              <w:left w:val="single" w:color="auto" w:sz="4" w:space="0"/>
              <w:bottom w:val="single" w:color="auto" w:sz="4" w:space="0"/>
              <w:right w:val="single" w:color="auto" w:sz="4" w:space="0"/>
            </w:tcBorders>
          </w:tcPr>
          <w:p>
            <w:pPr>
              <w:snapToGrid w:val="0"/>
              <w:jc w:val="center"/>
              <w:rPr>
                <w:rFonts w:ascii="宋体" w:hAnsi="宋体" w:cs="宋体"/>
                <w:sz w:val="24"/>
              </w:rPr>
            </w:pPr>
          </w:p>
          <w:p>
            <w:pPr>
              <w:snapToGrid w:val="0"/>
              <w:jc w:val="center"/>
              <w:rPr>
                <w:rFonts w:ascii="宋体" w:hAnsi="宋体" w:cs="宋体"/>
                <w:sz w:val="24"/>
              </w:rPr>
            </w:pPr>
          </w:p>
          <w:p>
            <w:pPr>
              <w:snapToGrid w:val="0"/>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采购标的对应的中小企业划分标准所属行业</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sz w:val="24"/>
              </w:rPr>
            </w:pPr>
            <w:r>
              <w:rPr>
                <w:rFonts w:hint="eastAsia" w:ascii="宋体" w:hAnsi="宋体" w:cs="宋体"/>
                <w:bCs/>
                <w:sz w:val="24"/>
              </w:rPr>
              <w:t>（  ）</w:t>
            </w:r>
            <w:r>
              <w:rPr>
                <w:rFonts w:hint="eastAsia" w:ascii="宋体" w:hAnsi="宋体" w:cs="宋体"/>
                <w:kern w:val="0"/>
                <w:sz w:val="24"/>
              </w:rPr>
              <w:t>A适用</w:t>
            </w:r>
            <w:r>
              <w:rPr>
                <w:rFonts w:hint="eastAsia" w:ascii="宋体" w:hAnsi="宋体" w:cs="宋体"/>
                <w:sz w:val="24"/>
              </w:rPr>
              <w:t>。</w:t>
            </w:r>
          </w:p>
          <w:p>
            <w:pPr>
              <w:rPr>
                <w:rFonts w:ascii="宋体" w:hAnsi="宋体" w:cs="宋体"/>
                <w:kern w:val="0"/>
                <w:sz w:val="24"/>
              </w:rPr>
            </w:pPr>
            <w:r>
              <w:rPr>
                <w:rFonts w:hint="eastAsia" w:ascii="宋体" w:hAnsi="宋体" w:cs="宋体"/>
                <w:bCs/>
                <w:sz w:val="24"/>
              </w:rPr>
              <w:t>（√）</w:t>
            </w:r>
            <w:r>
              <w:rPr>
                <w:rFonts w:hint="eastAsia" w:ascii="宋体" w:hAnsi="宋体" w:cs="宋体"/>
                <w:kern w:val="0"/>
                <w:sz w:val="24"/>
              </w:rPr>
              <w:t>B不适用</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是否允许采购进口产品</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rPr>
            </w:pPr>
            <w:r>
              <w:rPr>
                <w:rFonts w:hint="eastAsia" w:ascii="宋体" w:hAnsi="宋体" w:cs="宋体"/>
                <w:bCs/>
                <w:sz w:val="24"/>
              </w:rPr>
              <w:t>（√）</w:t>
            </w:r>
            <w:r>
              <w:rPr>
                <w:rFonts w:hint="eastAsia" w:ascii="宋体" w:hAnsi="宋体" w:cs="宋体"/>
                <w:sz w:val="24"/>
                <w:szCs w:val="32"/>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ind w:firstLine="482" w:firstLineChars="200"/>
              <w:rPr>
                <w:rFonts w:ascii="宋体" w:hAnsi="宋体" w:cs="宋体"/>
                <w:b/>
                <w:sz w:val="24"/>
              </w:rPr>
            </w:pPr>
            <w:r>
              <w:rPr>
                <w:rFonts w:hint="eastAsia" w:ascii="宋体" w:hAnsi="宋体" w:cs="宋体"/>
                <w:b/>
                <w:sz w:val="24"/>
              </w:rPr>
              <w:t>分包</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sz w:val="24"/>
              </w:rPr>
            </w:pPr>
            <w:r>
              <w:rPr>
                <w:rFonts w:hint="eastAsia" w:ascii="宋体" w:hAnsi="宋体" w:cs="宋体"/>
                <w:bCs/>
                <w:sz w:val="24"/>
              </w:rPr>
              <w:t>（√）</w:t>
            </w:r>
            <w:r>
              <w:rPr>
                <w:rFonts w:hint="eastAsia" w:ascii="宋体" w:hAnsi="宋体" w:cs="宋体"/>
                <w:bCs/>
                <w:kern w:val="0"/>
                <w:sz w:val="24"/>
              </w:rPr>
              <w:t>B</w:t>
            </w:r>
            <w:r>
              <w:rPr>
                <w:rFonts w:hint="eastAsia" w:ascii="宋体" w:hAnsi="宋体" w:cs="宋体"/>
                <w:bCs/>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现场踏勘</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sz w:val="24"/>
                <w:szCs w:val="20"/>
              </w:rPr>
            </w:pPr>
            <w:r>
              <w:rPr>
                <w:rFonts w:hint="eastAsia" w:ascii="宋体" w:hAnsi="宋体" w:cs="宋体"/>
                <w:sz w:val="24"/>
              </w:rPr>
              <w:t>（ √</w:t>
            </w:r>
            <w:r>
              <w:rPr>
                <w:rFonts w:ascii="宋体" w:hAnsi="宋体" w:cs="宋体"/>
                <w:sz w:val="24"/>
              </w:rPr>
              <w:t xml:space="preserve"> </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样品提供</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sz w:val="24"/>
              </w:rPr>
            </w:pPr>
            <w:r>
              <w:rPr>
                <w:rFonts w:hint="eastAsia" w:ascii="宋体" w:hAnsi="宋体" w:cs="宋体"/>
                <w:bCs/>
                <w:sz w:val="24"/>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rPr>
            </w:pPr>
            <w:r>
              <w:rPr>
                <w:rFonts w:hint="eastAsia" w:ascii="宋体" w:hAnsi="宋体" w:cs="宋体"/>
                <w:b/>
                <w:bCs/>
              </w:rPr>
              <w:t>现场讲解</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400" w:lineRule="exact"/>
              <w:rPr>
                <w:rFonts w:ascii="宋体" w:hAnsi="宋体" w:cs="宋体"/>
              </w:rPr>
            </w:pPr>
            <w:r>
              <w:rPr>
                <w:rFonts w:hint="eastAsia" w:ascii="宋体" w:hAnsi="宋体" w:cs="宋体"/>
                <w:sz w:val="24"/>
              </w:rPr>
              <w:t>（ √</w:t>
            </w:r>
            <w:r>
              <w:rPr>
                <w:rFonts w:ascii="宋体" w:hAnsi="宋体" w:cs="宋体"/>
                <w:sz w:val="24"/>
              </w:rPr>
              <w:t xml:space="preserve"> </w:t>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3" w:hRule="atLeast"/>
          <w:tblHeader/>
          <w:jc w:val="center"/>
        </w:trPr>
        <w:tc>
          <w:tcPr>
            <w:tcW w:w="629" w:type="dxa"/>
            <w:tcBorders>
              <w:top w:val="single" w:color="auto" w:sz="4" w:space="0"/>
              <w:left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8</w:t>
            </w:r>
          </w:p>
        </w:tc>
        <w:tc>
          <w:tcPr>
            <w:tcW w:w="1843" w:type="dxa"/>
            <w:tcBorders>
              <w:top w:val="single" w:color="000000" w:sz="8" w:space="0"/>
              <w:left w:val="single" w:color="auto" w:sz="4"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响应人应当提供的资格证明文件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sz w:val="24"/>
              </w:rPr>
            </w:pPr>
            <w:r>
              <w:rPr>
                <w:rFonts w:hint="eastAsia" w:ascii="宋体" w:hAnsi="宋体" w:cs="宋体"/>
                <w:sz w:val="24"/>
              </w:rPr>
              <w:t>（1）资格证明文件：见公开竞争文件第二部分10.1。</w:t>
            </w:r>
          </w:p>
          <w:p>
            <w:pPr>
              <w:rPr>
                <w:rFonts w:ascii="宋体" w:hAnsi="宋体" w:cs="宋体"/>
                <w:snapToGrid w:val="0"/>
                <w:kern w:val="0"/>
                <w:szCs w:val="21"/>
              </w:rPr>
            </w:pPr>
            <w:r>
              <w:rPr>
                <w:rFonts w:hint="eastAsia" w:ascii="宋体" w:hAnsi="宋体" w:cs="宋体"/>
                <w:kern w:val="0"/>
                <w:sz w:val="24"/>
                <w:lang w:val="zh-CN"/>
              </w:rPr>
              <w:t>响应人未提供有效的资格证明文件的，视为响应人不具备公开竞争文件中规定的资格要求，交易无效。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auto" w:sz="4" w:space="0"/>
              <w:right w:val="single" w:color="000000" w:sz="8" w:space="0"/>
            </w:tcBorders>
            <w:vAlign w:val="center"/>
          </w:tcPr>
          <w:p>
            <w:pPr>
              <w:snapToGrid w:val="0"/>
              <w:jc w:val="center"/>
              <w:rPr>
                <w:rFonts w:ascii="宋体" w:hAnsi="宋体" w:cs="宋体"/>
                <w:bCs/>
                <w:sz w:val="24"/>
              </w:rPr>
            </w:pPr>
            <w:r>
              <w:rPr>
                <w:rFonts w:hint="eastAsia" w:ascii="宋体" w:hAnsi="宋体" w:cs="宋体"/>
                <w:b/>
                <w:sz w:val="24"/>
              </w:rPr>
              <w:t>报价要求</w:t>
            </w:r>
          </w:p>
        </w:tc>
        <w:tc>
          <w:tcPr>
            <w:tcW w:w="6706" w:type="dxa"/>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ascii="宋体" w:hAnsi="宋体" w:cs="宋体"/>
                <w:bCs/>
                <w:kern w:val="0"/>
                <w:sz w:val="24"/>
                <w:lang w:val="zh-CN"/>
              </w:rPr>
            </w:pPr>
            <w:r>
              <w:rPr>
                <w:rFonts w:hint="eastAsia" w:ascii="宋体" w:hAnsi="宋体" w:cs="宋体"/>
                <w:bCs/>
                <w:kern w:val="0"/>
                <w:sz w:val="24"/>
                <w:lang w:val="zh-CN"/>
              </w:rPr>
              <w:t>有关本项目实施所需的所有费用（不含增值税）均计入报价（即税前价），增值税税率需单独体现。</w:t>
            </w:r>
            <w:r>
              <w:rPr>
                <w:rFonts w:hint="eastAsia" w:ascii="宋体" w:hAnsi="宋体" w:cs="宋体"/>
                <w:bCs/>
                <w:kern w:val="0"/>
                <w:sz w:val="24"/>
              </w:rPr>
              <w:t>交易一览表（报价表）是报价的唯一载体</w:t>
            </w:r>
            <w:r>
              <w:rPr>
                <w:rFonts w:hint="eastAsia" w:ascii="宋体" w:hAnsi="宋体" w:cs="宋体"/>
                <w:bCs/>
                <w:kern w:val="0"/>
                <w:sz w:val="24"/>
                <w:lang w:val="zh-CN"/>
              </w:rPr>
              <w:t>。响应文件中价格全部采用人民币报价。公开竞争文件未列明，而响应人认为必需的费用也需列入报价。</w:t>
            </w:r>
          </w:p>
          <w:p>
            <w:pPr>
              <w:rPr>
                <w:rFonts w:ascii="宋体" w:hAnsi="宋体" w:cs="宋体"/>
                <w:bCs/>
                <w:kern w:val="0"/>
                <w:sz w:val="24"/>
                <w:lang w:val="zh-CN"/>
              </w:rPr>
            </w:pPr>
            <w:r>
              <w:rPr>
                <w:rFonts w:hint="eastAsia" w:ascii="宋体" w:hAnsi="宋体" w:cs="宋体"/>
                <w:bCs/>
                <w:kern w:val="0"/>
                <w:sz w:val="24"/>
                <w:lang w:val="zh-CN"/>
              </w:rPr>
              <w:t>交易报价出现下列情形的，交易无效：</w:t>
            </w:r>
          </w:p>
          <w:p>
            <w:pPr>
              <w:ind w:firstLine="480" w:firstLineChars="200"/>
              <w:rPr>
                <w:rFonts w:ascii="宋体" w:hAnsi="宋体" w:cs="宋体"/>
                <w:bCs/>
                <w:kern w:val="0"/>
                <w:sz w:val="24"/>
                <w:lang w:val="zh-CN"/>
              </w:rPr>
            </w:pPr>
            <w:r>
              <w:rPr>
                <w:rFonts w:hint="eastAsia" w:ascii="宋体" w:hAnsi="宋体" w:cs="宋体"/>
                <w:bCs/>
                <w:kern w:val="0"/>
                <w:sz w:val="24"/>
                <w:lang w:val="zh-CN"/>
              </w:rPr>
              <w:t>响应文件出现不是唯一的、有选择性交易报价的；</w:t>
            </w:r>
          </w:p>
          <w:p>
            <w:pPr>
              <w:ind w:firstLine="480" w:firstLineChars="200"/>
              <w:rPr>
                <w:rFonts w:ascii="宋体" w:hAnsi="宋体" w:cs="宋体"/>
                <w:bCs/>
                <w:kern w:val="0"/>
                <w:sz w:val="24"/>
                <w:lang w:val="zh-CN"/>
              </w:rPr>
            </w:pPr>
            <w:r>
              <w:rPr>
                <w:rFonts w:hint="eastAsia" w:ascii="宋体" w:hAnsi="宋体" w:cs="宋体"/>
                <w:bCs/>
                <w:kern w:val="0"/>
                <w:sz w:val="24"/>
                <w:lang w:val="zh-CN"/>
              </w:rPr>
              <w:t>交易报价超过公开竞争文件中规定的预算金额或者最高限价的；</w:t>
            </w:r>
          </w:p>
          <w:p>
            <w:pPr>
              <w:ind w:firstLine="480" w:firstLineChars="200"/>
              <w:rPr>
                <w:rFonts w:ascii="宋体" w:hAnsi="宋体" w:cs="宋体"/>
                <w:bCs/>
                <w:kern w:val="0"/>
                <w:sz w:val="24"/>
              </w:rPr>
            </w:pPr>
            <w:r>
              <w:rPr>
                <w:rFonts w:hint="eastAsia" w:ascii="宋体" w:hAnsi="宋体" w:cs="宋体"/>
                <w:bCs/>
                <w:kern w:val="0"/>
                <w:sz w:val="24"/>
              </w:rPr>
              <w:t>报价明显低于其他通过符合性审查响应人的报价，有可能影响产品质量或者不能诚信履约的，未能按要求提供书面说明或者提交相关证明材料证明其报价合理性的；</w:t>
            </w:r>
          </w:p>
          <w:p>
            <w:pPr>
              <w:ind w:firstLine="480" w:firstLineChars="200"/>
              <w:rPr>
                <w:rFonts w:ascii="宋体" w:hAnsi="宋体" w:cs="宋体"/>
                <w:kern w:val="0"/>
                <w:sz w:val="24"/>
                <w:lang w:val="zh-CN"/>
              </w:rPr>
            </w:pPr>
            <w:r>
              <w:rPr>
                <w:rFonts w:hint="eastAsia" w:ascii="宋体" w:hAnsi="宋体" w:cs="宋体"/>
                <w:bCs/>
                <w:kern w:val="0"/>
                <w:sz w:val="24"/>
              </w:rPr>
              <w:t>响应人对根据修正原则修正后的报价不确认的。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rPr>
            </w:pPr>
            <w:r>
              <w:rPr>
                <w:rFonts w:hint="eastAsia" w:ascii="宋体" w:hAnsi="宋体" w:cs="宋体"/>
                <w:b/>
                <w:color w:val="auto"/>
                <w:sz w:val="24"/>
              </w:rPr>
              <w:t>备份响应文件</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2"/>
              <w:ind w:hanging="4"/>
              <w:rPr>
                <w:rFonts w:hAnsi="宋体" w:cs="宋体"/>
                <w:color w:val="auto"/>
                <w:kern w:val="28"/>
                <w:sz w:val="24"/>
                <w:szCs w:val="24"/>
              </w:rPr>
            </w:pPr>
            <w:r>
              <w:rPr>
                <w:rFonts w:hint="eastAsia" w:hAnsi="宋体" w:cs="宋体"/>
                <w:color w:val="auto"/>
                <w:kern w:val="28"/>
                <w:sz w:val="24"/>
                <w:szCs w:val="24"/>
              </w:rPr>
              <w:t>备份文件是否收取：不收取。</w:t>
            </w:r>
          </w:p>
          <w:p>
            <w:pPr>
              <w:pStyle w:val="2"/>
              <w:ind w:hanging="4"/>
              <w:rPr>
                <w:rFonts w:hAnsi="宋体" w:cs="宋体"/>
                <w:color w:val="auto"/>
                <w:kern w:val="28"/>
                <w:sz w:val="24"/>
                <w:szCs w:val="24"/>
              </w:rPr>
            </w:pPr>
            <w:r>
              <w:rPr>
                <w:rFonts w:hint="eastAsia" w:hAnsi="宋体" w:cs="宋体"/>
                <w:b/>
                <w:color w:val="auto"/>
                <w:sz w:val="24"/>
              </w:rPr>
              <w:t>成交单位在成交后提供纸质响应文件一正</w:t>
            </w:r>
            <w:r>
              <w:rPr>
                <w:rFonts w:hint="eastAsia" w:hAnsi="宋体" w:cs="宋体"/>
                <w:b/>
                <w:color w:val="auto"/>
                <w:sz w:val="24"/>
                <w:lang w:val="en-US" w:eastAsia="zh-CN"/>
              </w:rPr>
              <w:t>四</w:t>
            </w:r>
            <w:r>
              <w:rPr>
                <w:rFonts w:hint="eastAsia" w:hAnsi="宋体" w:cs="宋体"/>
                <w:b/>
                <w:color w:val="auto"/>
                <w:sz w:val="24"/>
              </w:rPr>
              <w:t>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代理机构代理费用</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26"/>
              <w:spacing w:line="240" w:lineRule="auto"/>
              <w:ind w:firstLine="472" w:firstLineChars="200"/>
              <w:rPr>
                <w:rFonts w:hAnsi="宋体" w:cs="宋体"/>
                <w:spacing w:val="-2"/>
                <w:kern w:val="10"/>
                <w:szCs w:val="21"/>
              </w:rPr>
            </w:pPr>
            <w:r>
              <w:rPr>
                <w:rFonts w:hint="eastAsia" w:hAnsi="宋体" w:cs="宋体"/>
                <w:spacing w:val="-2"/>
                <w:kern w:val="10"/>
                <w:szCs w:val="21"/>
              </w:rPr>
              <w:t>本项目采购代理费由成交人支付，委托代理费按</w:t>
            </w:r>
            <w:r>
              <w:rPr>
                <w:rFonts w:hint="eastAsia" w:hAnsi="宋体" w:cs="宋体"/>
                <w:spacing w:val="-2"/>
                <w:kern w:val="10"/>
                <w:szCs w:val="21"/>
                <w:lang w:val="en-US"/>
              </w:rPr>
              <w:t>6000</w:t>
            </w:r>
            <w:r>
              <w:rPr>
                <w:rFonts w:hint="eastAsia" w:hAnsi="宋体" w:cs="宋体"/>
                <w:spacing w:val="-2"/>
                <w:kern w:val="10"/>
                <w:szCs w:val="21"/>
              </w:rPr>
              <w:t>元整结算收取。</w:t>
            </w:r>
          </w:p>
          <w:p>
            <w:pPr>
              <w:pStyle w:val="26"/>
              <w:spacing w:line="240" w:lineRule="auto"/>
              <w:ind w:firstLine="472" w:firstLineChars="200"/>
              <w:rPr>
                <w:rFonts w:hAnsi="宋体" w:cs="宋体"/>
                <w:spacing w:val="-2"/>
                <w:kern w:val="10"/>
                <w:szCs w:val="21"/>
              </w:rPr>
            </w:pPr>
            <w:r>
              <w:rPr>
                <w:rFonts w:hint="eastAsia" w:hAnsi="宋体" w:cs="宋体"/>
                <w:spacing w:val="-2"/>
                <w:kern w:val="10"/>
                <w:szCs w:val="21"/>
              </w:rPr>
              <w:t>服务费缴纳账号：</w:t>
            </w:r>
          </w:p>
          <w:p>
            <w:pPr>
              <w:pStyle w:val="26"/>
              <w:spacing w:line="240" w:lineRule="auto"/>
              <w:ind w:firstLine="472" w:firstLineChars="200"/>
              <w:rPr>
                <w:rFonts w:hAnsi="宋体" w:cs="宋体"/>
                <w:spacing w:val="-2"/>
                <w:kern w:val="10"/>
                <w:szCs w:val="21"/>
              </w:rPr>
            </w:pPr>
            <w:r>
              <w:rPr>
                <w:rFonts w:hint="eastAsia" w:hAnsi="宋体" w:cs="宋体"/>
                <w:spacing w:val="-2"/>
                <w:kern w:val="10"/>
                <w:szCs w:val="21"/>
              </w:rPr>
              <w:t>开户银行：上海浦东发展银行萧山支行</w:t>
            </w:r>
          </w:p>
          <w:p>
            <w:pPr>
              <w:pStyle w:val="26"/>
              <w:spacing w:line="240" w:lineRule="auto"/>
              <w:ind w:firstLine="472" w:firstLineChars="200"/>
              <w:rPr>
                <w:rFonts w:hAnsi="宋体" w:cs="宋体"/>
                <w:spacing w:val="-2"/>
                <w:kern w:val="10"/>
                <w:szCs w:val="21"/>
              </w:rPr>
            </w:pPr>
            <w:r>
              <w:rPr>
                <w:rFonts w:hint="eastAsia" w:hAnsi="宋体" w:cs="宋体"/>
                <w:spacing w:val="-2"/>
                <w:kern w:val="10"/>
                <w:szCs w:val="21"/>
              </w:rPr>
              <w:t>帐户名称：杭州博望建设工程招标投标代理有限公司</w:t>
            </w:r>
          </w:p>
          <w:p>
            <w:pPr>
              <w:pStyle w:val="26"/>
              <w:spacing w:line="240" w:lineRule="auto"/>
              <w:ind w:firstLine="472" w:firstLineChars="200"/>
              <w:rPr>
                <w:rFonts w:hAnsi="宋体" w:cs="宋体"/>
                <w:spacing w:val="-2"/>
                <w:kern w:val="10"/>
                <w:szCs w:val="21"/>
              </w:rPr>
            </w:pPr>
            <w:r>
              <w:rPr>
                <w:rFonts w:hint="eastAsia" w:hAnsi="宋体" w:cs="宋体"/>
                <w:spacing w:val="-2"/>
                <w:kern w:val="10"/>
                <w:szCs w:val="21"/>
              </w:rPr>
              <w:t>银行帐号：95070154740001005</w:t>
            </w:r>
          </w:p>
          <w:p>
            <w:pPr>
              <w:pStyle w:val="26"/>
              <w:spacing w:line="240" w:lineRule="auto"/>
              <w:ind w:firstLine="472" w:firstLineChars="200"/>
              <w:rPr>
                <w:rFonts w:hAnsi="宋体" w:cs="宋体"/>
                <w:bCs/>
                <w:kern w:val="0"/>
              </w:rPr>
            </w:pPr>
            <w:r>
              <w:rPr>
                <w:rFonts w:hint="eastAsia" w:hAnsi="宋体" w:cs="宋体"/>
                <w:spacing w:val="-2"/>
                <w:kern w:val="10"/>
                <w:szCs w:val="21"/>
              </w:rPr>
              <w:t>财务联系电话：0571-82373980。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b/>
                <w:sz w:val="24"/>
              </w:rPr>
            </w:pPr>
            <w:r>
              <w:rPr>
                <w:rFonts w:hint="eastAsia" w:ascii="宋体" w:hAnsi="宋体" w:cs="宋体"/>
                <w:bCs/>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履约保证金</w:t>
            </w:r>
          </w:p>
        </w:tc>
        <w:tc>
          <w:tcPr>
            <w:tcW w:w="6706" w:type="dxa"/>
            <w:tcBorders>
              <w:top w:val="single" w:color="000000" w:sz="8" w:space="0"/>
              <w:left w:val="single" w:color="000000" w:sz="2" w:space="0"/>
              <w:bottom w:val="single" w:color="000000" w:sz="8" w:space="0"/>
              <w:right w:val="single" w:color="000000" w:sz="8" w:space="0"/>
            </w:tcBorders>
            <w:vAlign w:val="center"/>
          </w:tcPr>
          <w:p>
            <w:pPr>
              <w:pStyle w:val="2"/>
              <w:ind w:hanging="4"/>
              <w:rPr>
                <w:rFonts w:hAnsi="宋体" w:cs="宋体"/>
                <w:bCs/>
                <w:kern w:val="0"/>
                <w:sz w:val="24"/>
              </w:rPr>
            </w:pPr>
            <w:r>
              <w:rPr>
                <w:rFonts w:hint="eastAsia" w:hAnsi="宋体" w:cs="宋体"/>
                <w:snapToGrid/>
                <w:spacing w:val="-2"/>
                <w:kern w:val="10"/>
                <w:sz w:val="24"/>
                <w:lang w:val="zh-CN"/>
              </w:rPr>
              <w:t>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bCs/>
                <w:sz w:val="24"/>
              </w:rPr>
            </w:pPr>
            <w:r>
              <w:rPr>
                <w:rFonts w:hint="eastAsia" w:ascii="宋体" w:hAnsi="宋体" w:cs="宋体"/>
                <w:bCs/>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资格审查和信用信息审查</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bCs/>
                <w:kern w:val="0"/>
                <w:sz w:val="24"/>
              </w:rPr>
            </w:pPr>
            <w:r>
              <w:rPr>
                <w:rFonts w:hint="eastAsia" w:ascii="宋体" w:hAnsi="宋体" w:cs="宋体"/>
                <w:bCs/>
                <w:kern w:val="0"/>
                <w:sz w:val="24"/>
              </w:rPr>
              <w:t>本项目由交易发起人进行资格文件及信用信息查询。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2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bCs/>
                <w:sz w:val="24"/>
              </w:rPr>
            </w:pPr>
            <w:r>
              <w:rPr>
                <w:rFonts w:hint="eastAsia" w:ascii="宋体" w:hAnsi="宋体" w:cs="宋体"/>
                <w:bCs/>
                <w:sz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异议接收人及答复</w:t>
            </w:r>
          </w:p>
        </w:tc>
        <w:tc>
          <w:tcPr>
            <w:tcW w:w="6706" w:type="dxa"/>
            <w:tcBorders>
              <w:top w:val="single" w:color="000000" w:sz="8" w:space="0"/>
              <w:left w:val="single" w:color="000000" w:sz="2" w:space="0"/>
              <w:bottom w:val="single" w:color="000000" w:sz="8" w:space="0"/>
              <w:right w:val="single" w:color="000000" w:sz="8" w:space="0"/>
            </w:tcBorders>
            <w:vAlign w:val="center"/>
          </w:tcPr>
          <w:p>
            <w:pPr>
              <w:snapToGrid w:val="0"/>
              <w:spacing w:line="500" w:lineRule="exact"/>
              <w:rPr>
                <w:rFonts w:ascii="宋体" w:hAnsi="宋体" w:cs="宋体"/>
                <w:sz w:val="24"/>
              </w:rPr>
            </w:pPr>
            <w:r>
              <w:rPr>
                <w:rFonts w:hint="eastAsia" w:ascii="宋体" w:hAnsi="宋体" w:cs="宋体"/>
                <w:sz w:val="24"/>
              </w:rPr>
              <w:t>代理机构异议接收人：</w:t>
            </w:r>
            <w:r>
              <w:rPr>
                <w:rFonts w:hint="eastAsia" w:ascii="宋体" w:hAnsi="宋体" w:cs="宋体"/>
                <w:sz w:val="24"/>
                <w:u w:val="single"/>
              </w:rPr>
              <w:t>高华萍</w:t>
            </w:r>
            <w:r>
              <w:rPr>
                <w:rFonts w:hint="eastAsia" w:ascii="宋体" w:hAnsi="宋体" w:cs="宋体"/>
                <w:sz w:val="24"/>
              </w:rPr>
              <w:t xml:space="preserve"> 联系方式：</w:t>
            </w:r>
            <w:r>
              <w:rPr>
                <w:rFonts w:hint="eastAsia" w:ascii="宋体" w:hAnsi="宋体" w:cs="宋体"/>
                <w:sz w:val="24"/>
                <w:u w:val="single"/>
              </w:rPr>
              <w:t>0571-83881208</w:t>
            </w:r>
          </w:p>
          <w:p>
            <w:pPr>
              <w:snapToGrid w:val="0"/>
              <w:spacing w:line="500" w:lineRule="exact"/>
              <w:rPr>
                <w:rFonts w:ascii="宋体" w:hAnsi="宋体" w:cs="宋体"/>
                <w:sz w:val="24"/>
                <w:u w:val="single"/>
              </w:rPr>
            </w:pPr>
            <w:r>
              <w:rPr>
                <w:rFonts w:hint="eastAsia" w:ascii="宋体" w:hAnsi="宋体" w:cs="宋体"/>
                <w:sz w:val="24"/>
              </w:rPr>
              <w:t>地址：</w:t>
            </w:r>
            <w:r>
              <w:rPr>
                <w:rFonts w:hint="eastAsia" w:ascii="宋体" w:hAnsi="宋体" w:cs="宋体"/>
                <w:sz w:val="24"/>
                <w:u w:val="single"/>
              </w:rPr>
              <w:t>杭州市萧山区金城路433号天汇园一幢A座5楼</w:t>
            </w:r>
          </w:p>
          <w:p>
            <w:pPr>
              <w:snapToGrid w:val="0"/>
              <w:spacing w:line="500" w:lineRule="exact"/>
              <w:rPr>
                <w:rFonts w:ascii="宋体" w:hAnsi="宋体" w:cs="宋体"/>
                <w:sz w:val="24"/>
              </w:rPr>
            </w:pPr>
            <w:r>
              <w:rPr>
                <w:rFonts w:hint="eastAsia" w:ascii="宋体" w:hAnsi="宋体" w:cs="宋体"/>
                <w:sz w:val="24"/>
              </w:rPr>
              <w:t>邮箱：</w:t>
            </w:r>
            <w:r>
              <w:rPr>
                <w:rFonts w:hint="eastAsia" w:ascii="宋体" w:hAnsi="宋体" w:cs="宋体"/>
                <w:sz w:val="24"/>
                <w:u w:val="single"/>
              </w:rPr>
              <w:t>751200605@qq.com</w:t>
            </w:r>
          </w:p>
          <w:p>
            <w:pPr>
              <w:snapToGrid w:val="0"/>
              <w:spacing w:line="400" w:lineRule="exact"/>
              <w:rPr>
                <w:rFonts w:ascii="宋体" w:hAnsi="宋体" w:cs="宋体"/>
                <w:b/>
                <w:sz w:val="24"/>
              </w:rPr>
            </w:pPr>
            <w:r>
              <w:rPr>
                <w:rFonts w:hint="eastAsia" w:ascii="宋体" w:hAnsi="宋体" w:cs="宋体"/>
                <w:b/>
                <w:sz w:val="24"/>
              </w:rPr>
              <w:t>如通过邮箱方式发送异议，须提交符合法规及公开竞争文件要求的异议文件（参考附件1），盖章扫描后发送，异议的受理按答复主体划分以交易发起人或代理机构邮箱回复确认受理为准。</w:t>
            </w:r>
          </w:p>
          <w:p>
            <w:pPr>
              <w:snapToGrid w:val="0"/>
              <w:spacing w:line="400" w:lineRule="exact"/>
              <w:rPr>
                <w:rFonts w:ascii="宋体" w:hAnsi="宋体" w:cs="宋体"/>
                <w:sz w:val="24"/>
              </w:rPr>
            </w:pPr>
            <w:r>
              <w:rPr>
                <w:rFonts w:hint="eastAsia" w:ascii="宋体" w:hAnsi="宋体" w:cs="宋体"/>
                <w:sz w:val="24"/>
              </w:rPr>
              <w:t>本项目涉及资格条件、交易需求、评分办法及交易过程中有关现场考察或开标前答疑会事项由交易发起人进行答复。</w:t>
            </w:r>
          </w:p>
          <w:p>
            <w:pPr>
              <w:pStyle w:val="2"/>
              <w:spacing w:line="400" w:lineRule="exact"/>
              <w:ind w:hanging="4"/>
              <w:rPr>
                <w:rFonts w:hAnsi="宋体" w:cs="宋体"/>
                <w:sz w:val="24"/>
              </w:rPr>
            </w:pPr>
            <w:r>
              <w:rPr>
                <w:rFonts w:hint="eastAsia" w:hAnsi="宋体" w:cs="宋体"/>
                <w:sz w:val="24"/>
              </w:rPr>
              <w:t>涉及流程组织等相关事项，由代理机构进行答复。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sz w:val="24"/>
              </w:rPr>
            </w:pPr>
            <w:r>
              <w:rPr>
                <w:rFonts w:hint="eastAsia" w:ascii="宋体" w:hAnsi="宋体" w:cs="宋体"/>
                <w:sz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服务周期</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snapToGrid w:val="0"/>
                <w:kern w:val="28"/>
                <w:sz w:val="24"/>
              </w:rPr>
            </w:pPr>
            <w:r>
              <w:rPr>
                <w:rFonts w:hint="eastAsia" w:ascii="宋体" w:hAnsi="宋体" w:cs="宋体"/>
                <w:b/>
                <w:sz w:val="24"/>
              </w:rPr>
              <w:t>合同服务周期为两年，自签订之日起；合同一年一签。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2"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sz w:val="24"/>
              </w:rPr>
            </w:pPr>
            <w:r>
              <w:rPr>
                <w:rFonts w:hint="eastAsia" w:ascii="宋体" w:hAnsi="宋体" w:cs="宋体"/>
                <w:sz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sz w:val="24"/>
              </w:rPr>
            </w:pPr>
            <w:r>
              <w:rPr>
                <w:rFonts w:hint="eastAsia" w:ascii="宋体" w:hAnsi="宋体" w:cs="宋体"/>
                <w:b/>
                <w:sz w:val="24"/>
              </w:rPr>
              <w:t>特别说明</w:t>
            </w:r>
          </w:p>
        </w:tc>
        <w:tc>
          <w:tcPr>
            <w:tcW w:w="6706"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snapToGrid w:val="0"/>
                <w:kern w:val="28"/>
                <w:sz w:val="24"/>
              </w:rPr>
            </w:pPr>
            <w:r>
              <w:rPr>
                <w:rFonts w:hint="eastAsia" w:ascii="宋体" w:hAnsi="宋体" w:cs="宋体"/>
                <w:b/>
                <w:sz w:val="24"/>
              </w:rPr>
              <w:t>本项目通用总则条款与前附表等专用特别规定有冲突之处，以专用条款（特别规定）为准。</w:t>
            </w:r>
          </w:p>
        </w:tc>
      </w:tr>
    </w:tbl>
    <w:p>
      <w:pPr>
        <w:snapToGrid w:val="0"/>
        <w:spacing w:line="360" w:lineRule="auto"/>
        <w:jc w:val="center"/>
        <w:rPr>
          <w:rFonts w:ascii="宋体" w:hAnsi="宋体" w:cs="宋体"/>
          <w:b/>
          <w:sz w:val="32"/>
          <w:szCs w:val="20"/>
        </w:rPr>
      </w:pPr>
    </w:p>
    <w:bookmarkEnd w:id="9"/>
    <w:p>
      <w:pPr>
        <w:rPr>
          <w:rFonts w:ascii="宋体" w:hAnsi="宋体" w:cs="宋体"/>
          <w:b/>
          <w:sz w:val="32"/>
          <w:szCs w:val="20"/>
        </w:rPr>
      </w:pPr>
      <w:bookmarkStart w:id="12" w:name="_Toc164416483"/>
      <w:bookmarkStart w:id="13" w:name="第三部分"/>
      <w:r>
        <w:rPr>
          <w:rFonts w:hint="eastAsia" w:ascii="宋体" w:hAnsi="宋体" w:cs="宋体"/>
          <w:b/>
          <w:sz w:val="32"/>
          <w:szCs w:val="20"/>
        </w:rPr>
        <w:br w:type="page"/>
      </w:r>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460" w:lineRule="exact"/>
        <w:jc w:val="left"/>
        <w:outlineLvl w:val="1"/>
        <w:rPr>
          <w:rFonts w:ascii="宋体" w:hAnsi="宋体" w:cs="宋体"/>
          <w:b/>
          <w:sz w:val="24"/>
        </w:rPr>
      </w:pPr>
      <w:r>
        <w:rPr>
          <w:rFonts w:hint="eastAsia" w:ascii="宋体" w:hAnsi="宋体" w:cs="宋体"/>
          <w:b/>
          <w:sz w:val="24"/>
        </w:rPr>
        <w:t>1.适用范围</w:t>
      </w:r>
    </w:p>
    <w:p>
      <w:pPr>
        <w:snapToGrid w:val="0"/>
        <w:spacing w:line="460" w:lineRule="exact"/>
        <w:ind w:firstLine="420" w:firstLineChars="175"/>
        <w:jc w:val="left"/>
        <w:rPr>
          <w:rFonts w:ascii="宋体" w:hAnsi="宋体" w:cs="宋体"/>
          <w:sz w:val="24"/>
        </w:rPr>
      </w:pPr>
      <w:r>
        <w:rPr>
          <w:rFonts w:hint="eastAsia" w:ascii="宋体" w:hAnsi="宋体" w:cs="宋体"/>
          <w:sz w:val="24"/>
        </w:rPr>
        <w:t>本公开竞争文件适用于该项目的交易、响应、评审、资格审查及信用信息查询、评审、定标、合同、验收等行为（法律、法规另有规定的，从其规定）。</w:t>
      </w:r>
    </w:p>
    <w:p>
      <w:pPr>
        <w:adjustRightInd/>
        <w:spacing w:line="460" w:lineRule="exact"/>
        <w:outlineLvl w:val="0"/>
        <w:rPr>
          <w:rFonts w:ascii="宋体" w:hAnsi="宋体" w:cs="宋体"/>
          <w:b/>
          <w:sz w:val="24"/>
        </w:rPr>
      </w:pPr>
      <w:r>
        <w:rPr>
          <w:rFonts w:hint="eastAsia" w:ascii="宋体" w:hAnsi="宋体" w:cs="宋体"/>
          <w:b/>
          <w:sz w:val="24"/>
        </w:rPr>
        <w:t>2.定义</w:t>
      </w:r>
    </w:p>
    <w:p>
      <w:pPr>
        <w:spacing w:line="460" w:lineRule="exact"/>
        <w:ind w:firstLine="420" w:firstLineChars="175"/>
        <w:rPr>
          <w:rFonts w:ascii="宋体" w:hAnsi="宋体" w:cs="宋体"/>
          <w:sz w:val="24"/>
        </w:rPr>
      </w:pPr>
      <w:r>
        <w:rPr>
          <w:rFonts w:hint="eastAsia" w:ascii="宋体" w:hAnsi="宋体" w:cs="宋体"/>
          <w:sz w:val="24"/>
        </w:rPr>
        <w:t>2.1“交易发起人”系指交易公告中载明的本项目的交易发起人。</w:t>
      </w:r>
    </w:p>
    <w:p>
      <w:pPr>
        <w:spacing w:line="460" w:lineRule="exact"/>
        <w:ind w:firstLine="420" w:firstLineChars="175"/>
        <w:rPr>
          <w:rFonts w:ascii="宋体" w:hAnsi="宋体" w:cs="宋体"/>
          <w:sz w:val="24"/>
        </w:rPr>
      </w:pPr>
      <w:r>
        <w:rPr>
          <w:rFonts w:hint="eastAsia" w:ascii="宋体" w:hAnsi="宋体" w:cs="宋体"/>
          <w:sz w:val="24"/>
        </w:rPr>
        <w:t>2.2“代理机构”系指交易公告中载明的本项目的代理机构。</w:t>
      </w:r>
    </w:p>
    <w:p>
      <w:pPr>
        <w:spacing w:line="460" w:lineRule="exact"/>
        <w:ind w:firstLine="420" w:firstLineChars="175"/>
        <w:rPr>
          <w:rFonts w:ascii="宋体" w:hAnsi="宋体" w:cs="宋体"/>
          <w:sz w:val="24"/>
        </w:rPr>
      </w:pPr>
      <w:r>
        <w:rPr>
          <w:rFonts w:hint="eastAsia" w:ascii="宋体" w:hAnsi="宋体" w:cs="宋体"/>
          <w:sz w:val="24"/>
        </w:rPr>
        <w:t>2.3“响应人”系指响应招标、参加投标竞争的法人、其他组织或者自然人。</w:t>
      </w:r>
    </w:p>
    <w:p>
      <w:pPr>
        <w:spacing w:line="460" w:lineRule="exact"/>
        <w:ind w:firstLine="420" w:firstLineChars="175"/>
        <w:rPr>
          <w:rFonts w:ascii="宋体" w:hAnsi="宋体" w:cs="宋体"/>
          <w:sz w:val="24"/>
        </w:rPr>
      </w:pPr>
      <w:r>
        <w:rPr>
          <w:rFonts w:hint="eastAsia" w:ascii="宋体" w:hAnsi="宋体" w:cs="宋体"/>
          <w:sz w:val="24"/>
        </w:rPr>
        <w:t>2.4“负责人”系指法人企业的法定负责人，或其他组织为法律、行政法规规定代表单位行使职权的主要负责人，或自然人本人。</w:t>
      </w:r>
    </w:p>
    <w:p>
      <w:pPr>
        <w:spacing w:line="460" w:lineRule="exact"/>
        <w:ind w:firstLine="420" w:firstLineChars="175"/>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响应人电子签名指响应人电子公章；“公章”系指单位法定名称章。因特殊原因需要使用冠以法定名称的业务专用章的，响应时须提供《业务专用章使用说明函》（附件3）。</w:t>
      </w:r>
    </w:p>
    <w:p>
      <w:pPr>
        <w:spacing w:line="460" w:lineRule="exact"/>
        <w:ind w:firstLine="420" w:firstLineChars="175"/>
        <w:jc w:val="left"/>
        <w:rPr>
          <w:rFonts w:ascii="宋体" w:hAnsi="宋体" w:cs="宋体"/>
          <w:sz w:val="24"/>
        </w:rPr>
      </w:pPr>
      <w:r>
        <w:rPr>
          <w:rFonts w:hint="eastAsia" w:ascii="宋体" w:hAnsi="宋体" w:cs="宋体"/>
          <w:sz w:val="24"/>
        </w:rPr>
        <w:t>2.6“电子交易平台”是指本项目交易活动所依托的政府采购云平台（https://www.zcygov.cn/）。</w:t>
      </w:r>
    </w:p>
    <w:p>
      <w:pPr>
        <w:spacing w:line="460" w:lineRule="exact"/>
        <w:ind w:firstLine="420" w:firstLineChars="175"/>
        <w:rPr>
          <w:rFonts w:ascii="宋体" w:hAnsi="宋体" w:cs="宋体"/>
          <w:sz w:val="24"/>
        </w:rPr>
      </w:pPr>
      <w:r>
        <w:rPr>
          <w:rFonts w:hint="eastAsia" w:ascii="宋体" w:hAnsi="宋体" w:cs="宋体"/>
          <w:sz w:val="24"/>
        </w:rPr>
        <w:t>2.7“▲” 系指实质性要求条款，“（</w:t>
      </w:r>
      <w:r>
        <w:rPr>
          <w:rFonts w:hint="eastAsia" w:ascii="宋体" w:hAnsi="宋体" w:cs="宋体"/>
          <w:bCs/>
          <w:sz w:val="24"/>
        </w:rPr>
        <w:t>√</w:t>
      </w:r>
      <w:r>
        <w:rPr>
          <w:rFonts w:hint="eastAsia" w:ascii="宋体" w:hAnsi="宋体" w:cs="宋体"/>
          <w:sz w:val="24"/>
        </w:rPr>
        <w:t>）” 系指适用本项目的要求，“（  ）”系指不适用本项目的要求。</w:t>
      </w:r>
    </w:p>
    <w:p>
      <w:pPr>
        <w:spacing w:line="460" w:lineRule="exact"/>
        <w:rPr>
          <w:rFonts w:ascii="宋体" w:hAnsi="宋体" w:cs="宋体"/>
          <w:b/>
          <w:sz w:val="24"/>
        </w:rPr>
      </w:pPr>
      <w:r>
        <w:rPr>
          <w:rFonts w:hint="eastAsia" w:ascii="宋体" w:hAnsi="宋体" w:cs="宋体"/>
          <w:b/>
          <w:sz w:val="24"/>
        </w:rPr>
        <w:t>3.异议、投诉</w:t>
      </w:r>
    </w:p>
    <w:p>
      <w:pPr>
        <w:autoSpaceDE w:val="0"/>
        <w:autoSpaceDN w:val="0"/>
        <w:spacing w:line="460" w:lineRule="exact"/>
        <w:ind w:firstLine="420" w:firstLineChars="175"/>
        <w:jc w:val="left"/>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.1响应人异议</w:t>
      </w:r>
    </w:p>
    <w:p>
      <w:pPr>
        <w:autoSpaceDE w:val="0"/>
        <w:autoSpaceDN w:val="0"/>
        <w:spacing w:line="460" w:lineRule="exact"/>
        <w:ind w:firstLine="420" w:firstLineChars="175"/>
        <w:jc w:val="left"/>
        <w:rPr>
          <w:rFonts w:ascii="宋体" w:hAnsi="宋体" w:cs="宋体"/>
          <w:kern w:val="0"/>
          <w:sz w:val="24"/>
          <w:lang w:val="zh-CN"/>
        </w:rPr>
      </w:pPr>
      <w:r>
        <w:rPr>
          <w:rFonts w:hint="eastAsia" w:ascii="宋体" w:hAnsi="宋体" w:cs="宋体"/>
          <w:kern w:val="0"/>
          <w:sz w:val="24"/>
          <w:lang w:val="zh-CN"/>
        </w:rPr>
        <w:t>响应人对</w:t>
      </w:r>
      <w:r>
        <w:rPr>
          <w:rFonts w:hint="eastAsia" w:ascii="宋体" w:hAnsi="宋体" w:cs="宋体"/>
          <w:kern w:val="0"/>
          <w:sz w:val="24"/>
        </w:rPr>
        <w:t>交易</w:t>
      </w:r>
      <w:r>
        <w:rPr>
          <w:rFonts w:hint="eastAsia" w:ascii="宋体" w:hAnsi="宋体" w:cs="宋体"/>
          <w:kern w:val="0"/>
          <w:sz w:val="24"/>
          <w:lang w:val="zh-CN"/>
        </w:rPr>
        <w:t>活动事项有疑问的，可以提出异议，交易发起人或者代理机构应当在3日内对响应人依法提出的询问作出答复，但答复的内容不得涉及商业秘密。响应人提出的询问超出交易发起人对代理机构委托授权范围的，代理机构应当告知响应人向交易发起人提出。</w:t>
      </w:r>
    </w:p>
    <w:p>
      <w:pPr>
        <w:autoSpaceDE w:val="0"/>
        <w:autoSpaceDN w:val="0"/>
        <w:spacing w:line="460" w:lineRule="exact"/>
        <w:ind w:firstLine="420" w:firstLineChars="175"/>
        <w:jc w:val="left"/>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.2响应人异议</w:t>
      </w:r>
    </w:p>
    <w:p>
      <w:pPr>
        <w:pStyle w:val="2"/>
        <w:spacing w:line="460" w:lineRule="exact"/>
        <w:ind w:firstLine="420" w:firstLineChars="175"/>
        <w:rPr>
          <w:rFonts w:hAnsi="宋体" w:cs="宋体"/>
          <w:sz w:val="24"/>
        </w:rPr>
      </w:pPr>
      <w:r>
        <w:rPr>
          <w:rFonts w:hint="eastAsia" w:hAnsi="宋体" w:cs="宋体"/>
          <w:kern w:val="0"/>
          <w:sz w:val="24"/>
        </w:rPr>
        <w:t>3</w:t>
      </w:r>
      <w:r>
        <w:rPr>
          <w:rFonts w:hint="eastAsia" w:hAnsi="宋体" w:cs="宋体"/>
          <w:kern w:val="0"/>
          <w:sz w:val="24"/>
          <w:lang w:val="zh-CN"/>
        </w:rPr>
        <w:t>.2</w:t>
      </w:r>
      <w:r>
        <w:rPr>
          <w:rFonts w:hint="eastAsia" w:hAnsi="宋体" w:cs="宋体"/>
          <w:sz w:val="24"/>
        </w:rPr>
        <w:t>.1提出</w:t>
      </w:r>
      <w:r>
        <w:rPr>
          <w:rFonts w:hint="eastAsia" w:hAnsi="宋体" w:cs="宋体"/>
          <w:kern w:val="0"/>
          <w:sz w:val="24"/>
          <w:lang w:val="zh-CN"/>
        </w:rPr>
        <w:t>异议</w:t>
      </w:r>
      <w:r>
        <w:rPr>
          <w:rFonts w:hint="eastAsia" w:hAnsi="宋体" w:cs="宋体"/>
          <w:sz w:val="24"/>
        </w:rPr>
        <w:t>的响应人应当是参与所质</w:t>
      </w:r>
      <w:r>
        <w:rPr>
          <w:rFonts w:hint="eastAsia" w:hAnsi="宋体" w:cs="宋体"/>
          <w:kern w:val="0"/>
          <w:sz w:val="24"/>
          <w:lang w:val="zh-CN"/>
        </w:rPr>
        <w:t>异议</w:t>
      </w:r>
      <w:r>
        <w:rPr>
          <w:rFonts w:hint="eastAsia" w:hAnsi="宋体" w:cs="宋体"/>
          <w:sz w:val="24"/>
        </w:rPr>
        <w:t>项目交易活动的响应人。潜在响应人已依法获取其可</w:t>
      </w:r>
      <w:r>
        <w:rPr>
          <w:rFonts w:hint="eastAsia" w:hAnsi="宋体" w:cs="宋体"/>
          <w:kern w:val="0"/>
          <w:sz w:val="24"/>
          <w:lang w:val="zh-CN"/>
        </w:rPr>
        <w:t>异议</w:t>
      </w:r>
      <w:r>
        <w:rPr>
          <w:rFonts w:hint="eastAsia" w:hAnsi="宋体" w:cs="宋体"/>
          <w:sz w:val="24"/>
        </w:rPr>
        <w:t>的公开竞争文件的，可以对该文件提出</w:t>
      </w:r>
      <w:r>
        <w:rPr>
          <w:rFonts w:hint="eastAsia" w:hAnsi="宋体" w:cs="宋体"/>
          <w:kern w:val="0"/>
          <w:sz w:val="24"/>
          <w:lang w:val="zh-CN"/>
        </w:rPr>
        <w:t>异议</w:t>
      </w:r>
      <w:r>
        <w:rPr>
          <w:rFonts w:hint="eastAsia" w:hAnsi="宋体" w:cs="宋体"/>
          <w:sz w:val="24"/>
        </w:rPr>
        <w:t>。</w:t>
      </w:r>
    </w:p>
    <w:p>
      <w:pPr>
        <w:pStyle w:val="2"/>
        <w:spacing w:line="460" w:lineRule="exact"/>
        <w:ind w:firstLine="420" w:firstLineChars="175"/>
        <w:rPr>
          <w:rFonts w:hAnsi="宋体" w:cs="宋体"/>
          <w:sz w:val="24"/>
        </w:rPr>
      </w:pPr>
      <w:r>
        <w:rPr>
          <w:rFonts w:hint="eastAsia" w:hAnsi="宋体" w:cs="宋体"/>
          <w:kern w:val="0"/>
          <w:sz w:val="24"/>
        </w:rPr>
        <w:t>3</w:t>
      </w:r>
      <w:r>
        <w:rPr>
          <w:rFonts w:hint="eastAsia" w:hAnsi="宋体" w:cs="宋体"/>
          <w:kern w:val="0"/>
          <w:sz w:val="24"/>
          <w:lang w:val="zh-CN"/>
        </w:rPr>
        <w:t>.2</w:t>
      </w:r>
      <w:r>
        <w:rPr>
          <w:rFonts w:hint="eastAsia" w:hAnsi="宋体" w:cs="宋体"/>
          <w:sz w:val="24"/>
        </w:rPr>
        <w:t>.2响应人认为公开竞争文件、交易过程和成交结果使自己的权益受到损害的，可以在知道或者应知其权益受到损害之日起3日内，以书面形式向交易发起人或者代理机构提出</w:t>
      </w:r>
      <w:r>
        <w:rPr>
          <w:rFonts w:hint="eastAsia" w:hAnsi="宋体" w:cs="宋体"/>
          <w:kern w:val="0"/>
          <w:sz w:val="24"/>
          <w:lang w:val="zh-CN"/>
        </w:rPr>
        <w:t>异议</w:t>
      </w:r>
      <w:r>
        <w:rPr>
          <w:rFonts w:hint="eastAsia" w:hAnsi="宋体" w:cs="宋体"/>
          <w:sz w:val="24"/>
        </w:rPr>
        <w:t>，否则，交易发起人或者代理机构不予受理：</w:t>
      </w:r>
    </w:p>
    <w:p>
      <w:pPr>
        <w:pStyle w:val="2"/>
        <w:spacing w:line="460" w:lineRule="exact"/>
        <w:ind w:firstLine="420" w:firstLineChars="175"/>
        <w:rPr>
          <w:rFonts w:hAnsi="宋体" w:cs="宋体"/>
          <w:sz w:val="24"/>
        </w:rPr>
      </w:pPr>
      <w:r>
        <w:rPr>
          <w:rFonts w:hint="eastAsia" w:hAnsi="宋体" w:cs="宋体"/>
          <w:sz w:val="24"/>
        </w:rPr>
        <w:t>3.2.2.1对交易过程提出</w:t>
      </w:r>
      <w:r>
        <w:rPr>
          <w:rFonts w:hint="eastAsia" w:hAnsi="宋体" w:cs="宋体"/>
          <w:kern w:val="0"/>
          <w:sz w:val="24"/>
          <w:lang w:val="zh-CN"/>
        </w:rPr>
        <w:t>异议</w:t>
      </w:r>
      <w:r>
        <w:rPr>
          <w:rFonts w:hint="eastAsia" w:hAnsi="宋体" w:cs="宋体"/>
          <w:sz w:val="24"/>
        </w:rPr>
        <w:t>的，</w:t>
      </w:r>
      <w:r>
        <w:rPr>
          <w:rFonts w:hint="eastAsia" w:hAnsi="宋体" w:cs="宋体"/>
          <w:kern w:val="0"/>
          <w:sz w:val="24"/>
          <w:lang w:val="zh-CN"/>
        </w:rPr>
        <w:t>异议</w:t>
      </w:r>
      <w:r>
        <w:rPr>
          <w:rFonts w:hint="eastAsia" w:hAnsi="宋体" w:cs="宋体"/>
          <w:sz w:val="24"/>
        </w:rPr>
        <w:t>期限为各交易程序环节结束之日起计算。对同一交易程序环节的</w:t>
      </w:r>
      <w:r>
        <w:rPr>
          <w:rFonts w:hint="eastAsia" w:hAnsi="宋体" w:cs="宋体"/>
          <w:kern w:val="0"/>
          <w:sz w:val="24"/>
          <w:lang w:val="zh-CN"/>
        </w:rPr>
        <w:t>异议</w:t>
      </w:r>
      <w:r>
        <w:rPr>
          <w:rFonts w:hint="eastAsia" w:hAnsi="宋体" w:cs="宋体"/>
          <w:sz w:val="24"/>
        </w:rPr>
        <w:t>，响应人须一次性提出。</w:t>
      </w:r>
    </w:p>
    <w:p>
      <w:pPr>
        <w:pStyle w:val="2"/>
        <w:spacing w:line="46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.2.3</w:t>
      </w:r>
      <w:r>
        <w:rPr>
          <w:rFonts w:hint="eastAsia" w:hAnsi="宋体" w:cs="宋体"/>
          <w:sz w:val="24"/>
        </w:rPr>
        <w:t>响应人提出</w:t>
      </w:r>
      <w:r>
        <w:rPr>
          <w:rFonts w:hint="eastAsia" w:hAnsi="宋体" w:cs="宋体"/>
          <w:kern w:val="0"/>
          <w:sz w:val="24"/>
          <w:lang w:val="zh-CN"/>
        </w:rPr>
        <w:t>异议</w:t>
      </w:r>
      <w:r>
        <w:rPr>
          <w:rFonts w:hint="eastAsia" w:hAnsi="宋体" w:cs="宋体"/>
          <w:sz w:val="24"/>
        </w:rPr>
        <w:t>应当提交</w:t>
      </w:r>
      <w:r>
        <w:rPr>
          <w:rFonts w:hint="eastAsia" w:hAnsi="宋体" w:cs="宋体"/>
          <w:kern w:val="0"/>
          <w:sz w:val="24"/>
          <w:lang w:val="zh-CN"/>
        </w:rPr>
        <w:t>异议</w:t>
      </w:r>
      <w:r>
        <w:rPr>
          <w:rFonts w:hint="eastAsia" w:hAnsi="宋体" w:cs="宋体"/>
          <w:sz w:val="24"/>
        </w:rPr>
        <w:t>函和必要的证明材料。</w:t>
      </w:r>
      <w:r>
        <w:rPr>
          <w:rFonts w:hint="eastAsia" w:hAnsi="宋体" w:cs="宋体"/>
          <w:kern w:val="0"/>
          <w:sz w:val="24"/>
          <w:lang w:val="zh-CN"/>
        </w:rPr>
        <w:t>异议</w:t>
      </w:r>
      <w:r>
        <w:rPr>
          <w:rFonts w:hint="eastAsia" w:hAnsi="宋体" w:cs="宋体"/>
          <w:sz w:val="24"/>
        </w:rPr>
        <w:t>函应当包括下列内容：</w:t>
      </w:r>
    </w:p>
    <w:p>
      <w:pPr>
        <w:pStyle w:val="2"/>
        <w:spacing w:line="46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.2.3.1响应人的姓名或者名称、地址、邮编、联系人及联系电话；</w:t>
      </w:r>
    </w:p>
    <w:p>
      <w:pPr>
        <w:pStyle w:val="2"/>
        <w:spacing w:line="46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.2.3.2异议项目的名称、编号；</w:t>
      </w:r>
    </w:p>
    <w:p>
      <w:pPr>
        <w:pStyle w:val="2"/>
        <w:spacing w:line="46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.2.3.3具体、明确的异议事项和与异议事项相关的请求；</w:t>
      </w:r>
    </w:p>
    <w:p>
      <w:pPr>
        <w:pStyle w:val="2"/>
        <w:spacing w:line="46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.2.3.4事实依据；</w:t>
      </w:r>
    </w:p>
    <w:p>
      <w:pPr>
        <w:pStyle w:val="2"/>
        <w:spacing w:line="46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.2.3.5必要的法律依据；</w:t>
      </w:r>
    </w:p>
    <w:p>
      <w:pPr>
        <w:pStyle w:val="2"/>
        <w:spacing w:line="46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.2.3.6提出异议的日期。</w:t>
      </w:r>
    </w:p>
    <w:p>
      <w:pPr>
        <w:pStyle w:val="2"/>
        <w:spacing w:line="460" w:lineRule="exact"/>
        <w:ind w:firstLine="420" w:firstLineChars="175"/>
        <w:rPr>
          <w:rFonts w:hAnsi="宋体" w:cs="宋体"/>
          <w:kern w:val="0"/>
          <w:sz w:val="24"/>
          <w:lang w:val="zh-CN"/>
        </w:rPr>
      </w:pPr>
      <w:r>
        <w:rPr>
          <w:rFonts w:hint="eastAsia" w:hAnsi="宋体" w:cs="宋体"/>
          <w:kern w:val="0"/>
          <w:sz w:val="24"/>
          <w:lang w:val="zh-CN"/>
        </w:rPr>
        <w:t>响应人提交的异议函需一式三份。响应人为自然人的，应当由本人签字；响应人为法人或者其他组织的，应当由法定代表人、主要负责人，或者其授权代表签字或者盖章，并加盖公章。</w:t>
      </w:r>
    </w:p>
    <w:p>
      <w:pPr>
        <w:pStyle w:val="2"/>
        <w:spacing w:line="460" w:lineRule="exact"/>
        <w:ind w:firstLine="420" w:firstLineChars="175"/>
        <w:rPr>
          <w:rFonts w:hAnsi="宋体" w:cs="宋体"/>
          <w:kern w:val="0"/>
          <w:sz w:val="24"/>
          <w:lang w:val="zh-CN"/>
        </w:rPr>
      </w:pPr>
      <w:r>
        <w:rPr>
          <w:rFonts w:hint="eastAsia" w:hAnsi="宋体" w:cs="宋体"/>
          <w:kern w:val="0"/>
          <w:sz w:val="24"/>
          <w:lang w:val="zh-CN"/>
        </w:rPr>
        <w:t>异议函范本及制作说明详见附件</w:t>
      </w:r>
      <w:r>
        <w:rPr>
          <w:rFonts w:hint="eastAsia" w:hAnsi="宋体" w:cs="宋体"/>
          <w:kern w:val="0"/>
          <w:sz w:val="24"/>
        </w:rPr>
        <w:t>1</w:t>
      </w:r>
      <w:r>
        <w:rPr>
          <w:rFonts w:hint="eastAsia" w:hAnsi="宋体" w:cs="宋体"/>
          <w:kern w:val="0"/>
          <w:sz w:val="24"/>
          <w:lang w:val="zh-CN"/>
        </w:rPr>
        <w:t>。</w:t>
      </w:r>
    </w:p>
    <w:p>
      <w:pPr>
        <w:pStyle w:val="2"/>
        <w:spacing w:line="46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.2.4交易发起人或者代理机构应当在收到响应人的书面异议后</w:t>
      </w:r>
      <w:r>
        <w:rPr>
          <w:rFonts w:hint="eastAsia" w:hAnsi="宋体" w:cs="宋体"/>
          <w:kern w:val="0"/>
          <w:sz w:val="24"/>
        </w:rPr>
        <w:t>3</w:t>
      </w:r>
      <w:r>
        <w:rPr>
          <w:rFonts w:hint="eastAsia" w:hAnsi="宋体" w:cs="宋体"/>
          <w:kern w:val="0"/>
          <w:sz w:val="24"/>
          <w:lang w:val="zh-CN"/>
        </w:rPr>
        <w:t>日内作出答复，并以书面形式通知异议响应人和其他与异议处理结果有利害关系的交易当事人，但答复的内容不得涉及商业秘密。</w:t>
      </w:r>
    </w:p>
    <w:p>
      <w:pPr>
        <w:pStyle w:val="2"/>
        <w:spacing w:line="46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.2.5询问或者异议事项可能影响</w:t>
      </w:r>
      <w:r>
        <w:rPr>
          <w:rFonts w:hint="eastAsia" w:hAnsi="宋体" w:cs="宋体"/>
          <w:kern w:val="0"/>
          <w:sz w:val="24"/>
        </w:rPr>
        <w:t>交易</w:t>
      </w:r>
      <w:r>
        <w:rPr>
          <w:rFonts w:hint="eastAsia" w:hAnsi="宋体" w:cs="宋体"/>
          <w:kern w:val="0"/>
          <w:sz w:val="24"/>
          <w:lang w:val="zh-CN"/>
        </w:rPr>
        <w:t>结果的，交易发起人应当暂停签订合同，已经签订合同的，应当中止履行合同。</w:t>
      </w:r>
    </w:p>
    <w:p>
      <w:pPr>
        <w:pStyle w:val="2"/>
        <w:spacing w:line="46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.3响应人投诉</w:t>
      </w:r>
    </w:p>
    <w:p>
      <w:pPr>
        <w:pStyle w:val="2"/>
        <w:spacing w:line="46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.3.1异议响应人对交易发起人、代理机构的答复不满意或者交易发起人、代理机构未在规定的时间内作出答复的，可以在答复期满后</w:t>
      </w:r>
      <w:r>
        <w:rPr>
          <w:rFonts w:hint="eastAsia" w:hAnsi="宋体" w:cs="宋体"/>
          <w:kern w:val="0"/>
          <w:sz w:val="24"/>
        </w:rPr>
        <w:t>10</w:t>
      </w:r>
      <w:r>
        <w:rPr>
          <w:rFonts w:hint="eastAsia" w:hAnsi="宋体" w:cs="宋体"/>
          <w:kern w:val="0"/>
          <w:sz w:val="24"/>
          <w:lang w:val="zh-CN"/>
        </w:rPr>
        <w:t>日内向基层监督机构部门提出投诉。</w:t>
      </w:r>
    </w:p>
    <w:p>
      <w:pPr>
        <w:pStyle w:val="2"/>
        <w:spacing w:line="46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.3.2响应人投诉的事项不得超出已异议事项的范围，基于异议答复内容提出的投诉事项除外。</w:t>
      </w:r>
    </w:p>
    <w:p>
      <w:pPr>
        <w:pStyle w:val="2"/>
        <w:spacing w:line="46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.3.3响应人投诉应当有明确的请求和必要的证明材料。</w:t>
      </w:r>
    </w:p>
    <w:p>
      <w:pPr>
        <w:pStyle w:val="2"/>
        <w:spacing w:line="460" w:lineRule="exact"/>
        <w:ind w:firstLine="420" w:firstLineChars="175"/>
        <w:rPr>
          <w:rFonts w:hAnsi="宋体" w:cs="宋体"/>
          <w:kern w:val="0"/>
          <w:sz w:val="24"/>
          <w:lang w:val="zh-CN"/>
        </w:rPr>
      </w:pPr>
      <w:r>
        <w:rPr>
          <w:rFonts w:hint="eastAsia" w:hAnsi="宋体" w:cs="宋体"/>
          <w:kern w:val="0"/>
          <w:sz w:val="24"/>
        </w:rPr>
        <w:t>3</w:t>
      </w:r>
      <w:r>
        <w:rPr>
          <w:rFonts w:hint="eastAsia" w:hAnsi="宋体" w:cs="宋体"/>
          <w:kern w:val="0"/>
          <w:sz w:val="24"/>
          <w:lang w:val="zh-CN"/>
        </w:rPr>
        <w:t>.3.</w:t>
      </w:r>
      <w:r>
        <w:rPr>
          <w:rFonts w:hint="eastAsia" w:hAnsi="宋体" w:cs="宋体"/>
          <w:kern w:val="0"/>
          <w:sz w:val="24"/>
        </w:rPr>
        <w:t>4</w:t>
      </w:r>
      <w:r>
        <w:rPr>
          <w:rFonts w:hint="eastAsia" w:hAnsi="宋体" w:cs="宋体"/>
          <w:kern w:val="0"/>
          <w:sz w:val="24"/>
          <w:lang w:val="zh-CN"/>
        </w:rPr>
        <w:t>以联合体形式参加交易活动的，其投诉应当由组成联合体的所有响应人共同提出。</w:t>
      </w:r>
    </w:p>
    <w:p>
      <w:pPr>
        <w:pStyle w:val="2"/>
        <w:spacing w:line="460" w:lineRule="exact"/>
        <w:ind w:firstLine="420" w:firstLineChars="175"/>
        <w:rPr>
          <w:rFonts w:hAnsi="宋体" w:cs="宋体"/>
          <w:kern w:val="0"/>
          <w:sz w:val="24"/>
          <w:lang w:val="zh-CN"/>
        </w:rPr>
      </w:pPr>
      <w:r>
        <w:rPr>
          <w:rFonts w:hint="eastAsia" w:hAnsi="宋体" w:cs="宋体"/>
          <w:kern w:val="0"/>
          <w:sz w:val="24"/>
          <w:lang w:val="zh-CN"/>
        </w:rPr>
        <w:t>投诉书范本及制作说明详见附件</w:t>
      </w:r>
      <w:r>
        <w:rPr>
          <w:rFonts w:hint="eastAsia" w:hAnsi="宋体" w:cs="宋体"/>
          <w:kern w:val="0"/>
          <w:sz w:val="24"/>
        </w:rPr>
        <w:t>2</w:t>
      </w:r>
      <w:r>
        <w:rPr>
          <w:rFonts w:hint="eastAsia" w:hAnsi="宋体" w:cs="宋体"/>
          <w:kern w:val="0"/>
          <w:sz w:val="24"/>
          <w:lang w:val="zh-CN"/>
        </w:rPr>
        <w:t>。</w:t>
      </w:r>
    </w:p>
    <w:p>
      <w:pPr>
        <w:pStyle w:val="141"/>
        <w:snapToGrid w:val="0"/>
        <w:spacing w:before="0" w:line="460" w:lineRule="exact"/>
        <w:ind w:firstLine="360"/>
        <w:rPr>
          <w:rFonts w:ascii="宋体" w:hAnsi="宋体" w:cs="宋体"/>
          <w:sz w:val="18"/>
          <w:szCs w:val="18"/>
        </w:rPr>
      </w:pPr>
    </w:p>
    <w:p>
      <w:pPr>
        <w:adjustRightInd/>
        <w:spacing w:line="460" w:lineRule="exact"/>
        <w:jc w:val="center"/>
        <w:outlineLvl w:val="0"/>
        <w:rPr>
          <w:rFonts w:ascii="宋体" w:hAnsi="宋体" w:cs="宋体"/>
          <w:b/>
          <w:sz w:val="32"/>
          <w:szCs w:val="20"/>
        </w:rPr>
      </w:pPr>
      <w:r>
        <w:rPr>
          <w:rFonts w:hint="eastAsia" w:ascii="宋体" w:hAnsi="宋体" w:cs="宋体"/>
          <w:b/>
          <w:sz w:val="32"/>
          <w:szCs w:val="20"/>
        </w:rPr>
        <w:t>二、公开竞争文件的构成、澄清、修改</w:t>
      </w:r>
    </w:p>
    <w:p>
      <w:pPr>
        <w:pStyle w:val="2"/>
        <w:spacing w:line="460" w:lineRule="exact"/>
        <w:rPr>
          <w:rFonts w:hAnsi="宋体" w:cs="宋体"/>
          <w:b/>
          <w:sz w:val="24"/>
          <w:szCs w:val="24"/>
        </w:rPr>
      </w:pPr>
      <w:r>
        <w:rPr>
          <w:rFonts w:hint="eastAsia" w:hAnsi="宋体" w:cs="宋体"/>
          <w:b/>
          <w:sz w:val="24"/>
          <w:szCs w:val="24"/>
        </w:rPr>
        <w:t>4．公开竞争文件的构成</w:t>
      </w:r>
    </w:p>
    <w:p>
      <w:pPr>
        <w:pStyle w:val="2"/>
        <w:spacing w:line="460" w:lineRule="exact"/>
        <w:ind w:firstLine="480" w:firstLineChars="200"/>
        <w:rPr>
          <w:rFonts w:hAnsi="宋体" w:cs="宋体"/>
          <w:sz w:val="24"/>
          <w:szCs w:val="24"/>
        </w:rPr>
      </w:pPr>
      <w:r>
        <w:rPr>
          <w:rFonts w:hint="eastAsia" w:hAnsi="宋体" w:cs="宋体"/>
          <w:sz w:val="24"/>
          <w:szCs w:val="24"/>
        </w:rPr>
        <w:t>4.1公开竞争文件包括下列文件及附件：</w:t>
      </w:r>
    </w:p>
    <w:p>
      <w:pPr>
        <w:pStyle w:val="2"/>
        <w:tabs>
          <w:tab w:val="left" w:pos="840"/>
        </w:tabs>
        <w:spacing w:line="460" w:lineRule="exact"/>
        <w:ind w:firstLine="960" w:firstLineChars="400"/>
        <w:rPr>
          <w:rFonts w:hAnsi="宋体" w:cs="宋体"/>
          <w:sz w:val="24"/>
          <w:szCs w:val="24"/>
        </w:rPr>
      </w:pPr>
      <w:r>
        <w:rPr>
          <w:rFonts w:hint="eastAsia" w:hAnsi="宋体" w:cs="宋体"/>
          <w:sz w:val="24"/>
          <w:szCs w:val="24"/>
        </w:rPr>
        <w:t>4.1.1交易公告；</w:t>
      </w:r>
    </w:p>
    <w:p>
      <w:pPr>
        <w:pStyle w:val="2"/>
        <w:tabs>
          <w:tab w:val="left" w:pos="840"/>
        </w:tabs>
        <w:spacing w:line="460" w:lineRule="exact"/>
        <w:ind w:firstLine="960" w:firstLineChars="400"/>
        <w:rPr>
          <w:rFonts w:hAnsi="宋体" w:cs="宋体"/>
          <w:sz w:val="24"/>
          <w:szCs w:val="24"/>
        </w:rPr>
      </w:pPr>
      <w:r>
        <w:rPr>
          <w:rFonts w:hint="eastAsia" w:hAnsi="宋体" w:cs="宋体"/>
          <w:sz w:val="24"/>
          <w:szCs w:val="24"/>
        </w:rPr>
        <w:t>4.1.2响应人须知；</w:t>
      </w:r>
    </w:p>
    <w:p>
      <w:pPr>
        <w:pStyle w:val="2"/>
        <w:tabs>
          <w:tab w:val="left" w:pos="840"/>
        </w:tabs>
        <w:spacing w:line="460" w:lineRule="exact"/>
        <w:ind w:firstLine="960" w:firstLineChars="400"/>
        <w:rPr>
          <w:rFonts w:hAnsi="宋体" w:cs="宋体"/>
          <w:sz w:val="24"/>
          <w:szCs w:val="24"/>
        </w:rPr>
      </w:pPr>
      <w:r>
        <w:rPr>
          <w:rFonts w:hint="eastAsia" w:hAnsi="宋体" w:cs="宋体"/>
          <w:sz w:val="24"/>
          <w:szCs w:val="24"/>
        </w:rPr>
        <w:t>4.1.3交易需求；</w:t>
      </w:r>
    </w:p>
    <w:p>
      <w:pPr>
        <w:pStyle w:val="2"/>
        <w:tabs>
          <w:tab w:val="left" w:pos="840"/>
        </w:tabs>
        <w:spacing w:line="460" w:lineRule="exact"/>
        <w:ind w:firstLine="960" w:firstLineChars="400"/>
        <w:rPr>
          <w:rFonts w:hAnsi="宋体" w:cs="宋体"/>
          <w:sz w:val="24"/>
          <w:szCs w:val="24"/>
        </w:rPr>
      </w:pPr>
      <w:r>
        <w:rPr>
          <w:rFonts w:hint="eastAsia" w:hAnsi="宋体" w:cs="宋体"/>
          <w:sz w:val="24"/>
          <w:szCs w:val="24"/>
        </w:rPr>
        <w:t>4.1.4交易办法；</w:t>
      </w:r>
    </w:p>
    <w:p>
      <w:pPr>
        <w:pStyle w:val="2"/>
        <w:tabs>
          <w:tab w:val="left" w:pos="840"/>
        </w:tabs>
        <w:spacing w:line="460" w:lineRule="exact"/>
        <w:ind w:firstLine="960" w:firstLineChars="400"/>
        <w:rPr>
          <w:rFonts w:hAnsi="宋体" w:cs="宋体"/>
          <w:sz w:val="24"/>
          <w:szCs w:val="24"/>
        </w:rPr>
      </w:pPr>
      <w:r>
        <w:rPr>
          <w:rFonts w:hint="eastAsia" w:hAnsi="宋体" w:cs="宋体"/>
          <w:sz w:val="24"/>
          <w:szCs w:val="24"/>
        </w:rPr>
        <w:t>4.1.5拟签订的合同文本；</w:t>
      </w:r>
    </w:p>
    <w:p>
      <w:pPr>
        <w:pStyle w:val="2"/>
        <w:tabs>
          <w:tab w:val="left" w:pos="840"/>
        </w:tabs>
        <w:spacing w:line="460" w:lineRule="exact"/>
        <w:ind w:firstLine="960" w:firstLineChars="400"/>
        <w:rPr>
          <w:rFonts w:hAnsi="宋体" w:cs="宋体"/>
          <w:sz w:val="24"/>
          <w:szCs w:val="24"/>
        </w:rPr>
      </w:pPr>
      <w:r>
        <w:rPr>
          <w:rFonts w:hint="eastAsia" w:hAnsi="宋体" w:cs="宋体"/>
          <w:sz w:val="24"/>
        </w:rPr>
        <w:t>4.1.6</w:t>
      </w:r>
      <w:r>
        <w:rPr>
          <w:rFonts w:hint="eastAsia" w:hAnsi="宋体" w:cs="宋体"/>
          <w:sz w:val="24"/>
          <w:szCs w:val="24"/>
        </w:rPr>
        <w:t>应提交的有关格式范例。</w:t>
      </w:r>
    </w:p>
    <w:p>
      <w:pPr>
        <w:spacing w:line="460" w:lineRule="exact"/>
        <w:ind w:firstLine="480" w:firstLineChars="200"/>
        <w:rPr>
          <w:rFonts w:ascii="宋体" w:hAnsi="宋体" w:cs="宋体"/>
          <w:sz w:val="24"/>
        </w:rPr>
      </w:pPr>
      <w:r>
        <w:rPr>
          <w:rFonts w:hint="eastAsia" w:ascii="宋体" w:hAnsi="宋体" w:cs="宋体"/>
          <w:sz w:val="24"/>
        </w:rPr>
        <w:t>4.2与本项目有关的</w:t>
      </w:r>
      <w:r>
        <w:rPr>
          <w:rFonts w:hint="eastAsia" w:ascii="宋体" w:hAnsi="宋体" w:cs="宋体"/>
          <w:bCs/>
          <w:sz w:val="24"/>
        </w:rPr>
        <w:t>澄清或者修改的内容为公开竞争文件的组成部分</w:t>
      </w:r>
      <w:r>
        <w:rPr>
          <w:rFonts w:hint="eastAsia" w:ascii="宋体" w:hAnsi="宋体" w:cs="宋体"/>
          <w:sz w:val="24"/>
        </w:rPr>
        <w:t>。</w:t>
      </w:r>
    </w:p>
    <w:p>
      <w:pPr>
        <w:pStyle w:val="2"/>
        <w:spacing w:line="460" w:lineRule="exact"/>
        <w:rPr>
          <w:rFonts w:hAnsi="宋体" w:cs="宋体"/>
          <w:b/>
          <w:sz w:val="24"/>
          <w:szCs w:val="24"/>
        </w:rPr>
      </w:pPr>
      <w:r>
        <w:rPr>
          <w:rFonts w:hint="eastAsia" w:hAnsi="宋体" w:cs="宋体"/>
          <w:b/>
          <w:sz w:val="24"/>
          <w:szCs w:val="24"/>
        </w:rPr>
        <w:t>5.公开竞争文件的澄清、修改</w:t>
      </w:r>
    </w:p>
    <w:p>
      <w:pPr>
        <w:pStyle w:val="141"/>
        <w:snapToGrid w:val="0"/>
        <w:spacing w:before="0" w:line="460" w:lineRule="exact"/>
        <w:ind w:firstLine="480"/>
        <w:rPr>
          <w:rFonts w:ascii="宋体" w:hAnsi="宋体" w:cs="宋体"/>
        </w:rPr>
      </w:pPr>
      <w:r>
        <w:rPr>
          <w:rFonts w:hint="eastAsia" w:ascii="宋体" w:hAnsi="宋体" w:cs="宋体"/>
        </w:rPr>
        <w:t>5.1已获取公开竞争文件的潜在响应人，若有问题需要澄清，应于响应截止时间前，以书面形式向代理机构提出。</w:t>
      </w:r>
    </w:p>
    <w:p>
      <w:pPr>
        <w:pStyle w:val="141"/>
        <w:snapToGrid w:val="0"/>
        <w:spacing w:before="0" w:line="460" w:lineRule="exact"/>
        <w:ind w:firstLine="480"/>
        <w:rPr>
          <w:rFonts w:ascii="宋体" w:hAnsi="宋体" w:cs="宋体"/>
        </w:rPr>
      </w:pPr>
      <w:r>
        <w:rPr>
          <w:rFonts w:hint="eastAsia" w:ascii="宋体" w:hAnsi="宋体" w:cs="宋体"/>
        </w:rPr>
        <w:t>5.2 代理机构对公开竞争文件进行澄清或修改的，将同时通过电子交易平台通知已获取公开竞争文件的潜在响应人。依法应当公告的，将按规定公告，同时视情况延长响应截止时间和交易时间。该澄清或者修改的内容为公开竞争文件的组成部分。</w:t>
      </w:r>
    </w:p>
    <w:p>
      <w:pPr>
        <w:adjustRightInd/>
        <w:spacing w:line="460" w:lineRule="exact"/>
        <w:jc w:val="center"/>
        <w:outlineLvl w:val="0"/>
        <w:rPr>
          <w:rFonts w:ascii="宋体" w:hAnsi="宋体" w:cs="宋体"/>
          <w:b/>
          <w:sz w:val="30"/>
          <w:szCs w:val="20"/>
        </w:rPr>
      </w:pPr>
    </w:p>
    <w:p>
      <w:pPr>
        <w:adjustRightInd/>
        <w:spacing w:line="460" w:lineRule="exact"/>
        <w:jc w:val="center"/>
        <w:outlineLvl w:val="0"/>
        <w:rPr>
          <w:rFonts w:ascii="宋体" w:hAnsi="宋体" w:cs="宋体"/>
          <w:b/>
          <w:sz w:val="30"/>
          <w:szCs w:val="20"/>
        </w:rPr>
      </w:pPr>
      <w:r>
        <w:rPr>
          <w:rFonts w:hint="eastAsia" w:ascii="宋体" w:hAnsi="宋体" w:cs="宋体"/>
          <w:b/>
          <w:sz w:val="30"/>
          <w:szCs w:val="20"/>
        </w:rPr>
        <w:t>三、响应</w:t>
      </w:r>
    </w:p>
    <w:p>
      <w:pPr>
        <w:pStyle w:val="2"/>
        <w:spacing w:line="460" w:lineRule="exact"/>
        <w:rPr>
          <w:rFonts w:hAnsi="宋体" w:cs="宋体"/>
          <w:b/>
          <w:sz w:val="24"/>
          <w:szCs w:val="24"/>
        </w:rPr>
      </w:pPr>
      <w:r>
        <w:rPr>
          <w:rFonts w:hint="eastAsia" w:hAnsi="宋体" w:cs="宋体"/>
          <w:b/>
          <w:sz w:val="24"/>
          <w:szCs w:val="24"/>
        </w:rPr>
        <w:t>6.公开竞争文件的获取</w:t>
      </w:r>
    </w:p>
    <w:p>
      <w:pPr>
        <w:spacing w:line="460" w:lineRule="exact"/>
        <w:ind w:firstLine="480" w:firstLineChars="200"/>
        <w:rPr>
          <w:rFonts w:ascii="宋体" w:hAnsi="宋体" w:cs="宋体"/>
          <w:snapToGrid w:val="0"/>
          <w:kern w:val="28"/>
          <w:sz w:val="24"/>
        </w:rPr>
      </w:pPr>
      <w:r>
        <w:rPr>
          <w:rFonts w:hint="eastAsia" w:ascii="宋体" w:hAnsi="宋体" w:cs="宋体"/>
          <w:snapToGrid w:val="0"/>
          <w:kern w:val="28"/>
          <w:sz w:val="24"/>
        </w:rPr>
        <w:t>详见交易公告中获取公开竞争文件的时间期限、地点、方式及公开竞争文件售价。</w:t>
      </w:r>
    </w:p>
    <w:p>
      <w:pPr>
        <w:pStyle w:val="2"/>
        <w:spacing w:line="460" w:lineRule="exact"/>
        <w:rPr>
          <w:rFonts w:hAnsi="宋体" w:cs="宋体"/>
          <w:b/>
          <w:sz w:val="24"/>
          <w:szCs w:val="24"/>
        </w:rPr>
      </w:pPr>
      <w:r>
        <w:rPr>
          <w:rFonts w:hint="eastAsia" w:hAnsi="宋体" w:cs="宋体"/>
          <w:b/>
          <w:sz w:val="24"/>
          <w:szCs w:val="24"/>
        </w:rPr>
        <w:t>7.交易前答疑会或现场考察</w:t>
      </w:r>
    </w:p>
    <w:p>
      <w:pPr>
        <w:pStyle w:val="2"/>
        <w:spacing w:line="460" w:lineRule="exact"/>
        <w:ind w:firstLine="480" w:firstLineChars="200"/>
        <w:rPr>
          <w:rFonts w:hAnsi="宋体" w:cs="宋体"/>
          <w:sz w:val="24"/>
          <w:szCs w:val="24"/>
        </w:rPr>
      </w:pPr>
      <w:r>
        <w:rPr>
          <w:rFonts w:hint="eastAsia" w:hAnsi="宋体" w:cs="宋体"/>
          <w:sz w:val="24"/>
          <w:szCs w:val="24"/>
        </w:rPr>
        <w:t>交易发起人组织潜在响应人现场考察或者召开交易前答疑会的，潜在响应人按第二部分响应人须知前附表的规定参加现场考察或者开标前答疑会。</w:t>
      </w:r>
    </w:p>
    <w:p>
      <w:pPr>
        <w:pStyle w:val="2"/>
        <w:spacing w:line="460" w:lineRule="exact"/>
        <w:rPr>
          <w:rFonts w:hAnsi="宋体" w:cs="宋体"/>
          <w:b/>
          <w:szCs w:val="24"/>
        </w:rPr>
      </w:pPr>
      <w:r>
        <w:rPr>
          <w:rFonts w:hint="eastAsia" w:hAnsi="宋体" w:cs="宋体"/>
          <w:b/>
          <w:kern w:val="28"/>
          <w:sz w:val="24"/>
          <w:szCs w:val="24"/>
        </w:rPr>
        <w:t>8.交易保证金</w:t>
      </w:r>
    </w:p>
    <w:p>
      <w:pPr>
        <w:pStyle w:val="17"/>
        <w:spacing w:line="460" w:lineRule="exact"/>
        <w:ind w:firstLine="470" w:firstLineChars="196"/>
        <w:rPr>
          <w:rFonts w:hAnsi="宋体" w:cs="宋体"/>
          <w:color w:val="auto"/>
          <w:sz w:val="24"/>
        </w:rPr>
      </w:pPr>
      <w:r>
        <w:rPr>
          <w:rFonts w:hint="eastAsia" w:hAnsi="宋体" w:cs="宋体"/>
          <w:color w:val="auto"/>
          <w:sz w:val="24"/>
        </w:rPr>
        <w:t>本项目不需缴纳交易保证金。</w:t>
      </w:r>
    </w:p>
    <w:p>
      <w:pPr>
        <w:pStyle w:val="2"/>
        <w:spacing w:line="460" w:lineRule="exact"/>
        <w:rPr>
          <w:rFonts w:hAnsi="宋体" w:cs="宋体"/>
          <w:b/>
          <w:sz w:val="24"/>
          <w:szCs w:val="24"/>
        </w:rPr>
      </w:pPr>
      <w:r>
        <w:rPr>
          <w:rFonts w:hint="eastAsia" w:hAnsi="宋体" w:cs="宋体"/>
          <w:b/>
          <w:sz w:val="24"/>
          <w:szCs w:val="24"/>
        </w:rPr>
        <w:t>9.响应文件的语言</w:t>
      </w:r>
    </w:p>
    <w:p>
      <w:pPr>
        <w:autoSpaceDE w:val="0"/>
        <w:autoSpaceDN w:val="0"/>
        <w:spacing w:line="460" w:lineRule="exact"/>
        <w:ind w:firstLine="480" w:firstLineChars="200"/>
        <w:rPr>
          <w:rFonts w:ascii="宋体" w:hAnsi="宋体" w:cs="宋体"/>
          <w:sz w:val="24"/>
          <w:lang w:val="zh-CN"/>
        </w:rPr>
      </w:pPr>
      <w:r>
        <w:rPr>
          <w:rFonts w:hint="eastAsia" w:ascii="宋体" w:hAnsi="宋体" w:cs="宋体"/>
          <w:sz w:val="24"/>
        </w:rPr>
        <w:t>响应文件及响应人与交易有关的来往通知、函件和文件均应使用中文。</w:t>
      </w:r>
    </w:p>
    <w:p>
      <w:pPr>
        <w:pStyle w:val="2"/>
        <w:spacing w:line="460" w:lineRule="exact"/>
        <w:rPr>
          <w:rFonts w:hAnsi="宋体" w:cs="宋体"/>
          <w:b/>
          <w:sz w:val="24"/>
          <w:szCs w:val="24"/>
        </w:rPr>
      </w:pPr>
      <w:r>
        <w:rPr>
          <w:rFonts w:hint="eastAsia" w:hAnsi="宋体" w:cs="宋体"/>
          <w:b/>
          <w:sz w:val="24"/>
          <w:szCs w:val="24"/>
        </w:rPr>
        <w:t>10.响应文件的组成</w:t>
      </w:r>
    </w:p>
    <w:p>
      <w:pPr>
        <w:snapToGrid w:val="0"/>
        <w:spacing w:line="460" w:lineRule="exact"/>
        <w:ind w:firstLine="482" w:firstLineChars="200"/>
        <w:rPr>
          <w:rFonts w:ascii="宋体" w:hAnsi="宋体" w:cs="宋体"/>
          <w:b/>
          <w:bCs/>
          <w:sz w:val="24"/>
        </w:rPr>
      </w:pPr>
      <w:r>
        <w:rPr>
          <w:rFonts w:hint="eastAsia" w:ascii="宋体" w:hAnsi="宋体" w:cs="宋体"/>
          <w:b/>
          <w:bCs/>
          <w:sz w:val="24"/>
        </w:rPr>
        <w:t>10.1资格文件：</w:t>
      </w:r>
    </w:p>
    <w:p>
      <w:pPr>
        <w:snapToGrid w:val="0"/>
        <w:spacing w:line="460" w:lineRule="exact"/>
        <w:ind w:firstLine="960" w:firstLineChars="400"/>
        <w:rPr>
          <w:rFonts w:ascii="宋体" w:hAnsi="宋体" w:cs="宋体"/>
          <w:sz w:val="24"/>
        </w:rPr>
      </w:pPr>
      <w:r>
        <w:rPr>
          <w:rFonts w:hint="eastAsia" w:ascii="宋体" w:hAnsi="宋体" w:cs="宋体"/>
          <w:sz w:val="24"/>
        </w:rPr>
        <w:t>10.1.1符合参加交易活动应当具备的一般条件的承诺函；</w:t>
      </w:r>
    </w:p>
    <w:p>
      <w:pPr>
        <w:snapToGrid w:val="0"/>
        <w:spacing w:line="460" w:lineRule="exact"/>
        <w:ind w:firstLine="960" w:firstLineChars="400"/>
        <w:rPr>
          <w:rFonts w:ascii="宋体" w:hAnsi="宋体" w:cs="宋体"/>
          <w:sz w:val="24"/>
        </w:rPr>
      </w:pPr>
      <w:r>
        <w:rPr>
          <w:rFonts w:hint="eastAsia" w:ascii="宋体" w:hAnsi="宋体" w:cs="宋体"/>
          <w:sz w:val="24"/>
        </w:rPr>
        <w:t>10.1.2本项目的特定资格要求。</w:t>
      </w:r>
    </w:p>
    <w:p>
      <w:pPr>
        <w:snapToGrid w:val="0"/>
        <w:spacing w:line="460" w:lineRule="exact"/>
        <w:ind w:firstLine="482" w:firstLineChars="200"/>
        <w:rPr>
          <w:rFonts w:ascii="宋体" w:hAnsi="宋体" w:cs="宋体"/>
          <w:b/>
          <w:bCs/>
          <w:sz w:val="24"/>
          <w:lang w:val="zh-CN"/>
        </w:rPr>
      </w:pPr>
      <w:r>
        <w:rPr>
          <w:rFonts w:hint="eastAsia" w:ascii="宋体" w:hAnsi="宋体" w:cs="宋体"/>
          <w:b/>
          <w:bCs/>
          <w:sz w:val="24"/>
          <w:lang w:val="zh-CN"/>
        </w:rPr>
        <w:t>1</w:t>
      </w:r>
      <w:r>
        <w:rPr>
          <w:rFonts w:hint="eastAsia" w:ascii="宋体" w:hAnsi="宋体" w:cs="宋体"/>
          <w:b/>
          <w:bCs/>
          <w:sz w:val="24"/>
        </w:rPr>
        <w:t>0</w:t>
      </w:r>
      <w:r>
        <w:rPr>
          <w:rFonts w:hint="eastAsia" w:ascii="宋体" w:hAnsi="宋体" w:cs="宋体"/>
          <w:b/>
          <w:bCs/>
          <w:sz w:val="24"/>
          <w:lang w:val="zh-CN"/>
        </w:rPr>
        <w:t>.</w:t>
      </w:r>
      <w:r>
        <w:rPr>
          <w:rFonts w:hint="eastAsia" w:ascii="宋体" w:hAnsi="宋体" w:cs="宋体"/>
          <w:b/>
          <w:bCs/>
          <w:sz w:val="24"/>
        </w:rPr>
        <w:t>2商务技术</w:t>
      </w:r>
      <w:r>
        <w:rPr>
          <w:rFonts w:hint="eastAsia" w:ascii="宋体" w:hAnsi="宋体" w:cs="宋体"/>
          <w:b/>
          <w:bCs/>
          <w:sz w:val="24"/>
          <w:lang w:val="zh-CN"/>
        </w:rPr>
        <w:t>文件：</w:t>
      </w:r>
    </w:p>
    <w:p>
      <w:pPr>
        <w:snapToGrid w:val="0"/>
        <w:spacing w:line="460" w:lineRule="exact"/>
        <w:ind w:firstLine="960" w:firstLineChars="400"/>
        <w:rPr>
          <w:rFonts w:ascii="宋体" w:hAnsi="宋体" w:cs="宋体"/>
          <w:sz w:val="24"/>
        </w:rPr>
      </w:pPr>
      <w:r>
        <w:rPr>
          <w:rFonts w:hint="eastAsia" w:ascii="宋体" w:hAnsi="宋体" w:cs="宋体"/>
          <w:sz w:val="24"/>
        </w:rPr>
        <w:t>10.2.1交易函；</w:t>
      </w:r>
    </w:p>
    <w:p>
      <w:pPr>
        <w:snapToGrid w:val="0"/>
        <w:spacing w:line="460" w:lineRule="exact"/>
        <w:ind w:firstLine="960" w:firstLineChars="400"/>
        <w:rPr>
          <w:rFonts w:ascii="宋体" w:hAnsi="宋体" w:cs="宋体"/>
          <w:sz w:val="24"/>
        </w:rPr>
      </w:pPr>
      <w:r>
        <w:rPr>
          <w:rFonts w:hint="eastAsia" w:ascii="宋体" w:hAnsi="宋体" w:cs="宋体"/>
          <w:sz w:val="24"/>
        </w:rPr>
        <w:t>10.2.2授权委托书或法定代表人（单位负责人、自然人本人）身份证明；</w:t>
      </w:r>
    </w:p>
    <w:p>
      <w:pPr>
        <w:snapToGrid w:val="0"/>
        <w:spacing w:line="460" w:lineRule="exact"/>
        <w:ind w:firstLine="960" w:firstLineChars="400"/>
        <w:rPr>
          <w:rFonts w:ascii="宋体" w:hAnsi="宋体" w:cs="宋体"/>
          <w:sz w:val="24"/>
        </w:rPr>
      </w:pPr>
      <w:r>
        <w:rPr>
          <w:rFonts w:hint="eastAsia" w:ascii="宋体" w:hAnsi="宋体" w:cs="宋体"/>
          <w:sz w:val="24"/>
        </w:rPr>
        <w:t>10.2.3营业执照；</w:t>
      </w:r>
    </w:p>
    <w:p>
      <w:pPr>
        <w:snapToGrid w:val="0"/>
        <w:spacing w:line="460" w:lineRule="exact"/>
        <w:ind w:firstLine="960" w:firstLineChars="400"/>
        <w:rPr>
          <w:rFonts w:ascii="宋体" w:hAnsi="宋体" w:cs="宋体"/>
          <w:sz w:val="24"/>
        </w:rPr>
      </w:pPr>
      <w:r>
        <w:rPr>
          <w:rFonts w:hint="eastAsia" w:ascii="宋体" w:hAnsi="宋体" w:cs="宋体"/>
          <w:sz w:val="24"/>
        </w:rPr>
        <w:t>10.2.4符合性审查资料；</w:t>
      </w:r>
    </w:p>
    <w:p>
      <w:pPr>
        <w:snapToGrid w:val="0"/>
        <w:spacing w:line="460" w:lineRule="exact"/>
        <w:ind w:firstLine="960" w:firstLineChars="400"/>
        <w:rPr>
          <w:rFonts w:ascii="宋体" w:hAnsi="宋体" w:cs="宋体"/>
          <w:sz w:val="24"/>
        </w:rPr>
      </w:pPr>
      <w:r>
        <w:rPr>
          <w:rFonts w:hint="eastAsia" w:ascii="宋体" w:hAnsi="宋体" w:cs="宋体"/>
          <w:sz w:val="24"/>
        </w:rPr>
        <w:t>10.2.5评审标准相应的商务技术资料；</w:t>
      </w:r>
    </w:p>
    <w:p>
      <w:pPr>
        <w:snapToGrid w:val="0"/>
        <w:spacing w:line="460" w:lineRule="exact"/>
        <w:ind w:firstLine="960" w:firstLineChars="400"/>
        <w:rPr>
          <w:rFonts w:ascii="宋体" w:hAnsi="宋体" w:cs="宋体"/>
          <w:sz w:val="24"/>
        </w:rPr>
      </w:pPr>
      <w:r>
        <w:rPr>
          <w:rFonts w:hint="eastAsia" w:ascii="宋体" w:hAnsi="宋体" w:cs="宋体"/>
          <w:sz w:val="24"/>
        </w:rPr>
        <w:t>10.2.6商务技术偏离表；</w:t>
      </w:r>
    </w:p>
    <w:p>
      <w:pPr>
        <w:snapToGrid w:val="0"/>
        <w:spacing w:line="460" w:lineRule="exact"/>
        <w:ind w:firstLine="960" w:firstLineChars="400"/>
        <w:rPr>
          <w:rFonts w:ascii="宋体" w:hAnsi="宋体" w:cs="宋体"/>
          <w:sz w:val="24"/>
        </w:rPr>
      </w:pPr>
      <w:r>
        <w:rPr>
          <w:rFonts w:hint="eastAsia" w:ascii="宋体" w:hAnsi="宋体" w:cs="宋体"/>
          <w:sz w:val="24"/>
        </w:rPr>
        <w:t>10.2.7</w:t>
      </w:r>
      <w:r>
        <w:rPr>
          <w:rFonts w:hint="eastAsia" w:ascii="宋体" w:hAnsi="宋体" w:cs="宋体"/>
          <w:sz w:val="24"/>
          <w:lang w:val="zh-CN"/>
        </w:rPr>
        <w:t>响应人廉洁自律承诺书。</w:t>
      </w:r>
    </w:p>
    <w:p>
      <w:pPr>
        <w:snapToGrid w:val="0"/>
        <w:spacing w:line="460" w:lineRule="exact"/>
        <w:ind w:firstLine="482" w:firstLineChars="200"/>
        <w:rPr>
          <w:rFonts w:ascii="宋体" w:hAnsi="宋体" w:cs="宋体"/>
          <w:b/>
          <w:bCs/>
          <w:sz w:val="24"/>
          <w:u w:val="single"/>
          <w:lang w:val="zh-CN"/>
        </w:rPr>
      </w:pPr>
      <w:r>
        <w:rPr>
          <w:rFonts w:hint="eastAsia" w:ascii="宋体" w:hAnsi="宋体" w:cs="宋体"/>
          <w:b/>
          <w:bCs/>
          <w:kern w:val="0"/>
          <w:sz w:val="24"/>
          <w:lang w:val="zh-CN"/>
        </w:rPr>
        <w:t>1</w:t>
      </w:r>
      <w:r>
        <w:rPr>
          <w:rFonts w:hint="eastAsia" w:ascii="宋体" w:hAnsi="宋体" w:cs="宋体"/>
          <w:b/>
          <w:bCs/>
          <w:kern w:val="0"/>
          <w:sz w:val="24"/>
        </w:rPr>
        <w:t>0</w:t>
      </w:r>
      <w:r>
        <w:rPr>
          <w:rFonts w:hint="eastAsia" w:ascii="宋体" w:hAnsi="宋体" w:cs="宋体"/>
          <w:b/>
          <w:bCs/>
          <w:kern w:val="0"/>
          <w:sz w:val="24"/>
          <w:lang w:val="zh-CN"/>
        </w:rPr>
        <w:t>.</w:t>
      </w:r>
      <w:r>
        <w:rPr>
          <w:rFonts w:hint="eastAsia" w:ascii="宋体" w:hAnsi="宋体" w:cs="宋体"/>
          <w:b/>
          <w:bCs/>
          <w:kern w:val="0"/>
          <w:sz w:val="24"/>
        </w:rPr>
        <w:t>3</w:t>
      </w:r>
      <w:r>
        <w:rPr>
          <w:rFonts w:hint="eastAsia" w:ascii="宋体" w:hAnsi="宋体" w:cs="宋体"/>
          <w:b/>
          <w:bCs/>
          <w:sz w:val="24"/>
        </w:rPr>
        <w:t>报价文件：</w:t>
      </w:r>
    </w:p>
    <w:p>
      <w:pPr>
        <w:snapToGrid w:val="0"/>
        <w:spacing w:line="460" w:lineRule="exact"/>
        <w:ind w:firstLine="960" w:firstLineChars="400"/>
        <w:rPr>
          <w:rFonts w:ascii="宋体" w:hAnsi="宋体" w:cs="宋体"/>
          <w:sz w:val="24"/>
        </w:rPr>
      </w:pPr>
      <w:r>
        <w:rPr>
          <w:rFonts w:hint="eastAsia" w:ascii="宋体" w:hAnsi="宋体" w:cs="宋体"/>
          <w:sz w:val="24"/>
        </w:rPr>
        <w:t>10.3.1交易一览表（报价表）。</w:t>
      </w:r>
    </w:p>
    <w:p>
      <w:pPr>
        <w:spacing w:line="460" w:lineRule="exact"/>
        <w:ind w:firstLine="723" w:firstLineChars="300"/>
        <w:rPr>
          <w:rFonts w:ascii="宋体" w:hAnsi="宋体" w:cs="宋体"/>
          <w:b/>
          <w:sz w:val="24"/>
        </w:rPr>
      </w:pPr>
      <w:r>
        <w:rPr>
          <w:rFonts w:hint="eastAsia" w:ascii="宋体" w:hAnsi="宋体" w:cs="宋体"/>
          <w:b/>
          <w:sz w:val="24"/>
        </w:rPr>
        <w:t>响应文件含有交易发起人不能接受的附加条件的，交易无效；</w:t>
      </w:r>
    </w:p>
    <w:p>
      <w:pPr>
        <w:spacing w:line="460" w:lineRule="exact"/>
        <w:ind w:firstLine="723" w:firstLineChars="300"/>
        <w:rPr>
          <w:rFonts w:ascii="宋体" w:hAnsi="宋体" w:cs="宋体"/>
          <w:b/>
          <w:sz w:val="24"/>
          <w:szCs w:val="21"/>
        </w:rPr>
      </w:pPr>
      <w:r>
        <w:rPr>
          <w:rFonts w:hint="eastAsia" w:ascii="宋体" w:hAnsi="宋体" w:cs="宋体"/>
          <w:b/>
          <w:sz w:val="24"/>
        </w:rPr>
        <w:t>响应人提供虚假材料投标的，交易无效。</w:t>
      </w:r>
    </w:p>
    <w:p>
      <w:pPr>
        <w:pStyle w:val="141"/>
        <w:snapToGrid w:val="0"/>
        <w:spacing w:before="0" w:line="460" w:lineRule="exact"/>
        <w:ind w:firstLine="0" w:firstLineChars="0"/>
        <w:outlineLvl w:val="0"/>
        <w:rPr>
          <w:rFonts w:ascii="宋体" w:hAnsi="宋体" w:cs="宋体"/>
          <w:b/>
          <w:szCs w:val="24"/>
        </w:rPr>
      </w:pPr>
      <w:r>
        <w:rPr>
          <w:rFonts w:hint="eastAsia" w:ascii="宋体" w:hAnsi="宋体" w:cs="宋体"/>
          <w:b/>
          <w:szCs w:val="24"/>
        </w:rPr>
        <w:t>11</w:t>
      </w:r>
      <w:r>
        <w:rPr>
          <w:rFonts w:hint="eastAsia" w:ascii="宋体" w:hAnsi="宋体" w:cs="宋体"/>
          <w:b/>
          <w:kern w:val="0"/>
          <w:szCs w:val="24"/>
          <w:lang w:val="zh-CN"/>
        </w:rPr>
        <w:t>.</w:t>
      </w:r>
      <w:r>
        <w:rPr>
          <w:rFonts w:hint="eastAsia" w:ascii="宋体" w:hAnsi="宋体" w:cs="宋体"/>
          <w:b/>
          <w:szCs w:val="24"/>
        </w:rPr>
        <w:t>响应文件的编制</w:t>
      </w:r>
    </w:p>
    <w:p>
      <w:pPr>
        <w:spacing w:line="460" w:lineRule="exact"/>
        <w:ind w:firstLine="480" w:firstLineChars="200"/>
        <w:rPr>
          <w:rFonts w:ascii="宋体" w:hAnsi="宋体" w:cs="宋体"/>
          <w:b/>
          <w:sz w:val="24"/>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1响应文件分为资格文件、商务技术文件、报价文件三部分。各响应人在编制响应文件时请按照公开竞争文件第六部分规定的格式进行，混乱的编排导致响应文件被误读或评审委员会查找不到有效文件是响应人的风险。</w:t>
      </w:r>
    </w:p>
    <w:p>
      <w:pPr>
        <w:spacing w:line="460" w:lineRule="exact"/>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.2响应人进行电子投标应安装客户端软件—“政采云电子交易客户端”，并按照公开竞争文件和电子交易平台的要求编制并加密响应文件。响应人未按规定加密的响应文件，电子交易平台将拒收并提示。</w:t>
      </w:r>
    </w:p>
    <w:p>
      <w:pPr>
        <w:spacing w:line="460" w:lineRule="exact"/>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1</w:t>
      </w:r>
      <w:r>
        <w:rPr>
          <w:rFonts w:hint="eastAsia" w:ascii="宋体" w:hAnsi="宋体" w:cs="宋体"/>
          <w:kern w:val="0"/>
          <w:sz w:val="24"/>
          <w:lang w:val="zh-CN"/>
        </w:rPr>
        <w:t>.3使用“政采云电子交易客户端”需要提前申领CA数字证书，申领流程请自行前往“浙江政府采购网-下载专区-电子交易客户端-CA驱动和申领流程”进行查阅。</w:t>
      </w:r>
    </w:p>
    <w:p>
      <w:pPr>
        <w:snapToGrid w:val="0"/>
        <w:spacing w:line="460" w:lineRule="exact"/>
        <w:rPr>
          <w:rFonts w:ascii="宋体" w:hAnsi="宋体" w:cs="宋体"/>
          <w:b/>
          <w:sz w:val="24"/>
        </w:rPr>
      </w:pPr>
      <w:r>
        <w:rPr>
          <w:rFonts w:hint="eastAsia" w:ascii="宋体" w:hAnsi="宋体" w:cs="宋体"/>
          <w:b/>
          <w:sz w:val="24"/>
        </w:rPr>
        <w:t>12.响应文件的签署、盖章</w:t>
      </w:r>
    </w:p>
    <w:p>
      <w:pPr>
        <w:pStyle w:val="141"/>
        <w:snapToGrid w:val="0"/>
        <w:spacing w:before="0" w:line="460" w:lineRule="exact"/>
        <w:ind w:firstLine="480"/>
        <w:rPr>
          <w:rFonts w:ascii="宋体" w:hAnsi="宋体" w:cs="宋体"/>
          <w:b/>
        </w:rPr>
      </w:pPr>
      <w:r>
        <w:rPr>
          <w:rFonts w:hint="eastAsia" w:ascii="宋体" w:hAnsi="宋体" w:cs="宋体"/>
          <w:szCs w:val="24"/>
        </w:rPr>
        <w:t>12.1响应文件按照公开竞争文件第六部分格式要</w:t>
      </w:r>
      <w:r>
        <w:rPr>
          <w:rFonts w:hint="eastAsia" w:ascii="宋体" w:hAnsi="宋体" w:cs="宋体"/>
        </w:rPr>
        <w:t>求进行签署、盖章。</w:t>
      </w:r>
      <w:r>
        <w:rPr>
          <w:rFonts w:hint="eastAsia" w:ascii="宋体" w:hAnsi="宋体" w:cs="宋体"/>
          <w:b/>
        </w:rPr>
        <w:t>▲响应人的响应文件未按照公开竞争文件要求签署、盖章的，其交易无效</w:t>
      </w:r>
      <w:r>
        <w:rPr>
          <w:rFonts w:hint="eastAsia" w:ascii="宋体" w:hAnsi="宋体" w:cs="宋体"/>
          <w:szCs w:val="24"/>
        </w:rPr>
        <w:t>。</w:t>
      </w:r>
    </w:p>
    <w:p>
      <w:pPr>
        <w:pStyle w:val="141"/>
        <w:snapToGrid w:val="0"/>
        <w:spacing w:before="0" w:line="460" w:lineRule="exact"/>
        <w:ind w:firstLine="480"/>
        <w:rPr>
          <w:rFonts w:ascii="宋体" w:hAnsi="宋体" w:cs="宋体"/>
        </w:rPr>
      </w:pPr>
      <w:r>
        <w:rPr>
          <w:rFonts w:hint="eastAsia" w:ascii="宋体" w:hAnsi="宋体" w:cs="宋体"/>
        </w:rPr>
        <w:t>12.2为确保网上操作合法、有效和安全，响应人应当在响应截止时间前完成在“政府采购云平台”的身份认证，确保在电子投标过程中能够对相关数据电文进行加密和使用电子签名。</w:t>
      </w:r>
    </w:p>
    <w:p>
      <w:pPr>
        <w:pStyle w:val="141"/>
        <w:snapToGrid w:val="0"/>
        <w:spacing w:before="0" w:line="460" w:lineRule="exact"/>
        <w:ind w:firstLine="480"/>
        <w:rPr>
          <w:rFonts w:ascii="宋体" w:hAnsi="宋体" w:cs="宋体"/>
          <w:szCs w:val="24"/>
        </w:rPr>
      </w:pPr>
      <w:r>
        <w:rPr>
          <w:rFonts w:hint="eastAsia" w:ascii="宋体" w:hAnsi="宋体" w:cs="宋体"/>
        </w:rPr>
        <w:t>12.3公开竞争文件对响应文件签署、盖章的要求适用于电子签名。</w:t>
      </w:r>
    </w:p>
    <w:p>
      <w:pPr>
        <w:pStyle w:val="141"/>
        <w:spacing w:before="0" w:line="460" w:lineRule="exact"/>
        <w:ind w:firstLine="0" w:firstLineChars="0"/>
        <w:rPr>
          <w:rFonts w:ascii="宋体" w:hAnsi="宋体" w:cs="宋体"/>
          <w:b/>
          <w:szCs w:val="24"/>
        </w:rPr>
      </w:pPr>
      <w:r>
        <w:rPr>
          <w:rFonts w:hint="eastAsia" w:ascii="宋体" w:hAnsi="宋体" w:cs="宋体"/>
          <w:b/>
          <w:szCs w:val="24"/>
        </w:rPr>
        <w:t>13.响应文件的提交、补充、修改、撤回</w:t>
      </w:r>
    </w:p>
    <w:p>
      <w:pPr>
        <w:pStyle w:val="141"/>
        <w:spacing w:line="460" w:lineRule="exact"/>
        <w:ind w:firstLine="480"/>
        <w:rPr>
          <w:rFonts w:ascii="宋体" w:hAnsi="宋体" w:cs="宋体"/>
          <w:szCs w:val="24"/>
        </w:rPr>
      </w:pPr>
      <w:r>
        <w:rPr>
          <w:rFonts w:hint="eastAsia" w:ascii="宋体" w:hAnsi="宋体" w:cs="宋体"/>
          <w:szCs w:val="24"/>
        </w:rPr>
        <w:t>13.1响应人应当在响应截止时间前完成响应文件的传输递交，并可以补充、修改或者撤回响应文件。补充或者修改响应文件的，应当先行撤回原文件，补充、修改后重新传输递交。投标截止时间前未完成传输的，视为撤回响应文件。响应截止时间后递交的响应文件，电子交易平台将拒收。</w:t>
      </w:r>
    </w:p>
    <w:p>
      <w:pPr>
        <w:pStyle w:val="141"/>
        <w:spacing w:before="0" w:line="460" w:lineRule="exact"/>
        <w:ind w:firstLine="480"/>
        <w:rPr>
          <w:rFonts w:ascii="宋体" w:hAnsi="宋体" w:cs="宋体"/>
          <w:szCs w:val="24"/>
        </w:rPr>
      </w:pPr>
      <w:r>
        <w:rPr>
          <w:rFonts w:hint="eastAsia" w:ascii="宋体" w:hAnsi="宋体" w:cs="宋体"/>
          <w:szCs w:val="24"/>
        </w:rPr>
        <w:t>13.2电子交易平台收到响应文件，将妥善保存并即时向响应人发出确认回执通知。在响应截止时间前，除响应人补充、修改或者撤回响应文件外，任何单位和个人不得解密或提取响应文件。</w:t>
      </w:r>
    </w:p>
    <w:p>
      <w:pPr>
        <w:pStyle w:val="141"/>
        <w:spacing w:before="0" w:line="460" w:lineRule="exact"/>
        <w:ind w:firstLine="480"/>
        <w:rPr>
          <w:rFonts w:ascii="宋体" w:hAnsi="宋体" w:cs="宋体"/>
          <w:szCs w:val="24"/>
        </w:rPr>
      </w:pPr>
      <w:r>
        <w:rPr>
          <w:rFonts w:hint="eastAsia" w:ascii="宋体" w:hAnsi="宋体" w:cs="宋体"/>
          <w:szCs w:val="24"/>
        </w:rPr>
        <w:t>13.3交易发起人、代理机构可以视情况延长响应文件提交的截止时间。在上述情况下，代理机构与响应人以前在投标截止期方面的全部权利、责任和义务，将适用于延长至新的投标截止期。</w:t>
      </w:r>
    </w:p>
    <w:p>
      <w:pPr>
        <w:pStyle w:val="2"/>
        <w:numPr>
          <w:ilvl w:val="0"/>
          <w:numId w:val="1"/>
        </w:numPr>
        <w:spacing w:line="460" w:lineRule="exact"/>
        <w:rPr>
          <w:rFonts w:hAnsi="宋体" w:cs="宋体"/>
          <w:b/>
          <w:sz w:val="24"/>
          <w:szCs w:val="24"/>
        </w:rPr>
      </w:pPr>
      <w:r>
        <w:rPr>
          <w:rFonts w:hint="eastAsia" w:hAnsi="宋体" w:cs="宋体"/>
          <w:b/>
          <w:sz w:val="24"/>
          <w:szCs w:val="24"/>
        </w:rPr>
        <w:t>备份响应文件</w:t>
      </w:r>
    </w:p>
    <w:p>
      <w:pPr>
        <w:pStyle w:val="2"/>
        <w:spacing w:line="460" w:lineRule="exact"/>
        <w:ind w:firstLine="480" w:firstLineChars="200"/>
        <w:rPr>
          <w:rFonts w:hAnsi="宋体" w:cs="宋体"/>
          <w:b/>
          <w:sz w:val="24"/>
          <w:szCs w:val="24"/>
        </w:rPr>
      </w:pPr>
      <w:r>
        <w:rPr>
          <w:rFonts w:hint="eastAsia" w:hAnsi="宋体" w:cs="宋体"/>
          <w:kern w:val="28"/>
          <w:sz w:val="24"/>
          <w:szCs w:val="24"/>
        </w:rPr>
        <w:t>不收取备份响应文件。</w:t>
      </w:r>
    </w:p>
    <w:p>
      <w:pPr>
        <w:pStyle w:val="141"/>
        <w:spacing w:before="0" w:line="460" w:lineRule="exact"/>
        <w:ind w:firstLine="0" w:firstLineChars="0"/>
        <w:rPr>
          <w:rFonts w:ascii="宋体" w:hAnsi="宋体" w:cs="宋体"/>
          <w:b/>
          <w:szCs w:val="24"/>
        </w:rPr>
      </w:pPr>
      <w:r>
        <w:rPr>
          <w:rFonts w:hint="eastAsia" w:ascii="宋体" w:hAnsi="宋体" w:cs="宋体"/>
          <w:b/>
          <w:szCs w:val="24"/>
        </w:rPr>
        <w:t>15.响应文件的无效处理</w:t>
      </w:r>
    </w:p>
    <w:p>
      <w:pPr>
        <w:pStyle w:val="27"/>
        <w:spacing w:line="460" w:lineRule="exact"/>
        <w:rPr>
          <w:rFonts w:cs="宋体"/>
          <w:szCs w:val="21"/>
        </w:rPr>
      </w:pPr>
      <w:r>
        <w:rPr>
          <w:rFonts w:hint="eastAsia" w:cs="宋体"/>
          <w:szCs w:val="21"/>
        </w:rPr>
        <w:t>有公开竞争文件第四部分</w:t>
      </w:r>
      <w:r>
        <w:rPr>
          <w:rFonts w:hint="eastAsia" w:cs="宋体"/>
        </w:rPr>
        <w:t>4.2规定</w:t>
      </w:r>
      <w:r>
        <w:rPr>
          <w:rFonts w:hint="eastAsia" w:cs="宋体"/>
          <w:szCs w:val="21"/>
        </w:rPr>
        <w:t>的情形之一的，交易无效：</w:t>
      </w:r>
    </w:p>
    <w:p>
      <w:pPr>
        <w:pStyle w:val="141"/>
        <w:spacing w:before="0" w:line="460" w:lineRule="exact"/>
        <w:ind w:firstLine="0" w:firstLineChars="0"/>
        <w:rPr>
          <w:rFonts w:ascii="宋体" w:hAnsi="宋体" w:cs="宋体"/>
          <w:b/>
          <w:szCs w:val="24"/>
        </w:rPr>
      </w:pPr>
      <w:r>
        <w:rPr>
          <w:rFonts w:hint="eastAsia" w:ascii="宋体" w:hAnsi="宋体" w:cs="宋体"/>
          <w:b/>
          <w:szCs w:val="24"/>
        </w:rPr>
        <w:t>16.交易有效期</w:t>
      </w:r>
    </w:p>
    <w:p>
      <w:pPr>
        <w:spacing w:line="460" w:lineRule="exact"/>
        <w:ind w:firstLine="480" w:firstLineChars="200"/>
        <w:rPr>
          <w:rFonts w:ascii="宋体" w:hAnsi="宋体" w:cs="宋体"/>
          <w:b/>
          <w:sz w:val="24"/>
          <w:szCs w:val="21"/>
        </w:rPr>
      </w:pPr>
      <w:r>
        <w:rPr>
          <w:rFonts w:hint="eastAsia" w:ascii="宋体" w:hAnsi="宋体" w:cs="宋体"/>
          <w:sz w:val="24"/>
          <w:szCs w:val="20"/>
        </w:rPr>
        <w:t>16.1交易有效期为从提交响应文件的截止之日起90天。▲</w:t>
      </w:r>
      <w:r>
        <w:rPr>
          <w:rFonts w:hint="eastAsia" w:ascii="宋体" w:hAnsi="宋体" w:cs="宋体"/>
          <w:b/>
          <w:sz w:val="24"/>
          <w:szCs w:val="20"/>
        </w:rPr>
        <w:t>响应人的响应文件中承</w:t>
      </w:r>
      <w:r>
        <w:rPr>
          <w:rFonts w:hint="eastAsia" w:ascii="宋体" w:hAnsi="宋体" w:cs="宋体"/>
          <w:b/>
          <w:sz w:val="24"/>
          <w:szCs w:val="21"/>
        </w:rPr>
        <w:t>诺的交易有效期少于公开竞争文件中载明的交易有效期的，交易无效。</w:t>
      </w:r>
    </w:p>
    <w:p>
      <w:pPr>
        <w:pStyle w:val="141"/>
        <w:spacing w:before="0" w:line="460" w:lineRule="exact"/>
        <w:ind w:firstLine="480"/>
        <w:rPr>
          <w:rFonts w:ascii="宋体" w:hAnsi="宋体" w:cs="宋体"/>
        </w:rPr>
      </w:pPr>
      <w:r>
        <w:rPr>
          <w:rFonts w:hint="eastAsia" w:ascii="宋体" w:hAnsi="宋体" w:cs="宋体"/>
        </w:rPr>
        <w:t>16.2响应文件合格投递后，自投标截止日期起，在交易有效期内有效。</w:t>
      </w:r>
    </w:p>
    <w:p>
      <w:pPr>
        <w:pStyle w:val="141"/>
        <w:spacing w:before="0" w:line="460" w:lineRule="exact"/>
        <w:ind w:firstLine="480"/>
        <w:rPr>
          <w:rFonts w:ascii="宋体" w:hAnsi="宋体" w:cs="宋体"/>
        </w:rPr>
      </w:pPr>
      <w:r>
        <w:rPr>
          <w:rFonts w:hint="eastAsia" w:ascii="宋体" w:hAnsi="宋体" w:cs="宋体"/>
        </w:rPr>
        <w:t>16.3在原定交易有效期满之前，如果出现特殊情况，代理机构可以以书面形式通知响应人延长交易有效期。响应人同意延长的，不得要求或被允许修改其响应文件，响应人拒绝延长的，其交易无效。</w:t>
      </w:r>
    </w:p>
    <w:p>
      <w:pPr>
        <w:pStyle w:val="141"/>
        <w:spacing w:before="0" w:line="460" w:lineRule="exact"/>
        <w:ind w:firstLine="643"/>
        <w:rPr>
          <w:rFonts w:ascii="宋体" w:hAnsi="宋体" w:cs="宋体"/>
          <w:b/>
          <w:sz w:val="32"/>
        </w:rPr>
      </w:pPr>
    </w:p>
    <w:p>
      <w:pPr>
        <w:pStyle w:val="141"/>
        <w:spacing w:before="0" w:line="460" w:lineRule="exact"/>
        <w:ind w:firstLine="0" w:firstLineChars="0"/>
        <w:jc w:val="center"/>
        <w:rPr>
          <w:rFonts w:ascii="宋体" w:hAnsi="宋体" w:cs="宋体"/>
          <w:b/>
          <w:sz w:val="32"/>
        </w:rPr>
      </w:pPr>
      <w:r>
        <w:rPr>
          <w:rFonts w:hint="eastAsia" w:ascii="宋体" w:hAnsi="宋体" w:cs="宋体"/>
          <w:b/>
          <w:sz w:val="32"/>
        </w:rPr>
        <w:t>四、交易、资格审查</w:t>
      </w:r>
    </w:p>
    <w:p>
      <w:pPr>
        <w:pStyle w:val="564"/>
        <w:spacing w:before="0" w:line="460" w:lineRule="exact"/>
        <w:ind w:left="0" w:firstLine="0"/>
        <w:contextualSpacing/>
        <w:rPr>
          <w:rFonts w:ascii="宋体" w:hAnsi="宋体" w:cs="宋体"/>
          <w:b/>
          <w:kern w:val="2"/>
          <w:sz w:val="24"/>
          <w:szCs w:val="24"/>
        </w:rPr>
      </w:pPr>
      <w:r>
        <w:rPr>
          <w:rFonts w:hint="eastAsia" w:ascii="宋体" w:hAnsi="宋体" w:cs="宋体"/>
          <w:b/>
          <w:kern w:val="2"/>
          <w:sz w:val="24"/>
          <w:szCs w:val="24"/>
        </w:rPr>
        <w:t xml:space="preserve">17.交易 </w:t>
      </w:r>
    </w:p>
    <w:p>
      <w:pPr>
        <w:pStyle w:val="564"/>
        <w:spacing w:before="0" w:line="460" w:lineRule="exact"/>
        <w:ind w:left="0" w:firstLine="420" w:firstLineChars="175"/>
        <w:contextualSpacing/>
        <w:rPr>
          <w:rFonts w:ascii="宋体" w:hAnsi="宋体" w:cs="宋体"/>
          <w:sz w:val="24"/>
        </w:rPr>
      </w:pPr>
      <w:r>
        <w:rPr>
          <w:rFonts w:hint="eastAsia" w:ascii="宋体" w:hAnsi="宋体" w:cs="宋体"/>
          <w:sz w:val="24"/>
        </w:rPr>
        <w:t>17.1代理机构按照公开竞争文件规定的时间通过电子交易平台组织开标，所有响应人均应当准时在线参加。响应人不足3家的，不得开标。</w:t>
      </w:r>
    </w:p>
    <w:p>
      <w:pPr>
        <w:pStyle w:val="564"/>
        <w:spacing w:before="0" w:line="460" w:lineRule="exact"/>
        <w:ind w:left="0" w:firstLine="420" w:firstLineChars="175"/>
        <w:contextualSpacing/>
        <w:rPr>
          <w:rFonts w:ascii="宋体" w:hAnsi="宋体" w:cs="宋体"/>
          <w:sz w:val="24"/>
        </w:rPr>
      </w:pPr>
      <w:r>
        <w:rPr>
          <w:rFonts w:hint="eastAsia" w:ascii="宋体" w:hAnsi="宋体" w:cs="宋体"/>
          <w:sz w:val="24"/>
        </w:rPr>
        <w:t>17.2交易时，电子交易平台按交易时间自动提取所有响应文件。代理机构依托电子交易平台发起开始解密指令，响应人按照平台提示和公开竞争文件的规定在半小时内完成在线解密。</w:t>
      </w:r>
    </w:p>
    <w:p>
      <w:pPr>
        <w:pStyle w:val="564"/>
        <w:spacing w:before="0" w:line="460" w:lineRule="exact"/>
        <w:ind w:left="0" w:firstLine="420" w:firstLineChars="175"/>
        <w:contextualSpacing/>
        <w:rPr>
          <w:rFonts w:ascii="宋体" w:hAnsi="宋体" w:cs="宋体"/>
          <w:sz w:val="24"/>
        </w:rPr>
      </w:pPr>
      <w:r>
        <w:rPr>
          <w:rFonts w:hint="eastAsia" w:ascii="宋体" w:hAnsi="宋体" w:cs="宋体"/>
          <w:sz w:val="24"/>
        </w:rPr>
        <w:t>17.3响应文件未按时解密，视为响应文件撤回。</w:t>
      </w:r>
    </w:p>
    <w:p>
      <w:pPr>
        <w:pStyle w:val="27"/>
        <w:spacing w:line="460" w:lineRule="exact"/>
        <w:ind w:left="479" w:hanging="479" w:hangingChars="199"/>
        <w:rPr>
          <w:rFonts w:cs="宋体"/>
          <w:b/>
        </w:rPr>
      </w:pPr>
      <w:r>
        <w:rPr>
          <w:rFonts w:hint="eastAsia" w:cs="宋体"/>
          <w:b/>
        </w:rPr>
        <w:t>18、资格审查</w:t>
      </w:r>
    </w:p>
    <w:p>
      <w:pPr>
        <w:pStyle w:val="141"/>
        <w:spacing w:before="0" w:line="460" w:lineRule="exact"/>
        <w:ind w:firstLine="480"/>
        <w:rPr>
          <w:rFonts w:ascii="宋体" w:hAnsi="宋体" w:cs="宋体"/>
          <w:kern w:val="0"/>
          <w:szCs w:val="24"/>
        </w:rPr>
      </w:pPr>
      <w:r>
        <w:rPr>
          <w:rFonts w:hint="eastAsia" w:ascii="宋体" w:hAnsi="宋体" w:cs="宋体"/>
          <w:kern w:val="0"/>
          <w:szCs w:val="24"/>
        </w:rPr>
        <w:t>18.1交易后，交易发起人或代理机构将依法对响应人的资格进行审查。</w:t>
      </w:r>
    </w:p>
    <w:p>
      <w:pPr>
        <w:snapToGrid w:val="0"/>
        <w:spacing w:line="460" w:lineRule="exact"/>
        <w:ind w:firstLine="480" w:firstLineChars="200"/>
        <w:rPr>
          <w:rFonts w:ascii="宋体" w:hAnsi="宋体" w:cs="宋体"/>
          <w:sz w:val="24"/>
        </w:rPr>
      </w:pPr>
      <w:r>
        <w:rPr>
          <w:rFonts w:hint="eastAsia" w:ascii="宋体" w:hAnsi="宋体" w:cs="宋体"/>
          <w:kern w:val="0"/>
          <w:sz w:val="24"/>
        </w:rPr>
        <w:t>18.2</w:t>
      </w:r>
      <w:r>
        <w:rPr>
          <w:rFonts w:hint="eastAsia" w:ascii="宋体" w:hAnsi="宋体" w:cs="宋体"/>
          <w:sz w:val="24"/>
        </w:rPr>
        <w:t>交易发起人或代理机构依据法律法规和公开竞争文件的规定，对响应人的基本资格条件、特定资格条件进行审查。</w:t>
      </w:r>
    </w:p>
    <w:p>
      <w:pPr>
        <w:pStyle w:val="141"/>
        <w:spacing w:before="0" w:line="460" w:lineRule="exact"/>
        <w:ind w:firstLine="480"/>
        <w:rPr>
          <w:rFonts w:ascii="宋体" w:hAnsi="宋体" w:cs="宋体"/>
        </w:rPr>
      </w:pPr>
      <w:r>
        <w:rPr>
          <w:rFonts w:hint="eastAsia" w:ascii="宋体" w:hAnsi="宋体" w:cs="宋体"/>
          <w:kern w:val="0"/>
          <w:szCs w:val="24"/>
        </w:rPr>
        <w:t>18.3响应人未按照公开竞争文件要求提供与</w:t>
      </w:r>
      <w:r>
        <w:rPr>
          <w:rFonts w:hint="eastAsia" w:ascii="宋体" w:hAnsi="宋体" w:cs="宋体"/>
        </w:rPr>
        <w:t>基本资格条件、特定资格条件相应的</w:t>
      </w:r>
      <w:r>
        <w:rPr>
          <w:rFonts w:hint="eastAsia" w:ascii="宋体" w:hAnsi="宋体" w:cs="宋体"/>
          <w:kern w:val="0"/>
          <w:szCs w:val="24"/>
        </w:rPr>
        <w:t>有效资格证明材料的，视为</w:t>
      </w:r>
      <w:r>
        <w:rPr>
          <w:rFonts w:hint="eastAsia" w:ascii="宋体" w:hAnsi="宋体" w:cs="宋体"/>
        </w:rPr>
        <w:t>响应人不具备公开竞争文件中规定的资格要求，其交易无效。</w:t>
      </w:r>
    </w:p>
    <w:p>
      <w:pPr>
        <w:pStyle w:val="141"/>
        <w:spacing w:before="0" w:line="460" w:lineRule="exact"/>
        <w:ind w:firstLine="480"/>
        <w:rPr>
          <w:rFonts w:ascii="宋体" w:hAnsi="宋体" w:cs="宋体"/>
        </w:rPr>
      </w:pPr>
      <w:r>
        <w:rPr>
          <w:rFonts w:hint="eastAsia" w:ascii="宋体" w:hAnsi="宋体" w:cs="宋体"/>
          <w:kern w:val="0"/>
          <w:szCs w:val="24"/>
        </w:rPr>
        <w:t>18.</w:t>
      </w:r>
      <w:r>
        <w:rPr>
          <w:rFonts w:hint="eastAsia" w:ascii="宋体" w:hAnsi="宋体" w:cs="宋体"/>
        </w:rPr>
        <w:t>4对未通过资格审查的响应人，交易发起人或代理机构告知其未通过的原因。</w:t>
      </w:r>
    </w:p>
    <w:p>
      <w:pPr>
        <w:pStyle w:val="141"/>
        <w:spacing w:before="0" w:line="460" w:lineRule="exact"/>
        <w:ind w:firstLine="480"/>
        <w:rPr>
          <w:rFonts w:ascii="宋体" w:hAnsi="宋体" w:cs="宋体"/>
        </w:rPr>
      </w:pPr>
      <w:r>
        <w:rPr>
          <w:rFonts w:hint="eastAsia" w:ascii="宋体" w:hAnsi="宋体" w:cs="宋体"/>
          <w:kern w:val="0"/>
          <w:szCs w:val="24"/>
        </w:rPr>
        <w:t>18.</w:t>
      </w:r>
      <w:r>
        <w:rPr>
          <w:rFonts w:hint="eastAsia" w:ascii="宋体" w:hAnsi="宋体" w:cs="宋体"/>
        </w:rPr>
        <w:t>5合格响应人不足3家的，不再评标。</w:t>
      </w:r>
    </w:p>
    <w:p>
      <w:pPr>
        <w:pStyle w:val="141"/>
        <w:spacing w:before="0" w:line="460" w:lineRule="exact"/>
        <w:ind w:firstLine="0" w:firstLineChars="0"/>
        <w:rPr>
          <w:rFonts w:ascii="宋体" w:hAnsi="宋体" w:cs="宋体"/>
          <w:kern w:val="0"/>
          <w:szCs w:val="24"/>
        </w:rPr>
      </w:pPr>
    </w:p>
    <w:p>
      <w:pPr>
        <w:snapToGrid w:val="0"/>
        <w:spacing w:line="460" w:lineRule="exact"/>
        <w:jc w:val="center"/>
        <w:outlineLvl w:val="0"/>
        <w:rPr>
          <w:rFonts w:ascii="宋体" w:hAnsi="宋体" w:cs="宋体"/>
          <w:b/>
          <w:sz w:val="36"/>
          <w:szCs w:val="36"/>
        </w:rPr>
      </w:pPr>
      <w:r>
        <w:rPr>
          <w:rFonts w:hint="eastAsia" w:ascii="宋体" w:hAnsi="宋体" w:cs="宋体"/>
          <w:b/>
          <w:sz w:val="36"/>
          <w:szCs w:val="36"/>
        </w:rPr>
        <w:t>五、评审</w:t>
      </w:r>
    </w:p>
    <w:p>
      <w:pPr>
        <w:spacing w:line="460" w:lineRule="exact"/>
        <w:rPr>
          <w:rFonts w:ascii="宋体" w:hAnsi="宋体" w:cs="宋体"/>
          <w:sz w:val="24"/>
        </w:rPr>
      </w:pPr>
      <w:bookmarkStart w:id="14" w:name="_Toc91899903"/>
      <w:r>
        <w:rPr>
          <w:rFonts w:hint="eastAsia" w:ascii="宋体" w:hAnsi="宋体" w:cs="宋体"/>
          <w:b/>
          <w:sz w:val="24"/>
        </w:rPr>
        <w:t>19.</w:t>
      </w:r>
      <w:r>
        <w:rPr>
          <w:rFonts w:hint="eastAsia" w:ascii="宋体" w:hAnsi="宋体" w:cs="宋体"/>
          <w:sz w:val="24"/>
        </w:rPr>
        <w:t>评审委员会将根据公开竞争文件和有关规定，履行评标工作职责，并按照评标方法及评分标准，全面衡量各响应人对公开竞争文件的响应情况。对实质上响应公开竞争文件的响应人，按照评审因素的量化指标排出推荐成交的响应人的先后顺序，并按顺序提出授标建议。</w:t>
      </w:r>
    </w:p>
    <w:p>
      <w:pPr>
        <w:spacing w:line="460" w:lineRule="exact"/>
        <w:rPr>
          <w:rFonts w:ascii="宋体" w:hAnsi="宋体" w:cs="宋体"/>
          <w:b/>
          <w:sz w:val="24"/>
        </w:rPr>
      </w:pPr>
      <w:r>
        <w:rPr>
          <w:rFonts w:hint="eastAsia" w:ascii="宋体" w:hAnsi="宋体" w:cs="宋体"/>
          <w:b/>
          <w:sz w:val="24"/>
        </w:rPr>
        <w:t>详见公开竞争文件第四部分交易办法。</w:t>
      </w:r>
    </w:p>
    <w:p>
      <w:pPr>
        <w:spacing w:line="460" w:lineRule="exact"/>
        <w:rPr>
          <w:rFonts w:ascii="宋体" w:hAnsi="宋体" w:cs="宋体"/>
          <w:b/>
          <w:sz w:val="24"/>
        </w:rPr>
      </w:pPr>
    </w:p>
    <w:p>
      <w:pPr>
        <w:snapToGrid w:val="0"/>
        <w:spacing w:line="460" w:lineRule="exact"/>
        <w:jc w:val="center"/>
        <w:outlineLvl w:val="0"/>
        <w:rPr>
          <w:rFonts w:ascii="宋体" w:hAnsi="宋体" w:cs="宋体"/>
          <w:b/>
          <w:sz w:val="36"/>
          <w:szCs w:val="36"/>
        </w:rPr>
      </w:pPr>
      <w:r>
        <w:rPr>
          <w:rFonts w:hint="eastAsia" w:ascii="宋体" w:hAnsi="宋体" w:cs="宋体"/>
          <w:b/>
          <w:sz w:val="36"/>
          <w:szCs w:val="36"/>
        </w:rPr>
        <w:t>六、定标</w:t>
      </w:r>
    </w:p>
    <w:p>
      <w:pPr>
        <w:pStyle w:val="27"/>
        <w:spacing w:line="460" w:lineRule="exact"/>
        <w:ind w:left="479" w:hanging="479" w:hangingChars="199"/>
        <w:rPr>
          <w:rFonts w:cs="宋体"/>
          <w:b/>
        </w:rPr>
      </w:pPr>
      <w:r>
        <w:rPr>
          <w:rFonts w:hint="eastAsia" w:cs="宋体"/>
          <w:b/>
        </w:rPr>
        <w:t>20.确定成交响应人</w:t>
      </w:r>
    </w:p>
    <w:p>
      <w:pPr>
        <w:pStyle w:val="141"/>
        <w:snapToGrid w:val="0"/>
        <w:spacing w:before="0" w:line="460" w:lineRule="exact"/>
        <w:ind w:firstLine="480"/>
        <w:rPr>
          <w:rFonts w:ascii="宋体" w:hAnsi="宋体" w:cs="宋体"/>
          <w:b/>
          <w:szCs w:val="24"/>
        </w:rPr>
      </w:pPr>
      <w:r>
        <w:rPr>
          <w:rFonts w:hint="eastAsia" w:ascii="宋体" w:hAnsi="宋体" w:cs="宋体"/>
          <w:szCs w:val="24"/>
        </w:rPr>
        <w:t>交易发起人将自收到评审报告之日起5个工作日内通过电子交易平台在评审报告推荐的成交候选人中按顺序确定成交响应人。</w:t>
      </w:r>
    </w:p>
    <w:p>
      <w:pPr>
        <w:pStyle w:val="141"/>
        <w:snapToGrid w:val="0"/>
        <w:spacing w:before="0" w:line="460" w:lineRule="exact"/>
        <w:ind w:firstLine="0" w:firstLineChars="0"/>
        <w:rPr>
          <w:rFonts w:ascii="宋体" w:hAnsi="宋体" w:cs="宋体"/>
          <w:b/>
          <w:szCs w:val="24"/>
        </w:rPr>
      </w:pPr>
      <w:r>
        <w:rPr>
          <w:rFonts w:hint="eastAsia" w:ascii="宋体" w:hAnsi="宋体" w:cs="宋体"/>
          <w:b/>
          <w:szCs w:val="24"/>
        </w:rPr>
        <w:t>21.成交通知与成交结果公告</w:t>
      </w:r>
    </w:p>
    <w:p>
      <w:pPr>
        <w:widowControl/>
        <w:shd w:val="clear" w:color="auto" w:fill="FFFFFF"/>
        <w:spacing w:line="460" w:lineRule="exact"/>
        <w:ind w:firstLine="480"/>
        <w:jc w:val="left"/>
        <w:rPr>
          <w:rFonts w:ascii="宋体" w:hAnsi="宋体" w:cs="宋体"/>
          <w:sz w:val="24"/>
        </w:rPr>
      </w:pPr>
      <w:r>
        <w:rPr>
          <w:rFonts w:hint="eastAsia" w:ascii="宋体" w:hAnsi="宋体" w:cs="宋体"/>
          <w:sz w:val="24"/>
        </w:rPr>
        <w:t>21.1自成交人确定之日起3天内，代理机构通过电子交易平台向成交人发出成交通知书，同时编制发布成交结果公告。代理机构也可以以纸质形式进行成交通知。</w:t>
      </w:r>
    </w:p>
    <w:p>
      <w:pPr>
        <w:widowControl/>
        <w:shd w:val="clear" w:color="auto" w:fill="FFFFFF"/>
        <w:spacing w:line="460" w:lineRule="exact"/>
        <w:ind w:firstLine="480"/>
        <w:jc w:val="left"/>
        <w:rPr>
          <w:rFonts w:ascii="宋体" w:hAnsi="宋体" w:cs="宋体"/>
          <w:sz w:val="24"/>
        </w:rPr>
      </w:pPr>
      <w:r>
        <w:rPr>
          <w:rFonts w:hint="eastAsia" w:ascii="宋体" w:hAnsi="宋体" w:cs="宋体"/>
          <w:sz w:val="24"/>
        </w:rPr>
        <w:t>21.2成交结果公告内容包括交易发起人及其委托的代理机构的名称、地址、联系方式，项目名称和交易编号，成交人名称、地址和成交金额。</w:t>
      </w:r>
    </w:p>
    <w:p>
      <w:pPr>
        <w:snapToGrid w:val="0"/>
        <w:spacing w:line="460" w:lineRule="exact"/>
        <w:ind w:left="120" w:leftChars="57" w:firstLine="482" w:firstLineChars="150"/>
        <w:jc w:val="center"/>
        <w:rPr>
          <w:rFonts w:ascii="宋体" w:hAnsi="宋体" w:cs="宋体"/>
          <w:b/>
          <w:sz w:val="32"/>
        </w:rPr>
      </w:pPr>
    </w:p>
    <w:p>
      <w:pPr>
        <w:snapToGrid w:val="0"/>
        <w:spacing w:line="460" w:lineRule="exact"/>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7"/>
        <w:spacing w:line="460" w:lineRule="exact"/>
        <w:ind w:left="479" w:hanging="479" w:hangingChars="199"/>
        <w:rPr>
          <w:rFonts w:cs="宋体"/>
          <w:b/>
        </w:rPr>
      </w:pPr>
      <w:r>
        <w:rPr>
          <w:rFonts w:hint="eastAsia" w:cs="宋体"/>
          <w:b/>
        </w:rPr>
        <w:t>22.</w:t>
      </w:r>
      <w:r>
        <w:rPr>
          <w:rFonts w:hint="eastAsia" w:cs="宋体"/>
        </w:rPr>
        <w:t>合同主要条款详见第五部分拟签订的合同文本。</w:t>
      </w:r>
    </w:p>
    <w:p>
      <w:pPr>
        <w:pStyle w:val="27"/>
        <w:spacing w:line="460" w:lineRule="exact"/>
        <w:ind w:left="479" w:hanging="479" w:hangingChars="199"/>
        <w:rPr>
          <w:rFonts w:cs="宋体"/>
          <w:b/>
        </w:rPr>
      </w:pPr>
      <w:r>
        <w:rPr>
          <w:rFonts w:hint="eastAsia" w:cs="宋体"/>
          <w:b/>
        </w:rPr>
        <w:t>23.合同的签订</w:t>
      </w:r>
    </w:p>
    <w:p>
      <w:pPr>
        <w:widowControl/>
        <w:shd w:val="clear" w:color="auto" w:fill="FFFFFF"/>
        <w:spacing w:line="460" w:lineRule="exact"/>
        <w:ind w:firstLine="480"/>
        <w:jc w:val="left"/>
        <w:rPr>
          <w:rFonts w:ascii="宋体" w:hAnsi="宋体" w:cs="宋体"/>
          <w:kern w:val="0"/>
          <w:sz w:val="24"/>
        </w:rPr>
      </w:pPr>
      <w:r>
        <w:rPr>
          <w:rFonts w:hint="eastAsia" w:ascii="宋体" w:hAnsi="宋体" w:cs="宋体"/>
          <w:sz w:val="24"/>
        </w:rPr>
        <w:t>23.1</w:t>
      </w:r>
      <w:r>
        <w:rPr>
          <w:rFonts w:hint="eastAsia" w:ascii="宋体" w:hAnsi="宋体" w:cs="宋体"/>
          <w:kern w:val="0"/>
          <w:sz w:val="24"/>
        </w:rPr>
        <w:t xml:space="preserve"> 交易发起人与成交人应当通过电子交易平台在成交通知书发出之日起三十日内，按照公开竞争文件确定的事项签订书面合同。</w:t>
      </w:r>
    </w:p>
    <w:p>
      <w:pPr>
        <w:pStyle w:val="141"/>
        <w:snapToGrid w:val="0"/>
        <w:spacing w:before="0" w:line="460" w:lineRule="exact"/>
        <w:ind w:firstLine="480"/>
        <w:rPr>
          <w:rFonts w:ascii="宋体" w:hAnsi="宋体" w:cs="宋体"/>
          <w:kern w:val="0"/>
        </w:rPr>
      </w:pPr>
      <w:r>
        <w:rPr>
          <w:rFonts w:hint="eastAsia" w:ascii="宋体" w:hAnsi="宋体" w:cs="宋体"/>
          <w:kern w:val="0"/>
          <w:lang w:val="zh-CN"/>
        </w:rPr>
        <w:t>2</w:t>
      </w:r>
      <w:r>
        <w:rPr>
          <w:rFonts w:hint="eastAsia" w:ascii="宋体" w:hAnsi="宋体" w:cs="宋体"/>
          <w:kern w:val="0"/>
        </w:rPr>
        <w:t>3</w:t>
      </w:r>
      <w:r>
        <w:rPr>
          <w:rFonts w:hint="eastAsia" w:ascii="宋体" w:hAnsi="宋体" w:cs="宋体"/>
          <w:kern w:val="0"/>
          <w:lang w:val="zh-CN"/>
        </w:rPr>
        <w:t>.2成交人按规定的日期、时间、地点，由法定代表人或其授权代表与交易发起人代表签订合同。如成交人为联合体的，由联合体成员各方法定代表人或其授权代表与交易发起人代表签订合同。</w:t>
      </w:r>
    </w:p>
    <w:p>
      <w:pPr>
        <w:pStyle w:val="141"/>
        <w:snapToGrid w:val="0"/>
        <w:spacing w:before="0" w:line="460" w:lineRule="exact"/>
        <w:ind w:firstLine="480"/>
        <w:rPr>
          <w:rFonts w:ascii="宋体" w:hAnsi="宋体" w:cs="宋体"/>
        </w:rPr>
      </w:pPr>
      <w:r>
        <w:rPr>
          <w:rFonts w:hint="eastAsia" w:ascii="宋体" w:hAnsi="宋体" w:cs="宋体"/>
        </w:rPr>
        <w:t>23.3如签订合同并生效后，响应人无故拒绝或延期，除按照合同条款处理外，列入不良行为记录一次，并给予通报。</w:t>
      </w:r>
    </w:p>
    <w:p>
      <w:pPr>
        <w:pStyle w:val="141"/>
        <w:snapToGrid w:val="0"/>
        <w:spacing w:before="0" w:line="460" w:lineRule="exact"/>
        <w:ind w:firstLine="480"/>
        <w:rPr>
          <w:rFonts w:ascii="宋体" w:hAnsi="宋体" w:cs="宋体"/>
        </w:rPr>
      </w:pPr>
      <w:r>
        <w:rPr>
          <w:rFonts w:hint="eastAsia" w:ascii="宋体" w:hAnsi="宋体" w:cs="宋体"/>
        </w:rPr>
        <w:t>23.4成交响应人拒绝与交易发起人签订合同的，交易发起人可以按照评审报告推荐的</w:t>
      </w:r>
      <w:r>
        <w:rPr>
          <w:rFonts w:hint="eastAsia" w:ascii="宋体" w:hAnsi="宋体" w:cs="宋体"/>
          <w:kern w:val="0"/>
        </w:rPr>
        <w:t>成交</w:t>
      </w:r>
      <w:r>
        <w:rPr>
          <w:rFonts w:hint="eastAsia" w:ascii="宋体" w:hAnsi="宋体" w:cs="宋体"/>
        </w:rPr>
        <w:t>或者成交候选人名单排序，确定下一候选人为成交响应人，也可以重新开展交易活动。</w:t>
      </w:r>
    </w:p>
    <w:p>
      <w:pPr>
        <w:pStyle w:val="141"/>
        <w:snapToGrid w:val="0"/>
        <w:spacing w:before="0" w:after="120" w:line="460" w:lineRule="exact"/>
        <w:ind w:firstLine="480"/>
        <w:rPr>
          <w:rFonts w:ascii="宋体" w:hAnsi="宋体" w:cs="宋体"/>
        </w:rPr>
      </w:pPr>
      <w:r>
        <w:rPr>
          <w:rFonts w:hint="eastAsia" w:ascii="宋体" w:hAnsi="宋体" w:cs="宋体"/>
        </w:rPr>
        <w:t>23.5书面合同由交易发起人与成交响应人根据公开竞争文件、响应文件等内容签订合同。</w:t>
      </w:r>
    </w:p>
    <w:p>
      <w:pPr>
        <w:pStyle w:val="27"/>
        <w:spacing w:line="460" w:lineRule="exact"/>
        <w:ind w:left="479" w:hanging="479" w:hangingChars="199"/>
        <w:rPr>
          <w:rFonts w:cs="宋体"/>
          <w:b/>
        </w:rPr>
      </w:pPr>
      <w:r>
        <w:rPr>
          <w:rFonts w:hint="eastAsia" w:cs="宋体"/>
          <w:b/>
        </w:rPr>
        <w:t>24.履约保证金：</w:t>
      </w:r>
      <w:r>
        <w:rPr>
          <w:rFonts w:hint="eastAsia" w:cs="宋体"/>
          <w:bCs/>
        </w:rPr>
        <w:t>不收取。</w:t>
      </w:r>
    </w:p>
    <w:p>
      <w:pPr>
        <w:snapToGrid w:val="0"/>
        <w:spacing w:line="460" w:lineRule="exact"/>
        <w:ind w:firstLine="3357" w:firstLineChars="1045"/>
        <w:rPr>
          <w:rFonts w:ascii="宋体" w:hAnsi="宋体" w:cs="宋体"/>
          <w:b/>
          <w:sz w:val="32"/>
        </w:rPr>
      </w:pPr>
    </w:p>
    <w:p>
      <w:pPr>
        <w:snapToGrid w:val="0"/>
        <w:spacing w:line="460" w:lineRule="exact"/>
        <w:ind w:firstLine="3357" w:firstLineChars="1045"/>
        <w:rPr>
          <w:rFonts w:ascii="宋体" w:hAnsi="宋体" w:cs="宋体"/>
          <w:b/>
          <w:sz w:val="24"/>
        </w:rPr>
      </w:pPr>
      <w:r>
        <w:rPr>
          <w:rFonts w:hint="eastAsia" w:ascii="宋体" w:hAnsi="宋体" w:cs="宋体"/>
          <w:b/>
          <w:sz w:val="32"/>
        </w:rPr>
        <w:t>八、电子交易活动的中止</w:t>
      </w:r>
    </w:p>
    <w:p>
      <w:pPr>
        <w:pStyle w:val="141"/>
        <w:snapToGrid w:val="0"/>
        <w:spacing w:before="0" w:line="460" w:lineRule="exact"/>
        <w:ind w:firstLine="0" w:firstLineChars="0"/>
        <w:rPr>
          <w:rFonts w:ascii="宋体" w:hAnsi="宋体" w:cs="宋体"/>
        </w:rPr>
      </w:pPr>
      <w:r>
        <w:rPr>
          <w:rFonts w:hint="eastAsia" w:ascii="宋体" w:hAnsi="宋体" w:cs="宋体"/>
          <w:b/>
          <w:bCs/>
        </w:rPr>
        <w:t>2</w:t>
      </w:r>
      <w:r>
        <w:rPr>
          <w:rFonts w:hint="eastAsia" w:ascii="宋体" w:hAnsi="宋体" w:cs="宋体"/>
          <w:b/>
          <w:szCs w:val="24"/>
        </w:rPr>
        <w:t>5.电子交易活动的中止。</w:t>
      </w:r>
      <w:r>
        <w:rPr>
          <w:rFonts w:hint="eastAsia" w:ascii="宋体" w:hAnsi="宋体" w:cs="宋体"/>
          <w:bCs/>
          <w:szCs w:val="24"/>
        </w:rPr>
        <w:t>交易</w:t>
      </w:r>
      <w:r>
        <w:rPr>
          <w:rFonts w:hint="eastAsia" w:ascii="宋体" w:hAnsi="宋体" w:cs="宋体"/>
        </w:rPr>
        <w:t>过程中出现以下情形，导致电子交易平台无法正常运行，或者无法保证电子交易的公平、公正和安全时，代理机构可中止电子交易活动：</w:t>
      </w:r>
    </w:p>
    <w:p>
      <w:pPr>
        <w:pStyle w:val="141"/>
        <w:snapToGrid w:val="0"/>
        <w:spacing w:before="0" w:line="460" w:lineRule="exact"/>
        <w:ind w:firstLine="480"/>
        <w:rPr>
          <w:rFonts w:ascii="宋体" w:hAnsi="宋体" w:cs="宋体"/>
        </w:rPr>
      </w:pPr>
      <w:r>
        <w:rPr>
          <w:rFonts w:hint="eastAsia" w:ascii="宋体" w:hAnsi="宋体" w:cs="宋体"/>
        </w:rPr>
        <w:t xml:space="preserve">25.1电子交易平台发生故障而无法登录访问的； </w:t>
      </w:r>
    </w:p>
    <w:p>
      <w:pPr>
        <w:pStyle w:val="141"/>
        <w:snapToGrid w:val="0"/>
        <w:spacing w:before="0" w:line="460" w:lineRule="exact"/>
        <w:ind w:firstLine="480"/>
        <w:rPr>
          <w:rFonts w:ascii="宋体" w:hAnsi="宋体" w:cs="宋体"/>
        </w:rPr>
      </w:pPr>
      <w:r>
        <w:rPr>
          <w:rFonts w:hint="eastAsia" w:ascii="宋体" w:hAnsi="宋体" w:cs="宋体"/>
        </w:rPr>
        <w:t>25.2电子交易平台应用或数据库出现错误，不能进行正常操作的；</w:t>
      </w:r>
    </w:p>
    <w:p>
      <w:pPr>
        <w:pStyle w:val="141"/>
        <w:snapToGrid w:val="0"/>
        <w:spacing w:before="0" w:line="460" w:lineRule="exact"/>
        <w:ind w:firstLine="480"/>
        <w:rPr>
          <w:rFonts w:ascii="宋体" w:hAnsi="宋体" w:cs="宋体"/>
        </w:rPr>
      </w:pPr>
      <w:r>
        <w:rPr>
          <w:rFonts w:hint="eastAsia" w:ascii="宋体" w:hAnsi="宋体" w:cs="宋体"/>
        </w:rPr>
        <w:t>25.3电子交易平台发现严重安全漏洞，有潜在泄密危险的；</w:t>
      </w:r>
    </w:p>
    <w:p>
      <w:pPr>
        <w:pStyle w:val="141"/>
        <w:snapToGrid w:val="0"/>
        <w:spacing w:before="0" w:line="460" w:lineRule="exact"/>
        <w:ind w:firstLine="480"/>
        <w:rPr>
          <w:rFonts w:ascii="宋体" w:hAnsi="宋体" w:cs="宋体"/>
        </w:rPr>
      </w:pPr>
      <w:r>
        <w:rPr>
          <w:rFonts w:hint="eastAsia" w:ascii="宋体" w:hAnsi="宋体" w:cs="宋体"/>
        </w:rPr>
        <w:t xml:space="preserve">25.4病毒发作导致不能进行正常操作的； </w:t>
      </w:r>
    </w:p>
    <w:p>
      <w:pPr>
        <w:pStyle w:val="141"/>
        <w:snapToGrid w:val="0"/>
        <w:spacing w:before="0" w:line="460" w:lineRule="exact"/>
        <w:ind w:firstLine="480"/>
        <w:rPr>
          <w:rFonts w:ascii="宋体" w:hAnsi="宋体" w:cs="宋体"/>
        </w:rPr>
      </w:pPr>
      <w:r>
        <w:rPr>
          <w:rFonts w:hint="eastAsia" w:ascii="宋体" w:hAnsi="宋体" w:cs="宋体"/>
        </w:rPr>
        <w:t>25.5其他无法保证电子交易的公平、公正和安全的情况。</w:t>
      </w:r>
    </w:p>
    <w:p>
      <w:pPr>
        <w:pStyle w:val="141"/>
        <w:snapToGrid w:val="0"/>
        <w:spacing w:before="0" w:line="460" w:lineRule="exact"/>
        <w:ind w:firstLine="0" w:firstLineChars="0"/>
        <w:rPr>
          <w:rFonts w:ascii="宋体" w:hAnsi="宋体" w:cs="宋体"/>
        </w:rPr>
      </w:pPr>
      <w:r>
        <w:rPr>
          <w:rFonts w:hint="eastAsia" w:ascii="宋体" w:hAnsi="宋体" w:cs="宋体"/>
          <w:b/>
          <w:bCs/>
        </w:rPr>
        <w:t>26.</w:t>
      </w:r>
      <w:r>
        <w:rPr>
          <w:rFonts w:hint="eastAsia" w:ascii="宋体" w:hAnsi="宋体" w:cs="宋体"/>
        </w:rPr>
        <w:t>出现以上情形，不影响交易公平、公正性的，代理机构可以待上述情形消除后继续组织电子交易活动，也可以决定某些环节以纸质形式进行；影响或可能影响交易公平、公正性的，应当重新交易。</w:t>
      </w:r>
    </w:p>
    <w:p>
      <w:pPr>
        <w:snapToGrid w:val="0"/>
        <w:spacing w:line="460" w:lineRule="exact"/>
        <w:ind w:left="120" w:leftChars="57" w:firstLine="482" w:firstLineChars="150"/>
        <w:jc w:val="center"/>
        <w:rPr>
          <w:rFonts w:ascii="宋体" w:hAnsi="宋体" w:cs="宋体"/>
          <w:b/>
          <w:sz w:val="32"/>
        </w:rPr>
      </w:pPr>
      <w:r>
        <w:rPr>
          <w:rFonts w:hint="eastAsia" w:ascii="宋体" w:hAnsi="宋体" w:cs="宋体"/>
          <w:b/>
          <w:sz w:val="32"/>
        </w:rPr>
        <w:t>九、验收</w:t>
      </w:r>
    </w:p>
    <w:p>
      <w:pPr>
        <w:pStyle w:val="27"/>
        <w:spacing w:line="460" w:lineRule="exact"/>
        <w:ind w:firstLine="0" w:firstLineChars="0"/>
        <w:rPr>
          <w:rFonts w:cs="宋体"/>
          <w:b/>
        </w:rPr>
      </w:pPr>
      <w:r>
        <w:rPr>
          <w:rFonts w:hint="eastAsia" w:cs="宋体"/>
          <w:b/>
        </w:rPr>
        <w:t>27.验收</w:t>
      </w:r>
    </w:p>
    <w:p>
      <w:pPr>
        <w:tabs>
          <w:tab w:val="left" w:pos="0"/>
        </w:tabs>
        <w:spacing w:line="460" w:lineRule="exact"/>
        <w:ind w:firstLine="480"/>
        <w:jc w:val="left"/>
        <w:rPr>
          <w:rFonts w:ascii="宋体" w:hAnsi="宋体" w:cs="宋体"/>
          <w:kern w:val="0"/>
          <w:sz w:val="24"/>
        </w:rPr>
      </w:pPr>
      <w:r>
        <w:rPr>
          <w:rFonts w:hint="eastAsia" w:ascii="宋体" w:hAnsi="宋体" w:cs="宋体"/>
          <w:kern w:val="0"/>
          <w:sz w:val="24"/>
        </w:rPr>
        <w:t>27.1交易发起人应当组织对响应人履约的验收。</w:t>
      </w:r>
    </w:p>
    <w:bookmarkEnd w:id="12"/>
    <w:bookmarkEnd w:id="13"/>
    <w:bookmarkEnd w:id="14"/>
    <w:p>
      <w:pPr>
        <w:rPr>
          <w:rFonts w:ascii="宋体" w:hAnsi="宋体" w:cs="宋体"/>
          <w:b/>
          <w:sz w:val="36"/>
          <w:szCs w:val="36"/>
        </w:rPr>
      </w:pPr>
      <w:bookmarkStart w:id="15" w:name="第四部分"/>
      <w:r>
        <w:rPr>
          <w:rFonts w:hint="eastAsia" w:ascii="宋体" w:hAnsi="宋体" w:cs="宋体"/>
          <w:b/>
          <w:sz w:val="36"/>
          <w:szCs w:val="36"/>
        </w:rPr>
        <w:br w:type="page"/>
      </w:r>
    </w:p>
    <w:p>
      <w:pPr>
        <w:jc w:val="center"/>
        <w:rPr>
          <w:rFonts w:ascii="宋体" w:hAnsi="宋体" w:cs="宋体"/>
          <w:b/>
          <w:sz w:val="36"/>
          <w:szCs w:val="36"/>
        </w:rPr>
      </w:pPr>
      <w:r>
        <w:rPr>
          <w:rFonts w:hint="eastAsia" w:ascii="宋体" w:hAnsi="宋体" w:cs="宋体"/>
          <w:b/>
          <w:sz w:val="36"/>
          <w:szCs w:val="36"/>
        </w:rPr>
        <w:t>第三部分   交易需求</w:t>
      </w: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属于实质性要求条款的，请用符号“▲”标明，否则属于非实质性要求。</w:t>
      </w:r>
    </w:p>
    <w:p>
      <w:pPr>
        <w:numPr>
          <w:ilvl w:val="0"/>
          <w:numId w:val="2"/>
        </w:numPr>
        <w:spacing w:line="360" w:lineRule="auto"/>
        <w:jc w:val="center"/>
        <w:rPr>
          <w:rFonts w:ascii="宋体" w:hAnsi="宋体" w:cs="宋体"/>
          <w:b/>
          <w:sz w:val="28"/>
          <w:szCs w:val="28"/>
        </w:rPr>
      </w:pPr>
      <w:r>
        <w:rPr>
          <w:rFonts w:hint="eastAsia" w:ascii="宋体" w:hAnsi="宋体" w:cs="宋体"/>
          <w:b/>
          <w:sz w:val="28"/>
          <w:szCs w:val="28"/>
        </w:rPr>
        <w:t>交易一览表</w:t>
      </w:r>
    </w:p>
    <w:p>
      <w:pPr>
        <w:spacing w:after="120"/>
        <w:ind w:firstLine="480" w:firstLineChars="200"/>
        <w:rPr>
          <w:rFonts w:ascii="宋体" w:hAnsi="宋体" w:cs="宋体"/>
        </w:rPr>
      </w:pPr>
      <w:r>
        <w:rPr>
          <w:rFonts w:hint="eastAsia" w:ascii="宋体" w:hAnsi="宋体" w:cs="宋体"/>
          <w:sz w:val="24"/>
        </w:rPr>
        <w:t>标项：1</w:t>
      </w:r>
    </w:p>
    <w:tbl>
      <w:tblPr>
        <w:tblStyle w:val="66"/>
        <w:tblW w:w="9113" w:type="dxa"/>
        <w:jc w:val="center"/>
        <w:tblLayout w:type="fixed"/>
        <w:tblCellMar>
          <w:top w:w="0" w:type="dxa"/>
          <w:left w:w="0" w:type="dxa"/>
          <w:bottom w:w="0" w:type="dxa"/>
          <w:right w:w="0" w:type="dxa"/>
        </w:tblCellMar>
      </w:tblPr>
      <w:tblGrid>
        <w:gridCol w:w="765"/>
        <w:gridCol w:w="3869"/>
        <w:gridCol w:w="1950"/>
        <w:gridCol w:w="825"/>
        <w:gridCol w:w="998"/>
        <w:gridCol w:w="706"/>
      </w:tblGrid>
      <w:tr>
        <w:tblPrEx>
          <w:tblCellMar>
            <w:top w:w="0" w:type="dxa"/>
            <w:left w:w="0" w:type="dxa"/>
            <w:bottom w:w="0" w:type="dxa"/>
            <w:right w:w="0" w:type="dxa"/>
          </w:tblCellMar>
        </w:tblPrEx>
        <w:trPr>
          <w:cantSplit/>
          <w:trHeight w:val="514" w:hRule="atLeast"/>
          <w:jc w:val="center"/>
        </w:trPr>
        <w:tc>
          <w:tcPr>
            <w:tcW w:w="7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标项</w:t>
            </w:r>
          </w:p>
        </w:tc>
        <w:tc>
          <w:tcPr>
            <w:tcW w:w="386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名称</w:t>
            </w:r>
          </w:p>
        </w:tc>
        <w:tc>
          <w:tcPr>
            <w:tcW w:w="19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具体服务要求</w:t>
            </w:r>
          </w:p>
        </w:tc>
        <w:tc>
          <w:tcPr>
            <w:tcW w:w="8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单位</w:t>
            </w:r>
          </w:p>
        </w:tc>
        <w:tc>
          <w:tcPr>
            <w:tcW w:w="99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数量</w:t>
            </w:r>
          </w:p>
        </w:tc>
        <w:tc>
          <w:tcPr>
            <w:tcW w:w="706"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备注</w:t>
            </w:r>
          </w:p>
        </w:tc>
      </w:tr>
      <w:tr>
        <w:tblPrEx>
          <w:tblCellMar>
            <w:top w:w="0" w:type="dxa"/>
            <w:left w:w="0" w:type="dxa"/>
            <w:bottom w:w="0" w:type="dxa"/>
            <w:right w:w="0" w:type="dxa"/>
          </w:tblCellMar>
        </w:tblPrEx>
        <w:trPr>
          <w:cantSplit/>
          <w:trHeight w:val="735" w:hRule="atLeast"/>
          <w:jc w:val="center"/>
        </w:trPr>
        <w:tc>
          <w:tcPr>
            <w:tcW w:w="76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1</w:t>
            </w:r>
          </w:p>
        </w:tc>
        <w:tc>
          <w:tcPr>
            <w:tcW w:w="386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2023年度管线探测与GIS数据更新服务</w:t>
            </w:r>
          </w:p>
        </w:tc>
        <w:tc>
          <w:tcPr>
            <w:tcW w:w="195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详见交易需求</w:t>
            </w:r>
          </w:p>
        </w:tc>
        <w:tc>
          <w:tcPr>
            <w:tcW w:w="8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项</w:t>
            </w:r>
          </w:p>
        </w:tc>
        <w:tc>
          <w:tcPr>
            <w:tcW w:w="99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1</w:t>
            </w:r>
          </w:p>
        </w:tc>
        <w:tc>
          <w:tcPr>
            <w:tcW w:w="706" w:type="dxa"/>
            <w:tcBorders>
              <w:top w:val="single" w:color="auto" w:sz="4" w:space="0"/>
              <w:left w:val="nil"/>
              <w:bottom w:val="single" w:color="auto" w:sz="4" w:space="0"/>
              <w:right w:val="single" w:color="auto" w:sz="4" w:space="0"/>
            </w:tcBorders>
            <w:vAlign w:val="center"/>
          </w:tcPr>
          <w:p>
            <w:pPr>
              <w:rPr>
                <w:rFonts w:ascii="宋体" w:hAnsi="宋体" w:cs="宋体"/>
                <w:sz w:val="24"/>
              </w:rPr>
            </w:pPr>
          </w:p>
        </w:tc>
      </w:tr>
    </w:tbl>
    <w:p>
      <w:pPr>
        <w:spacing w:line="360" w:lineRule="auto"/>
        <w:jc w:val="center"/>
        <w:rPr>
          <w:rFonts w:ascii="宋体" w:hAnsi="宋体" w:cs="宋体"/>
          <w:b/>
          <w:sz w:val="24"/>
        </w:rPr>
      </w:pPr>
    </w:p>
    <w:p>
      <w:pPr>
        <w:numPr>
          <w:ilvl w:val="0"/>
          <w:numId w:val="2"/>
        </w:numPr>
        <w:spacing w:line="360" w:lineRule="auto"/>
        <w:jc w:val="center"/>
        <w:rPr>
          <w:rFonts w:ascii="宋体" w:hAnsi="宋体" w:cs="宋体"/>
          <w:sz w:val="24"/>
        </w:rPr>
      </w:pPr>
      <w:r>
        <w:rPr>
          <w:rFonts w:hint="eastAsia" w:ascii="宋体" w:hAnsi="宋体" w:cs="宋体"/>
          <w:b/>
          <w:sz w:val="24"/>
        </w:rPr>
        <w:t>交易需求</w:t>
      </w:r>
    </w:p>
    <w:p>
      <w:pPr>
        <w:spacing w:line="360" w:lineRule="auto"/>
        <w:rPr>
          <w:rFonts w:ascii="宋体" w:hAnsi="宋体"/>
          <w:b/>
          <w:bCs/>
          <w:sz w:val="24"/>
        </w:rPr>
      </w:pPr>
      <w:bookmarkStart w:id="16" w:name="_Toc70299377"/>
      <w:bookmarkStart w:id="17" w:name="_Toc209423442"/>
      <w:r>
        <w:rPr>
          <w:rFonts w:hint="eastAsia" w:ascii="宋体" w:hAnsi="宋体"/>
          <w:b/>
          <w:bCs/>
          <w:sz w:val="24"/>
        </w:rPr>
        <w:t>1.项目工作内容</w:t>
      </w:r>
      <w:bookmarkEnd w:id="16"/>
      <w:bookmarkEnd w:id="17"/>
    </w:p>
    <w:p>
      <w:pPr>
        <w:spacing w:line="360" w:lineRule="auto"/>
        <w:ind w:firstLine="480" w:firstLineChars="200"/>
        <w:rPr>
          <w:rFonts w:ascii="宋体" w:hAnsi="宋体"/>
          <w:sz w:val="24"/>
        </w:rPr>
      </w:pPr>
      <w:bookmarkStart w:id="18" w:name="_Toc70299378"/>
      <w:bookmarkStart w:id="19" w:name="_Toc209423443"/>
      <w:r>
        <w:rPr>
          <w:rFonts w:hint="eastAsia" w:ascii="宋体" w:hAnsi="宋体"/>
          <w:sz w:val="24"/>
        </w:rPr>
        <w:t>完成萧山供水管线探测，探测范围：杭州萧山供水有限公司所辖范围内的供水管线进行探测,同时对用户水表进行普查。</w:t>
      </w:r>
    </w:p>
    <w:p>
      <w:pPr>
        <w:spacing w:line="360" w:lineRule="auto"/>
        <w:ind w:firstLine="480" w:firstLineChars="200"/>
        <w:rPr>
          <w:rFonts w:ascii="宋体" w:hAnsi="宋体"/>
          <w:sz w:val="24"/>
        </w:rPr>
      </w:pPr>
      <w:r>
        <w:rPr>
          <w:rFonts w:hint="eastAsia" w:ascii="宋体" w:hAnsi="宋体"/>
          <w:sz w:val="24"/>
        </w:rPr>
        <w:t>按杭州萧山供水有限公司管网GIS信息系统数据要求和浙江省水协现代化营业所GIS评价标准建立数据库，以实现管网信息化管理。</w:t>
      </w:r>
    </w:p>
    <w:p>
      <w:pPr>
        <w:spacing w:line="360" w:lineRule="auto"/>
        <w:ind w:firstLine="480" w:firstLineChars="200"/>
        <w:rPr>
          <w:rFonts w:ascii="宋体" w:hAnsi="宋体"/>
          <w:sz w:val="24"/>
        </w:rPr>
      </w:pPr>
      <w:r>
        <w:rPr>
          <w:rFonts w:hint="eastAsia" w:ascii="宋体" w:hAnsi="宋体"/>
          <w:sz w:val="24"/>
        </w:rPr>
        <w:t>软件年度维护服务：需要维护的软件系统包括供水管网GIS信息系统（桌面版、网页版、移动版）、供水管网巡检系统、巡检事件工单管理系统、分区计量系统。年度维护服务内容包括功能优化、接口维护、故障修复、使用培训等。</w:t>
      </w:r>
    </w:p>
    <w:p>
      <w:pPr>
        <w:spacing w:line="360" w:lineRule="auto"/>
        <w:rPr>
          <w:rFonts w:ascii="宋体" w:hAnsi="宋体"/>
          <w:b/>
          <w:bCs/>
          <w:sz w:val="24"/>
        </w:rPr>
      </w:pPr>
      <w:r>
        <w:rPr>
          <w:rFonts w:hint="eastAsia" w:ascii="宋体" w:hAnsi="宋体"/>
          <w:b/>
          <w:bCs/>
          <w:sz w:val="24"/>
        </w:rPr>
        <w:t>2.技术依据</w:t>
      </w:r>
      <w:bookmarkEnd w:id="18"/>
      <w:bookmarkEnd w:id="19"/>
    </w:p>
    <w:p>
      <w:pPr>
        <w:spacing w:line="360" w:lineRule="auto"/>
        <w:ind w:firstLine="480" w:firstLineChars="200"/>
        <w:rPr>
          <w:rFonts w:ascii="宋体" w:hAnsi="宋体"/>
          <w:sz w:val="24"/>
        </w:rPr>
      </w:pPr>
      <w:bookmarkStart w:id="20" w:name="_Toc209423444"/>
      <w:bookmarkStart w:id="21" w:name="_Toc70299379"/>
      <w:r>
        <w:rPr>
          <w:rFonts w:hint="eastAsia" w:ascii="宋体" w:hAnsi="宋体"/>
          <w:sz w:val="24"/>
        </w:rPr>
        <w:t>2.1中华人民共和国行业标准《城市地下管线探测技术规程》CJJ61－20</w:t>
      </w:r>
      <w:r>
        <w:rPr>
          <w:rFonts w:ascii="宋体" w:hAnsi="宋体"/>
          <w:sz w:val="24"/>
        </w:rPr>
        <w:t>17</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2.2中华人民共和国行业标准《城市测量规范》CJJ/T8－2011；</w:t>
      </w:r>
    </w:p>
    <w:p>
      <w:pPr>
        <w:spacing w:line="360" w:lineRule="auto"/>
        <w:ind w:firstLine="480" w:firstLineChars="200"/>
        <w:rPr>
          <w:rFonts w:ascii="宋体" w:hAnsi="宋体"/>
          <w:sz w:val="24"/>
        </w:rPr>
      </w:pPr>
      <w:r>
        <w:rPr>
          <w:rFonts w:hint="eastAsia" w:ascii="宋体" w:hAnsi="宋体"/>
          <w:sz w:val="24"/>
        </w:rPr>
        <w:t>2.3中华人民共和国行业标准《全球定位系统城市测量技术规程》CJJ73；</w:t>
      </w:r>
    </w:p>
    <w:p>
      <w:pPr>
        <w:spacing w:line="360" w:lineRule="auto"/>
        <w:ind w:firstLine="480" w:firstLineChars="200"/>
        <w:rPr>
          <w:rFonts w:ascii="宋体" w:hAnsi="宋体"/>
          <w:sz w:val="24"/>
        </w:rPr>
      </w:pPr>
      <w:r>
        <w:rPr>
          <w:rFonts w:hint="eastAsia" w:ascii="宋体" w:hAnsi="宋体"/>
          <w:sz w:val="24"/>
        </w:rPr>
        <w:t>2.4中华人民共和国国家标准《</w:t>
      </w:r>
      <w:r>
        <w:rPr>
          <w:rFonts w:hint="eastAsia" w:ascii="宋体" w:hAnsi="宋体"/>
          <w:spacing w:val="-20"/>
          <w:sz w:val="24"/>
        </w:rPr>
        <w:t>1：500  1：1000  1：2000地形图图式</w:t>
      </w:r>
      <w:r>
        <w:rPr>
          <w:rFonts w:hint="eastAsia" w:ascii="宋体" w:hAnsi="宋体"/>
          <w:sz w:val="24"/>
        </w:rPr>
        <w:t>》GB/T20257.1-2007；</w:t>
      </w:r>
    </w:p>
    <w:p>
      <w:pPr>
        <w:spacing w:line="360" w:lineRule="auto"/>
        <w:ind w:firstLine="480" w:firstLineChars="200"/>
        <w:rPr>
          <w:rFonts w:ascii="宋体" w:hAnsi="宋体"/>
          <w:sz w:val="24"/>
        </w:rPr>
      </w:pPr>
      <w:r>
        <w:rPr>
          <w:rFonts w:hint="eastAsia" w:ascii="宋体" w:hAnsi="宋体"/>
          <w:sz w:val="24"/>
        </w:rPr>
        <w:t>2.5中华人民共和国国家标准《</w:t>
      </w:r>
      <w:r>
        <w:rPr>
          <w:rFonts w:hint="eastAsia" w:ascii="宋体" w:hAnsi="宋体"/>
          <w:spacing w:val="-20"/>
          <w:sz w:val="24"/>
        </w:rPr>
        <w:t>1：500  1：1000  1：2000地形图数字化规范</w:t>
      </w:r>
      <w:r>
        <w:rPr>
          <w:rFonts w:hint="eastAsia" w:ascii="宋体" w:hAnsi="宋体"/>
          <w:sz w:val="24"/>
        </w:rPr>
        <w:t>》</w:t>
      </w:r>
      <w:r>
        <w:rPr>
          <w:rFonts w:hint="eastAsia" w:ascii="宋体" w:hAnsi="宋体"/>
          <w:spacing w:val="-20"/>
          <w:sz w:val="24"/>
        </w:rPr>
        <w:t>GB/T17160－2008；</w:t>
      </w:r>
    </w:p>
    <w:p>
      <w:pPr>
        <w:spacing w:line="360" w:lineRule="auto"/>
        <w:ind w:firstLine="480" w:firstLineChars="200"/>
        <w:rPr>
          <w:rFonts w:ascii="宋体" w:hAnsi="宋体"/>
          <w:sz w:val="24"/>
        </w:rPr>
      </w:pPr>
      <w:r>
        <w:rPr>
          <w:rFonts w:hint="eastAsia" w:ascii="宋体" w:hAnsi="宋体"/>
          <w:sz w:val="24"/>
        </w:rPr>
        <w:t>2.6杭州萧山供水有限公司批准的技术设计书</w:t>
      </w:r>
    </w:p>
    <w:p>
      <w:pPr>
        <w:spacing w:line="360" w:lineRule="auto"/>
        <w:rPr>
          <w:rFonts w:ascii="宋体" w:hAnsi="宋体"/>
          <w:b/>
          <w:bCs/>
          <w:sz w:val="24"/>
        </w:rPr>
      </w:pPr>
      <w:r>
        <w:rPr>
          <w:rFonts w:hint="eastAsia" w:ascii="宋体" w:hAnsi="宋体"/>
          <w:b/>
          <w:bCs/>
          <w:sz w:val="24"/>
        </w:rPr>
        <w:t>3.质量标准</w:t>
      </w:r>
      <w:bookmarkEnd w:id="20"/>
      <w:bookmarkEnd w:id="21"/>
    </w:p>
    <w:p>
      <w:pPr>
        <w:spacing w:line="360" w:lineRule="auto"/>
        <w:ind w:firstLine="480" w:firstLineChars="200"/>
        <w:rPr>
          <w:rFonts w:ascii="宋体" w:hAnsi="宋体"/>
          <w:sz w:val="24"/>
        </w:rPr>
      </w:pPr>
      <w:r>
        <w:rPr>
          <w:rFonts w:hint="eastAsia" w:ascii="宋体" w:hAnsi="宋体"/>
          <w:sz w:val="24"/>
        </w:rPr>
        <w:t>3.1供水管线探测内容：</w:t>
      </w:r>
    </w:p>
    <w:p>
      <w:pPr>
        <w:spacing w:line="360" w:lineRule="auto"/>
        <w:ind w:firstLine="480" w:firstLineChars="200"/>
        <w:rPr>
          <w:rFonts w:ascii="宋体" w:hAnsi="宋体"/>
          <w:sz w:val="24"/>
        </w:rPr>
      </w:pPr>
      <w:r>
        <w:rPr>
          <w:rFonts w:hint="eastAsia" w:ascii="宋体" w:hAnsi="宋体"/>
          <w:sz w:val="24"/>
        </w:rPr>
        <w:t>供水管网探测是在调查的基础上进行的，任务是把要求探测的供水管线内容全面的从地下反映到地面上，然后按要求进行测绘。供水管线点分明显点和隐蔽点，明显点主要采用调查的方法定位和量深，隐蔽点则需要采用仪器探测定位和测深。要查清被调查的供水管线的走向、埋深、管径、高程、坐标、附属物属性、材质、用途等等，并对管线及管配件和附属设施等关键点以绝对坐标定位。</w:t>
      </w:r>
    </w:p>
    <w:p>
      <w:pPr>
        <w:spacing w:line="360" w:lineRule="auto"/>
        <w:ind w:firstLine="480" w:firstLineChars="200"/>
        <w:rPr>
          <w:rFonts w:ascii="宋体" w:hAnsi="宋体"/>
          <w:sz w:val="24"/>
        </w:rPr>
      </w:pPr>
      <w:r>
        <w:rPr>
          <w:rFonts w:hint="eastAsia" w:ascii="宋体" w:hAnsi="宋体"/>
          <w:sz w:val="24"/>
        </w:rPr>
        <w:t>3.2管线探测要素包括：</w:t>
      </w:r>
    </w:p>
    <w:p>
      <w:pPr>
        <w:spacing w:line="360" w:lineRule="auto"/>
        <w:ind w:firstLine="480" w:firstLineChars="200"/>
        <w:rPr>
          <w:rFonts w:ascii="宋体" w:hAnsi="宋体"/>
          <w:sz w:val="24"/>
        </w:rPr>
      </w:pPr>
      <w:r>
        <w:rPr>
          <w:rFonts w:hint="eastAsia" w:ascii="宋体" w:hAnsi="宋体"/>
          <w:sz w:val="24"/>
        </w:rPr>
        <w:t>供水管线探测必须查明与测注的项目：①弯头、三通、变径点、变材点、阀门、预留口、排放口、在线监测点、消防栓、水表等；②</w:t>
      </w:r>
      <w:r>
        <w:rPr>
          <w:rFonts w:ascii="宋体" w:hAnsi="宋体"/>
          <w:sz w:val="24"/>
        </w:rPr>
        <w:t>查明地下</w:t>
      </w:r>
      <w:r>
        <w:rPr>
          <w:rFonts w:hint="eastAsia" w:ascii="宋体" w:hAnsi="宋体"/>
          <w:sz w:val="24"/>
        </w:rPr>
        <w:t>供水</w:t>
      </w:r>
      <w:r>
        <w:rPr>
          <w:rFonts w:ascii="宋体" w:hAnsi="宋体"/>
          <w:sz w:val="24"/>
        </w:rPr>
        <w:t>管线的平面位置、走向、埋深</w:t>
      </w:r>
      <w:r>
        <w:rPr>
          <w:rFonts w:hint="eastAsia" w:ascii="宋体" w:hAnsi="宋体"/>
          <w:sz w:val="24"/>
        </w:rPr>
        <w:t>、地面标高</w:t>
      </w:r>
      <w:r>
        <w:rPr>
          <w:rFonts w:ascii="宋体" w:hAnsi="宋体"/>
          <w:sz w:val="24"/>
        </w:rPr>
        <w:t>、</w:t>
      </w:r>
      <w:r>
        <w:rPr>
          <w:rFonts w:hint="eastAsia" w:ascii="宋体" w:hAnsi="宋体"/>
          <w:sz w:val="24"/>
        </w:rPr>
        <w:t>管径</w:t>
      </w:r>
      <w:r>
        <w:rPr>
          <w:rFonts w:ascii="宋体" w:hAnsi="宋体"/>
          <w:sz w:val="24"/>
        </w:rPr>
        <w:t>、性质、材质</w:t>
      </w:r>
      <w:r>
        <w:rPr>
          <w:rFonts w:hint="eastAsia" w:ascii="宋体" w:hAnsi="宋体"/>
          <w:sz w:val="24"/>
        </w:rPr>
        <w:t>、用途、所在道路、埋设时间、生产厂家</w:t>
      </w:r>
      <w:r>
        <w:rPr>
          <w:rFonts w:ascii="宋体" w:hAnsi="宋体"/>
          <w:sz w:val="24"/>
        </w:rPr>
        <w:t>等</w:t>
      </w:r>
      <w:r>
        <w:rPr>
          <w:rFonts w:hint="eastAsia" w:ascii="宋体" w:hAnsi="宋体"/>
          <w:sz w:val="24"/>
        </w:rPr>
        <w:t>属性，</w:t>
      </w:r>
      <w:r>
        <w:rPr>
          <w:rFonts w:ascii="宋体" w:hAnsi="宋体"/>
          <w:sz w:val="24"/>
        </w:rPr>
        <w:t>要求对阀门位置有详细注</w:t>
      </w:r>
      <w:r>
        <w:rPr>
          <w:rFonts w:hint="eastAsia" w:ascii="宋体" w:hAnsi="宋体"/>
          <w:sz w:val="24"/>
        </w:rPr>
        <w:t>明。</w:t>
      </w:r>
    </w:p>
    <w:p>
      <w:pPr>
        <w:spacing w:line="360" w:lineRule="auto"/>
        <w:ind w:firstLine="480" w:firstLineChars="200"/>
        <w:rPr>
          <w:rFonts w:ascii="宋体" w:hAnsi="宋体"/>
          <w:sz w:val="24"/>
        </w:rPr>
      </w:pPr>
      <w:r>
        <w:rPr>
          <w:rFonts w:hint="eastAsia" w:ascii="宋体" w:hAnsi="宋体"/>
          <w:sz w:val="24"/>
        </w:rPr>
        <w:t>3.3水表普查：</w:t>
      </w:r>
    </w:p>
    <w:p>
      <w:pPr>
        <w:spacing w:line="360" w:lineRule="auto"/>
        <w:ind w:firstLine="480" w:firstLineChars="200"/>
        <w:rPr>
          <w:rFonts w:ascii="宋体" w:hAnsi="宋体"/>
          <w:sz w:val="24"/>
        </w:rPr>
      </w:pPr>
      <w:r>
        <w:rPr>
          <w:rFonts w:hint="eastAsia" w:ascii="宋体" w:hAnsi="宋体"/>
          <w:sz w:val="24"/>
        </w:rPr>
        <w:t>由甲方预先对测区内所有用户水表进行标签挂牌，并提供营业收费系统内的用户编号和对应的挂牌标签识别号清单，再由乙方进行现场普查。要求核对水表用户编号、标签识别号、用户名称、装表位置，并在GIS系统内标注水表空间位置。但对甲方未进行标签挂牌，现场又无表身号或通过表身号无法对应的水表，由乙方提交清单给甲方，并与甲方核对清楚后，由乙方录入GIS系统。</w:t>
      </w:r>
    </w:p>
    <w:p>
      <w:pPr>
        <w:spacing w:line="360" w:lineRule="auto"/>
        <w:ind w:firstLine="480" w:firstLineChars="200"/>
        <w:rPr>
          <w:rFonts w:ascii="宋体" w:hAnsi="宋体"/>
          <w:sz w:val="24"/>
        </w:rPr>
      </w:pPr>
      <w:r>
        <w:rPr>
          <w:rFonts w:hint="eastAsia" w:ascii="宋体" w:hAnsi="宋体"/>
          <w:sz w:val="24"/>
        </w:rPr>
        <w:t>各类管线的管径或断面均以毫米为单位，标高(或埋深 )以米为单位量至厘米。</w:t>
      </w:r>
    </w:p>
    <w:p>
      <w:pPr>
        <w:spacing w:line="360" w:lineRule="auto"/>
        <w:rPr>
          <w:rFonts w:ascii="宋体" w:hAnsi="宋体"/>
          <w:b/>
          <w:bCs/>
          <w:sz w:val="24"/>
        </w:rPr>
      </w:pPr>
      <w:r>
        <w:rPr>
          <w:rFonts w:hint="eastAsia" w:ascii="宋体" w:hAnsi="宋体"/>
          <w:b/>
          <w:bCs/>
          <w:sz w:val="24"/>
        </w:rPr>
        <w:t>4.地下管线探测的主要精度指标</w:t>
      </w:r>
    </w:p>
    <w:p>
      <w:pPr>
        <w:spacing w:line="360" w:lineRule="auto"/>
        <w:ind w:firstLine="480" w:firstLineChars="200"/>
        <w:rPr>
          <w:rFonts w:ascii="宋体" w:hAnsi="宋体"/>
          <w:sz w:val="24"/>
        </w:rPr>
      </w:pPr>
      <w:r>
        <w:rPr>
          <w:rFonts w:hint="eastAsia" w:ascii="宋体" w:hAnsi="宋体"/>
          <w:sz w:val="24"/>
        </w:rPr>
        <w:t>4.1.地下管线隐蔽点的探查定位精度: 参照《城市地下管线探测技术规程》和</w:t>
      </w:r>
      <w:r>
        <w:rPr>
          <w:rFonts w:ascii="宋体" w:hAnsi="宋体"/>
          <w:sz w:val="24"/>
        </w:rPr>
        <w:t>《浙江省城市供水现代化营业所(分公司)评价标准实施细则》</w:t>
      </w:r>
      <w:r>
        <w:rPr>
          <w:rFonts w:hint="eastAsia" w:ascii="宋体" w:hAnsi="宋体"/>
          <w:sz w:val="24"/>
        </w:rPr>
        <w:t>执行。</w:t>
      </w:r>
    </w:p>
    <w:p>
      <w:pPr>
        <w:spacing w:line="360" w:lineRule="auto"/>
        <w:ind w:firstLine="480" w:firstLineChars="200"/>
        <w:rPr>
          <w:rFonts w:ascii="宋体" w:hAnsi="宋体"/>
          <w:sz w:val="24"/>
        </w:rPr>
      </w:pPr>
      <w:r>
        <w:rPr>
          <w:rFonts w:hint="eastAsia" w:ascii="宋体" w:hAnsi="宋体"/>
          <w:sz w:val="24"/>
        </w:rPr>
        <w:t>4.2.地下管线测绘基准：与发包人</w:t>
      </w:r>
      <w:r>
        <w:rPr>
          <w:rFonts w:ascii="宋体" w:hAnsi="宋体"/>
          <w:sz w:val="24"/>
        </w:rPr>
        <w:t>现有供水管网GIS系统</w:t>
      </w:r>
      <w:r>
        <w:rPr>
          <w:rFonts w:hint="eastAsia" w:ascii="宋体" w:hAnsi="宋体"/>
          <w:sz w:val="24"/>
        </w:rPr>
        <w:t>坐标系</w:t>
      </w:r>
      <w:r>
        <w:rPr>
          <w:rFonts w:ascii="宋体" w:hAnsi="宋体"/>
          <w:sz w:val="24"/>
        </w:rPr>
        <w:t>一致</w:t>
      </w:r>
      <w:r>
        <w:rPr>
          <w:rFonts w:hint="eastAsia" w:ascii="宋体" w:hAnsi="宋体"/>
          <w:sz w:val="24"/>
        </w:rPr>
        <w:t>。</w:t>
      </w:r>
    </w:p>
    <w:p>
      <w:pPr>
        <w:spacing w:line="360" w:lineRule="auto"/>
        <w:rPr>
          <w:rFonts w:ascii="宋体" w:hAnsi="宋体"/>
          <w:b/>
          <w:bCs/>
          <w:sz w:val="24"/>
        </w:rPr>
      </w:pPr>
      <w:bookmarkStart w:id="22" w:name="_Toc70299380"/>
      <w:bookmarkStart w:id="23" w:name="_Toc209423445"/>
      <w:r>
        <w:rPr>
          <w:rFonts w:hint="eastAsia" w:ascii="宋体" w:hAnsi="宋体"/>
          <w:b/>
          <w:bCs/>
          <w:sz w:val="24"/>
        </w:rPr>
        <w:t>5.提交的成果</w:t>
      </w:r>
      <w:bookmarkEnd w:id="22"/>
      <w:bookmarkEnd w:id="23"/>
    </w:p>
    <w:p>
      <w:pPr>
        <w:spacing w:line="360" w:lineRule="auto"/>
        <w:ind w:left="480"/>
        <w:rPr>
          <w:rFonts w:ascii="宋体" w:hAnsi="宋体"/>
          <w:sz w:val="24"/>
        </w:rPr>
      </w:pPr>
      <w:r>
        <w:rPr>
          <w:rFonts w:hint="eastAsia" w:ascii="宋体" w:hAnsi="宋体"/>
          <w:sz w:val="24"/>
        </w:rPr>
        <w:t>5.1测区技术设计书；</w:t>
      </w:r>
    </w:p>
    <w:p>
      <w:pPr>
        <w:spacing w:line="360" w:lineRule="auto"/>
        <w:ind w:left="480"/>
        <w:rPr>
          <w:rFonts w:ascii="宋体" w:hAnsi="宋体"/>
          <w:sz w:val="24"/>
        </w:rPr>
      </w:pPr>
      <w:r>
        <w:rPr>
          <w:rFonts w:hint="eastAsia" w:ascii="宋体" w:hAnsi="宋体"/>
          <w:sz w:val="24"/>
        </w:rPr>
        <w:t>5.2地下供水管线探测工作总结报告；</w:t>
      </w:r>
    </w:p>
    <w:p>
      <w:pPr>
        <w:spacing w:line="360" w:lineRule="auto"/>
        <w:ind w:left="480"/>
        <w:rPr>
          <w:rFonts w:ascii="宋体" w:hAnsi="宋体"/>
          <w:sz w:val="24"/>
        </w:rPr>
      </w:pPr>
      <w:r>
        <w:rPr>
          <w:rFonts w:hint="eastAsia" w:ascii="宋体" w:hAnsi="宋体"/>
          <w:sz w:val="24"/>
        </w:rPr>
        <w:t>5.3控制点成果一套（如有）；</w:t>
      </w:r>
    </w:p>
    <w:p>
      <w:pPr>
        <w:spacing w:line="360" w:lineRule="auto"/>
        <w:ind w:left="480"/>
        <w:rPr>
          <w:rFonts w:ascii="宋体" w:hAnsi="宋体"/>
          <w:sz w:val="24"/>
        </w:rPr>
      </w:pPr>
      <w:r>
        <w:rPr>
          <w:rFonts w:hint="eastAsia" w:ascii="宋体" w:hAnsi="宋体"/>
          <w:sz w:val="24"/>
        </w:rPr>
        <w:t>5.4供水管线探测成果点线表一套（符合管网GIS信息系统入库规则）；</w:t>
      </w:r>
    </w:p>
    <w:p>
      <w:pPr>
        <w:spacing w:line="360" w:lineRule="auto"/>
        <w:ind w:left="480"/>
        <w:rPr>
          <w:rFonts w:ascii="宋体" w:hAnsi="宋体"/>
          <w:sz w:val="24"/>
        </w:rPr>
      </w:pPr>
      <w:r>
        <w:rPr>
          <w:rFonts w:hint="eastAsia" w:ascii="宋体" w:hAnsi="宋体"/>
          <w:sz w:val="24"/>
        </w:rPr>
        <w:t>5.5供水管线总图两套；</w:t>
      </w:r>
    </w:p>
    <w:p>
      <w:pPr>
        <w:spacing w:line="360" w:lineRule="auto"/>
        <w:ind w:left="480"/>
        <w:rPr>
          <w:rFonts w:ascii="宋体" w:hAnsi="宋体"/>
          <w:sz w:val="24"/>
        </w:rPr>
      </w:pPr>
      <w:r>
        <w:rPr>
          <w:rFonts w:hint="eastAsia" w:ascii="宋体" w:hAnsi="宋体"/>
          <w:sz w:val="24"/>
        </w:rPr>
        <w:t>5.6供水管网GIS信息系统数据库文件一套；</w:t>
      </w:r>
    </w:p>
    <w:p>
      <w:pPr>
        <w:spacing w:line="360" w:lineRule="auto"/>
        <w:rPr>
          <w:rFonts w:ascii="宋体" w:hAnsi="宋体"/>
          <w:b/>
          <w:bCs/>
          <w:sz w:val="24"/>
        </w:rPr>
      </w:pPr>
      <w:r>
        <w:rPr>
          <w:rFonts w:hint="eastAsia" w:ascii="宋体" w:hAnsi="宋体"/>
          <w:b/>
          <w:bCs/>
          <w:sz w:val="24"/>
        </w:rPr>
        <w:t>6.质保期：一年。</w:t>
      </w:r>
    </w:p>
    <w:p>
      <w:pPr>
        <w:spacing w:line="360" w:lineRule="auto"/>
        <w:rPr>
          <w:rFonts w:ascii="宋体" w:hAnsi="宋体"/>
          <w:b/>
          <w:bCs/>
          <w:sz w:val="24"/>
        </w:rPr>
      </w:pPr>
      <w:r>
        <w:rPr>
          <w:rFonts w:hint="eastAsia" w:ascii="宋体" w:hAnsi="宋体"/>
          <w:b/>
          <w:bCs/>
          <w:sz w:val="24"/>
        </w:rPr>
        <w:t>7.软件年度维护服务内容</w:t>
      </w:r>
    </w:p>
    <w:p>
      <w:pPr>
        <w:widowControl/>
        <w:wordWrap w:val="0"/>
        <w:spacing w:line="360" w:lineRule="auto"/>
        <w:ind w:firstLine="480" w:firstLineChars="200"/>
        <w:jc w:val="left"/>
        <w:rPr>
          <w:rFonts w:ascii="宋体" w:hAnsi="宋体"/>
          <w:kern w:val="0"/>
          <w:sz w:val="24"/>
        </w:rPr>
      </w:pPr>
      <w:r>
        <w:rPr>
          <w:rFonts w:hint="eastAsia" w:ascii="宋体" w:hAnsi="宋体"/>
          <w:kern w:val="0"/>
          <w:sz w:val="24"/>
        </w:rPr>
        <w:t>7.1解决影响系统正常运行的系统性问题；</w:t>
      </w:r>
    </w:p>
    <w:p>
      <w:pPr>
        <w:widowControl/>
        <w:wordWrap w:val="0"/>
        <w:spacing w:line="360" w:lineRule="auto"/>
        <w:ind w:firstLine="480" w:firstLineChars="200"/>
        <w:jc w:val="left"/>
        <w:rPr>
          <w:rFonts w:ascii="宋体" w:hAnsi="宋体"/>
          <w:kern w:val="0"/>
          <w:sz w:val="24"/>
        </w:rPr>
      </w:pPr>
      <w:r>
        <w:rPr>
          <w:rFonts w:hint="eastAsia" w:ascii="宋体" w:hAnsi="宋体"/>
          <w:kern w:val="0"/>
          <w:sz w:val="24"/>
        </w:rPr>
        <w:t>7.2当系统出现问题时，对问题进行分析、测试、诊断、排查影响系统正常使用的原因、制定故障解决技术方案，并给予解决；</w:t>
      </w:r>
    </w:p>
    <w:p>
      <w:pPr>
        <w:widowControl/>
        <w:wordWrap w:val="0"/>
        <w:spacing w:line="360" w:lineRule="auto"/>
        <w:ind w:firstLine="480" w:firstLineChars="200"/>
        <w:jc w:val="left"/>
        <w:rPr>
          <w:rFonts w:ascii="宋体" w:hAnsi="宋体"/>
          <w:kern w:val="0"/>
          <w:sz w:val="24"/>
        </w:rPr>
      </w:pPr>
      <w:r>
        <w:rPr>
          <w:rFonts w:hint="eastAsia" w:ascii="宋体" w:hAnsi="宋体"/>
          <w:kern w:val="0"/>
          <w:sz w:val="24"/>
        </w:rPr>
        <w:t>7.3根据客户需要向客户提供系统日常维护预防措施，及常见问题解决方法；</w:t>
      </w:r>
    </w:p>
    <w:p>
      <w:pPr>
        <w:widowControl/>
        <w:wordWrap w:val="0"/>
        <w:spacing w:line="360" w:lineRule="auto"/>
        <w:ind w:firstLine="480" w:firstLineChars="200"/>
        <w:jc w:val="left"/>
        <w:rPr>
          <w:rFonts w:ascii="宋体" w:hAnsi="宋体"/>
          <w:kern w:val="0"/>
          <w:sz w:val="24"/>
        </w:rPr>
      </w:pPr>
      <w:r>
        <w:rPr>
          <w:rFonts w:hint="eastAsia" w:ascii="宋体" w:hAnsi="宋体"/>
          <w:kern w:val="0"/>
          <w:sz w:val="24"/>
        </w:rPr>
        <w:t>7.4提供多渠道（电话、微信、远程）技术支持服务，为使用者解决系统相关问题，如非网络原因导致的系统问题，且远程无法解决时，可根据具体情况进行现场服务；</w:t>
      </w:r>
    </w:p>
    <w:p>
      <w:pPr>
        <w:widowControl/>
        <w:wordWrap w:val="0"/>
        <w:spacing w:line="360" w:lineRule="auto"/>
        <w:ind w:firstLine="480" w:firstLineChars="200"/>
        <w:jc w:val="left"/>
        <w:rPr>
          <w:rFonts w:ascii="宋体" w:hAnsi="宋体"/>
          <w:kern w:val="0"/>
          <w:sz w:val="24"/>
        </w:rPr>
      </w:pPr>
      <w:r>
        <w:rPr>
          <w:rFonts w:hint="eastAsia" w:ascii="宋体" w:hAnsi="宋体"/>
          <w:kern w:val="0"/>
          <w:sz w:val="24"/>
        </w:rPr>
        <w:t>7.5根据客户实际情况向客户提供软件更新、维护服务；</w:t>
      </w:r>
    </w:p>
    <w:p>
      <w:pPr>
        <w:widowControl/>
        <w:wordWrap w:val="0"/>
        <w:spacing w:line="360" w:lineRule="auto"/>
        <w:ind w:firstLine="480" w:firstLineChars="200"/>
        <w:jc w:val="left"/>
        <w:rPr>
          <w:rFonts w:ascii="宋体" w:hAnsi="宋体"/>
          <w:kern w:val="0"/>
          <w:sz w:val="24"/>
        </w:rPr>
      </w:pPr>
      <w:r>
        <w:rPr>
          <w:rFonts w:hint="eastAsia" w:ascii="宋体" w:hAnsi="宋体"/>
          <w:kern w:val="0"/>
          <w:sz w:val="24"/>
        </w:rPr>
        <w:t>7.6提供管网基础数据平台客户端软件的安装、调试服务；</w:t>
      </w:r>
    </w:p>
    <w:p>
      <w:pPr>
        <w:widowControl/>
        <w:wordWrap w:val="0"/>
        <w:spacing w:line="360" w:lineRule="auto"/>
        <w:ind w:firstLine="480" w:firstLineChars="200"/>
        <w:jc w:val="left"/>
        <w:rPr>
          <w:rFonts w:ascii="宋体" w:hAnsi="宋体"/>
          <w:kern w:val="0"/>
          <w:sz w:val="24"/>
        </w:rPr>
      </w:pPr>
      <w:r>
        <w:rPr>
          <w:rFonts w:hint="eastAsia" w:ascii="宋体" w:hAnsi="宋体"/>
          <w:kern w:val="0"/>
          <w:sz w:val="24"/>
        </w:rPr>
        <w:t>7.7协助客户进行S</w:t>
      </w:r>
      <w:r>
        <w:rPr>
          <w:rFonts w:ascii="宋体" w:hAnsi="宋体"/>
          <w:kern w:val="0"/>
          <w:sz w:val="24"/>
        </w:rPr>
        <w:t>HP</w:t>
      </w:r>
      <w:r>
        <w:rPr>
          <w:rFonts w:hint="eastAsia" w:ascii="宋体" w:hAnsi="宋体"/>
          <w:kern w:val="0"/>
          <w:sz w:val="24"/>
        </w:rPr>
        <w:t>、D</w:t>
      </w:r>
      <w:r>
        <w:rPr>
          <w:rFonts w:ascii="宋体" w:hAnsi="宋体"/>
          <w:kern w:val="0"/>
          <w:sz w:val="24"/>
        </w:rPr>
        <w:t>WG</w:t>
      </w:r>
      <w:r>
        <w:rPr>
          <w:rFonts w:hint="eastAsia" w:ascii="宋体" w:hAnsi="宋体"/>
          <w:kern w:val="0"/>
          <w:sz w:val="24"/>
        </w:rPr>
        <w:t>、</w:t>
      </w:r>
      <w:r>
        <w:rPr>
          <w:rFonts w:ascii="宋体" w:hAnsi="宋体"/>
          <w:kern w:val="0"/>
          <w:sz w:val="24"/>
        </w:rPr>
        <w:t>GDB</w:t>
      </w:r>
      <w:r>
        <w:rPr>
          <w:rFonts w:hint="eastAsia" w:ascii="宋体" w:hAnsi="宋体"/>
          <w:kern w:val="0"/>
          <w:sz w:val="24"/>
        </w:rPr>
        <w:t>格式数据导出；</w:t>
      </w:r>
    </w:p>
    <w:p>
      <w:pPr>
        <w:widowControl/>
        <w:wordWrap w:val="0"/>
        <w:spacing w:line="360" w:lineRule="auto"/>
        <w:ind w:firstLine="480" w:firstLineChars="200"/>
        <w:jc w:val="left"/>
        <w:rPr>
          <w:rFonts w:ascii="宋体" w:hAnsi="宋体"/>
          <w:kern w:val="0"/>
          <w:sz w:val="24"/>
        </w:rPr>
      </w:pPr>
      <w:r>
        <w:rPr>
          <w:rFonts w:hint="eastAsia" w:ascii="宋体" w:hAnsi="宋体"/>
          <w:kern w:val="0"/>
          <w:sz w:val="24"/>
        </w:rPr>
        <w:t>7.8提供每年一次数据库备份服务；</w:t>
      </w:r>
    </w:p>
    <w:p>
      <w:pPr>
        <w:widowControl/>
        <w:wordWrap w:val="0"/>
        <w:spacing w:line="360" w:lineRule="auto"/>
        <w:ind w:firstLine="480" w:firstLineChars="200"/>
        <w:jc w:val="left"/>
        <w:rPr>
          <w:rFonts w:ascii="宋体" w:hAnsi="宋体"/>
          <w:kern w:val="0"/>
          <w:sz w:val="24"/>
        </w:rPr>
      </w:pPr>
      <w:r>
        <w:rPr>
          <w:rFonts w:hint="eastAsia" w:ascii="宋体" w:hAnsi="宋体"/>
          <w:kern w:val="0"/>
          <w:sz w:val="24"/>
        </w:rPr>
        <w:t>7.9不定期发布产品补丁；</w:t>
      </w:r>
    </w:p>
    <w:p>
      <w:pPr>
        <w:widowControl/>
        <w:wordWrap w:val="0"/>
        <w:spacing w:line="360" w:lineRule="auto"/>
        <w:ind w:firstLine="480" w:firstLineChars="200"/>
        <w:jc w:val="left"/>
        <w:rPr>
          <w:rFonts w:ascii="宋体" w:hAnsi="宋体"/>
          <w:kern w:val="0"/>
          <w:sz w:val="24"/>
        </w:rPr>
      </w:pPr>
      <w:r>
        <w:rPr>
          <w:rFonts w:hint="eastAsia" w:ascii="宋体" w:hAnsi="宋体"/>
          <w:kern w:val="0"/>
          <w:sz w:val="24"/>
        </w:rPr>
        <w:t>7.10根据每次维护内容，建立相应的系统维护档案，记录每次维护的详细信息，维护期结束后提供年度维护报告，为客户提供系统运营决策的数据依据。</w:t>
      </w:r>
    </w:p>
    <w:p>
      <w:pPr>
        <w:widowControl/>
        <w:wordWrap w:val="0"/>
        <w:spacing w:line="360" w:lineRule="auto"/>
        <w:ind w:firstLine="480" w:firstLineChars="200"/>
        <w:jc w:val="left"/>
        <w:rPr>
          <w:rFonts w:ascii="宋体" w:hAnsi="宋体"/>
          <w:kern w:val="0"/>
          <w:sz w:val="24"/>
        </w:rPr>
      </w:pPr>
      <w:r>
        <w:rPr>
          <w:rFonts w:hint="eastAsia" w:ascii="宋体" w:hAnsi="宋体"/>
          <w:kern w:val="0"/>
          <w:sz w:val="24"/>
        </w:rPr>
        <w:t>7.11根据客户实际需要对客户的员工提供相关的培训。</w:t>
      </w:r>
    </w:p>
    <w:p>
      <w:pPr>
        <w:numPr>
          <w:ilvl w:val="0"/>
          <w:numId w:val="3"/>
        </w:numPr>
        <w:snapToGrid w:val="0"/>
        <w:spacing w:line="360" w:lineRule="auto"/>
        <w:rPr>
          <w:rFonts w:ascii="宋体" w:hAnsi="宋体"/>
          <w:b/>
          <w:bCs/>
          <w:kern w:val="0"/>
          <w:sz w:val="24"/>
        </w:rPr>
      </w:pPr>
      <w:r>
        <w:rPr>
          <w:rFonts w:hint="eastAsia" w:ascii="宋体" w:hAnsi="宋体"/>
          <w:b/>
          <w:bCs/>
          <w:kern w:val="0"/>
          <w:sz w:val="24"/>
        </w:rPr>
        <w:t>付款方式：</w:t>
      </w:r>
    </w:p>
    <w:p>
      <w:pPr>
        <w:snapToGrid w:val="0"/>
        <w:spacing w:line="360" w:lineRule="auto"/>
        <w:ind w:firstLine="480" w:firstLineChars="200"/>
        <w:rPr>
          <w:rFonts w:ascii="宋体" w:hAnsi="宋体" w:cs="宋体"/>
          <w:sz w:val="24"/>
        </w:rPr>
      </w:pPr>
      <w:r>
        <w:rPr>
          <w:rFonts w:hint="eastAsia" w:ascii="宋体" w:hAnsi="宋体" w:cs="宋体"/>
          <w:sz w:val="24"/>
        </w:rPr>
        <w:t>8.1软件年度维护服务费：甲方于合同签订后30个工作日内一次性付清当年度维护服务费；</w:t>
      </w:r>
    </w:p>
    <w:p>
      <w:pPr>
        <w:widowControl/>
        <w:wordWrap w:val="0"/>
        <w:spacing w:line="360" w:lineRule="auto"/>
        <w:ind w:firstLine="480" w:firstLineChars="200"/>
        <w:jc w:val="left"/>
        <w:rPr>
          <w:rFonts w:ascii="宋体" w:hAnsi="宋体" w:cs="宋体"/>
          <w:sz w:val="24"/>
        </w:rPr>
      </w:pPr>
      <w:r>
        <w:rPr>
          <w:rFonts w:hint="eastAsia" w:ascii="宋体" w:hAnsi="宋体" w:cs="宋体"/>
          <w:sz w:val="24"/>
        </w:rPr>
        <w:t>8.2管线探测费用按照季度结算方式，乙方根据甲方指定的范围完成探测工作后向甲方提交探测成果和验收单，甲方对乙方探测成果进行验收抽查后根据验收单工程量进行支付。</w:t>
      </w:r>
    </w:p>
    <w:p>
      <w:pPr>
        <w:widowControl/>
        <w:wordWrap w:val="0"/>
        <w:spacing w:line="360" w:lineRule="auto"/>
        <w:jc w:val="left"/>
        <w:rPr>
          <w:rFonts w:ascii="宋体" w:hAnsi="宋体" w:cs="宋体"/>
          <w:sz w:val="24"/>
        </w:rPr>
      </w:pPr>
      <w:r>
        <w:rPr>
          <w:rFonts w:hint="eastAsia" w:ascii="宋体" w:hAnsi="宋体" w:cs="宋体"/>
          <w:b/>
          <w:bCs/>
          <w:sz w:val="24"/>
        </w:rPr>
        <w:t>9.投标报价</w:t>
      </w:r>
    </w:p>
    <w:p>
      <w:pPr>
        <w:spacing w:line="360" w:lineRule="auto"/>
        <w:ind w:firstLine="480" w:firstLineChars="200"/>
        <w:rPr>
          <w:rFonts w:ascii="宋体" w:hAnsi="宋体" w:cs="宋体"/>
          <w:sz w:val="24"/>
        </w:rPr>
      </w:pPr>
      <w:r>
        <w:rPr>
          <w:rFonts w:hint="eastAsia" w:ascii="宋体" w:hAnsi="宋体"/>
          <w:sz w:val="24"/>
        </w:rPr>
        <w:t>本次交易设有</w:t>
      </w:r>
      <w:r>
        <w:rPr>
          <w:rFonts w:hint="eastAsia" w:ascii="宋体" w:hAnsi="宋体" w:cs="宋体"/>
          <w:b/>
          <w:sz w:val="24"/>
        </w:rPr>
        <w:t>最低优惠率</w:t>
      </w:r>
      <w:r>
        <w:rPr>
          <w:rFonts w:hint="eastAsia" w:ascii="宋体" w:hAnsi="宋体"/>
          <w:sz w:val="24"/>
        </w:rPr>
        <w:t>限价，投标优惠率低于优惠率最低限价的，投标无效。</w:t>
      </w:r>
    </w:p>
    <w:tbl>
      <w:tblPr>
        <w:tblStyle w:val="66"/>
        <w:tblW w:w="8959"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08"/>
        <w:gridCol w:w="2357"/>
        <w:gridCol w:w="1739"/>
        <w:gridCol w:w="1663"/>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2208" w:type="dxa"/>
            <w:vAlign w:val="center"/>
          </w:tcPr>
          <w:p>
            <w:pPr>
              <w:pStyle w:val="490"/>
              <w:jc w:val="center"/>
              <w:rPr>
                <w:rFonts w:ascii="宋体" w:hAnsi="宋体"/>
                <w:sz w:val="24"/>
                <w:szCs w:val="24"/>
              </w:rPr>
            </w:pPr>
            <w:bookmarkStart w:id="24" w:name="_Hlk150165852"/>
            <w:r>
              <w:rPr>
                <w:rFonts w:hint="eastAsia" w:ascii="宋体" w:hAnsi="宋体"/>
                <w:sz w:val="24"/>
                <w:szCs w:val="24"/>
              </w:rPr>
              <w:t>工作项目</w:t>
            </w:r>
          </w:p>
        </w:tc>
        <w:tc>
          <w:tcPr>
            <w:tcW w:w="4096" w:type="dxa"/>
            <w:gridSpan w:val="2"/>
            <w:vAlign w:val="center"/>
          </w:tcPr>
          <w:p>
            <w:pPr>
              <w:pStyle w:val="490"/>
              <w:jc w:val="center"/>
              <w:rPr>
                <w:rFonts w:ascii="宋体" w:hAnsi="宋体"/>
                <w:sz w:val="24"/>
                <w:szCs w:val="24"/>
              </w:rPr>
            </w:pPr>
            <w:r>
              <w:rPr>
                <w:rFonts w:hint="eastAsia" w:ascii="宋体" w:hAnsi="宋体"/>
                <w:sz w:val="24"/>
                <w:szCs w:val="24"/>
              </w:rPr>
              <w:t>工作内容</w:t>
            </w:r>
          </w:p>
        </w:tc>
        <w:tc>
          <w:tcPr>
            <w:tcW w:w="1663" w:type="dxa"/>
            <w:tcBorders>
              <w:right w:val="single" w:color="auto" w:sz="4" w:space="0"/>
            </w:tcBorders>
            <w:vAlign w:val="center"/>
          </w:tcPr>
          <w:p>
            <w:pPr>
              <w:pStyle w:val="490"/>
              <w:jc w:val="center"/>
              <w:rPr>
                <w:rFonts w:ascii="宋体" w:hAnsi="宋体"/>
                <w:sz w:val="24"/>
                <w:szCs w:val="24"/>
              </w:rPr>
            </w:pPr>
            <w:r>
              <w:rPr>
                <w:rFonts w:hint="eastAsia" w:ascii="宋体" w:hAnsi="宋体"/>
                <w:sz w:val="24"/>
                <w:szCs w:val="24"/>
              </w:rPr>
              <w:t>单价</w:t>
            </w:r>
          </w:p>
        </w:tc>
        <w:tc>
          <w:tcPr>
            <w:tcW w:w="992" w:type="dxa"/>
            <w:tcBorders>
              <w:left w:val="single" w:color="auto" w:sz="4" w:space="0"/>
            </w:tcBorders>
            <w:vAlign w:val="center"/>
          </w:tcPr>
          <w:p>
            <w:pPr>
              <w:pStyle w:val="490"/>
              <w:jc w:val="center"/>
              <w:rPr>
                <w:rFonts w:ascii="宋体" w:hAnsi="宋体"/>
                <w:sz w:val="24"/>
                <w:szCs w:val="24"/>
              </w:rPr>
            </w:pPr>
            <w:r>
              <w:rPr>
                <w:rFonts w:hint="eastAsia" w:ascii="宋体" w:hAnsi="宋体" w:cs="宋体"/>
                <w:b/>
                <w:sz w:val="24"/>
              </w:rPr>
              <w:t>最低优惠率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5" w:hRule="atLeast"/>
        </w:trPr>
        <w:tc>
          <w:tcPr>
            <w:tcW w:w="2208" w:type="dxa"/>
            <w:vAlign w:val="center"/>
          </w:tcPr>
          <w:p>
            <w:pPr>
              <w:pStyle w:val="490"/>
              <w:jc w:val="center"/>
              <w:rPr>
                <w:rFonts w:ascii="宋体" w:hAnsi="宋体"/>
                <w:sz w:val="24"/>
                <w:szCs w:val="24"/>
              </w:rPr>
            </w:pPr>
            <w:r>
              <w:rPr>
                <w:rFonts w:hint="eastAsia" w:ascii="宋体" w:hAnsi="宋体"/>
                <w:sz w:val="24"/>
                <w:szCs w:val="24"/>
              </w:rPr>
              <w:t>管线探测（探测管线长度大于500米）</w:t>
            </w:r>
          </w:p>
        </w:tc>
        <w:tc>
          <w:tcPr>
            <w:tcW w:w="4096" w:type="dxa"/>
            <w:gridSpan w:val="2"/>
            <w:vAlign w:val="center"/>
          </w:tcPr>
          <w:p>
            <w:pPr>
              <w:pStyle w:val="490"/>
              <w:jc w:val="center"/>
              <w:rPr>
                <w:rFonts w:ascii="宋体" w:hAnsi="宋体"/>
                <w:sz w:val="24"/>
                <w:szCs w:val="24"/>
              </w:rPr>
            </w:pPr>
            <w:r>
              <w:rPr>
                <w:rFonts w:hint="eastAsia" w:ascii="宋体" w:hAnsi="宋体"/>
                <w:sz w:val="24"/>
                <w:szCs w:val="24"/>
              </w:rPr>
              <w:t>管线探测，测量，水表调查、管线数据建库</w:t>
            </w:r>
          </w:p>
        </w:tc>
        <w:tc>
          <w:tcPr>
            <w:tcW w:w="1663" w:type="dxa"/>
            <w:tcBorders>
              <w:right w:val="single" w:color="auto" w:sz="4" w:space="0"/>
            </w:tcBorders>
            <w:vAlign w:val="center"/>
          </w:tcPr>
          <w:p>
            <w:pPr>
              <w:pStyle w:val="490"/>
              <w:jc w:val="center"/>
              <w:rPr>
                <w:rFonts w:ascii="宋体" w:hAnsi="宋体"/>
                <w:sz w:val="24"/>
                <w:szCs w:val="24"/>
              </w:rPr>
            </w:pPr>
            <w:r>
              <w:rPr>
                <w:rFonts w:ascii="宋体" w:hAnsi="宋体"/>
                <w:sz w:val="24"/>
                <w:szCs w:val="24"/>
              </w:rPr>
              <w:t>2097.60</w:t>
            </w:r>
            <w:r>
              <w:rPr>
                <w:rFonts w:hint="eastAsia" w:ascii="宋体" w:hAnsi="宋体"/>
                <w:sz w:val="24"/>
                <w:szCs w:val="24"/>
              </w:rPr>
              <w:t>元/公里</w:t>
            </w:r>
          </w:p>
        </w:tc>
        <w:tc>
          <w:tcPr>
            <w:tcW w:w="992" w:type="dxa"/>
            <w:vMerge w:val="restart"/>
            <w:tcBorders>
              <w:left w:val="single" w:color="auto" w:sz="4" w:space="0"/>
            </w:tcBorders>
            <w:vAlign w:val="center"/>
          </w:tcPr>
          <w:p>
            <w:pPr>
              <w:pStyle w:val="490"/>
              <w:jc w:val="center"/>
              <w:rPr>
                <w:rFonts w:ascii="宋体" w:hAnsi="宋体"/>
                <w:sz w:val="24"/>
                <w:szCs w:val="24"/>
              </w:rPr>
            </w:pPr>
            <w:r>
              <w:rPr>
                <w:rFonts w:ascii="宋体" w:hAnsi="宋体"/>
                <w:b/>
                <w:bCs/>
                <w:sz w:val="24"/>
                <w:szCs w:val="24"/>
              </w:rPr>
              <w:t>3</w:t>
            </w:r>
            <w:r>
              <w:rPr>
                <w:rFonts w:hint="eastAsia" w:ascii="宋体" w:hAnsi="宋体"/>
                <w:b/>
                <w:bCs/>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208" w:type="dxa"/>
            <w:vMerge w:val="restart"/>
            <w:vAlign w:val="center"/>
          </w:tcPr>
          <w:p>
            <w:pPr>
              <w:pStyle w:val="490"/>
              <w:jc w:val="center"/>
              <w:rPr>
                <w:rFonts w:ascii="宋体" w:hAnsi="宋体"/>
                <w:sz w:val="24"/>
                <w:szCs w:val="24"/>
              </w:rPr>
            </w:pPr>
            <w:r>
              <w:rPr>
                <w:rFonts w:hint="eastAsia" w:ascii="宋体" w:hAnsi="宋体"/>
                <w:sz w:val="24"/>
                <w:szCs w:val="24"/>
              </w:rPr>
              <w:t>零星管线、管段探测</w:t>
            </w:r>
          </w:p>
        </w:tc>
        <w:tc>
          <w:tcPr>
            <w:tcW w:w="4096" w:type="dxa"/>
            <w:gridSpan w:val="2"/>
            <w:vAlign w:val="center"/>
          </w:tcPr>
          <w:p>
            <w:pPr>
              <w:pStyle w:val="490"/>
              <w:jc w:val="center"/>
              <w:rPr>
                <w:rFonts w:ascii="宋体" w:hAnsi="宋体"/>
                <w:sz w:val="24"/>
                <w:szCs w:val="24"/>
              </w:rPr>
            </w:pPr>
            <w:r>
              <w:rPr>
                <w:rFonts w:hint="eastAsia" w:ascii="宋体" w:hAnsi="宋体"/>
                <w:sz w:val="24"/>
                <w:szCs w:val="24"/>
              </w:rPr>
              <w:t>对供水管线及设备进行物探</w:t>
            </w:r>
          </w:p>
        </w:tc>
        <w:tc>
          <w:tcPr>
            <w:tcW w:w="1663" w:type="dxa"/>
            <w:tcBorders>
              <w:right w:val="single" w:color="auto" w:sz="4" w:space="0"/>
            </w:tcBorders>
            <w:vAlign w:val="center"/>
          </w:tcPr>
          <w:p>
            <w:pPr>
              <w:pStyle w:val="490"/>
              <w:jc w:val="center"/>
              <w:rPr>
                <w:rFonts w:ascii="宋体" w:hAnsi="宋体"/>
                <w:sz w:val="24"/>
                <w:szCs w:val="24"/>
              </w:rPr>
            </w:pPr>
            <w:r>
              <w:rPr>
                <w:rFonts w:ascii="宋体" w:hAnsi="宋体"/>
                <w:sz w:val="24"/>
                <w:szCs w:val="24"/>
              </w:rPr>
              <w:t>552</w:t>
            </w:r>
            <w:r>
              <w:rPr>
                <w:rFonts w:hint="eastAsia" w:ascii="宋体" w:hAnsi="宋体"/>
                <w:sz w:val="24"/>
                <w:szCs w:val="24"/>
              </w:rPr>
              <w:t>元/处</w:t>
            </w:r>
          </w:p>
        </w:tc>
        <w:tc>
          <w:tcPr>
            <w:tcW w:w="992" w:type="dxa"/>
            <w:vMerge w:val="continue"/>
            <w:tcBorders>
              <w:left w:val="single" w:color="auto" w:sz="4" w:space="0"/>
            </w:tcBorders>
            <w:vAlign w:val="center"/>
          </w:tcPr>
          <w:p>
            <w:pPr>
              <w:pStyle w:val="490"/>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208" w:type="dxa"/>
            <w:vMerge w:val="continue"/>
            <w:vAlign w:val="center"/>
          </w:tcPr>
          <w:p>
            <w:pPr>
              <w:pStyle w:val="490"/>
              <w:jc w:val="center"/>
              <w:rPr>
                <w:rFonts w:ascii="宋体" w:hAnsi="宋体"/>
                <w:sz w:val="24"/>
                <w:szCs w:val="24"/>
              </w:rPr>
            </w:pPr>
          </w:p>
        </w:tc>
        <w:tc>
          <w:tcPr>
            <w:tcW w:w="4096" w:type="dxa"/>
            <w:gridSpan w:val="2"/>
            <w:vAlign w:val="center"/>
          </w:tcPr>
          <w:p>
            <w:pPr>
              <w:pStyle w:val="490"/>
              <w:jc w:val="center"/>
              <w:rPr>
                <w:rFonts w:ascii="宋体" w:hAnsi="宋体"/>
                <w:sz w:val="24"/>
                <w:szCs w:val="24"/>
              </w:rPr>
            </w:pPr>
            <w:r>
              <w:rPr>
                <w:rFonts w:hint="eastAsia" w:ascii="宋体" w:hAnsi="宋体"/>
                <w:sz w:val="24"/>
                <w:szCs w:val="24"/>
              </w:rPr>
              <w:t>对供水管线及设备进行测量</w:t>
            </w:r>
          </w:p>
        </w:tc>
        <w:tc>
          <w:tcPr>
            <w:tcW w:w="1663" w:type="dxa"/>
            <w:tcBorders>
              <w:right w:val="single" w:color="auto" w:sz="4" w:space="0"/>
            </w:tcBorders>
            <w:vAlign w:val="center"/>
          </w:tcPr>
          <w:p>
            <w:pPr>
              <w:pStyle w:val="490"/>
              <w:jc w:val="center"/>
              <w:rPr>
                <w:rFonts w:ascii="宋体" w:hAnsi="宋体"/>
                <w:sz w:val="24"/>
                <w:szCs w:val="24"/>
              </w:rPr>
            </w:pPr>
            <w:r>
              <w:rPr>
                <w:rFonts w:ascii="宋体" w:hAnsi="宋体"/>
                <w:sz w:val="24"/>
                <w:szCs w:val="24"/>
              </w:rPr>
              <w:t>883.2</w:t>
            </w:r>
            <w:r>
              <w:rPr>
                <w:rFonts w:hint="eastAsia" w:ascii="宋体" w:hAnsi="宋体"/>
                <w:sz w:val="24"/>
                <w:szCs w:val="24"/>
              </w:rPr>
              <w:t>元/处</w:t>
            </w:r>
          </w:p>
        </w:tc>
        <w:tc>
          <w:tcPr>
            <w:tcW w:w="992" w:type="dxa"/>
            <w:vMerge w:val="continue"/>
            <w:tcBorders>
              <w:left w:val="single" w:color="auto" w:sz="4" w:space="0"/>
            </w:tcBorders>
            <w:vAlign w:val="center"/>
          </w:tcPr>
          <w:p>
            <w:pPr>
              <w:pStyle w:val="490"/>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2208" w:type="dxa"/>
            <w:vMerge w:val="continue"/>
            <w:vAlign w:val="center"/>
          </w:tcPr>
          <w:p>
            <w:pPr>
              <w:pStyle w:val="490"/>
              <w:jc w:val="center"/>
              <w:rPr>
                <w:rFonts w:ascii="宋体" w:hAnsi="宋体"/>
                <w:sz w:val="24"/>
                <w:szCs w:val="24"/>
              </w:rPr>
            </w:pPr>
          </w:p>
        </w:tc>
        <w:tc>
          <w:tcPr>
            <w:tcW w:w="4096" w:type="dxa"/>
            <w:gridSpan w:val="2"/>
            <w:vAlign w:val="center"/>
          </w:tcPr>
          <w:p>
            <w:pPr>
              <w:pStyle w:val="490"/>
              <w:jc w:val="center"/>
              <w:rPr>
                <w:rFonts w:ascii="宋体" w:hAnsi="宋体"/>
                <w:sz w:val="24"/>
                <w:szCs w:val="24"/>
              </w:rPr>
            </w:pPr>
            <w:r>
              <w:rPr>
                <w:rFonts w:hint="eastAsia" w:ascii="宋体" w:hAnsi="宋体"/>
                <w:sz w:val="24"/>
                <w:szCs w:val="24"/>
              </w:rPr>
              <w:t>对供水管线及设备进行物探与测量</w:t>
            </w:r>
          </w:p>
        </w:tc>
        <w:tc>
          <w:tcPr>
            <w:tcW w:w="1663" w:type="dxa"/>
            <w:tcBorders>
              <w:right w:val="single" w:color="auto" w:sz="4" w:space="0"/>
            </w:tcBorders>
            <w:vAlign w:val="center"/>
          </w:tcPr>
          <w:p>
            <w:pPr>
              <w:pStyle w:val="490"/>
              <w:jc w:val="center"/>
              <w:rPr>
                <w:rFonts w:ascii="宋体" w:hAnsi="宋体"/>
                <w:sz w:val="24"/>
                <w:szCs w:val="24"/>
              </w:rPr>
            </w:pPr>
            <w:r>
              <w:rPr>
                <w:rFonts w:ascii="宋体" w:hAnsi="宋体"/>
                <w:sz w:val="24"/>
                <w:szCs w:val="24"/>
              </w:rPr>
              <w:t>1104</w:t>
            </w:r>
            <w:r>
              <w:rPr>
                <w:rFonts w:hint="eastAsia" w:ascii="宋体" w:hAnsi="宋体"/>
                <w:sz w:val="24"/>
                <w:szCs w:val="24"/>
              </w:rPr>
              <w:t>元/处</w:t>
            </w:r>
          </w:p>
        </w:tc>
        <w:tc>
          <w:tcPr>
            <w:tcW w:w="992" w:type="dxa"/>
            <w:vMerge w:val="continue"/>
            <w:tcBorders>
              <w:left w:val="single" w:color="auto" w:sz="4" w:space="0"/>
            </w:tcBorders>
            <w:vAlign w:val="center"/>
          </w:tcPr>
          <w:p>
            <w:pPr>
              <w:pStyle w:val="490"/>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208" w:type="dxa"/>
            <w:vMerge w:val="continue"/>
            <w:vAlign w:val="center"/>
          </w:tcPr>
          <w:p>
            <w:pPr>
              <w:pStyle w:val="490"/>
              <w:jc w:val="center"/>
              <w:rPr>
                <w:rFonts w:ascii="宋体" w:hAnsi="宋体"/>
                <w:sz w:val="24"/>
                <w:szCs w:val="24"/>
              </w:rPr>
            </w:pPr>
          </w:p>
        </w:tc>
        <w:tc>
          <w:tcPr>
            <w:tcW w:w="4096" w:type="dxa"/>
            <w:gridSpan w:val="2"/>
            <w:vAlign w:val="center"/>
          </w:tcPr>
          <w:p>
            <w:pPr>
              <w:pStyle w:val="490"/>
              <w:jc w:val="center"/>
              <w:rPr>
                <w:rFonts w:ascii="宋体" w:hAnsi="宋体"/>
                <w:sz w:val="24"/>
                <w:szCs w:val="24"/>
              </w:rPr>
            </w:pPr>
            <w:r>
              <w:rPr>
                <w:rFonts w:hint="eastAsia" w:ascii="宋体" w:hAnsi="宋体"/>
                <w:sz w:val="24"/>
                <w:szCs w:val="24"/>
              </w:rPr>
              <w:t>对特殊地段所有综合管线进行物探</w:t>
            </w:r>
          </w:p>
        </w:tc>
        <w:tc>
          <w:tcPr>
            <w:tcW w:w="1663" w:type="dxa"/>
            <w:tcBorders>
              <w:right w:val="single" w:color="auto" w:sz="4" w:space="0"/>
            </w:tcBorders>
            <w:vAlign w:val="center"/>
          </w:tcPr>
          <w:p>
            <w:pPr>
              <w:pStyle w:val="490"/>
              <w:jc w:val="center"/>
              <w:rPr>
                <w:rFonts w:ascii="宋体" w:hAnsi="宋体"/>
                <w:sz w:val="24"/>
                <w:szCs w:val="24"/>
              </w:rPr>
            </w:pPr>
            <w:r>
              <w:rPr>
                <w:rFonts w:ascii="宋体" w:hAnsi="宋体"/>
                <w:sz w:val="24"/>
                <w:szCs w:val="24"/>
              </w:rPr>
              <w:t>3312</w:t>
            </w:r>
            <w:r>
              <w:rPr>
                <w:rFonts w:hint="eastAsia" w:ascii="宋体" w:hAnsi="宋体"/>
                <w:sz w:val="24"/>
                <w:szCs w:val="24"/>
              </w:rPr>
              <w:t>元/处</w:t>
            </w:r>
          </w:p>
        </w:tc>
        <w:tc>
          <w:tcPr>
            <w:tcW w:w="992" w:type="dxa"/>
            <w:vMerge w:val="continue"/>
            <w:tcBorders>
              <w:left w:val="single" w:color="auto" w:sz="4" w:space="0"/>
            </w:tcBorders>
            <w:vAlign w:val="center"/>
          </w:tcPr>
          <w:p>
            <w:pPr>
              <w:pStyle w:val="490"/>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208" w:type="dxa"/>
            <w:vMerge w:val="continue"/>
            <w:vAlign w:val="center"/>
          </w:tcPr>
          <w:p>
            <w:pPr>
              <w:pStyle w:val="490"/>
              <w:jc w:val="center"/>
              <w:rPr>
                <w:rFonts w:ascii="宋体" w:hAnsi="宋体"/>
                <w:sz w:val="24"/>
                <w:szCs w:val="24"/>
              </w:rPr>
            </w:pPr>
          </w:p>
        </w:tc>
        <w:tc>
          <w:tcPr>
            <w:tcW w:w="2357" w:type="dxa"/>
            <w:vMerge w:val="restart"/>
            <w:vAlign w:val="center"/>
          </w:tcPr>
          <w:p>
            <w:pPr>
              <w:pStyle w:val="490"/>
              <w:rPr>
                <w:rFonts w:ascii="宋体" w:hAnsi="宋体"/>
                <w:sz w:val="24"/>
                <w:szCs w:val="24"/>
              </w:rPr>
            </w:pPr>
            <w:r>
              <w:rPr>
                <w:rFonts w:hint="eastAsia" w:ascii="宋体" w:hAnsi="宋体"/>
                <w:sz w:val="24"/>
                <w:szCs w:val="24"/>
              </w:rPr>
              <w:t>单项设备定位、信息核对与入库</w:t>
            </w:r>
          </w:p>
          <w:p>
            <w:pPr>
              <w:pStyle w:val="490"/>
              <w:jc w:val="center"/>
              <w:rPr>
                <w:rFonts w:ascii="宋体" w:hAnsi="宋体"/>
                <w:sz w:val="24"/>
                <w:szCs w:val="24"/>
              </w:rPr>
            </w:pPr>
            <w:r>
              <w:rPr>
                <w:rFonts w:hint="eastAsia" w:ascii="宋体" w:hAnsi="宋体"/>
                <w:sz w:val="24"/>
                <w:szCs w:val="24"/>
              </w:rPr>
              <w:t>（如水质点、压力点、流量点、智能消火栓等）</w:t>
            </w:r>
          </w:p>
        </w:tc>
        <w:tc>
          <w:tcPr>
            <w:tcW w:w="1739" w:type="dxa"/>
            <w:vAlign w:val="center"/>
          </w:tcPr>
          <w:p>
            <w:pPr>
              <w:rPr>
                <w:rFonts w:ascii="宋体" w:hAnsi="宋体"/>
                <w:sz w:val="24"/>
              </w:rPr>
            </w:pPr>
            <w:r>
              <w:rPr>
                <w:rFonts w:hint="eastAsia" w:ascii="宋体" w:hAnsi="宋体"/>
                <w:sz w:val="24"/>
              </w:rPr>
              <w:t>集中（≥10只/处）</w:t>
            </w:r>
          </w:p>
        </w:tc>
        <w:tc>
          <w:tcPr>
            <w:tcW w:w="1663" w:type="dxa"/>
            <w:tcBorders>
              <w:right w:val="single" w:color="auto" w:sz="4" w:space="0"/>
            </w:tcBorders>
            <w:vAlign w:val="center"/>
          </w:tcPr>
          <w:p>
            <w:pPr>
              <w:jc w:val="center"/>
              <w:rPr>
                <w:rFonts w:ascii="宋体" w:hAnsi="宋体"/>
                <w:sz w:val="24"/>
              </w:rPr>
            </w:pPr>
            <w:r>
              <w:rPr>
                <w:rFonts w:ascii="宋体" w:hAnsi="宋体"/>
                <w:sz w:val="24"/>
              </w:rPr>
              <w:t>39.10</w:t>
            </w:r>
            <w:r>
              <w:rPr>
                <w:rFonts w:hint="eastAsia" w:ascii="宋体" w:hAnsi="宋体"/>
                <w:sz w:val="24"/>
              </w:rPr>
              <w:t>元/只</w:t>
            </w:r>
          </w:p>
        </w:tc>
        <w:tc>
          <w:tcPr>
            <w:tcW w:w="992" w:type="dxa"/>
            <w:vMerge w:val="continue"/>
            <w:tcBorders>
              <w:left w:val="single" w:color="auto" w:sz="4" w:space="0"/>
            </w:tcBorders>
            <w:vAlign w:val="center"/>
          </w:tcPr>
          <w:p>
            <w:pPr>
              <w:pStyle w:val="490"/>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208" w:type="dxa"/>
            <w:vMerge w:val="continue"/>
            <w:vAlign w:val="center"/>
          </w:tcPr>
          <w:p>
            <w:pPr>
              <w:pStyle w:val="490"/>
              <w:jc w:val="center"/>
              <w:rPr>
                <w:rFonts w:ascii="宋体" w:hAnsi="宋体"/>
                <w:sz w:val="24"/>
                <w:szCs w:val="24"/>
              </w:rPr>
            </w:pPr>
          </w:p>
        </w:tc>
        <w:tc>
          <w:tcPr>
            <w:tcW w:w="2357" w:type="dxa"/>
            <w:vMerge w:val="continue"/>
            <w:vAlign w:val="center"/>
          </w:tcPr>
          <w:p>
            <w:pPr>
              <w:pStyle w:val="490"/>
              <w:jc w:val="center"/>
              <w:rPr>
                <w:rFonts w:ascii="宋体" w:hAnsi="宋体"/>
                <w:sz w:val="24"/>
                <w:szCs w:val="24"/>
              </w:rPr>
            </w:pPr>
          </w:p>
        </w:tc>
        <w:tc>
          <w:tcPr>
            <w:tcW w:w="1739" w:type="dxa"/>
            <w:vAlign w:val="center"/>
          </w:tcPr>
          <w:p>
            <w:pPr>
              <w:rPr>
                <w:rFonts w:ascii="宋体" w:hAnsi="宋体"/>
                <w:sz w:val="24"/>
              </w:rPr>
            </w:pPr>
            <w:r>
              <w:rPr>
                <w:rFonts w:hint="eastAsia" w:ascii="宋体" w:hAnsi="宋体"/>
                <w:sz w:val="24"/>
              </w:rPr>
              <w:t>零星（＜10只/处）</w:t>
            </w:r>
          </w:p>
        </w:tc>
        <w:tc>
          <w:tcPr>
            <w:tcW w:w="1663" w:type="dxa"/>
            <w:tcBorders>
              <w:right w:val="single" w:color="auto" w:sz="4" w:space="0"/>
            </w:tcBorders>
            <w:vAlign w:val="center"/>
          </w:tcPr>
          <w:p>
            <w:pPr>
              <w:jc w:val="center"/>
              <w:rPr>
                <w:rFonts w:ascii="宋体" w:hAnsi="宋体"/>
                <w:sz w:val="24"/>
              </w:rPr>
            </w:pPr>
            <w:r>
              <w:rPr>
                <w:rFonts w:ascii="宋体" w:hAnsi="宋体"/>
                <w:sz w:val="24"/>
              </w:rPr>
              <w:t>60.95</w:t>
            </w:r>
            <w:r>
              <w:rPr>
                <w:rFonts w:hint="eastAsia" w:ascii="宋体" w:hAnsi="宋体"/>
                <w:sz w:val="24"/>
              </w:rPr>
              <w:t>元/只</w:t>
            </w:r>
          </w:p>
        </w:tc>
        <w:tc>
          <w:tcPr>
            <w:tcW w:w="992" w:type="dxa"/>
            <w:vMerge w:val="continue"/>
            <w:tcBorders>
              <w:left w:val="single" w:color="auto" w:sz="4" w:space="0"/>
            </w:tcBorders>
            <w:vAlign w:val="center"/>
          </w:tcPr>
          <w:p>
            <w:pPr>
              <w:pStyle w:val="490"/>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9" w:hRule="atLeast"/>
        </w:trPr>
        <w:tc>
          <w:tcPr>
            <w:tcW w:w="2208" w:type="dxa"/>
            <w:vAlign w:val="center"/>
          </w:tcPr>
          <w:p>
            <w:pPr>
              <w:pStyle w:val="490"/>
              <w:jc w:val="center"/>
              <w:rPr>
                <w:rFonts w:ascii="宋体" w:hAnsi="宋体"/>
                <w:sz w:val="24"/>
                <w:szCs w:val="24"/>
              </w:rPr>
            </w:pPr>
            <w:bookmarkStart w:id="25" w:name="_Hlk144807118"/>
            <w:r>
              <w:rPr>
                <w:rFonts w:hint="eastAsia" w:ascii="宋体" w:hAnsi="宋体"/>
                <w:sz w:val="24"/>
                <w:szCs w:val="24"/>
              </w:rPr>
              <w:t>管网GIS系列软件维护服务</w:t>
            </w:r>
            <w:bookmarkEnd w:id="25"/>
          </w:p>
        </w:tc>
        <w:tc>
          <w:tcPr>
            <w:tcW w:w="4096" w:type="dxa"/>
            <w:gridSpan w:val="2"/>
            <w:vAlign w:val="center"/>
          </w:tcPr>
          <w:p>
            <w:pPr>
              <w:pStyle w:val="490"/>
              <w:rPr>
                <w:rFonts w:ascii="宋体" w:hAnsi="宋体"/>
                <w:sz w:val="24"/>
                <w:szCs w:val="24"/>
              </w:rPr>
            </w:pPr>
            <w:r>
              <w:rPr>
                <w:rFonts w:hint="eastAsia" w:ascii="宋体" w:hAnsi="宋体"/>
                <w:sz w:val="24"/>
                <w:szCs w:val="24"/>
              </w:rPr>
              <w:t>维护的软件系统包括供水管网GIS信息系统（桌面版、网页版、移动版）、供水管网巡检系统、巡检事件工单管理系统、分区计量系统。维护服务内容包括功能优化、接口维护、故障修复、使用培训等。</w:t>
            </w:r>
          </w:p>
        </w:tc>
        <w:tc>
          <w:tcPr>
            <w:tcW w:w="1663" w:type="dxa"/>
            <w:tcBorders>
              <w:right w:val="single" w:color="auto" w:sz="4" w:space="0"/>
            </w:tcBorders>
            <w:vAlign w:val="center"/>
          </w:tcPr>
          <w:p>
            <w:pPr>
              <w:pStyle w:val="490"/>
              <w:jc w:val="center"/>
              <w:rPr>
                <w:rFonts w:ascii="宋体" w:hAnsi="宋体"/>
                <w:sz w:val="24"/>
                <w:szCs w:val="24"/>
              </w:rPr>
            </w:pPr>
            <w:r>
              <w:rPr>
                <w:rFonts w:ascii="宋体" w:hAnsi="宋体"/>
                <w:sz w:val="24"/>
                <w:szCs w:val="24"/>
              </w:rPr>
              <w:t>100000</w:t>
            </w:r>
            <w:r>
              <w:rPr>
                <w:rFonts w:hint="eastAsia" w:ascii="宋体" w:hAnsi="宋体"/>
                <w:sz w:val="24"/>
                <w:szCs w:val="24"/>
              </w:rPr>
              <w:t>元/年</w:t>
            </w:r>
          </w:p>
        </w:tc>
        <w:tc>
          <w:tcPr>
            <w:tcW w:w="992" w:type="dxa"/>
            <w:vMerge w:val="continue"/>
            <w:tcBorders>
              <w:left w:val="single" w:color="auto" w:sz="4" w:space="0"/>
            </w:tcBorders>
            <w:vAlign w:val="center"/>
          </w:tcPr>
          <w:p>
            <w:pPr>
              <w:pStyle w:val="490"/>
              <w:rPr>
                <w:rFonts w:ascii="宋体" w:hAnsi="宋体"/>
                <w:sz w:val="24"/>
                <w:szCs w:val="24"/>
              </w:rPr>
            </w:pPr>
          </w:p>
        </w:tc>
      </w:tr>
      <w:bookmarkEnd w:id="24"/>
    </w:tbl>
    <w:p>
      <w:pPr>
        <w:spacing w:line="360" w:lineRule="auto"/>
        <w:ind w:firstLine="480" w:firstLineChars="200"/>
        <w:rPr>
          <w:rFonts w:ascii="宋体" w:hAnsi="宋体" w:cs="宋体"/>
          <w:sz w:val="24"/>
        </w:rPr>
      </w:pPr>
    </w:p>
    <w:p>
      <w:pPr>
        <w:widowControl/>
        <w:wordWrap w:val="0"/>
        <w:spacing w:line="360" w:lineRule="auto"/>
        <w:jc w:val="left"/>
        <w:rPr>
          <w:rFonts w:ascii="宋体" w:hAnsi="宋体" w:cs="宋体"/>
          <w:b/>
          <w:bCs/>
          <w:sz w:val="24"/>
        </w:rPr>
      </w:pPr>
      <w:r>
        <w:rPr>
          <w:rFonts w:hint="eastAsia" w:ascii="宋体" w:hAnsi="宋体" w:cs="宋体"/>
          <w:b/>
          <w:bCs/>
          <w:sz w:val="24"/>
        </w:rPr>
        <w:t>10.服务期：合同签订后12 个月内提交全部成果。</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b/>
          <w:sz w:val="24"/>
        </w:rPr>
      </w:pPr>
      <w:r>
        <w:rPr>
          <w:rFonts w:hint="eastAsia" w:ascii="宋体" w:hAnsi="宋体" w:cs="宋体"/>
          <w:sz w:val="24"/>
        </w:rPr>
        <w:t>注：公开竞争文件中打▲内容为实质性要求，不允许有负偏离，否则将以涉及无效响应条款作无效响应。</w:t>
      </w:r>
    </w:p>
    <w:p>
      <w:pPr>
        <w:rPr>
          <w:rFonts w:ascii="宋体" w:hAnsi="宋体" w:cs="宋体"/>
          <w:b/>
          <w:sz w:val="36"/>
          <w:szCs w:val="36"/>
        </w:rPr>
      </w:pPr>
      <w:r>
        <w:rPr>
          <w:rFonts w:hint="eastAsia" w:ascii="宋体" w:hAnsi="宋体" w:cs="宋体"/>
          <w:b/>
          <w:sz w:val="36"/>
          <w:szCs w:val="36"/>
        </w:rPr>
        <w:br w:type="page"/>
      </w:r>
    </w:p>
    <w:p>
      <w:pPr>
        <w:spacing w:line="360" w:lineRule="auto"/>
        <w:jc w:val="center"/>
        <w:rPr>
          <w:rFonts w:ascii="宋体" w:hAnsi="宋体" w:cs="宋体"/>
          <w:b/>
          <w:sz w:val="36"/>
          <w:szCs w:val="36"/>
        </w:rPr>
      </w:pPr>
      <w:r>
        <w:rPr>
          <w:rFonts w:hint="eastAsia" w:ascii="宋体" w:hAnsi="宋体" w:cs="宋体"/>
          <w:b/>
          <w:sz w:val="36"/>
          <w:szCs w:val="36"/>
        </w:rPr>
        <w:t xml:space="preserve">第四部分   </w:t>
      </w:r>
      <w:bookmarkStart w:id="26" w:name="_Toc184313259"/>
      <w:bookmarkEnd w:id="26"/>
      <w:bookmarkStart w:id="27" w:name="_Toc184310335"/>
      <w:bookmarkEnd w:id="27"/>
      <w:bookmarkStart w:id="28" w:name="_Toc184313265"/>
      <w:bookmarkEnd w:id="28"/>
      <w:bookmarkStart w:id="29" w:name="_Toc184313275"/>
      <w:bookmarkEnd w:id="29"/>
      <w:bookmarkStart w:id="30" w:name="_Toc184308063"/>
      <w:bookmarkEnd w:id="30"/>
      <w:bookmarkStart w:id="31" w:name="_Toc184308090"/>
      <w:bookmarkEnd w:id="31"/>
      <w:bookmarkStart w:id="32" w:name="_Toc184310311"/>
      <w:bookmarkEnd w:id="32"/>
      <w:bookmarkStart w:id="33" w:name="_Toc184308057"/>
      <w:bookmarkEnd w:id="33"/>
      <w:bookmarkStart w:id="34" w:name="_Toc184312087"/>
      <w:bookmarkEnd w:id="34"/>
      <w:bookmarkStart w:id="35" w:name="_Toc184313293"/>
      <w:bookmarkEnd w:id="35"/>
      <w:bookmarkStart w:id="36" w:name="_Toc184310292"/>
      <w:bookmarkEnd w:id="36"/>
      <w:bookmarkStart w:id="37" w:name="_Toc184312085"/>
      <w:bookmarkEnd w:id="37"/>
      <w:bookmarkStart w:id="38" w:name="_Toc184312135"/>
      <w:bookmarkEnd w:id="38"/>
      <w:bookmarkStart w:id="39" w:name="_Toc184308045"/>
      <w:bookmarkEnd w:id="39"/>
      <w:bookmarkStart w:id="40" w:name="_Toc184308097"/>
      <w:bookmarkEnd w:id="40"/>
      <w:bookmarkStart w:id="41" w:name="_Toc184312115"/>
      <w:bookmarkEnd w:id="41"/>
      <w:bookmarkStart w:id="42" w:name="_Toc184314480"/>
      <w:bookmarkEnd w:id="42"/>
      <w:bookmarkStart w:id="43" w:name="_Toc184312077"/>
      <w:bookmarkEnd w:id="43"/>
      <w:bookmarkStart w:id="44" w:name="_Toc184310295"/>
      <w:bookmarkEnd w:id="44"/>
      <w:bookmarkStart w:id="45" w:name="_Toc184310284"/>
      <w:bookmarkEnd w:id="45"/>
      <w:bookmarkStart w:id="46" w:name="_Toc184312116"/>
      <w:bookmarkEnd w:id="46"/>
      <w:bookmarkStart w:id="47" w:name="_Toc184314431"/>
      <w:bookmarkEnd w:id="47"/>
      <w:bookmarkStart w:id="48" w:name="_Toc184312124"/>
      <w:bookmarkEnd w:id="48"/>
      <w:bookmarkStart w:id="49" w:name="_Toc184310281"/>
      <w:bookmarkEnd w:id="49"/>
      <w:bookmarkStart w:id="50" w:name="_Toc184314453"/>
      <w:bookmarkEnd w:id="50"/>
      <w:bookmarkStart w:id="51" w:name="_Toc184310333"/>
      <w:bookmarkEnd w:id="51"/>
      <w:bookmarkStart w:id="52" w:name="_Toc184313256"/>
      <w:bookmarkEnd w:id="52"/>
      <w:bookmarkStart w:id="53" w:name="_Toc184314449"/>
      <w:bookmarkEnd w:id="53"/>
      <w:bookmarkStart w:id="54" w:name="_Toc184310336"/>
      <w:bookmarkEnd w:id="54"/>
      <w:bookmarkStart w:id="55" w:name="_Toc184312096"/>
      <w:bookmarkEnd w:id="55"/>
      <w:bookmarkStart w:id="56" w:name="_Toc184314423"/>
      <w:bookmarkEnd w:id="56"/>
      <w:bookmarkStart w:id="57" w:name="_Toc184313301"/>
      <w:bookmarkEnd w:id="57"/>
      <w:bookmarkStart w:id="58" w:name="_Toc184312079"/>
      <w:bookmarkEnd w:id="58"/>
      <w:bookmarkStart w:id="59" w:name="_Toc184312104"/>
      <w:bookmarkEnd w:id="59"/>
      <w:bookmarkStart w:id="60" w:name="_Toc184313280"/>
      <w:bookmarkEnd w:id="60"/>
      <w:bookmarkStart w:id="61" w:name="_Toc184314457"/>
      <w:bookmarkEnd w:id="61"/>
      <w:bookmarkStart w:id="62" w:name="_Toc184314473"/>
      <w:bookmarkEnd w:id="62"/>
      <w:bookmarkStart w:id="63" w:name="_Toc184312108"/>
      <w:bookmarkEnd w:id="63"/>
      <w:bookmarkStart w:id="64" w:name="_Toc184313267"/>
      <w:bookmarkEnd w:id="64"/>
      <w:bookmarkStart w:id="65" w:name="_Toc184312107"/>
      <w:bookmarkEnd w:id="65"/>
      <w:bookmarkStart w:id="66" w:name="_Toc184313278"/>
      <w:bookmarkEnd w:id="66"/>
      <w:bookmarkStart w:id="67" w:name="_Toc184314436"/>
      <w:bookmarkEnd w:id="67"/>
      <w:bookmarkStart w:id="68" w:name="_Toc184313288"/>
      <w:bookmarkEnd w:id="68"/>
      <w:bookmarkStart w:id="69" w:name="_Toc184312132"/>
      <w:bookmarkEnd w:id="69"/>
      <w:bookmarkStart w:id="70" w:name="_Toc184314467"/>
      <w:bookmarkEnd w:id="70"/>
      <w:bookmarkStart w:id="71" w:name="_Toc184310325"/>
      <w:bookmarkEnd w:id="71"/>
      <w:bookmarkStart w:id="72" w:name="_Toc184313279"/>
      <w:bookmarkEnd w:id="72"/>
      <w:bookmarkStart w:id="73" w:name="_Toc184314474"/>
      <w:bookmarkEnd w:id="73"/>
      <w:bookmarkStart w:id="74" w:name="_Toc184312119"/>
      <w:bookmarkEnd w:id="74"/>
      <w:bookmarkStart w:id="75" w:name="_Toc184312097"/>
      <w:bookmarkEnd w:id="75"/>
      <w:bookmarkStart w:id="76" w:name="_Toc184310337"/>
      <w:bookmarkEnd w:id="76"/>
      <w:bookmarkStart w:id="77" w:name="_Toc184313303"/>
      <w:bookmarkEnd w:id="77"/>
      <w:bookmarkStart w:id="78" w:name="_Toc184313282"/>
      <w:bookmarkEnd w:id="78"/>
      <w:bookmarkStart w:id="79" w:name="_Toc184314482"/>
      <w:bookmarkEnd w:id="79"/>
      <w:bookmarkStart w:id="80" w:name="_Toc184313270"/>
      <w:bookmarkEnd w:id="80"/>
      <w:bookmarkStart w:id="81" w:name="_Toc184312133"/>
      <w:bookmarkEnd w:id="81"/>
      <w:bookmarkStart w:id="82" w:name="_Toc184314464"/>
      <w:bookmarkEnd w:id="82"/>
      <w:bookmarkStart w:id="83" w:name="_Toc184314426"/>
      <w:bookmarkEnd w:id="83"/>
      <w:bookmarkStart w:id="84" w:name="_Toc184312131"/>
      <w:bookmarkEnd w:id="84"/>
      <w:bookmarkStart w:id="85" w:name="_Toc184313241"/>
      <w:bookmarkEnd w:id="85"/>
      <w:bookmarkStart w:id="86" w:name="_Toc184312134"/>
      <w:bookmarkEnd w:id="86"/>
      <w:bookmarkStart w:id="87" w:name="_Toc184308089"/>
      <w:bookmarkEnd w:id="87"/>
      <w:bookmarkStart w:id="88" w:name="_Toc184314475"/>
      <w:bookmarkEnd w:id="88"/>
      <w:bookmarkStart w:id="89" w:name="_Toc184312114"/>
      <w:bookmarkEnd w:id="89"/>
      <w:bookmarkStart w:id="90" w:name="_Toc184308071"/>
      <w:bookmarkEnd w:id="90"/>
      <w:bookmarkStart w:id="91" w:name="_Toc184308056"/>
      <w:bookmarkEnd w:id="91"/>
      <w:bookmarkStart w:id="92" w:name="_Toc184312138"/>
      <w:bookmarkEnd w:id="92"/>
      <w:bookmarkStart w:id="93" w:name="_Toc184313292"/>
      <w:bookmarkEnd w:id="93"/>
      <w:bookmarkStart w:id="94" w:name="_Toc184313271"/>
      <w:bookmarkEnd w:id="94"/>
      <w:bookmarkStart w:id="95" w:name="_Toc184312111"/>
      <w:bookmarkEnd w:id="95"/>
      <w:bookmarkStart w:id="96" w:name="_Toc184314411"/>
      <w:bookmarkEnd w:id="96"/>
      <w:bookmarkStart w:id="97" w:name="_Toc184313258"/>
      <w:bookmarkEnd w:id="97"/>
      <w:bookmarkStart w:id="98" w:name="_Toc184310285"/>
      <w:bookmarkEnd w:id="98"/>
      <w:bookmarkStart w:id="99" w:name="_Toc184313306"/>
      <w:bookmarkEnd w:id="99"/>
      <w:bookmarkStart w:id="100" w:name="_Toc184313262"/>
      <w:bookmarkEnd w:id="100"/>
      <w:bookmarkStart w:id="101" w:name="_Toc184310300"/>
      <w:bookmarkEnd w:id="101"/>
      <w:bookmarkStart w:id="102" w:name="_Toc184313240"/>
      <w:bookmarkEnd w:id="102"/>
      <w:bookmarkStart w:id="103" w:name="_Toc184310307"/>
      <w:bookmarkEnd w:id="103"/>
      <w:bookmarkStart w:id="104" w:name="_Toc184308058"/>
      <w:bookmarkEnd w:id="104"/>
      <w:bookmarkStart w:id="105" w:name="_Toc184312099"/>
      <w:bookmarkEnd w:id="105"/>
      <w:bookmarkStart w:id="106" w:name="_Toc184313287"/>
      <w:bookmarkEnd w:id="106"/>
      <w:bookmarkStart w:id="107" w:name="_Toc184314434"/>
      <w:bookmarkEnd w:id="107"/>
      <w:bookmarkStart w:id="108" w:name="_Toc184312090"/>
      <w:bookmarkEnd w:id="108"/>
      <w:bookmarkStart w:id="109" w:name="_Toc184308066"/>
      <w:bookmarkEnd w:id="109"/>
      <w:bookmarkStart w:id="110" w:name="_Toc184310338"/>
      <w:bookmarkEnd w:id="110"/>
      <w:bookmarkStart w:id="111" w:name="_Toc184313244"/>
      <w:bookmarkEnd w:id="111"/>
      <w:bookmarkStart w:id="112" w:name="_Toc184312125"/>
      <w:bookmarkEnd w:id="112"/>
      <w:bookmarkStart w:id="113" w:name="_Toc184308038"/>
      <w:bookmarkEnd w:id="113"/>
      <w:bookmarkStart w:id="114" w:name="_Toc184313272"/>
      <w:bookmarkEnd w:id="114"/>
      <w:bookmarkStart w:id="115" w:name="_Toc184313297"/>
      <w:bookmarkEnd w:id="115"/>
      <w:bookmarkStart w:id="116" w:name="_Toc184310291"/>
      <w:bookmarkEnd w:id="116"/>
      <w:bookmarkStart w:id="117" w:name="_Toc184312072"/>
      <w:bookmarkEnd w:id="117"/>
      <w:bookmarkStart w:id="118" w:name="_Toc184310286"/>
      <w:bookmarkEnd w:id="118"/>
      <w:bookmarkStart w:id="119" w:name="_Toc184314459"/>
      <w:bookmarkEnd w:id="119"/>
      <w:bookmarkStart w:id="120" w:name="_Toc184310332"/>
      <w:bookmarkEnd w:id="120"/>
      <w:bookmarkStart w:id="121" w:name="_Toc184310293"/>
      <w:bookmarkEnd w:id="121"/>
      <w:bookmarkStart w:id="122" w:name="_Toc184308091"/>
      <w:bookmarkEnd w:id="122"/>
      <w:bookmarkStart w:id="123" w:name="_Toc184313300"/>
      <w:bookmarkEnd w:id="123"/>
      <w:bookmarkStart w:id="124" w:name="_Toc184312083"/>
      <w:bookmarkEnd w:id="124"/>
      <w:bookmarkStart w:id="125" w:name="_Toc184310275"/>
      <w:bookmarkEnd w:id="125"/>
      <w:bookmarkStart w:id="126" w:name="_Toc184308100"/>
      <w:bookmarkEnd w:id="126"/>
      <w:bookmarkStart w:id="127" w:name="_Toc184310313"/>
      <w:bookmarkEnd w:id="127"/>
      <w:bookmarkStart w:id="128" w:name="_Toc184313310"/>
      <w:bookmarkEnd w:id="128"/>
      <w:bookmarkStart w:id="129" w:name="_Toc184314471"/>
      <w:bookmarkEnd w:id="129"/>
      <w:bookmarkStart w:id="130" w:name="_Toc184314481"/>
      <w:bookmarkEnd w:id="130"/>
      <w:bookmarkStart w:id="131" w:name="_Toc184308104"/>
      <w:bookmarkEnd w:id="131"/>
      <w:bookmarkStart w:id="132" w:name="_Toc184313238"/>
      <w:bookmarkEnd w:id="132"/>
      <w:bookmarkStart w:id="133" w:name="_Toc184312110"/>
      <w:bookmarkEnd w:id="133"/>
      <w:bookmarkStart w:id="134" w:name="_Toc184308043"/>
      <w:bookmarkEnd w:id="134"/>
      <w:bookmarkStart w:id="135" w:name="_Toc184314444"/>
      <w:bookmarkEnd w:id="135"/>
      <w:bookmarkStart w:id="136" w:name="_Toc184308098"/>
      <w:bookmarkEnd w:id="136"/>
      <w:bookmarkStart w:id="137" w:name="_Toc184308044"/>
      <w:bookmarkEnd w:id="137"/>
      <w:bookmarkStart w:id="138" w:name="_Toc184310343"/>
      <w:bookmarkEnd w:id="138"/>
      <w:bookmarkStart w:id="139" w:name="_Toc184308041"/>
      <w:bookmarkEnd w:id="139"/>
      <w:bookmarkStart w:id="140" w:name="_Toc184314477"/>
      <w:bookmarkEnd w:id="140"/>
      <w:bookmarkStart w:id="141" w:name="_Toc184310331"/>
      <w:bookmarkEnd w:id="141"/>
      <w:bookmarkStart w:id="142" w:name="_Toc184312091"/>
      <w:bookmarkEnd w:id="142"/>
      <w:bookmarkStart w:id="143" w:name="_Toc184310283"/>
      <w:bookmarkEnd w:id="143"/>
      <w:bookmarkStart w:id="144" w:name="_Toc184314429"/>
      <w:bookmarkEnd w:id="144"/>
      <w:bookmarkStart w:id="145" w:name="_Toc184312112"/>
      <w:bookmarkEnd w:id="145"/>
      <w:bookmarkStart w:id="146" w:name="_Toc184310288"/>
      <w:bookmarkEnd w:id="146"/>
      <w:bookmarkStart w:id="147" w:name="_Toc184310294"/>
      <w:bookmarkEnd w:id="147"/>
      <w:bookmarkStart w:id="148" w:name="_Toc184312136"/>
      <w:bookmarkEnd w:id="148"/>
      <w:bookmarkStart w:id="149" w:name="_Toc184308084"/>
      <w:bookmarkEnd w:id="149"/>
      <w:bookmarkStart w:id="150" w:name="_Toc184312073"/>
      <w:bookmarkEnd w:id="150"/>
      <w:bookmarkStart w:id="151" w:name="_Toc184308076"/>
      <w:bookmarkEnd w:id="151"/>
      <w:bookmarkStart w:id="152" w:name="_Toc184313298"/>
      <w:bookmarkEnd w:id="152"/>
      <w:bookmarkStart w:id="153" w:name="_Toc184313251"/>
      <w:bookmarkEnd w:id="153"/>
      <w:bookmarkStart w:id="154" w:name="_Toc184313254"/>
      <w:bookmarkEnd w:id="154"/>
      <w:bookmarkStart w:id="155" w:name="_Toc184312120"/>
      <w:bookmarkEnd w:id="155"/>
      <w:bookmarkStart w:id="156" w:name="_Toc184310279"/>
      <w:bookmarkEnd w:id="156"/>
      <w:bookmarkStart w:id="157" w:name="_Toc184308074"/>
      <w:bookmarkEnd w:id="157"/>
      <w:bookmarkStart w:id="158" w:name="_Toc184308081"/>
      <w:bookmarkEnd w:id="158"/>
      <w:bookmarkStart w:id="159" w:name="_Toc184310306"/>
      <w:bookmarkEnd w:id="159"/>
      <w:bookmarkStart w:id="160" w:name="_Toc184312121"/>
      <w:bookmarkEnd w:id="160"/>
      <w:bookmarkStart w:id="161" w:name="_Toc184314425"/>
      <w:bookmarkEnd w:id="161"/>
      <w:bookmarkStart w:id="162" w:name="_Toc184313294"/>
      <w:bookmarkEnd w:id="162"/>
      <w:bookmarkStart w:id="163" w:name="_Toc184313281"/>
      <w:bookmarkEnd w:id="163"/>
      <w:bookmarkStart w:id="164" w:name="_Toc184312128"/>
      <w:bookmarkEnd w:id="164"/>
      <w:bookmarkStart w:id="165" w:name="_Toc184312075"/>
      <w:bookmarkEnd w:id="165"/>
      <w:bookmarkStart w:id="166" w:name="_Toc184308096"/>
      <w:bookmarkEnd w:id="166"/>
      <w:bookmarkStart w:id="167" w:name="_Toc184308083"/>
      <w:bookmarkEnd w:id="167"/>
      <w:bookmarkStart w:id="168" w:name="_Toc184313305"/>
      <w:bookmarkEnd w:id="168"/>
      <w:bookmarkStart w:id="169" w:name="_Toc184313276"/>
      <w:bookmarkEnd w:id="169"/>
      <w:bookmarkStart w:id="170" w:name="_Toc184308075"/>
      <w:bookmarkEnd w:id="170"/>
      <w:bookmarkStart w:id="171" w:name="_Toc184310301"/>
      <w:bookmarkEnd w:id="171"/>
      <w:bookmarkStart w:id="172" w:name="_Toc184313239"/>
      <w:bookmarkEnd w:id="172"/>
      <w:bookmarkStart w:id="173" w:name="_Toc184312071"/>
      <w:bookmarkEnd w:id="173"/>
      <w:bookmarkStart w:id="174" w:name="_Toc184308095"/>
      <w:bookmarkEnd w:id="174"/>
      <w:bookmarkStart w:id="175" w:name="_Toc184312081"/>
      <w:bookmarkEnd w:id="175"/>
      <w:bookmarkStart w:id="176" w:name="_Toc184313245"/>
      <w:bookmarkEnd w:id="176"/>
      <w:bookmarkStart w:id="177" w:name="_Toc184313304"/>
      <w:bookmarkEnd w:id="177"/>
      <w:bookmarkStart w:id="178" w:name="_Toc184314420"/>
      <w:bookmarkEnd w:id="178"/>
      <w:bookmarkStart w:id="179" w:name="_Toc184312106"/>
      <w:bookmarkEnd w:id="179"/>
      <w:bookmarkStart w:id="180" w:name="_Toc184308067"/>
      <w:bookmarkEnd w:id="180"/>
      <w:bookmarkStart w:id="181" w:name="_Toc184310340"/>
      <w:bookmarkEnd w:id="181"/>
      <w:bookmarkStart w:id="182" w:name="_Toc184310328"/>
      <w:bookmarkEnd w:id="182"/>
      <w:bookmarkStart w:id="183" w:name="_Toc184308055"/>
      <w:bookmarkEnd w:id="183"/>
      <w:bookmarkStart w:id="184" w:name="_Toc184308082"/>
      <w:bookmarkEnd w:id="184"/>
      <w:bookmarkStart w:id="185" w:name="_Toc184310274"/>
      <w:bookmarkEnd w:id="185"/>
      <w:bookmarkStart w:id="186" w:name="_Toc184308060"/>
      <w:bookmarkEnd w:id="186"/>
      <w:bookmarkStart w:id="187" w:name="_Toc184313263"/>
      <w:bookmarkEnd w:id="187"/>
      <w:bookmarkStart w:id="188" w:name="_Toc184314416"/>
      <w:bookmarkEnd w:id="188"/>
      <w:bookmarkStart w:id="189" w:name="_Toc184312127"/>
      <w:bookmarkEnd w:id="189"/>
      <w:bookmarkStart w:id="190" w:name="_Toc184312130"/>
      <w:bookmarkEnd w:id="190"/>
      <w:bookmarkStart w:id="191" w:name="_Toc184312123"/>
      <w:bookmarkEnd w:id="191"/>
      <w:bookmarkStart w:id="192" w:name="_Toc184308050"/>
      <w:bookmarkEnd w:id="192"/>
      <w:bookmarkStart w:id="193" w:name="_Toc184314422"/>
      <w:bookmarkEnd w:id="193"/>
      <w:bookmarkStart w:id="194" w:name="_Toc184314462"/>
      <w:bookmarkEnd w:id="194"/>
      <w:bookmarkStart w:id="195" w:name="_Toc184313274"/>
      <w:bookmarkEnd w:id="195"/>
      <w:bookmarkStart w:id="196" w:name="_Toc184313273"/>
      <w:bookmarkEnd w:id="196"/>
      <w:bookmarkStart w:id="197" w:name="_Toc184308054"/>
      <w:bookmarkEnd w:id="197"/>
      <w:bookmarkStart w:id="198" w:name="_Toc184308093"/>
      <w:bookmarkEnd w:id="198"/>
      <w:bookmarkStart w:id="199" w:name="_Toc184314419"/>
      <w:bookmarkEnd w:id="199"/>
      <w:bookmarkStart w:id="200" w:name="_Toc184308068"/>
      <w:bookmarkEnd w:id="200"/>
      <w:bookmarkStart w:id="201" w:name="_Toc184314454"/>
      <w:bookmarkEnd w:id="201"/>
      <w:bookmarkStart w:id="202" w:name="_Toc184314433"/>
      <w:bookmarkEnd w:id="202"/>
      <w:bookmarkStart w:id="203" w:name="_Toc184308087"/>
      <w:bookmarkEnd w:id="203"/>
      <w:bookmarkStart w:id="204" w:name="_Toc184312088"/>
      <w:bookmarkEnd w:id="204"/>
      <w:bookmarkStart w:id="205" w:name="_Toc184308049"/>
      <w:bookmarkEnd w:id="205"/>
      <w:bookmarkStart w:id="206" w:name="_Toc184308101"/>
      <w:bookmarkEnd w:id="206"/>
      <w:bookmarkStart w:id="207" w:name="_Toc184314437"/>
      <w:bookmarkEnd w:id="207"/>
      <w:bookmarkStart w:id="208" w:name="_Toc184314424"/>
      <w:bookmarkEnd w:id="208"/>
      <w:bookmarkStart w:id="209" w:name="_Toc184308059"/>
      <w:bookmarkEnd w:id="209"/>
      <w:bookmarkStart w:id="210" w:name="_Toc184310273"/>
      <w:bookmarkEnd w:id="210"/>
      <w:bookmarkStart w:id="211" w:name="_Toc184313277"/>
      <w:bookmarkEnd w:id="211"/>
      <w:bookmarkStart w:id="212" w:name="_Toc184308039"/>
      <w:bookmarkEnd w:id="212"/>
      <w:bookmarkStart w:id="213" w:name="_Toc184313255"/>
      <w:bookmarkEnd w:id="213"/>
      <w:bookmarkStart w:id="214" w:name="_Toc184310322"/>
      <w:bookmarkEnd w:id="214"/>
      <w:bookmarkStart w:id="215" w:name="_Toc184314466"/>
      <w:bookmarkEnd w:id="215"/>
      <w:bookmarkStart w:id="216" w:name="_Toc184314441"/>
      <w:bookmarkEnd w:id="216"/>
      <w:bookmarkStart w:id="217" w:name="_Toc184310299"/>
      <w:bookmarkEnd w:id="217"/>
      <w:bookmarkStart w:id="218" w:name="_Toc184310316"/>
      <w:bookmarkEnd w:id="218"/>
      <w:bookmarkStart w:id="219" w:name="_Toc184314447"/>
      <w:bookmarkEnd w:id="219"/>
      <w:bookmarkStart w:id="220" w:name="_Toc184310326"/>
      <w:bookmarkEnd w:id="220"/>
      <w:bookmarkStart w:id="221" w:name="_Toc184313302"/>
      <w:bookmarkEnd w:id="221"/>
      <w:bookmarkStart w:id="222" w:name="_Toc184314446"/>
      <w:bookmarkEnd w:id="222"/>
      <w:bookmarkStart w:id="223" w:name="_Toc184313249"/>
      <w:bookmarkEnd w:id="223"/>
      <w:bookmarkStart w:id="224" w:name="_Toc184314438"/>
      <w:bookmarkEnd w:id="224"/>
      <w:bookmarkStart w:id="225" w:name="_Toc184310305"/>
      <w:bookmarkEnd w:id="225"/>
      <w:bookmarkStart w:id="226" w:name="_Toc184313289"/>
      <w:bookmarkEnd w:id="226"/>
      <w:bookmarkStart w:id="227" w:name="_Toc184313309"/>
      <w:bookmarkEnd w:id="227"/>
      <w:bookmarkStart w:id="228" w:name="_Toc184310310"/>
      <w:bookmarkEnd w:id="228"/>
      <w:bookmarkStart w:id="229" w:name="_Toc184312074"/>
      <w:bookmarkEnd w:id="229"/>
      <w:bookmarkStart w:id="230" w:name="_Toc184313257"/>
      <w:bookmarkEnd w:id="230"/>
      <w:bookmarkStart w:id="231" w:name="_Toc184308064"/>
      <w:bookmarkEnd w:id="231"/>
      <w:bookmarkStart w:id="232" w:name="_Toc184308036"/>
      <w:bookmarkEnd w:id="232"/>
      <w:bookmarkStart w:id="233" w:name="_Toc184308051"/>
      <w:bookmarkEnd w:id="233"/>
      <w:bookmarkStart w:id="234" w:name="_Toc184308094"/>
      <w:bookmarkEnd w:id="234"/>
      <w:bookmarkStart w:id="235" w:name="_Toc184308069"/>
      <w:bookmarkEnd w:id="235"/>
      <w:bookmarkStart w:id="236" w:name="_Toc184314418"/>
      <w:bookmarkEnd w:id="236"/>
      <w:bookmarkStart w:id="237" w:name="_Toc184308108"/>
      <w:bookmarkEnd w:id="237"/>
      <w:bookmarkStart w:id="238" w:name="_Toc184312094"/>
      <w:bookmarkEnd w:id="238"/>
      <w:bookmarkStart w:id="239" w:name="_Toc184310342"/>
      <w:bookmarkEnd w:id="239"/>
      <w:bookmarkStart w:id="240" w:name="_Toc184314430"/>
      <w:bookmarkEnd w:id="240"/>
      <w:bookmarkStart w:id="241" w:name="_Toc184312084"/>
      <w:bookmarkEnd w:id="241"/>
      <w:bookmarkStart w:id="242" w:name="_Toc184314427"/>
      <w:bookmarkEnd w:id="242"/>
      <w:bookmarkStart w:id="243" w:name="_Toc184313299"/>
      <w:bookmarkEnd w:id="243"/>
      <w:bookmarkStart w:id="244" w:name="_Toc184312113"/>
      <w:bookmarkEnd w:id="244"/>
      <w:bookmarkStart w:id="245" w:name="_Toc184313264"/>
      <w:bookmarkEnd w:id="245"/>
      <w:bookmarkStart w:id="246" w:name="_Toc184310324"/>
      <w:bookmarkEnd w:id="246"/>
      <w:bookmarkStart w:id="247" w:name="_Toc184312076"/>
      <w:bookmarkEnd w:id="247"/>
      <w:bookmarkStart w:id="248" w:name="_Toc184308061"/>
      <w:bookmarkEnd w:id="248"/>
      <w:bookmarkStart w:id="249" w:name="_Toc184313266"/>
      <w:bookmarkEnd w:id="249"/>
      <w:bookmarkStart w:id="250" w:name="_Toc184310276"/>
      <w:bookmarkEnd w:id="250"/>
      <w:bookmarkStart w:id="251" w:name="_Toc184310327"/>
      <w:bookmarkEnd w:id="251"/>
      <w:bookmarkStart w:id="252" w:name="_Toc184313252"/>
      <w:bookmarkEnd w:id="252"/>
      <w:bookmarkStart w:id="253" w:name="_Toc184312093"/>
      <w:bookmarkEnd w:id="253"/>
      <w:bookmarkStart w:id="254" w:name="_Toc184308048"/>
      <w:bookmarkEnd w:id="254"/>
      <w:bookmarkStart w:id="255" w:name="_Toc184310315"/>
      <w:bookmarkEnd w:id="255"/>
      <w:bookmarkStart w:id="256" w:name="_Toc184308062"/>
      <w:bookmarkEnd w:id="256"/>
      <w:bookmarkStart w:id="257" w:name="_Toc184308040"/>
      <w:bookmarkEnd w:id="257"/>
      <w:bookmarkStart w:id="258" w:name="_Toc184312122"/>
      <w:bookmarkEnd w:id="258"/>
      <w:bookmarkStart w:id="259" w:name="_Toc184314450"/>
      <w:bookmarkEnd w:id="259"/>
      <w:bookmarkStart w:id="260" w:name="_Toc184310304"/>
      <w:bookmarkEnd w:id="260"/>
      <w:bookmarkStart w:id="261" w:name="_Toc184308065"/>
      <w:bookmarkEnd w:id="261"/>
      <w:bookmarkStart w:id="262" w:name="_Toc184312129"/>
      <w:bookmarkEnd w:id="262"/>
      <w:bookmarkStart w:id="263" w:name="_Toc184310278"/>
      <w:bookmarkEnd w:id="263"/>
      <w:bookmarkStart w:id="264" w:name="_Toc184310312"/>
      <w:bookmarkEnd w:id="264"/>
      <w:bookmarkStart w:id="265" w:name="_Toc184308105"/>
      <w:bookmarkEnd w:id="265"/>
      <w:bookmarkStart w:id="266" w:name="_Toc184313268"/>
      <w:bookmarkEnd w:id="266"/>
      <w:bookmarkStart w:id="267" w:name="_Toc184314421"/>
      <w:bookmarkEnd w:id="267"/>
      <w:bookmarkStart w:id="268" w:name="_Toc184310287"/>
      <w:bookmarkEnd w:id="268"/>
      <w:bookmarkStart w:id="269" w:name="_Toc184312103"/>
      <w:bookmarkEnd w:id="269"/>
      <w:bookmarkStart w:id="270" w:name="_Toc184314472"/>
      <w:bookmarkEnd w:id="270"/>
      <w:bookmarkStart w:id="271" w:name="_Toc184308106"/>
      <w:bookmarkEnd w:id="271"/>
      <w:bookmarkStart w:id="272" w:name="_Toc184308103"/>
      <w:bookmarkEnd w:id="272"/>
      <w:bookmarkStart w:id="273" w:name="_Toc184313290"/>
      <w:bookmarkEnd w:id="273"/>
      <w:bookmarkStart w:id="274" w:name="_Toc184310341"/>
      <w:bookmarkEnd w:id="274"/>
      <w:bookmarkStart w:id="275" w:name="_Toc184308107"/>
      <w:bookmarkEnd w:id="275"/>
      <w:bookmarkStart w:id="276" w:name="_Toc184308078"/>
      <w:bookmarkEnd w:id="276"/>
      <w:bookmarkStart w:id="277" w:name="_Toc184308046"/>
      <w:bookmarkEnd w:id="277"/>
      <w:bookmarkStart w:id="278" w:name="_Toc184312068"/>
      <w:bookmarkEnd w:id="278"/>
      <w:bookmarkStart w:id="279" w:name="_Toc184308052"/>
      <w:bookmarkEnd w:id="279"/>
      <w:bookmarkStart w:id="280" w:name="_Toc184310314"/>
      <w:bookmarkEnd w:id="280"/>
      <w:bookmarkStart w:id="281" w:name="_Toc184310309"/>
      <w:bookmarkEnd w:id="281"/>
      <w:bookmarkStart w:id="282" w:name="_Toc184313260"/>
      <w:bookmarkEnd w:id="282"/>
      <w:bookmarkStart w:id="283" w:name="_Toc184314469"/>
      <w:bookmarkEnd w:id="283"/>
      <w:bookmarkStart w:id="284" w:name="_Toc184314413"/>
      <w:bookmarkEnd w:id="284"/>
      <w:bookmarkStart w:id="285" w:name="_Toc184313248"/>
      <w:bookmarkEnd w:id="285"/>
      <w:bookmarkStart w:id="286" w:name="_Toc184313246"/>
      <w:bookmarkEnd w:id="286"/>
      <w:bookmarkStart w:id="287" w:name="_Toc184310319"/>
      <w:bookmarkEnd w:id="287"/>
      <w:bookmarkStart w:id="288" w:name="_Toc184313308"/>
      <w:bookmarkEnd w:id="288"/>
      <w:bookmarkStart w:id="289" w:name="_Toc184308070"/>
      <w:bookmarkEnd w:id="289"/>
      <w:bookmarkStart w:id="290" w:name="_Toc184314412"/>
      <w:bookmarkEnd w:id="290"/>
      <w:bookmarkStart w:id="291" w:name="_Toc184312078"/>
      <w:bookmarkEnd w:id="291"/>
      <w:bookmarkStart w:id="292" w:name="_Toc184310272"/>
      <w:bookmarkEnd w:id="292"/>
      <w:bookmarkStart w:id="293" w:name="_Toc184314452"/>
      <w:bookmarkEnd w:id="293"/>
      <w:bookmarkStart w:id="294" w:name="_Toc184314415"/>
      <w:bookmarkEnd w:id="294"/>
      <w:bookmarkStart w:id="295" w:name="_Toc184314455"/>
      <w:bookmarkEnd w:id="295"/>
      <w:bookmarkStart w:id="296" w:name="_Toc184308099"/>
      <w:bookmarkEnd w:id="296"/>
      <w:bookmarkStart w:id="297" w:name="_Toc184312082"/>
      <w:bookmarkEnd w:id="297"/>
      <w:bookmarkStart w:id="298" w:name="_Toc184314443"/>
      <w:bookmarkEnd w:id="298"/>
      <w:bookmarkStart w:id="299" w:name="_Toc184314476"/>
      <w:bookmarkEnd w:id="299"/>
      <w:bookmarkStart w:id="300" w:name="_Toc184312086"/>
      <w:bookmarkEnd w:id="300"/>
      <w:bookmarkStart w:id="301" w:name="_Toc184314439"/>
      <w:bookmarkEnd w:id="301"/>
      <w:bookmarkStart w:id="302" w:name="_Toc184312100"/>
      <w:bookmarkEnd w:id="302"/>
      <w:bookmarkStart w:id="303" w:name="_Toc184313253"/>
      <w:bookmarkEnd w:id="303"/>
      <w:bookmarkStart w:id="304" w:name="_Toc184310323"/>
      <w:bookmarkEnd w:id="304"/>
      <w:bookmarkStart w:id="305" w:name="_Toc184314428"/>
      <w:bookmarkEnd w:id="305"/>
      <w:bookmarkStart w:id="306" w:name="_Toc184312070"/>
      <w:bookmarkEnd w:id="306"/>
      <w:bookmarkStart w:id="307" w:name="_Toc184314442"/>
      <w:bookmarkEnd w:id="307"/>
      <w:bookmarkStart w:id="308" w:name="_Toc184310339"/>
      <w:bookmarkEnd w:id="308"/>
      <w:bookmarkStart w:id="309" w:name="_Toc184314435"/>
      <w:bookmarkEnd w:id="309"/>
      <w:bookmarkStart w:id="310" w:name="_Toc184308037"/>
      <w:bookmarkEnd w:id="310"/>
      <w:bookmarkStart w:id="311" w:name="_Toc184312092"/>
      <w:bookmarkEnd w:id="311"/>
      <w:bookmarkStart w:id="312" w:name="_Toc184310302"/>
      <w:bookmarkEnd w:id="312"/>
      <w:bookmarkStart w:id="313" w:name="_Toc184312117"/>
      <w:bookmarkEnd w:id="313"/>
      <w:bookmarkStart w:id="314" w:name="_Toc184313283"/>
      <w:bookmarkEnd w:id="314"/>
      <w:bookmarkStart w:id="315" w:name="_Toc184312067"/>
      <w:bookmarkEnd w:id="315"/>
      <w:bookmarkStart w:id="316" w:name="_Toc184308092"/>
      <w:bookmarkEnd w:id="316"/>
      <w:bookmarkStart w:id="317" w:name="_Toc184312069"/>
      <w:bookmarkEnd w:id="317"/>
      <w:bookmarkStart w:id="318" w:name="_Toc184314456"/>
      <w:bookmarkEnd w:id="318"/>
      <w:bookmarkStart w:id="319" w:name="_Toc184313296"/>
      <w:bookmarkEnd w:id="319"/>
      <w:bookmarkStart w:id="320" w:name="_Toc184310280"/>
      <w:bookmarkEnd w:id="320"/>
      <w:bookmarkStart w:id="321" w:name="_Toc184312101"/>
      <w:bookmarkEnd w:id="321"/>
      <w:bookmarkStart w:id="322" w:name="_Toc184314458"/>
      <w:bookmarkEnd w:id="322"/>
      <w:bookmarkStart w:id="323" w:name="_Toc184312105"/>
      <w:bookmarkEnd w:id="323"/>
      <w:bookmarkStart w:id="324" w:name="_Toc184310296"/>
      <w:bookmarkEnd w:id="324"/>
      <w:bookmarkStart w:id="325" w:name="_Toc184313243"/>
      <w:bookmarkEnd w:id="325"/>
      <w:bookmarkStart w:id="326" w:name="_Toc184312118"/>
      <w:bookmarkEnd w:id="326"/>
      <w:bookmarkStart w:id="327" w:name="_Toc184313242"/>
      <w:bookmarkEnd w:id="327"/>
      <w:bookmarkStart w:id="328" w:name="_Toc184313269"/>
      <w:bookmarkEnd w:id="328"/>
      <w:bookmarkStart w:id="329" w:name="_Toc184314461"/>
      <w:bookmarkEnd w:id="329"/>
      <w:bookmarkStart w:id="330" w:name="_Toc184310317"/>
      <w:bookmarkEnd w:id="330"/>
      <w:bookmarkStart w:id="331" w:name="_Toc184308086"/>
      <w:bookmarkEnd w:id="331"/>
      <w:bookmarkStart w:id="332" w:name="_Toc184310308"/>
      <w:bookmarkEnd w:id="332"/>
      <w:bookmarkStart w:id="333" w:name="_Toc184313285"/>
      <w:bookmarkEnd w:id="333"/>
      <w:bookmarkStart w:id="334" w:name="_Toc184310321"/>
      <w:bookmarkEnd w:id="334"/>
      <w:bookmarkStart w:id="335" w:name="_Toc184313284"/>
      <w:bookmarkEnd w:id="335"/>
      <w:bookmarkStart w:id="336" w:name="_Toc184313261"/>
      <w:bookmarkEnd w:id="336"/>
      <w:bookmarkStart w:id="337" w:name="_Toc184314479"/>
      <w:bookmarkEnd w:id="337"/>
      <w:bookmarkStart w:id="338" w:name="_Toc184308047"/>
      <w:bookmarkEnd w:id="338"/>
      <w:bookmarkStart w:id="339" w:name="_Toc184314470"/>
      <w:bookmarkEnd w:id="339"/>
      <w:bookmarkStart w:id="340" w:name="_Toc184313307"/>
      <w:bookmarkEnd w:id="340"/>
      <w:bookmarkStart w:id="341" w:name="_Toc184314463"/>
      <w:bookmarkEnd w:id="341"/>
      <w:bookmarkStart w:id="342" w:name="_Toc184312089"/>
      <w:bookmarkEnd w:id="342"/>
      <w:bookmarkStart w:id="343" w:name="_Toc184310303"/>
      <w:bookmarkEnd w:id="343"/>
      <w:bookmarkStart w:id="344" w:name="_Toc184310330"/>
      <w:bookmarkEnd w:id="344"/>
      <w:bookmarkStart w:id="345" w:name="_Toc184313247"/>
      <w:bookmarkEnd w:id="345"/>
      <w:bookmarkStart w:id="346" w:name="_Toc184312098"/>
      <w:bookmarkEnd w:id="346"/>
      <w:bookmarkStart w:id="347" w:name="_Toc184310320"/>
      <w:bookmarkEnd w:id="347"/>
      <w:bookmarkStart w:id="348" w:name="_Toc184310298"/>
      <w:bookmarkEnd w:id="348"/>
      <w:bookmarkStart w:id="349" w:name="_Toc184312109"/>
      <w:bookmarkEnd w:id="349"/>
      <w:bookmarkStart w:id="350" w:name="_Toc184308072"/>
      <w:bookmarkEnd w:id="350"/>
      <w:bookmarkStart w:id="351" w:name="_Toc184310344"/>
      <w:bookmarkEnd w:id="351"/>
      <w:bookmarkStart w:id="352" w:name="_Toc184308053"/>
      <w:bookmarkEnd w:id="352"/>
      <w:bookmarkStart w:id="353" w:name="_Toc184314410"/>
      <w:bookmarkEnd w:id="353"/>
      <w:bookmarkStart w:id="354" w:name="_Toc184314445"/>
      <w:bookmarkEnd w:id="354"/>
      <w:bookmarkStart w:id="355" w:name="_Toc184314417"/>
      <w:bookmarkEnd w:id="355"/>
      <w:bookmarkStart w:id="356" w:name="_Toc184310289"/>
      <w:bookmarkEnd w:id="356"/>
      <w:bookmarkStart w:id="357" w:name="_Toc184310334"/>
      <w:bookmarkEnd w:id="357"/>
      <w:bookmarkStart w:id="358" w:name="_Toc184314465"/>
      <w:bookmarkEnd w:id="358"/>
      <w:bookmarkStart w:id="359" w:name="_Toc184308073"/>
      <w:bookmarkEnd w:id="359"/>
      <w:bookmarkStart w:id="360" w:name="_Toc184312102"/>
      <w:bookmarkEnd w:id="360"/>
      <w:bookmarkStart w:id="361" w:name="_Toc184308102"/>
      <w:bookmarkEnd w:id="361"/>
      <w:bookmarkStart w:id="362" w:name="_Toc184314478"/>
      <w:bookmarkEnd w:id="362"/>
      <w:bookmarkStart w:id="363" w:name="_Toc184308088"/>
      <w:bookmarkEnd w:id="363"/>
      <w:bookmarkStart w:id="364" w:name="_Toc184308079"/>
      <w:bookmarkEnd w:id="364"/>
      <w:bookmarkStart w:id="365" w:name="_Toc184312137"/>
      <w:bookmarkEnd w:id="365"/>
      <w:bookmarkStart w:id="366" w:name="_Toc184313286"/>
      <w:bookmarkEnd w:id="366"/>
      <w:bookmarkStart w:id="367" w:name="_Toc184308077"/>
      <w:bookmarkEnd w:id="367"/>
      <w:bookmarkStart w:id="368" w:name="_Toc184310282"/>
      <w:bookmarkEnd w:id="368"/>
      <w:bookmarkStart w:id="369" w:name="_Toc184310277"/>
      <w:bookmarkEnd w:id="369"/>
      <w:bookmarkStart w:id="370" w:name="_Toc184312139"/>
      <w:bookmarkEnd w:id="370"/>
      <w:bookmarkStart w:id="371" w:name="_Toc184314432"/>
      <w:bookmarkEnd w:id="371"/>
      <w:bookmarkStart w:id="372" w:name="_Toc184312095"/>
      <w:bookmarkEnd w:id="372"/>
      <w:bookmarkStart w:id="373" w:name="_Toc184312080"/>
      <w:bookmarkEnd w:id="373"/>
      <w:bookmarkStart w:id="374" w:name="_Toc184308042"/>
      <w:bookmarkEnd w:id="374"/>
      <w:bookmarkStart w:id="375" w:name="_Toc184308080"/>
      <w:bookmarkEnd w:id="375"/>
      <w:bookmarkStart w:id="376" w:name="_Toc184314460"/>
      <w:bookmarkEnd w:id="376"/>
      <w:bookmarkStart w:id="377" w:name="_Toc184313291"/>
      <w:bookmarkEnd w:id="377"/>
      <w:bookmarkStart w:id="378" w:name="_Toc184313250"/>
      <w:bookmarkEnd w:id="378"/>
      <w:bookmarkStart w:id="379" w:name="_Toc184314451"/>
      <w:bookmarkEnd w:id="379"/>
      <w:bookmarkStart w:id="380" w:name="_Toc184310290"/>
      <w:bookmarkEnd w:id="380"/>
      <w:bookmarkStart w:id="381" w:name="_Toc184312126"/>
      <w:bookmarkEnd w:id="381"/>
      <w:bookmarkStart w:id="382" w:name="_Toc184313295"/>
      <w:bookmarkEnd w:id="382"/>
      <w:bookmarkStart w:id="383" w:name="_Toc184314414"/>
      <w:bookmarkEnd w:id="383"/>
      <w:bookmarkStart w:id="384" w:name="_Toc184310318"/>
      <w:bookmarkEnd w:id="384"/>
      <w:bookmarkStart w:id="385" w:name="_Toc184314448"/>
      <w:bookmarkEnd w:id="385"/>
      <w:bookmarkStart w:id="386" w:name="_Toc184310329"/>
      <w:bookmarkEnd w:id="386"/>
      <w:bookmarkStart w:id="387" w:name="_Toc184310297"/>
      <w:bookmarkEnd w:id="387"/>
      <w:bookmarkStart w:id="388" w:name="_Toc184314440"/>
      <w:bookmarkEnd w:id="388"/>
      <w:bookmarkStart w:id="389" w:name="_Toc184308085"/>
      <w:bookmarkEnd w:id="389"/>
      <w:bookmarkStart w:id="390" w:name="_Toc184314468"/>
      <w:bookmarkEnd w:id="390"/>
      <w:r>
        <w:rPr>
          <w:rFonts w:hint="eastAsia" w:ascii="宋体" w:hAnsi="宋体" w:cs="宋体"/>
          <w:b/>
          <w:sz w:val="36"/>
          <w:szCs w:val="36"/>
        </w:rPr>
        <w:t>交易办法</w:t>
      </w:r>
    </w:p>
    <w:p>
      <w:pPr>
        <w:snapToGrid w:val="0"/>
        <w:spacing w:line="360" w:lineRule="auto"/>
        <w:jc w:val="center"/>
        <w:rPr>
          <w:rFonts w:ascii="宋体" w:hAnsi="宋体" w:cs="宋体"/>
          <w:b/>
          <w:sz w:val="32"/>
          <w:szCs w:val="20"/>
        </w:rPr>
      </w:pPr>
      <w:r>
        <w:rPr>
          <w:rFonts w:hint="eastAsia" w:ascii="宋体" w:hAnsi="宋体" w:cs="宋体"/>
          <w:b/>
          <w:sz w:val="32"/>
          <w:szCs w:val="20"/>
        </w:rPr>
        <w:t>交易办法前附表</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w:t>
      </w:r>
      <w:r>
        <w:rPr>
          <w:rFonts w:hint="eastAsia" w:ascii="宋体" w:hAnsi="宋体" w:cs="宋体"/>
          <w:b/>
          <w:bCs/>
          <w:sz w:val="24"/>
          <w:highlight w:val="none"/>
          <w:lang w:eastAsia="zh-CN"/>
        </w:rPr>
        <w:t>资信</w:t>
      </w:r>
      <w:r>
        <w:rPr>
          <w:rFonts w:hint="eastAsia" w:ascii="宋体" w:hAnsi="宋体" w:cs="宋体"/>
          <w:b/>
          <w:bCs/>
          <w:sz w:val="24"/>
          <w:highlight w:val="none"/>
        </w:rPr>
        <w:t>技术部分（</w:t>
      </w:r>
      <w:r>
        <w:rPr>
          <w:rFonts w:ascii="宋体" w:hAnsi="宋体" w:cs="宋体"/>
          <w:b/>
          <w:bCs/>
          <w:sz w:val="24"/>
          <w:highlight w:val="none"/>
        </w:rPr>
        <w:t>6</w:t>
      </w:r>
      <w:r>
        <w:rPr>
          <w:rFonts w:hint="eastAsia" w:ascii="宋体" w:hAnsi="宋体" w:cs="宋体"/>
          <w:b/>
          <w:bCs/>
          <w:sz w:val="24"/>
          <w:highlight w:val="none"/>
        </w:rPr>
        <w:t>0分）：</w:t>
      </w:r>
    </w:p>
    <w:tbl>
      <w:tblPr>
        <w:tblStyle w:val="66"/>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950"/>
        <w:gridCol w:w="5812"/>
        <w:gridCol w:w="705"/>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7589" w:type="dxa"/>
            <w:gridSpan w:val="3"/>
            <w:vAlign w:val="center"/>
          </w:tcPr>
          <w:p>
            <w:pPr>
              <w:spacing w:line="400" w:lineRule="exact"/>
              <w:jc w:val="center"/>
              <w:rPr>
                <w:rFonts w:ascii="宋体" w:hAnsi="宋体"/>
                <w:sz w:val="24"/>
                <w:highlight w:val="none"/>
              </w:rPr>
            </w:pPr>
            <w:r>
              <w:rPr>
                <w:rFonts w:hint="eastAsia" w:ascii="宋体" w:hAnsi="宋体"/>
                <w:sz w:val="24"/>
                <w:highlight w:val="none"/>
              </w:rPr>
              <w:t>评审内容及分值</w:t>
            </w:r>
          </w:p>
        </w:tc>
        <w:tc>
          <w:tcPr>
            <w:tcW w:w="705" w:type="dxa"/>
            <w:vAlign w:val="center"/>
          </w:tcPr>
          <w:p>
            <w:pPr>
              <w:spacing w:line="400" w:lineRule="exact"/>
              <w:jc w:val="center"/>
              <w:rPr>
                <w:rFonts w:ascii="宋体" w:hAnsi="宋体"/>
                <w:sz w:val="24"/>
                <w:highlight w:val="none"/>
              </w:rPr>
            </w:pPr>
            <w:r>
              <w:rPr>
                <w:rFonts w:hint="eastAsia" w:ascii="宋体" w:hAnsi="宋体"/>
                <w:sz w:val="24"/>
                <w:highlight w:val="none"/>
              </w:rPr>
              <w:t>评分</w:t>
            </w:r>
          </w:p>
          <w:p>
            <w:pPr>
              <w:spacing w:line="400" w:lineRule="exact"/>
              <w:jc w:val="center"/>
              <w:rPr>
                <w:rFonts w:ascii="宋体" w:hAnsi="宋体"/>
                <w:sz w:val="24"/>
                <w:highlight w:val="none"/>
              </w:rPr>
            </w:pPr>
            <w:r>
              <w:rPr>
                <w:rFonts w:hint="eastAsia" w:ascii="宋体" w:hAnsi="宋体"/>
                <w:sz w:val="24"/>
                <w:highlight w:val="none"/>
              </w:rPr>
              <w:t>区间</w:t>
            </w:r>
          </w:p>
        </w:tc>
        <w:tc>
          <w:tcPr>
            <w:tcW w:w="955" w:type="dxa"/>
            <w:vAlign w:val="center"/>
          </w:tcPr>
          <w:p>
            <w:pPr>
              <w:spacing w:line="400" w:lineRule="exact"/>
              <w:jc w:val="center"/>
              <w:rPr>
                <w:rFonts w:ascii="宋体" w:hAnsi="宋体"/>
                <w:sz w:val="24"/>
                <w:highlight w:val="none"/>
              </w:rPr>
            </w:pPr>
            <w:r>
              <w:rPr>
                <w:rFonts w:hint="eastAsia" w:ascii="宋体" w:hAnsi="宋体"/>
                <w:sz w:val="24"/>
                <w:highlight w:val="none"/>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827" w:type="dxa"/>
            <w:vMerge w:val="restart"/>
            <w:vAlign w:val="center"/>
          </w:tcPr>
          <w:p>
            <w:pPr>
              <w:spacing w:line="300" w:lineRule="exact"/>
              <w:jc w:val="center"/>
              <w:rPr>
                <w:rFonts w:ascii="宋体" w:hAnsi="宋体"/>
                <w:sz w:val="24"/>
                <w:highlight w:val="none"/>
              </w:rPr>
            </w:pPr>
            <w:r>
              <w:rPr>
                <w:rFonts w:hint="eastAsia" w:ascii="宋体" w:hAnsi="宋体"/>
                <w:sz w:val="24"/>
                <w:highlight w:val="none"/>
              </w:rPr>
              <w:t>资信分</w:t>
            </w:r>
          </w:p>
          <w:p>
            <w:pPr>
              <w:spacing w:line="300" w:lineRule="exact"/>
              <w:jc w:val="center"/>
              <w:rPr>
                <w:rFonts w:ascii="宋体" w:hAnsi="宋体"/>
                <w:sz w:val="24"/>
                <w:highlight w:val="none"/>
              </w:rPr>
            </w:pPr>
            <w:r>
              <w:rPr>
                <w:rFonts w:hint="eastAsia" w:ascii="宋体" w:hAnsi="宋体"/>
                <w:sz w:val="24"/>
                <w:highlight w:val="none"/>
              </w:rPr>
              <w:t>（</w:t>
            </w:r>
            <w:r>
              <w:rPr>
                <w:rFonts w:ascii="宋体" w:hAnsi="宋体"/>
                <w:sz w:val="24"/>
                <w:highlight w:val="none"/>
              </w:rPr>
              <w:t>20</w:t>
            </w:r>
            <w:r>
              <w:rPr>
                <w:rFonts w:hint="eastAsia" w:ascii="宋体" w:hAnsi="宋体"/>
                <w:sz w:val="24"/>
                <w:highlight w:val="none"/>
              </w:rPr>
              <w:t>分）</w:t>
            </w:r>
          </w:p>
        </w:tc>
        <w:tc>
          <w:tcPr>
            <w:tcW w:w="950" w:type="dxa"/>
            <w:vAlign w:val="center"/>
          </w:tcPr>
          <w:p>
            <w:pPr>
              <w:tabs>
                <w:tab w:val="left" w:pos="313"/>
              </w:tabs>
              <w:spacing w:line="360" w:lineRule="auto"/>
              <w:jc w:val="center"/>
              <w:rPr>
                <w:rFonts w:hAnsi="宋体"/>
                <w:sz w:val="24"/>
                <w:highlight w:val="none"/>
              </w:rPr>
            </w:pPr>
            <w:r>
              <w:rPr>
                <w:rFonts w:hint="eastAsia" w:ascii="宋体" w:hAnsi="宋体" w:cs="宋体"/>
                <w:sz w:val="24"/>
                <w:highlight w:val="none"/>
              </w:rPr>
              <w:t>体系认证</w:t>
            </w:r>
          </w:p>
        </w:tc>
        <w:tc>
          <w:tcPr>
            <w:tcW w:w="5812" w:type="dxa"/>
            <w:vAlign w:val="center"/>
          </w:tcPr>
          <w:p>
            <w:pPr>
              <w:spacing w:line="288" w:lineRule="auto"/>
              <w:jc w:val="left"/>
              <w:rPr>
                <w:rFonts w:ascii="宋体" w:hAnsi="宋体" w:cs="宋体"/>
                <w:szCs w:val="21"/>
                <w:highlight w:val="none"/>
                <w:lang w:val="zh-CN" w:bidi="ar"/>
              </w:rPr>
            </w:pPr>
            <w:r>
              <w:rPr>
                <w:rFonts w:hint="eastAsia" w:ascii="宋体" w:hAnsi="宋体" w:cs="宋体"/>
                <w:szCs w:val="21"/>
                <w:highlight w:val="none"/>
                <w:lang w:val="zh-CN" w:bidi="ar"/>
              </w:rPr>
              <w:t>投标人具有有效期内的质量管理体系认证证书（覆盖范围须含地下管线测量）、环境管理体系认证证书</w:t>
            </w:r>
            <w:r>
              <w:rPr>
                <w:rFonts w:hint="eastAsia" w:ascii="宋体" w:hAnsi="宋体" w:cs="宋体"/>
                <w:szCs w:val="21"/>
                <w:highlight w:val="none"/>
                <w:lang w:bidi="ar"/>
              </w:rPr>
              <w:t>（覆盖范围须含地下管线测量）</w:t>
            </w:r>
            <w:r>
              <w:rPr>
                <w:rFonts w:hint="eastAsia" w:ascii="宋体" w:hAnsi="宋体" w:cs="宋体"/>
                <w:szCs w:val="21"/>
                <w:highlight w:val="none"/>
                <w:lang w:val="zh-CN" w:bidi="ar"/>
              </w:rPr>
              <w:t>、职业健康安全管理体系认证证书</w:t>
            </w:r>
            <w:r>
              <w:rPr>
                <w:rFonts w:hint="eastAsia" w:ascii="宋体" w:hAnsi="宋体" w:cs="宋体"/>
                <w:szCs w:val="21"/>
                <w:highlight w:val="none"/>
                <w:lang w:bidi="ar"/>
              </w:rPr>
              <w:t>（覆盖范围须含地下管线测量）</w:t>
            </w:r>
            <w:r>
              <w:rPr>
                <w:rFonts w:hint="eastAsia" w:ascii="宋体" w:hAnsi="宋体" w:cs="宋体"/>
                <w:szCs w:val="21"/>
                <w:highlight w:val="none"/>
                <w:lang w:val="zh-CN" w:bidi="ar"/>
              </w:rPr>
              <w:t>、信息安全管理体系认证证书</w:t>
            </w:r>
            <w:r>
              <w:rPr>
                <w:rFonts w:hint="eastAsia" w:ascii="宋体" w:hAnsi="宋体" w:cs="宋体"/>
                <w:szCs w:val="21"/>
                <w:highlight w:val="none"/>
                <w:lang w:bidi="ar"/>
              </w:rPr>
              <w:t>（覆盖范围须含管线地理信息系统（GIS）软件开发）、信息技术服务管理体系认证证书</w:t>
            </w:r>
            <w:r>
              <w:rPr>
                <w:rFonts w:hint="eastAsia" w:ascii="宋体" w:hAnsi="宋体" w:cs="宋体"/>
                <w:szCs w:val="21"/>
                <w:highlight w:val="none"/>
                <w:lang w:val="zh-CN" w:bidi="ar"/>
              </w:rPr>
              <w:t>，每提供一个得1分，最高得5分。</w:t>
            </w:r>
          </w:p>
          <w:p>
            <w:pPr>
              <w:spacing w:line="288" w:lineRule="auto"/>
              <w:jc w:val="left"/>
              <w:rPr>
                <w:rFonts w:ascii="宋体" w:hAnsi="宋体" w:cs="宋体"/>
                <w:szCs w:val="21"/>
                <w:highlight w:val="none"/>
                <w:lang w:bidi="ar"/>
              </w:rPr>
            </w:pPr>
            <w:r>
              <w:rPr>
                <w:rFonts w:hint="eastAsia" w:ascii="宋体" w:hAnsi="宋体" w:cs="宋体"/>
                <w:szCs w:val="21"/>
                <w:highlight w:val="none"/>
                <w:lang w:val="zh-CN" w:bidi="ar"/>
              </w:rPr>
              <w:t>（</w:t>
            </w:r>
            <w:r>
              <w:rPr>
                <w:rFonts w:hint="eastAsia" w:ascii="宋体" w:hAnsi="宋体" w:cs="宋体"/>
                <w:szCs w:val="21"/>
                <w:highlight w:val="none"/>
                <w:lang w:bidi="ar"/>
              </w:rPr>
              <w:t>投标文件中证书复印件加盖公章，否则不得分。</w:t>
            </w:r>
            <w:r>
              <w:rPr>
                <w:rFonts w:hint="eastAsia" w:ascii="宋体" w:hAnsi="宋体" w:cs="宋体"/>
                <w:szCs w:val="21"/>
                <w:highlight w:val="none"/>
                <w:lang w:val="zh-CN" w:bidi="ar"/>
              </w:rPr>
              <w:t>）</w:t>
            </w:r>
          </w:p>
        </w:tc>
        <w:tc>
          <w:tcPr>
            <w:tcW w:w="705" w:type="dxa"/>
            <w:vAlign w:val="center"/>
          </w:tcPr>
          <w:p>
            <w:pPr>
              <w:jc w:val="center"/>
              <w:rPr>
                <w:rFonts w:ascii="宋体" w:hAnsi="宋体"/>
                <w:sz w:val="24"/>
                <w:highlight w:val="none"/>
              </w:rPr>
            </w:pPr>
            <w:r>
              <w:rPr>
                <w:rFonts w:hint="eastAsia" w:ascii="宋体" w:hAnsi="宋体"/>
                <w:sz w:val="24"/>
                <w:highlight w:val="none"/>
              </w:rPr>
              <w:t>0-5</w:t>
            </w:r>
          </w:p>
        </w:tc>
        <w:tc>
          <w:tcPr>
            <w:tcW w:w="955" w:type="dxa"/>
            <w:vAlign w:val="center"/>
          </w:tcPr>
          <w:p>
            <w:pPr>
              <w:spacing w:line="320" w:lineRule="exact"/>
              <w:jc w:val="center"/>
              <w:rPr>
                <w:rFonts w:ascii="宋体" w:hAnsi="宋体"/>
                <w:sz w:val="24"/>
                <w:highlight w:val="none"/>
              </w:rPr>
            </w:pPr>
            <w:r>
              <w:rPr>
                <w:rFonts w:hint="eastAsia" w:ascii="宋体" w:hAnsi="宋体"/>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27" w:type="dxa"/>
            <w:vMerge w:val="continue"/>
          </w:tcPr>
          <w:p>
            <w:pPr>
              <w:spacing w:line="320" w:lineRule="exact"/>
              <w:rPr>
                <w:rFonts w:ascii="宋体" w:hAnsi="宋体"/>
                <w:sz w:val="24"/>
                <w:highlight w:val="none"/>
              </w:rPr>
            </w:pPr>
          </w:p>
        </w:tc>
        <w:tc>
          <w:tcPr>
            <w:tcW w:w="950" w:type="dxa"/>
            <w:vAlign w:val="center"/>
          </w:tcPr>
          <w:p>
            <w:pPr>
              <w:spacing w:line="360" w:lineRule="auto"/>
              <w:jc w:val="center"/>
              <w:rPr>
                <w:rFonts w:hAnsi="宋体"/>
                <w:sz w:val="24"/>
                <w:highlight w:val="none"/>
              </w:rPr>
            </w:pPr>
            <w:r>
              <w:rPr>
                <w:rFonts w:hint="eastAsia" w:ascii="宋体" w:hAnsi="宋体" w:cs="宋体"/>
                <w:sz w:val="24"/>
                <w:highlight w:val="none"/>
              </w:rPr>
              <w:t>企业实力</w:t>
            </w:r>
          </w:p>
        </w:tc>
        <w:tc>
          <w:tcPr>
            <w:tcW w:w="5812" w:type="dxa"/>
            <w:vAlign w:val="center"/>
          </w:tcPr>
          <w:p>
            <w:pPr>
              <w:spacing w:line="288" w:lineRule="auto"/>
              <w:jc w:val="left"/>
              <w:rPr>
                <w:rFonts w:ascii="宋体" w:hAnsi="宋体" w:cs="宋体"/>
                <w:szCs w:val="21"/>
                <w:highlight w:val="none"/>
                <w:lang w:bidi="ar"/>
              </w:rPr>
            </w:pPr>
            <w:r>
              <w:rPr>
                <w:rFonts w:hint="eastAsia" w:ascii="宋体" w:hAnsi="宋体" w:cs="宋体"/>
                <w:szCs w:val="21"/>
                <w:highlight w:val="none"/>
                <w:lang w:bidi="ar"/>
              </w:rPr>
              <w:t>投标人被省级以上(含省级/直辖市)科技厅认定为企业研究开发中心的得</w:t>
            </w:r>
            <w:r>
              <w:rPr>
                <w:rFonts w:ascii="宋体" w:hAnsi="宋体" w:cs="宋体"/>
                <w:szCs w:val="21"/>
                <w:highlight w:val="none"/>
                <w:lang w:bidi="ar"/>
              </w:rPr>
              <w:t>2</w:t>
            </w:r>
            <w:r>
              <w:rPr>
                <w:rFonts w:hint="eastAsia" w:ascii="宋体" w:hAnsi="宋体" w:cs="宋体"/>
                <w:szCs w:val="21"/>
                <w:highlight w:val="none"/>
                <w:lang w:bidi="ar"/>
              </w:rPr>
              <w:t>分。</w:t>
            </w:r>
          </w:p>
          <w:p>
            <w:pPr>
              <w:spacing w:line="288" w:lineRule="auto"/>
              <w:jc w:val="left"/>
              <w:rPr>
                <w:rFonts w:ascii="宋体" w:hAnsi="宋体" w:cs="宋体"/>
                <w:szCs w:val="21"/>
                <w:highlight w:val="none"/>
                <w:lang w:bidi="ar"/>
              </w:rPr>
            </w:pPr>
            <w:r>
              <w:rPr>
                <w:rFonts w:hint="eastAsia" w:ascii="宋体" w:hAnsi="宋体" w:cs="宋体"/>
                <w:szCs w:val="21"/>
                <w:highlight w:val="none"/>
                <w:lang w:bidi="ar"/>
              </w:rPr>
              <w:t>投标人参与过供排水管网地理信息系统标准或技术规程编制，且标准已正式颁布的得</w:t>
            </w:r>
            <w:r>
              <w:rPr>
                <w:rFonts w:ascii="宋体" w:hAnsi="宋体" w:cs="宋体"/>
                <w:szCs w:val="21"/>
                <w:highlight w:val="none"/>
                <w:lang w:bidi="ar"/>
              </w:rPr>
              <w:t>2</w:t>
            </w:r>
            <w:r>
              <w:rPr>
                <w:rFonts w:hint="eastAsia" w:ascii="宋体" w:hAnsi="宋体" w:cs="宋体"/>
                <w:szCs w:val="21"/>
                <w:highlight w:val="none"/>
                <w:lang w:bidi="ar"/>
              </w:rPr>
              <w:t>分。</w:t>
            </w:r>
          </w:p>
          <w:p>
            <w:pPr>
              <w:spacing w:line="288" w:lineRule="auto"/>
              <w:jc w:val="left"/>
              <w:rPr>
                <w:rFonts w:ascii="宋体" w:hAnsi="宋体" w:cs="宋体"/>
                <w:szCs w:val="21"/>
                <w:highlight w:val="none"/>
                <w:lang w:bidi="ar"/>
              </w:rPr>
            </w:pPr>
            <w:r>
              <w:rPr>
                <w:rFonts w:hint="eastAsia" w:ascii="宋体" w:hAnsi="宋体" w:cs="宋体"/>
                <w:szCs w:val="21"/>
                <w:highlight w:val="none"/>
                <w:lang w:val="zh-CN" w:bidi="ar"/>
              </w:rPr>
              <w:t>（</w:t>
            </w:r>
            <w:r>
              <w:rPr>
                <w:rFonts w:hint="eastAsia" w:ascii="宋体" w:hAnsi="宋体" w:cs="宋体"/>
                <w:szCs w:val="21"/>
                <w:highlight w:val="none"/>
                <w:lang w:bidi="ar"/>
              </w:rPr>
              <w:t>提供相关证书复印件加盖公章，否则不得分。</w:t>
            </w:r>
            <w:r>
              <w:rPr>
                <w:rFonts w:hint="eastAsia" w:ascii="宋体" w:hAnsi="宋体" w:cs="宋体"/>
                <w:szCs w:val="21"/>
                <w:highlight w:val="none"/>
                <w:lang w:val="zh-CN" w:bidi="ar"/>
              </w:rPr>
              <w:t>）</w:t>
            </w:r>
          </w:p>
        </w:tc>
        <w:tc>
          <w:tcPr>
            <w:tcW w:w="705" w:type="dxa"/>
            <w:vAlign w:val="center"/>
          </w:tcPr>
          <w:p>
            <w:pPr>
              <w:spacing w:line="320" w:lineRule="exact"/>
              <w:jc w:val="center"/>
              <w:rPr>
                <w:rFonts w:ascii="宋体" w:hAnsi="宋体"/>
                <w:sz w:val="24"/>
                <w:highlight w:val="none"/>
              </w:rPr>
            </w:pPr>
            <w:r>
              <w:rPr>
                <w:rFonts w:hint="eastAsia" w:ascii="宋体" w:hAnsi="宋体"/>
                <w:sz w:val="24"/>
                <w:highlight w:val="none"/>
              </w:rPr>
              <w:t>0-</w:t>
            </w:r>
            <w:r>
              <w:rPr>
                <w:rFonts w:ascii="宋体" w:hAnsi="宋体"/>
                <w:sz w:val="24"/>
                <w:highlight w:val="none"/>
              </w:rPr>
              <w:t>4</w:t>
            </w:r>
          </w:p>
        </w:tc>
        <w:tc>
          <w:tcPr>
            <w:tcW w:w="955" w:type="dxa"/>
            <w:vAlign w:val="center"/>
          </w:tcPr>
          <w:p>
            <w:pPr>
              <w:jc w:val="center"/>
              <w:rPr>
                <w:rFonts w:ascii="宋体" w:hAnsi="宋体"/>
                <w:sz w:val="24"/>
                <w:highlight w:val="none"/>
              </w:rPr>
            </w:pPr>
            <w:r>
              <w:rPr>
                <w:rFonts w:hint="eastAsia" w:ascii="宋体" w:hAnsi="宋体"/>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27" w:type="dxa"/>
            <w:vMerge w:val="continue"/>
          </w:tcPr>
          <w:p>
            <w:pPr>
              <w:spacing w:line="320" w:lineRule="exact"/>
              <w:rPr>
                <w:rFonts w:ascii="宋体" w:hAnsi="宋体"/>
                <w:sz w:val="24"/>
                <w:highlight w:val="none"/>
              </w:rPr>
            </w:pPr>
          </w:p>
        </w:tc>
        <w:tc>
          <w:tcPr>
            <w:tcW w:w="950" w:type="dxa"/>
            <w:vAlign w:val="center"/>
          </w:tcPr>
          <w:p>
            <w:pPr>
              <w:pStyle w:val="25"/>
              <w:jc w:val="center"/>
              <w:rPr>
                <w:rFonts w:hAnsi="宋体"/>
                <w:szCs w:val="24"/>
                <w:highlight w:val="none"/>
              </w:rPr>
            </w:pPr>
            <w:r>
              <w:rPr>
                <w:rFonts w:hint="eastAsia" w:cs="宋体"/>
                <w:szCs w:val="24"/>
                <w:highlight w:val="none"/>
              </w:rPr>
              <w:t>同类业绩</w:t>
            </w:r>
          </w:p>
        </w:tc>
        <w:tc>
          <w:tcPr>
            <w:tcW w:w="5812" w:type="dxa"/>
            <w:vAlign w:val="center"/>
          </w:tcPr>
          <w:p>
            <w:pPr>
              <w:spacing w:line="288" w:lineRule="auto"/>
              <w:jc w:val="left"/>
              <w:rPr>
                <w:rFonts w:ascii="宋体" w:hAnsi="宋体" w:cs="宋体"/>
                <w:szCs w:val="21"/>
                <w:highlight w:val="none"/>
                <w:lang w:bidi="ar"/>
              </w:rPr>
            </w:pPr>
            <w:r>
              <w:rPr>
                <w:rFonts w:hint="eastAsia" w:ascii="宋体" w:hAnsi="宋体" w:cs="宋体"/>
                <w:szCs w:val="21"/>
                <w:highlight w:val="none"/>
                <w:lang w:bidi="ar"/>
              </w:rPr>
              <w:t>自2020年1月（指合同签订日期）以来，投标人具有独立承担过的供水管网普查探测或管网信息化项目业绩案例每个得1分，最高得</w:t>
            </w:r>
            <w:r>
              <w:rPr>
                <w:rFonts w:ascii="宋体" w:hAnsi="宋体" w:cs="宋体"/>
                <w:szCs w:val="21"/>
                <w:highlight w:val="none"/>
                <w:lang w:bidi="ar"/>
              </w:rPr>
              <w:t>8</w:t>
            </w:r>
            <w:r>
              <w:rPr>
                <w:rFonts w:hint="eastAsia" w:ascii="宋体" w:hAnsi="宋体" w:cs="宋体"/>
                <w:szCs w:val="21"/>
                <w:highlight w:val="none"/>
                <w:lang w:bidi="ar"/>
              </w:rPr>
              <w:t>分。</w:t>
            </w:r>
          </w:p>
          <w:p>
            <w:pPr>
              <w:spacing w:line="288" w:lineRule="auto"/>
              <w:jc w:val="left"/>
              <w:rPr>
                <w:rFonts w:ascii="宋体" w:hAnsi="宋体" w:cs="宋体"/>
                <w:szCs w:val="21"/>
                <w:highlight w:val="none"/>
                <w:lang w:bidi="ar"/>
              </w:rPr>
            </w:pPr>
            <w:r>
              <w:rPr>
                <w:rFonts w:hint="eastAsia" w:ascii="宋体" w:hAnsi="宋体" w:cs="宋体"/>
                <w:szCs w:val="21"/>
                <w:highlight w:val="none"/>
                <w:lang w:bidi="ar"/>
              </w:rPr>
              <w:t>说明：1.业绩合同内容中必须同时含“管线（普查）探测”和“水表普（调）查”建设内容；2.同一业主单位的多份项目合同算1个业绩；3.地下综合类管网普查探测业绩不计分。</w:t>
            </w:r>
          </w:p>
          <w:p>
            <w:pPr>
              <w:spacing w:line="288" w:lineRule="auto"/>
              <w:jc w:val="left"/>
              <w:rPr>
                <w:rFonts w:hAnsi="宋体"/>
                <w:szCs w:val="21"/>
                <w:highlight w:val="none"/>
              </w:rPr>
            </w:pPr>
            <w:r>
              <w:rPr>
                <w:rFonts w:hint="eastAsia" w:ascii="宋体" w:hAnsi="宋体" w:cs="宋体"/>
                <w:b/>
                <w:bCs/>
                <w:szCs w:val="21"/>
                <w:highlight w:val="none"/>
                <w:lang w:bidi="ar"/>
              </w:rPr>
              <w:t>（提供每个项目业绩合同、中标通知书及验收报告的复印件并加盖公章，否则不得分）</w:t>
            </w:r>
          </w:p>
        </w:tc>
        <w:tc>
          <w:tcPr>
            <w:tcW w:w="705" w:type="dxa"/>
            <w:vAlign w:val="center"/>
          </w:tcPr>
          <w:p>
            <w:pPr>
              <w:spacing w:line="320" w:lineRule="exact"/>
              <w:jc w:val="center"/>
              <w:rPr>
                <w:rFonts w:ascii="宋体" w:hAnsi="宋体"/>
                <w:sz w:val="24"/>
                <w:highlight w:val="none"/>
              </w:rPr>
            </w:pPr>
            <w:r>
              <w:rPr>
                <w:rFonts w:hint="eastAsia" w:ascii="宋体" w:hAnsi="宋体"/>
                <w:sz w:val="24"/>
                <w:highlight w:val="none"/>
              </w:rPr>
              <w:t>0-</w:t>
            </w:r>
            <w:r>
              <w:rPr>
                <w:rFonts w:ascii="宋体" w:hAnsi="宋体"/>
                <w:sz w:val="24"/>
                <w:highlight w:val="none"/>
              </w:rPr>
              <w:t>8</w:t>
            </w:r>
          </w:p>
        </w:tc>
        <w:tc>
          <w:tcPr>
            <w:tcW w:w="955" w:type="dxa"/>
            <w:vAlign w:val="center"/>
          </w:tcPr>
          <w:p>
            <w:pPr>
              <w:jc w:val="center"/>
              <w:rPr>
                <w:rFonts w:ascii="宋体" w:hAnsi="宋体"/>
                <w:sz w:val="24"/>
                <w:highlight w:val="none"/>
              </w:rPr>
            </w:pPr>
            <w:r>
              <w:rPr>
                <w:rFonts w:hint="eastAsia" w:ascii="宋体" w:hAnsi="宋体"/>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27" w:type="dxa"/>
            <w:vMerge w:val="continue"/>
          </w:tcPr>
          <w:p>
            <w:pPr>
              <w:spacing w:line="320" w:lineRule="exact"/>
              <w:rPr>
                <w:rFonts w:ascii="宋体" w:hAnsi="宋体"/>
                <w:sz w:val="24"/>
                <w:highlight w:val="none"/>
              </w:rPr>
            </w:pPr>
          </w:p>
        </w:tc>
        <w:tc>
          <w:tcPr>
            <w:tcW w:w="950" w:type="dxa"/>
            <w:vAlign w:val="center"/>
          </w:tcPr>
          <w:p>
            <w:pPr>
              <w:tabs>
                <w:tab w:val="left" w:pos="313"/>
              </w:tabs>
              <w:spacing w:line="360" w:lineRule="auto"/>
              <w:jc w:val="center"/>
              <w:rPr>
                <w:rFonts w:hAnsi="宋体"/>
                <w:sz w:val="24"/>
                <w:highlight w:val="none"/>
              </w:rPr>
            </w:pPr>
            <w:r>
              <w:rPr>
                <w:rFonts w:hint="eastAsia" w:ascii="宋体" w:hAnsi="宋体" w:cs="宋体"/>
                <w:sz w:val="24"/>
                <w:highlight w:val="none"/>
              </w:rPr>
              <w:t>售后服务能力</w:t>
            </w:r>
          </w:p>
        </w:tc>
        <w:tc>
          <w:tcPr>
            <w:tcW w:w="5812" w:type="dxa"/>
            <w:vAlign w:val="center"/>
          </w:tcPr>
          <w:p>
            <w:pPr>
              <w:tabs>
                <w:tab w:val="left" w:pos="313"/>
              </w:tabs>
              <w:spacing w:line="288" w:lineRule="auto"/>
              <w:jc w:val="left"/>
              <w:rPr>
                <w:rFonts w:hAnsi="宋体"/>
                <w:szCs w:val="21"/>
                <w:highlight w:val="none"/>
              </w:rPr>
            </w:pPr>
            <w:r>
              <w:rPr>
                <w:rFonts w:hint="eastAsia" w:ascii="宋体" w:hAnsi="宋体"/>
                <w:szCs w:val="21"/>
                <w:highlight w:val="none"/>
              </w:rPr>
              <w:t>投标人在萧山区内具有良好售后服务能力的得</w:t>
            </w:r>
            <w:r>
              <w:rPr>
                <w:rFonts w:ascii="宋体" w:hAnsi="宋体"/>
                <w:szCs w:val="21"/>
                <w:highlight w:val="none"/>
              </w:rPr>
              <w:t>3</w:t>
            </w:r>
            <w:r>
              <w:rPr>
                <w:rFonts w:hint="eastAsia" w:ascii="宋体" w:hAnsi="宋体"/>
                <w:szCs w:val="21"/>
                <w:highlight w:val="none"/>
              </w:rPr>
              <w:t>分；在杭州市内（除萧山区）具有良好售后服务能力的得</w:t>
            </w:r>
            <w:r>
              <w:rPr>
                <w:rFonts w:ascii="宋体" w:hAnsi="宋体"/>
                <w:szCs w:val="21"/>
                <w:highlight w:val="none"/>
              </w:rPr>
              <w:t>2</w:t>
            </w:r>
            <w:r>
              <w:rPr>
                <w:rFonts w:hint="eastAsia" w:ascii="宋体" w:hAnsi="宋体"/>
                <w:szCs w:val="21"/>
                <w:highlight w:val="none"/>
              </w:rPr>
              <w:t>分，在浙江省内（除杭州市）具有良好售后服务能力的得</w:t>
            </w:r>
            <w:r>
              <w:rPr>
                <w:rFonts w:ascii="宋体" w:hAnsi="宋体"/>
                <w:szCs w:val="21"/>
                <w:highlight w:val="none"/>
              </w:rPr>
              <w:t>1</w:t>
            </w:r>
            <w:r>
              <w:rPr>
                <w:rFonts w:hint="eastAsia" w:ascii="宋体" w:hAnsi="宋体"/>
                <w:szCs w:val="21"/>
                <w:highlight w:val="none"/>
              </w:rPr>
              <w:t>分；其他具有良好售后服务能力的得</w:t>
            </w:r>
            <w:r>
              <w:rPr>
                <w:rFonts w:ascii="宋体" w:hAnsi="宋体"/>
                <w:szCs w:val="21"/>
                <w:highlight w:val="none"/>
              </w:rPr>
              <w:t>0.5</w:t>
            </w:r>
            <w:r>
              <w:rPr>
                <w:rFonts w:hint="eastAsia" w:ascii="宋体" w:hAnsi="宋体"/>
                <w:szCs w:val="21"/>
                <w:highlight w:val="none"/>
              </w:rPr>
              <w:t>分。（投标人须提供固定售后服务分支机构营业执照，同时提供该售后服务点至少</w:t>
            </w:r>
            <w:r>
              <w:rPr>
                <w:rFonts w:ascii="宋体" w:hAnsi="宋体"/>
                <w:szCs w:val="21"/>
                <w:highlight w:val="none"/>
              </w:rPr>
              <w:t>5</w:t>
            </w:r>
            <w:r>
              <w:rPr>
                <w:rFonts w:hint="eastAsia" w:ascii="宋体" w:hAnsi="宋体"/>
                <w:szCs w:val="21"/>
                <w:highlight w:val="none"/>
              </w:rPr>
              <w:t>人最近1个月当地社保缴纳记录，否则不得分）</w:t>
            </w:r>
          </w:p>
        </w:tc>
        <w:tc>
          <w:tcPr>
            <w:tcW w:w="705" w:type="dxa"/>
            <w:vAlign w:val="center"/>
          </w:tcPr>
          <w:p>
            <w:pPr>
              <w:spacing w:line="320" w:lineRule="exact"/>
              <w:jc w:val="center"/>
              <w:rPr>
                <w:rFonts w:ascii="宋体" w:hAnsi="宋体"/>
                <w:sz w:val="24"/>
                <w:highlight w:val="none"/>
              </w:rPr>
            </w:pPr>
            <w:r>
              <w:rPr>
                <w:rFonts w:hint="eastAsia" w:ascii="宋体" w:hAnsi="宋体"/>
                <w:sz w:val="24"/>
                <w:highlight w:val="none"/>
              </w:rPr>
              <w:t>0-</w:t>
            </w:r>
            <w:r>
              <w:rPr>
                <w:rFonts w:ascii="宋体" w:hAnsi="宋体"/>
                <w:sz w:val="24"/>
                <w:highlight w:val="none"/>
              </w:rPr>
              <w:t>3</w:t>
            </w:r>
          </w:p>
        </w:tc>
        <w:tc>
          <w:tcPr>
            <w:tcW w:w="955" w:type="dxa"/>
            <w:vAlign w:val="center"/>
          </w:tcPr>
          <w:p>
            <w:pPr>
              <w:jc w:val="center"/>
              <w:rPr>
                <w:rFonts w:ascii="宋体" w:hAnsi="宋体"/>
                <w:sz w:val="24"/>
                <w:highlight w:val="none"/>
              </w:rPr>
            </w:pPr>
            <w:r>
              <w:rPr>
                <w:rFonts w:hint="eastAsia" w:ascii="宋体" w:hAnsi="宋体"/>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27" w:type="dxa"/>
            <w:vMerge w:val="restart"/>
            <w:vAlign w:val="center"/>
          </w:tcPr>
          <w:p>
            <w:pPr>
              <w:spacing w:line="320" w:lineRule="exact"/>
              <w:rPr>
                <w:rFonts w:ascii="宋体" w:hAnsi="宋体"/>
                <w:sz w:val="24"/>
                <w:highlight w:val="none"/>
              </w:rPr>
            </w:pPr>
          </w:p>
          <w:p>
            <w:pPr>
              <w:spacing w:line="320" w:lineRule="exact"/>
              <w:rPr>
                <w:rFonts w:ascii="宋体" w:hAnsi="宋体"/>
                <w:sz w:val="24"/>
                <w:highlight w:val="none"/>
              </w:rPr>
            </w:pPr>
          </w:p>
          <w:p>
            <w:pPr>
              <w:spacing w:line="320" w:lineRule="exact"/>
              <w:rPr>
                <w:rFonts w:ascii="宋体" w:hAnsi="宋体"/>
                <w:sz w:val="24"/>
                <w:highlight w:val="none"/>
              </w:rPr>
            </w:pPr>
          </w:p>
          <w:p>
            <w:pPr>
              <w:spacing w:line="300" w:lineRule="exact"/>
              <w:jc w:val="center"/>
              <w:rPr>
                <w:rFonts w:ascii="宋体" w:hAnsi="宋体"/>
                <w:sz w:val="24"/>
                <w:highlight w:val="none"/>
              </w:rPr>
            </w:pPr>
            <w:r>
              <w:rPr>
                <w:rFonts w:hint="eastAsia" w:ascii="宋体" w:hAnsi="宋体"/>
                <w:sz w:val="24"/>
                <w:highlight w:val="none"/>
              </w:rPr>
              <w:t>技术</w:t>
            </w:r>
          </w:p>
          <w:p>
            <w:pPr>
              <w:spacing w:line="300" w:lineRule="exact"/>
              <w:jc w:val="center"/>
              <w:rPr>
                <w:rFonts w:ascii="宋体" w:hAnsi="宋体"/>
                <w:sz w:val="24"/>
                <w:highlight w:val="none"/>
              </w:rPr>
            </w:pPr>
            <w:r>
              <w:rPr>
                <w:rFonts w:hint="eastAsia" w:ascii="宋体" w:hAnsi="宋体"/>
                <w:sz w:val="24"/>
                <w:highlight w:val="none"/>
              </w:rPr>
              <w:t>分</w:t>
            </w:r>
          </w:p>
          <w:p>
            <w:pPr>
              <w:spacing w:line="300" w:lineRule="exact"/>
              <w:jc w:val="center"/>
              <w:rPr>
                <w:rFonts w:ascii="宋体" w:hAnsi="宋体"/>
                <w:sz w:val="24"/>
                <w:highlight w:val="none"/>
              </w:rPr>
            </w:pPr>
            <w:r>
              <w:rPr>
                <w:rFonts w:hint="eastAsia" w:ascii="宋体" w:hAnsi="宋体"/>
                <w:sz w:val="24"/>
                <w:highlight w:val="none"/>
              </w:rPr>
              <w:t>（</w:t>
            </w:r>
            <w:r>
              <w:rPr>
                <w:rFonts w:ascii="宋体" w:hAnsi="宋体"/>
                <w:sz w:val="24"/>
                <w:highlight w:val="none"/>
              </w:rPr>
              <w:t>40</w:t>
            </w:r>
            <w:r>
              <w:rPr>
                <w:rFonts w:hint="eastAsia" w:ascii="宋体" w:hAnsi="宋体"/>
                <w:sz w:val="24"/>
                <w:highlight w:val="none"/>
              </w:rPr>
              <w:t>分）</w:t>
            </w:r>
          </w:p>
        </w:tc>
        <w:tc>
          <w:tcPr>
            <w:tcW w:w="950" w:type="dxa"/>
            <w:vAlign w:val="center"/>
          </w:tcPr>
          <w:p>
            <w:pPr>
              <w:tabs>
                <w:tab w:val="left" w:pos="313"/>
              </w:tabs>
              <w:spacing w:line="360" w:lineRule="auto"/>
              <w:jc w:val="center"/>
              <w:rPr>
                <w:rFonts w:hAnsi="宋体"/>
                <w:sz w:val="24"/>
                <w:highlight w:val="none"/>
              </w:rPr>
            </w:pPr>
            <w:r>
              <w:rPr>
                <w:rFonts w:hint="eastAsia" w:ascii="宋体" w:hAnsi="宋体" w:cs="宋体"/>
                <w:sz w:val="24"/>
                <w:highlight w:val="none"/>
              </w:rPr>
              <w:t>对本项目需求的理解及建议</w:t>
            </w:r>
          </w:p>
        </w:tc>
        <w:tc>
          <w:tcPr>
            <w:tcW w:w="5812" w:type="dxa"/>
            <w:vAlign w:val="center"/>
          </w:tcPr>
          <w:p>
            <w:pPr>
              <w:spacing w:line="288" w:lineRule="auto"/>
              <w:jc w:val="left"/>
              <w:rPr>
                <w:rFonts w:ascii="宋体" w:hAnsi="宋体" w:cs="宋体"/>
                <w:szCs w:val="21"/>
                <w:highlight w:val="none"/>
              </w:rPr>
            </w:pPr>
            <w:r>
              <w:rPr>
                <w:rFonts w:hint="eastAsia" w:ascii="宋体" w:hAnsi="宋体" w:cs="宋体"/>
                <w:szCs w:val="21"/>
                <w:highlight w:val="none"/>
                <w:lang w:bidi="ar"/>
              </w:rPr>
              <w:t>根据投标人对本项目了解程度、需求分析是否准确合理、是否与采购人有充分沟通以及本项目建成后应用、维护相关建议内容打分。</w:t>
            </w:r>
          </w:p>
          <w:p>
            <w:pPr>
              <w:spacing w:line="288" w:lineRule="auto"/>
              <w:jc w:val="left"/>
              <w:rPr>
                <w:rFonts w:ascii="宋体" w:hAnsi="宋体" w:cs="宋体"/>
                <w:szCs w:val="21"/>
                <w:highlight w:val="none"/>
              </w:rPr>
            </w:pPr>
            <w:r>
              <w:rPr>
                <w:rFonts w:hint="eastAsia" w:ascii="宋体" w:hAnsi="宋体" w:cs="宋体"/>
                <w:szCs w:val="21"/>
                <w:highlight w:val="none"/>
                <w:lang w:bidi="ar"/>
              </w:rPr>
              <w:t>1.对本项目需求的理解及建议完全按照采购需求进行编制方案，内容全面详实，结合项目实际，可操作性强的得</w:t>
            </w:r>
            <w:r>
              <w:rPr>
                <w:rFonts w:ascii="宋体" w:hAnsi="宋体" w:cs="宋体"/>
                <w:szCs w:val="21"/>
                <w:highlight w:val="none"/>
                <w:lang w:bidi="ar"/>
              </w:rPr>
              <w:t>3</w:t>
            </w:r>
            <w:r>
              <w:rPr>
                <w:rFonts w:hint="eastAsia" w:ascii="宋体" w:hAnsi="宋体" w:cs="宋体"/>
                <w:szCs w:val="21"/>
                <w:highlight w:val="none"/>
                <w:lang w:bidi="ar"/>
              </w:rPr>
              <w:t>分；</w:t>
            </w:r>
          </w:p>
          <w:p>
            <w:pPr>
              <w:tabs>
                <w:tab w:val="left" w:pos="313"/>
              </w:tabs>
              <w:spacing w:line="288" w:lineRule="auto"/>
              <w:jc w:val="left"/>
              <w:rPr>
                <w:rFonts w:hAnsi="宋体"/>
                <w:szCs w:val="21"/>
                <w:highlight w:val="none"/>
              </w:rPr>
            </w:pPr>
            <w:r>
              <w:rPr>
                <w:rFonts w:hint="eastAsia" w:ascii="宋体" w:hAnsi="宋体" w:cs="宋体"/>
                <w:szCs w:val="21"/>
                <w:highlight w:val="none"/>
              </w:rPr>
              <w:t>2.对本项目需求的理解及建议基本满足项目需求，描述较详细，内容较全面，不够贴合项目实际的得0-</w:t>
            </w:r>
            <w:r>
              <w:rPr>
                <w:rFonts w:ascii="宋体" w:hAnsi="宋体" w:cs="宋体"/>
                <w:szCs w:val="21"/>
                <w:highlight w:val="none"/>
              </w:rPr>
              <w:t>2</w:t>
            </w:r>
            <w:r>
              <w:rPr>
                <w:rFonts w:hint="eastAsia" w:ascii="宋体" w:hAnsi="宋体" w:cs="宋体"/>
                <w:szCs w:val="21"/>
                <w:highlight w:val="none"/>
              </w:rPr>
              <w:t>分。</w:t>
            </w:r>
          </w:p>
        </w:tc>
        <w:tc>
          <w:tcPr>
            <w:tcW w:w="705" w:type="dxa"/>
            <w:vAlign w:val="center"/>
          </w:tcPr>
          <w:p>
            <w:pPr>
              <w:spacing w:line="360" w:lineRule="exact"/>
              <w:jc w:val="center"/>
              <w:rPr>
                <w:rFonts w:ascii="宋体" w:hAnsi="宋体"/>
                <w:sz w:val="24"/>
                <w:highlight w:val="none"/>
              </w:rPr>
            </w:pPr>
            <w:r>
              <w:rPr>
                <w:rFonts w:hint="eastAsia" w:ascii="宋体" w:hAnsi="宋体"/>
                <w:sz w:val="24"/>
                <w:highlight w:val="none"/>
              </w:rPr>
              <w:t>0-</w:t>
            </w:r>
            <w:r>
              <w:rPr>
                <w:rFonts w:ascii="宋体" w:hAnsi="宋体"/>
                <w:sz w:val="24"/>
                <w:highlight w:val="none"/>
              </w:rPr>
              <w:t>3</w:t>
            </w:r>
          </w:p>
        </w:tc>
        <w:tc>
          <w:tcPr>
            <w:tcW w:w="955" w:type="dxa"/>
            <w:vAlign w:val="center"/>
          </w:tcPr>
          <w:p>
            <w:pPr>
              <w:spacing w:line="320" w:lineRule="exact"/>
              <w:jc w:val="center"/>
              <w:rPr>
                <w:rFonts w:ascii="宋体" w:hAnsi="宋体"/>
                <w:sz w:val="24"/>
                <w:highlight w:val="none"/>
              </w:rPr>
            </w:pPr>
            <w:r>
              <w:rPr>
                <w:rFonts w:hint="eastAsia" w:ascii="宋体" w:hAnsi="宋体"/>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827" w:type="dxa"/>
            <w:vMerge w:val="continue"/>
            <w:vAlign w:val="center"/>
          </w:tcPr>
          <w:p>
            <w:pPr>
              <w:spacing w:line="300" w:lineRule="exact"/>
              <w:jc w:val="center"/>
              <w:rPr>
                <w:rFonts w:ascii="宋体" w:hAnsi="宋体"/>
                <w:sz w:val="24"/>
                <w:highlight w:val="none"/>
              </w:rPr>
            </w:pPr>
          </w:p>
        </w:tc>
        <w:tc>
          <w:tcPr>
            <w:tcW w:w="950" w:type="dxa"/>
            <w:vAlign w:val="center"/>
          </w:tcPr>
          <w:p>
            <w:pPr>
              <w:spacing w:line="360" w:lineRule="auto"/>
              <w:jc w:val="center"/>
              <w:rPr>
                <w:rFonts w:hAnsi="宋体"/>
                <w:sz w:val="24"/>
                <w:highlight w:val="none"/>
              </w:rPr>
            </w:pPr>
            <w:r>
              <w:rPr>
                <w:rFonts w:hint="eastAsia" w:ascii="宋体" w:hAnsi="宋体" w:cs="宋体"/>
                <w:sz w:val="24"/>
                <w:highlight w:val="none"/>
              </w:rPr>
              <w:t>探测方案</w:t>
            </w:r>
          </w:p>
        </w:tc>
        <w:tc>
          <w:tcPr>
            <w:tcW w:w="5812" w:type="dxa"/>
            <w:vAlign w:val="center"/>
          </w:tcPr>
          <w:p>
            <w:pPr>
              <w:spacing w:line="288" w:lineRule="auto"/>
              <w:jc w:val="left"/>
              <w:rPr>
                <w:rFonts w:ascii="宋体" w:hAnsi="宋体" w:cs="宋体"/>
                <w:szCs w:val="21"/>
                <w:highlight w:val="none"/>
              </w:rPr>
            </w:pPr>
            <w:r>
              <w:rPr>
                <w:rFonts w:hint="eastAsia" w:ascii="宋体" w:hAnsi="宋体" w:cs="宋体"/>
                <w:szCs w:val="21"/>
                <w:highlight w:val="none"/>
                <w:lang w:bidi="ar"/>
              </w:rPr>
              <w:t>根据投标人提供的供水管网普查探测方案中对供水管网物探、测量、数据处理、质量控制、安全措施、文明施工、保密承诺等考虑全面性、合理性进行打分。</w:t>
            </w:r>
          </w:p>
          <w:p>
            <w:pPr>
              <w:spacing w:line="288" w:lineRule="auto"/>
              <w:jc w:val="left"/>
              <w:rPr>
                <w:rFonts w:ascii="宋体" w:hAnsi="宋体" w:cs="宋体"/>
                <w:szCs w:val="21"/>
                <w:highlight w:val="none"/>
              </w:rPr>
            </w:pPr>
            <w:r>
              <w:rPr>
                <w:rFonts w:hint="eastAsia" w:ascii="宋体" w:hAnsi="宋体" w:cs="宋体"/>
                <w:szCs w:val="21"/>
                <w:highlight w:val="none"/>
                <w:lang w:bidi="ar"/>
              </w:rPr>
              <w:t>1.探测方案全面合理，内容详细，完全符合本项目实际情况的得</w:t>
            </w:r>
            <w:r>
              <w:rPr>
                <w:rFonts w:ascii="宋体" w:hAnsi="宋体" w:cs="宋体"/>
                <w:szCs w:val="21"/>
                <w:highlight w:val="none"/>
                <w:lang w:bidi="ar"/>
              </w:rPr>
              <w:t>5</w:t>
            </w:r>
            <w:r>
              <w:rPr>
                <w:rFonts w:hint="eastAsia" w:ascii="宋体" w:hAnsi="宋体" w:cs="宋体"/>
                <w:szCs w:val="21"/>
                <w:highlight w:val="none"/>
                <w:lang w:bidi="ar"/>
              </w:rPr>
              <w:t>分；</w:t>
            </w:r>
          </w:p>
          <w:p>
            <w:pPr>
              <w:spacing w:line="288" w:lineRule="auto"/>
              <w:jc w:val="left"/>
              <w:rPr>
                <w:rFonts w:ascii="宋体" w:hAnsi="宋体" w:cs="宋体"/>
                <w:szCs w:val="21"/>
                <w:highlight w:val="none"/>
              </w:rPr>
            </w:pPr>
            <w:r>
              <w:rPr>
                <w:rFonts w:hint="eastAsia" w:ascii="宋体" w:hAnsi="宋体" w:cs="宋体"/>
                <w:szCs w:val="21"/>
                <w:highlight w:val="none"/>
                <w:lang w:bidi="ar"/>
              </w:rPr>
              <w:t>2.探测方案较全面合理，内容较详细，基本符合本项目实际情况的得</w:t>
            </w:r>
            <w:r>
              <w:rPr>
                <w:rFonts w:ascii="宋体" w:hAnsi="宋体" w:cs="宋体"/>
                <w:szCs w:val="21"/>
                <w:highlight w:val="none"/>
                <w:lang w:bidi="ar"/>
              </w:rPr>
              <w:t>4</w:t>
            </w:r>
            <w:r>
              <w:rPr>
                <w:rFonts w:hint="eastAsia" w:ascii="宋体" w:hAnsi="宋体" w:cs="宋体"/>
                <w:szCs w:val="21"/>
                <w:highlight w:val="none"/>
                <w:lang w:bidi="ar"/>
              </w:rPr>
              <w:t>分；</w:t>
            </w:r>
          </w:p>
          <w:p>
            <w:pPr>
              <w:spacing w:line="288" w:lineRule="auto"/>
              <w:jc w:val="left"/>
              <w:rPr>
                <w:rFonts w:hAnsi="宋体"/>
                <w:szCs w:val="21"/>
                <w:highlight w:val="none"/>
              </w:rPr>
            </w:pPr>
            <w:r>
              <w:rPr>
                <w:rFonts w:hint="eastAsia" w:ascii="宋体" w:hAnsi="宋体" w:cs="宋体"/>
                <w:szCs w:val="21"/>
                <w:highlight w:val="none"/>
              </w:rPr>
              <w:t>3.探测方案不够全面合理，内容有欠缺，不够符合本项目实际情况的得</w:t>
            </w:r>
            <w:r>
              <w:rPr>
                <w:rFonts w:ascii="宋体" w:hAnsi="宋体" w:cs="宋体"/>
                <w:szCs w:val="21"/>
                <w:highlight w:val="none"/>
              </w:rPr>
              <w:t>0</w:t>
            </w:r>
            <w:r>
              <w:rPr>
                <w:rFonts w:hint="eastAsia" w:ascii="宋体" w:hAnsi="宋体" w:cs="宋体"/>
                <w:szCs w:val="21"/>
                <w:highlight w:val="none"/>
              </w:rPr>
              <w:t>-</w:t>
            </w:r>
            <w:r>
              <w:rPr>
                <w:rFonts w:ascii="宋体" w:hAnsi="宋体" w:cs="宋体"/>
                <w:szCs w:val="21"/>
                <w:highlight w:val="none"/>
              </w:rPr>
              <w:t>3</w:t>
            </w:r>
            <w:r>
              <w:rPr>
                <w:rFonts w:hint="eastAsia" w:ascii="宋体" w:hAnsi="宋体" w:cs="宋体"/>
                <w:szCs w:val="21"/>
                <w:highlight w:val="none"/>
              </w:rPr>
              <w:t>分；</w:t>
            </w:r>
          </w:p>
        </w:tc>
        <w:tc>
          <w:tcPr>
            <w:tcW w:w="705" w:type="dxa"/>
            <w:vAlign w:val="center"/>
          </w:tcPr>
          <w:p>
            <w:pPr>
              <w:spacing w:line="360" w:lineRule="exact"/>
              <w:jc w:val="center"/>
              <w:rPr>
                <w:rFonts w:ascii="宋体" w:hAnsi="宋体" w:cs="宋体"/>
                <w:sz w:val="24"/>
                <w:highlight w:val="none"/>
              </w:rPr>
            </w:pPr>
            <w:r>
              <w:rPr>
                <w:rFonts w:hint="eastAsia" w:ascii="宋体" w:hAnsi="宋体" w:cs="宋体"/>
                <w:sz w:val="24"/>
                <w:highlight w:val="none"/>
              </w:rPr>
              <w:t>0-</w:t>
            </w:r>
            <w:r>
              <w:rPr>
                <w:rFonts w:ascii="宋体" w:hAnsi="宋体" w:cs="宋体"/>
                <w:sz w:val="24"/>
                <w:highlight w:val="none"/>
              </w:rPr>
              <w:t>5</w:t>
            </w:r>
          </w:p>
        </w:tc>
        <w:tc>
          <w:tcPr>
            <w:tcW w:w="955" w:type="dxa"/>
            <w:vAlign w:val="center"/>
          </w:tcPr>
          <w:p>
            <w:pPr>
              <w:spacing w:line="320" w:lineRule="exact"/>
              <w:jc w:val="center"/>
              <w:rPr>
                <w:rFonts w:ascii="宋体" w:hAnsi="宋体"/>
                <w:sz w:val="24"/>
                <w:highlight w:val="none"/>
              </w:rPr>
            </w:pPr>
            <w:r>
              <w:rPr>
                <w:rFonts w:hint="eastAsia" w:ascii="宋体" w:hAnsi="宋体"/>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27" w:type="dxa"/>
            <w:vMerge w:val="continue"/>
          </w:tcPr>
          <w:p>
            <w:pPr>
              <w:spacing w:line="320" w:lineRule="exact"/>
              <w:rPr>
                <w:rFonts w:ascii="宋体" w:hAnsi="宋体"/>
                <w:sz w:val="24"/>
                <w:highlight w:val="none"/>
              </w:rPr>
            </w:pPr>
          </w:p>
        </w:tc>
        <w:tc>
          <w:tcPr>
            <w:tcW w:w="950" w:type="dxa"/>
            <w:vAlign w:val="center"/>
          </w:tcPr>
          <w:p>
            <w:pPr>
              <w:tabs>
                <w:tab w:val="left" w:pos="313"/>
              </w:tabs>
              <w:spacing w:line="360" w:lineRule="auto"/>
              <w:jc w:val="center"/>
              <w:rPr>
                <w:rFonts w:ascii="宋体" w:hAnsi="宋体" w:cs="宋体"/>
                <w:sz w:val="24"/>
                <w:highlight w:val="none"/>
              </w:rPr>
            </w:pPr>
            <w:r>
              <w:rPr>
                <w:rFonts w:hint="eastAsia" w:ascii="宋体" w:hAnsi="宋体" w:cs="宋体"/>
                <w:sz w:val="24"/>
                <w:highlight w:val="none"/>
              </w:rPr>
              <w:t>工序流程</w:t>
            </w:r>
          </w:p>
        </w:tc>
        <w:tc>
          <w:tcPr>
            <w:tcW w:w="5812" w:type="dxa"/>
            <w:vAlign w:val="center"/>
          </w:tcPr>
          <w:p>
            <w:pPr>
              <w:spacing w:line="288" w:lineRule="auto"/>
              <w:jc w:val="left"/>
              <w:rPr>
                <w:rFonts w:ascii="宋体" w:hAnsi="宋体" w:cs="宋体"/>
                <w:szCs w:val="21"/>
                <w:highlight w:val="none"/>
              </w:rPr>
            </w:pPr>
            <w:r>
              <w:rPr>
                <w:rFonts w:hint="eastAsia" w:ascii="宋体" w:hAnsi="宋体" w:cs="宋体"/>
                <w:szCs w:val="21"/>
                <w:highlight w:val="none"/>
                <w:lang w:bidi="ar"/>
              </w:rPr>
              <w:t>根据投标人针对物探、测量、数据处理、管线编图、数据文件生成和探测资料的形成等工序流程的科学性、规范性、严密性，以及各工序衔接自然情况进行综合评分。</w:t>
            </w:r>
          </w:p>
          <w:p>
            <w:pPr>
              <w:spacing w:line="288" w:lineRule="auto"/>
              <w:jc w:val="left"/>
              <w:rPr>
                <w:rFonts w:ascii="宋体" w:hAnsi="宋体" w:cs="宋体"/>
                <w:szCs w:val="21"/>
                <w:highlight w:val="none"/>
              </w:rPr>
            </w:pPr>
            <w:r>
              <w:rPr>
                <w:rFonts w:hint="eastAsia" w:ascii="宋体" w:hAnsi="宋体" w:cs="宋体"/>
                <w:szCs w:val="21"/>
                <w:highlight w:val="none"/>
                <w:lang w:bidi="ar"/>
              </w:rPr>
              <w:t>1.工序流程描述详细具体，科学性、规范性、严密性强，完全能够满足本项目实际情况的得</w:t>
            </w:r>
            <w:r>
              <w:rPr>
                <w:rFonts w:ascii="宋体" w:hAnsi="宋体" w:cs="宋体"/>
                <w:szCs w:val="21"/>
                <w:highlight w:val="none"/>
                <w:lang w:bidi="ar"/>
              </w:rPr>
              <w:t>3</w:t>
            </w:r>
            <w:r>
              <w:rPr>
                <w:rFonts w:hint="eastAsia" w:ascii="宋体" w:hAnsi="宋体" w:cs="宋体"/>
                <w:szCs w:val="21"/>
                <w:highlight w:val="none"/>
                <w:lang w:bidi="ar"/>
              </w:rPr>
              <w:t>分；</w:t>
            </w:r>
          </w:p>
          <w:p>
            <w:pPr>
              <w:tabs>
                <w:tab w:val="left" w:pos="313"/>
              </w:tabs>
              <w:spacing w:line="288" w:lineRule="auto"/>
              <w:jc w:val="left"/>
              <w:rPr>
                <w:rFonts w:ascii="宋体" w:hAnsi="宋体" w:cs="宋体"/>
                <w:szCs w:val="21"/>
                <w:highlight w:val="none"/>
              </w:rPr>
            </w:pPr>
            <w:r>
              <w:rPr>
                <w:rFonts w:hint="eastAsia" w:ascii="宋体" w:hAnsi="宋体" w:cs="宋体"/>
                <w:szCs w:val="21"/>
                <w:highlight w:val="none"/>
              </w:rPr>
              <w:t>2.工序流程描述较详细，科学性、规范性、严密性较强，基本能够满足本项目实际情况的得0-</w:t>
            </w:r>
            <w:r>
              <w:rPr>
                <w:rFonts w:ascii="宋体" w:hAnsi="宋体" w:cs="宋体"/>
                <w:szCs w:val="21"/>
                <w:highlight w:val="none"/>
              </w:rPr>
              <w:t>2</w:t>
            </w:r>
            <w:r>
              <w:rPr>
                <w:rFonts w:hint="eastAsia" w:ascii="宋体" w:hAnsi="宋体" w:cs="宋体"/>
                <w:szCs w:val="21"/>
                <w:highlight w:val="none"/>
              </w:rPr>
              <w:t>分；</w:t>
            </w:r>
          </w:p>
        </w:tc>
        <w:tc>
          <w:tcPr>
            <w:tcW w:w="705" w:type="dxa"/>
            <w:vAlign w:val="center"/>
          </w:tcPr>
          <w:p>
            <w:pPr>
              <w:spacing w:line="360" w:lineRule="exact"/>
              <w:jc w:val="center"/>
              <w:rPr>
                <w:rFonts w:ascii="宋体" w:hAnsi="宋体" w:cs="宋体"/>
                <w:sz w:val="24"/>
                <w:highlight w:val="none"/>
              </w:rPr>
            </w:pPr>
            <w:r>
              <w:rPr>
                <w:rFonts w:hint="eastAsia" w:ascii="宋体" w:hAnsi="宋体" w:cs="宋体"/>
                <w:sz w:val="24"/>
                <w:highlight w:val="none"/>
              </w:rPr>
              <w:t>0-</w:t>
            </w:r>
            <w:r>
              <w:rPr>
                <w:rFonts w:ascii="宋体" w:hAnsi="宋体" w:cs="宋体"/>
                <w:sz w:val="24"/>
                <w:highlight w:val="none"/>
              </w:rPr>
              <w:t>3</w:t>
            </w:r>
          </w:p>
        </w:tc>
        <w:tc>
          <w:tcPr>
            <w:tcW w:w="955" w:type="dxa"/>
            <w:vAlign w:val="center"/>
          </w:tcPr>
          <w:p>
            <w:pPr>
              <w:spacing w:line="320" w:lineRule="exact"/>
              <w:jc w:val="center"/>
              <w:rPr>
                <w:rFonts w:ascii="宋体" w:hAnsi="宋体"/>
                <w:sz w:val="24"/>
                <w:highlight w:val="none"/>
              </w:rPr>
            </w:pPr>
            <w:r>
              <w:rPr>
                <w:rFonts w:hint="eastAsia" w:ascii="宋体" w:hAnsi="宋体"/>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27" w:type="dxa"/>
            <w:vMerge w:val="continue"/>
          </w:tcPr>
          <w:p>
            <w:pPr>
              <w:spacing w:line="320" w:lineRule="exact"/>
              <w:rPr>
                <w:rFonts w:ascii="宋体" w:hAnsi="宋体"/>
                <w:sz w:val="24"/>
                <w:highlight w:val="none"/>
              </w:rPr>
            </w:pPr>
          </w:p>
        </w:tc>
        <w:tc>
          <w:tcPr>
            <w:tcW w:w="950" w:type="dxa"/>
            <w:vAlign w:val="center"/>
          </w:tcPr>
          <w:p>
            <w:pPr>
              <w:widowControl/>
              <w:jc w:val="center"/>
              <w:rPr>
                <w:rFonts w:hAnsi="宋体"/>
                <w:sz w:val="24"/>
                <w:highlight w:val="none"/>
              </w:rPr>
            </w:pPr>
            <w:r>
              <w:rPr>
                <w:rFonts w:hint="eastAsia" w:ascii="宋体" w:hAnsi="宋体" w:cs="宋体"/>
                <w:kern w:val="0"/>
                <w:sz w:val="24"/>
                <w:highlight w:val="none"/>
                <w:lang w:bidi="ar"/>
              </w:rPr>
              <w:t>管线探测数据标准符合程度</w:t>
            </w:r>
          </w:p>
        </w:tc>
        <w:tc>
          <w:tcPr>
            <w:tcW w:w="5812" w:type="dxa"/>
            <w:vAlign w:val="center"/>
          </w:tcPr>
          <w:p>
            <w:pPr>
              <w:widowControl/>
              <w:spacing w:line="288" w:lineRule="auto"/>
              <w:jc w:val="left"/>
              <w:rPr>
                <w:rFonts w:ascii="宋体" w:hAnsi="宋体" w:cs="宋体"/>
                <w:szCs w:val="21"/>
                <w:highlight w:val="none"/>
              </w:rPr>
            </w:pPr>
            <w:r>
              <w:rPr>
                <w:rFonts w:hint="eastAsia" w:ascii="宋体" w:hAnsi="宋体" w:cs="宋体"/>
                <w:kern w:val="0"/>
                <w:szCs w:val="21"/>
                <w:highlight w:val="none"/>
                <w:lang w:bidi="ar"/>
              </w:rPr>
              <w:t>根据管线探测数据标准与采购人现有供水管网GIS系统符合程度进行综合评分。</w:t>
            </w:r>
          </w:p>
          <w:p>
            <w:pPr>
              <w:widowControl/>
              <w:spacing w:line="288" w:lineRule="auto"/>
              <w:jc w:val="left"/>
              <w:rPr>
                <w:rFonts w:ascii="宋体" w:hAnsi="宋体" w:cs="宋体"/>
                <w:szCs w:val="21"/>
                <w:highlight w:val="none"/>
              </w:rPr>
            </w:pPr>
            <w:r>
              <w:rPr>
                <w:rFonts w:hint="eastAsia" w:ascii="宋体" w:hAnsi="宋体" w:cs="宋体"/>
                <w:kern w:val="0"/>
                <w:szCs w:val="21"/>
                <w:highlight w:val="none"/>
                <w:lang w:bidi="ar"/>
              </w:rPr>
              <w:t>1.管线探测数据标准与采购人现有系统完全符合的得</w:t>
            </w:r>
            <w:r>
              <w:rPr>
                <w:rFonts w:ascii="宋体" w:hAnsi="宋体" w:cs="宋体"/>
                <w:kern w:val="0"/>
                <w:szCs w:val="21"/>
                <w:highlight w:val="none"/>
                <w:lang w:bidi="ar"/>
              </w:rPr>
              <w:t>3</w:t>
            </w:r>
            <w:r>
              <w:rPr>
                <w:rFonts w:hint="eastAsia" w:ascii="宋体" w:hAnsi="宋体" w:cs="宋体"/>
                <w:kern w:val="0"/>
                <w:szCs w:val="21"/>
                <w:highlight w:val="none"/>
                <w:lang w:bidi="ar"/>
              </w:rPr>
              <w:t>分；</w:t>
            </w:r>
          </w:p>
          <w:p>
            <w:pPr>
              <w:widowControl/>
              <w:spacing w:line="288" w:lineRule="auto"/>
              <w:jc w:val="left"/>
              <w:rPr>
                <w:rFonts w:hAnsi="宋体"/>
                <w:szCs w:val="21"/>
                <w:highlight w:val="none"/>
              </w:rPr>
            </w:pPr>
            <w:r>
              <w:rPr>
                <w:rFonts w:hint="eastAsia" w:ascii="宋体" w:hAnsi="宋体" w:cs="宋体"/>
                <w:kern w:val="0"/>
                <w:szCs w:val="21"/>
                <w:highlight w:val="none"/>
                <w:lang w:bidi="ar"/>
              </w:rPr>
              <w:t>2.管线探测数据标准与采购人现有系统基本符合的得0-</w:t>
            </w:r>
            <w:r>
              <w:rPr>
                <w:rFonts w:ascii="宋体" w:hAnsi="宋体" w:cs="宋体"/>
                <w:kern w:val="0"/>
                <w:szCs w:val="21"/>
                <w:highlight w:val="none"/>
                <w:lang w:bidi="ar"/>
              </w:rPr>
              <w:t>2</w:t>
            </w:r>
            <w:r>
              <w:rPr>
                <w:rFonts w:hint="eastAsia" w:ascii="宋体" w:hAnsi="宋体" w:cs="宋体"/>
                <w:kern w:val="0"/>
                <w:szCs w:val="21"/>
                <w:highlight w:val="none"/>
                <w:lang w:bidi="ar"/>
              </w:rPr>
              <w:t>分。</w:t>
            </w:r>
          </w:p>
        </w:tc>
        <w:tc>
          <w:tcPr>
            <w:tcW w:w="705" w:type="dxa"/>
            <w:vAlign w:val="center"/>
          </w:tcPr>
          <w:p>
            <w:pPr>
              <w:spacing w:line="360" w:lineRule="exact"/>
              <w:jc w:val="center"/>
              <w:rPr>
                <w:rFonts w:ascii="宋体" w:hAnsi="宋体"/>
                <w:sz w:val="24"/>
                <w:highlight w:val="none"/>
              </w:rPr>
            </w:pPr>
            <w:r>
              <w:rPr>
                <w:rFonts w:hint="eastAsia" w:ascii="宋体" w:hAnsi="宋体"/>
                <w:sz w:val="24"/>
                <w:highlight w:val="none"/>
              </w:rPr>
              <w:t>0-</w:t>
            </w:r>
            <w:r>
              <w:rPr>
                <w:rFonts w:ascii="宋体" w:hAnsi="宋体"/>
                <w:sz w:val="24"/>
                <w:highlight w:val="none"/>
              </w:rPr>
              <w:t>3</w:t>
            </w:r>
          </w:p>
        </w:tc>
        <w:tc>
          <w:tcPr>
            <w:tcW w:w="955" w:type="dxa"/>
            <w:vAlign w:val="center"/>
          </w:tcPr>
          <w:p>
            <w:pPr>
              <w:spacing w:line="320" w:lineRule="exact"/>
              <w:jc w:val="center"/>
              <w:rPr>
                <w:rFonts w:ascii="宋体" w:hAnsi="宋体"/>
                <w:sz w:val="24"/>
                <w:highlight w:val="none"/>
              </w:rPr>
            </w:pPr>
            <w:r>
              <w:rPr>
                <w:rFonts w:hint="eastAsia" w:ascii="宋体" w:hAnsi="宋体"/>
                <w:sz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27" w:type="dxa"/>
            <w:vMerge w:val="continue"/>
          </w:tcPr>
          <w:p>
            <w:pPr>
              <w:spacing w:line="320" w:lineRule="exact"/>
              <w:rPr>
                <w:rFonts w:ascii="宋体" w:hAnsi="宋体"/>
                <w:sz w:val="24"/>
                <w:highlight w:val="none"/>
              </w:rPr>
            </w:pPr>
          </w:p>
        </w:tc>
        <w:tc>
          <w:tcPr>
            <w:tcW w:w="950" w:type="dxa"/>
            <w:vAlign w:val="center"/>
          </w:tcPr>
          <w:p>
            <w:pPr>
              <w:tabs>
                <w:tab w:val="left" w:pos="313"/>
              </w:tabs>
              <w:spacing w:line="360" w:lineRule="auto"/>
              <w:jc w:val="center"/>
              <w:rPr>
                <w:rFonts w:hAnsi="宋体"/>
                <w:sz w:val="24"/>
                <w:highlight w:val="none"/>
              </w:rPr>
            </w:pPr>
            <w:r>
              <w:rPr>
                <w:rFonts w:hint="eastAsia" w:ascii="宋体" w:hAnsi="宋体" w:cs="宋体"/>
                <w:sz w:val="24"/>
                <w:highlight w:val="none"/>
              </w:rPr>
              <w:t>管线数据GIS建库能力</w:t>
            </w:r>
          </w:p>
        </w:tc>
        <w:tc>
          <w:tcPr>
            <w:tcW w:w="5812" w:type="dxa"/>
            <w:vAlign w:val="center"/>
          </w:tcPr>
          <w:p>
            <w:pPr>
              <w:spacing w:line="288" w:lineRule="auto"/>
              <w:jc w:val="left"/>
              <w:rPr>
                <w:rFonts w:ascii="宋体" w:hAnsi="宋体" w:cs="宋体"/>
                <w:kern w:val="0"/>
                <w:szCs w:val="21"/>
                <w:highlight w:val="none"/>
                <w:lang w:val="zh-CN" w:bidi="ar"/>
              </w:rPr>
            </w:pPr>
            <w:r>
              <w:rPr>
                <w:rFonts w:hint="eastAsia" w:ascii="宋体" w:hAnsi="宋体" w:cs="宋体"/>
                <w:kern w:val="0"/>
                <w:szCs w:val="21"/>
                <w:highlight w:val="none"/>
                <w:lang w:val="zh-CN" w:bidi="ar"/>
              </w:rPr>
              <w:t>为体现投标人供水管线GIS建库能力</w:t>
            </w:r>
            <w:r>
              <w:rPr>
                <w:rFonts w:hint="eastAsia" w:ascii="宋体" w:hAnsi="宋体" w:cs="宋体"/>
                <w:kern w:val="0"/>
                <w:szCs w:val="21"/>
                <w:highlight w:val="none"/>
                <w:lang w:bidi="ar"/>
              </w:rPr>
              <w:t>,</w:t>
            </w:r>
            <w:r>
              <w:rPr>
                <w:rFonts w:hint="eastAsia" w:ascii="宋体" w:hAnsi="宋体" w:cs="宋体"/>
                <w:kern w:val="0"/>
                <w:szCs w:val="21"/>
                <w:highlight w:val="none"/>
                <w:lang w:val="zh-CN" w:bidi="ar"/>
              </w:rPr>
              <w:t>投标人</w:t>
            </w:r>
            <w:r>
              <w:rPr>
                <w:rFonts w:hint="eastAsia" w:ascii="宋体" w:hAnsi="宋体" w:cs="宋体"/>
                <w:kern w:val="0"/>
                <w:szCs w:val="21"/>
                <w:highlight w:val="none"/>
                <w:lang w:bidi="ar"/>
              </w:rPr>
              <w:t>自</w:t>
            </w:r>
            <w:r>
              <w:rPr>
                <w:rFonts w:hint="eastAsia" w:ascii="宋体" w:hAnsi="宋体" w:cs="宋体"/>
                <w:kern w:val="0"/>
                <w:szCs w:val="21"/>
                <w:highlight w:val="none"/>
                <w:lang w:val="zh-CN" w:bidi="ar"/>
              </w:rPr>
              <w:t>2020年1月（</w:t>
            </w:r>
            <w:r>
              <w:rPr>
                <w:rFonts w:hint="eastAsia" w:ascii="宋体" w:hAnsi="宋体" w:cs="宋体"/>
                <w:kern w:val="0"/>
                <w:szCs w:val="21"/>
                <w:highlight w:val="none"/>
                <w:lang w:bidi="ar"/>
              </w:rPr>
              <w:t>指</w:t>
            </w:r>
            <w:r>
              <w:rPr>
                <w:rFonts w:hint="eastAsia" w:ascii="宋体" w:hAnsi="宋体" w:cs="宋体"/>
                <w:kern w:val="0"/>
                <w:szCs w:val="21"/>
                <w:highlight w:val="none"/>
                <w:lang w:val="zh-CN" w:bidi="ar"/>
              </w:rPr>
              <w:t>合同签订日期）</w:t>
            </w:r>
            <w:r>
              <w:rPr>
                <w:rFonts w:hint="eastAsia" w:ascii="宋体" w:hAnsi="宋体" w:cs="宋体"/>
                <w:kern w:val="0"/>
                <w:szCs w:val="21"/>
                <w:highlight w:val="none"/>
                <w:lang w:bidi="ar"/>
              </w:rPr>
              <w:t>以来</w:t>
            </w:r>
            <w:r>
              <w:rPr>
                <w:rFonts w:hint="eastAsia" w:ascii="宋体" w:hAnsi="宋体" w:cs="宋体"/>
                <w:kern w:val="0"/>
                <w:szCs w:val="21"/>
                <w:highlight w:val="none"/>
                <w:lang w:val="zh-CN" w:bidi="ar"/>
              </w:rPr>
              <w:t>独立承担的供水管网GIS</w:t>
            </w:r>
            <w:r>
              <w:rPr>
                <w:rFonts w:hint="eastAsia" w:ascii="宋体" w:hAnsi="宋体" w:cs="宋体"/>
                <w:kern w:val="0"/>
                <w:szCs w:val="21"/>
                <w:highlight w:val="none"/>
                <w:lang w:bidi="ar"/>
              </w:rPr>
              <w:t>系统软件开发</w:t>
            </w:r>
            <w:r>
              <w:rPr>
                <w:rFonts w:hint="eastAsia" w:ascii="宋体" w:hAnsi="宋体" w:cs="宋体"/>
                <w:kern w:val="0"/>
                <w:szCs w:val="21"/>
                <w:highlight w:val="none"/>
                <w:lang w:val="zh-CN" w:bidi="ar"/>
              </w:rPr>
              <w:t>案例每个得</w:t>
            </w:r>
            <w:r>
              <w:rPr>
                <w:rFonts w:ascii="宋体" w:hAnsi="宋体" w:cs="宋体"/>
                <w:kern w:val="0"/>
                <w:szCs w:val="21"/>
                <w:highlight w:val="none"/>
                <w:lang w:bidi="ar"/>
              </w:rPr>
              <w:t>1</w:t>
            </w:r>
            <w:r>
              <w:rPr>
                <w:rFonts w:hint="eastAsia" w:ascii="宋体" w:hAnsi="宋体" w:cs="宋体"/>
                <w:kern w:val="0"/>
                <w:szCs w:val="21"/>
                <w:highlight w:val="none"/>
                <w:lang w:val="zh-CN" w:bidi="ar"/>
              </w:rPr>
              <w:t>分。最高得</w:t>
            </w:r>
            <w:r>
              <w:rPr>
                <w:rFonts w:ascii="宋体" w:hAnsi="宋体" w:cs="宋体"/>
                <w:kern w:val="0"/>
                <w:szCs w:val="21"/>
                <w:highlight w:val="none"/>
                <w:lang w:bidi="ar"/>
              </w:rPr>
              <w:t>5</w:t>
            </w:r>
            <w:r>
              <w:rPr>
                <w:rFonts w:hint="eastAsia" w:ascii="宋体" w:hAnsi="宋体" w:cs="宋体"/>
                <w:kern w:val="0"/>
                <w:szCs w:val="21"/>
                <w:highlight w:val="none"/>
                <w:lang w:val="zh-CN" w:bidi="ar"/>
              </w:rPr>
              <w:t>分。</w:t>
            </w:r>
          </w:p>
          <w:p>
            <w:pPr>
              <w:tabs>
                <w:tab w:val="left" w:pos="313"/>
              </w:tabs>
              <w:spacing w:line="288" w:lineRule="auto"/>
              <w:jc w:val="left"/>
              <w:rPr>
                <w:rFonts w:hAnsi="宋体"/>
                <w:szCs w:val="21"/>
                <w:highlight w:val="none"/>
              </w:rPr>
            </w:pPr>
            <w:r>
              <w:rPr>
                <w:rFonts w:hint="eastAsia" w:ascii="宋体" w:hAnsi="宋体" w:cs="宋体"/>
                <w:kern w:val="0"/>
                <w:szCs w:val="21"/>
                <w:highlight w:val="none"/>
                <w:lang w:val="zh-CN" w:bidi="ar"/>
              </w:rPr>
              <w:t>说明：1.</w:t>
            </w:r>
            <w:r>
              <w:rPr>
                <w:rFonts w:hint="eastAsia" w:ascii="宋体" w:hAnsi="宋体" w:cs="宋体"/>
                <w:kern w:val="0"/>
                <w:szCs w:val="21"/>
                <w:highlight w:val="none"/>
                <w:lang w:bidi="ar"/>
              </w:rPr>
              <w:t>提供</w:t>
            </w:r>
            <w:r>
              <w:rPr>
                <w:rFonts w:hint="eastAsia" w:ascii="宋体" w:hAnsi="宋体" w:cs="宋体"/>
                <w:kern w:val="0"/>
                <w:szCs w:val="21"/>
                <w:highlight w:val="none"/>
                <w:lang w:val="zh-CN" w:bidi="ar"/>
              </w:rPr>
              <w:t>建库能力合同，</w:t>
            </w:r>
            <w:r>
              <w:rPr>
                <w:rFonts w:hint="eastAsia" w:ascii="宋体" w:hAnsi="宋体" w:cs="宋体"/>
                <w:kern w:val="0"/>
                <w:szCs w:val="21"/>
                <w:highlight w:val="none"/>
                <w:lang w:bidi="ar"/>
              </w:rPr>
              <w:t>合同</w:t>
            </w:r>
            <w:r>
              <w:rPr>
                <w:rFonts w:hint="eastAsia" w:ascii="宋体" w:hAnsi="宋体" w:cs="宋体"/>
                <w:kern w:val="0"/>
                <w:szCs w:val="21"/>
                <w:highlight w:val="none"/>
                <w:lang w:val="zh-CN" w:bidi="ar"/>
              </w:rPr>
              <w:t>内容中必须含“管网GIS系统”软件建设内容；2.同一业主单位的多份项目合同算1个</w:t>
            </w:r>
            <w:r>
              <w:rPr>
                <w:rFonts w:hint="eastAsia" w:ascii="宋体" w:hAnsi="宋体" w:cs="宋体"/>
                <w:kern w:val="0"/>
                <w:szCs w:val="21"/>
                <w:highlight w:val="none"/>
                <w:lang w:bidi="ar"/>
              </w:rPr>
              <w:t>建库能力</w:t>
            </w:r>
            <w:r>
              <w:rPr>
                <w:rFonts w:hint="eastAsia" w:ascii="宋体" w:hAnsi="宋体" w:cs="宋体"/>
                <w:kern w:val="0"/>
                <w:szCs w:val="21"/>
                <w:highlight w:val="none"/>
                <w:lang w:val="zh-CN" w:bidi="ar"/>
              </w:rPr>
              <w:t>；3.地下综合类管网GIS信息化</w:t>
            </w:r>
            <w:r>
              <w:rPr>
                <w:rFonts w:hint="eastAsia" w:ascii="宋体" w:hAnsi="宋体" w:cs="宋体"/>
                <w:kern w:val="0"/>
                <w:szCs w:val="21"/>
                <w:highlight w:val="none"/>
                <w:lang w:bidi="ar"/>
              </w:rPr>
              <w:t>能力合同</w:t>
            </w:r>
            <w:r>
              <w:rPr>
                <w:rFonts w:hint="eastAsia" w:ascii="宋体" w:hAnsi="宋体" w:cs="宋体"/>
                <w:kern w:val="0"/>
                <w:szCs w:val="21"/>
                <w:highlight w:val="none"/>
                <w:lang w:val="zh-CN" w:bidi="ar"/>
              </w:rPr>
              <w:t>不计分；（提供每个</w:t>
            </w:r>
            <w:r>
              <w:rPr>
                <w:rFonts w:hint="eastAsia" w:ascii="宋体" w:hAnsi="宋体" w:cs="宋体"/>
                <w:kern w:val="0"/>
                <w:szCs w:val="21"/>
                <w:highlight w:val="none"/>
                <w:lang w:bidi="ar"/>
              </w:rPr>
              <w:t>建库能力</w:t>
            </w:r>
            <w:r>
              <w:rPr>
                <w:rFonts w:hint="eastAsia" w:ascii="宋体" w:hAnsi="宋体" w:cs="宋体"/>
                <w:kern w:val="0"/>
                <w:szCs w:val="21"/>
                <w:highlight w:val="none"/>
                <w:lang w:val="zh-CN" w:bidi="ar"/>
              </w:rPr>
              <w:t>合同复印件并加盖公章，否则不得分。）</w:t>
            </w:r>
          </w:p>
        </w:tc>
        <w:tc>
          <w:tcPr>
            <w:tcW w:w="705" w:type="dxa"/>
            <w:vAlign w:val="center"/>
          </w:tcPr>
          <w:p>
            <w:pPr>
              <w:spacing w:line="360" w:lineRule="exact"/>
              <w:jc w:val="center"/>
              <w:rPr>
                <w:rFonts w:ascii="宋体" w:hAnsi="宋体"/>
                <w:sz w:val="24"/>
                <w:highlight w:val="none"/>
              </w:rPr>
            </w:pPr>
            <w:r>
              <w:rPr>
                <w:rFonts w:hint="eastAsia" w:ascii="宋体" w:hAnsi="宋体"/>
                <w:sz w:val="24"/>
                <w:highlight w:val="none"/>
              </w:rPr>
              <w:t>0-</w:t>
            </w:r>
            <w:r>
              <w:rPr>
                <w:rFonts w:ascii="宋体" w:hAnsi="宋体"/>
                <w:sz w:val="24"/>
                <w:highlight w:val="none"/>
              </w:rPr>
              <w:t>5</w:t>
            </w:r>
          </w:p>
        </w:tc>
        <w:tc>
          <w:tcPr>
            <w:tcW w:w="955" w:type="dxa"/>
            <w:vAlign w:val="center"/>
          </w:tcPr>
          <w:p>
            <w:pPr>
              <w:spacing w:line="320" w:lineRule="exact"/>
              <w:jc w:val="center"/>
              <w:rPr>
                <w:rFonts w:ascii="宋体" w:hAnsi="宋体"/>
                <w:sz w:val="24"/>
                <w:highlight w:val="none"/>
              </w:rPr>
            </w:pPr>
            <w:r>
              <w:rPr>
                <w:rFonts w:hint="eastAsia" w:ascii="宋体" w:hAnsi="宋体"/>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827" w:type="dxa"/>
            <w:vMerge w:val="continue"/>
          </w:tcPr>
          <w:p>
            <w:pPr>
              <w:spacing w:line="320" w:lineRule="exact"/>
              <w:rPr>
                <w:rFonts w:ascii="宋体" w:hAnsi="宋体"/>
                <w:sz w:val="24"/>
                <w:highlight w:val="none"/>
              </w:rPr>
            </w:pPr>
          </w:p>
        </w:tc>
        <w:tc>
          <w:tcPr>
            <w:tcW w:w="950" w:type="dxa"/>
            <w:vAlign w:val="center"/>
          </w:tcPr>
          <w:p>
            <w:pPr>
              <w:tabs>
                <w:tab w:val="left" w:pos="313"/>
              </w:tabs>
              <w:spacing w:line="360" w:lineRule="auto"/>
              <w:jc w:val="center"/>
              <w:rPr>
                <w:rFonts w:hAnsi="宋体"/>
                <w:sz w:val="24"/>
                <w:highlight w:val="none"/>
              </w:rPr>
            </w:pPr>
            <w:r>
              <w:rPr>
                <w:rFonts w:hint="eastAsia" w:ascii="宋体" w:hAnsi="宋体" w:cs="宋体"/>
                <w:sz w:val="24"/>
                <w:highlight w:val="none"/>
              </w:rPr>
              <w:t>拟投入项目成员</w:t>
            </w:r>
          </w:p>
        </w:tc>
        <w:tc>
          <w:tcPr>
            <w:tcW w:w="5812" w:type="dxa"/>
            <w:vAlign w:val="center"/>
          </w:tcPr>
          <w:p>
            <w:pPr>
              <w:tabs>
                <w:tab w:val="left" w:pos="313"/>
              </w:tabs>
              <w:spacing w:line="288" w:lineRule="auto"/>
              <w:jc w:val="left"/>
              <w:rPr>
                <w:rFonts w:ascii="宋体" w:hAnsi="宋体" w:cs="宋体"/>
                <w:szCs w:val="21"/>
                <w:highlight w:val="none"/>
              </w:rPr>
            </w:pPr>
            <w:r>
              <w:rPr>
                <w:rFonts w:hint="eastAsia" w:ascii="宋体" w:hAnsi="宋体" w:cs="宋体"/>
                <w:szCs w:val="21"/>
                <w:highlight w:val="none"/>
                <w:lang w:bidi="ar"/>
              </w:rPr>
              <w:t>1.</w:t>
            </w:r>
            <w:r>
              <w:rPr>
                <w:rFonts w:hint="eastAsia" w:ascii="宋体" w:hAnsi="宋体" w:cs="宋体"/>
                <w:szCs w:val="21"/>
                <w:highlight w:val="none"/>
              </w:rPr>
              <w:t>项目负责人（项目经理）同时具有工程测量高级工程师证书和注册测绘师证书的得</w:t>
            </w:r>
            <w:r>
              <w:rPr>
                <w:rFonts w:ascii="宋体" w:hAnsi="宋体" w:cs="宋体"/>
                <w:szCs w:val="21"/>
                <w:highlight w:val="none"/>
              </w:rPr>
              <w:t>3</w:t>
            </w:r>
            <w:r>
              <w:rPr>
                <w:rFonts w:hint="eastAsia" w:ascii="宋体" w:hAnsi="宋体" w:cs="宋体"/>
                <w:szCs w:val="21"/>
                <w:highlight w:val="none"/>
              </w:rPr>
              <w:t>分，证书不全或没有不得分。</w:t>
            </w:r>
          </w:p>
          <w:p>
            <w:pPr>
              <w:tabs>
                <w:tab w:val="left" w:pos="313"/>
              </w:tabs>
              <w:spacing w:line="288" w:lineRule="auto"/>
              <w:jc w:val="left"/>
              <w:rPr>
                <w:rFonts w:ascii="宋体" w:hAnsi="宋体" w:cs="宋体"/>
                <w:szCs w:val="21"/>
                <w:highlight w:val="none"/>
              </w:rPr>
            </w:pPr>
            <w:r>
              <w:rPr>
                <w:rFonts w:hint="eastAsia" w:ascii="宋体" w:hAnsi="宋体" w:cs="宋体"/>
                <w:szCs w:val="21"/>
                <w:highlight w:val="none"/>
              </w:rPr>
              <w:t>2.项目技术负责人同时具有信息系统项目管理师（高级）证书和工程测量工程师中级及以上证书的得</w:t>
            </w:r>
            <w:r>
              <w:rPr>
                <w:rFonts w:ascii="宋体" w:hAnsi="宋体" w:cs="宋体"/>
                <w:szCs w:val="21"/>
                <w:highlight w:val="none"/>
              </w:rPr>
              <w:t>3</w:t>
            </w:r>
            <w:r>
              <w:rPr>
                <w:rFonts w:hint="eastAsia" w:ascii="宋体" w:hAnsi="宋体" w:cs="宋体"/>
                <w:szCs w:val="21"/>
                <w:highlight w:val="none"/>
              </w:rPr>
              <w:t>分，证书不全或没有不得分。</w:t>
            </w:r>
          </w:p>
          <w:p>
            <w:pPr>
              <w:tabs>
                <w:tab w:val="left" w:pos="313"/>
              </w:tabs>
              <w:spacing w:line="288" w:lineRule="auto"/>
              <w:jc w:val="left"/>
              <w:rPr>
                <w:rFonts w:ascii="宋体" w:hAnsi="宋体" w:cs="宋体"/>
                <w:szCs w:val="21"/>
                <w:highlight w:val="none"/>
              </w:rPr>
            </w:pPr>
            <w:r>
              <w:rPr>
                <w:rFonts w:hint="eastAsia" w:ascii="宋体" w:hAnsi="宋体" w:cs="宋体"/>
                <w:szCs w:val="21"/>
                <w:highlight w:val="none"/>
              </w:rPr>
              <w:t>3.项目小组成员具有互联网地图安全校审人员上岗证证书的得</w:t>
            </w:r>
            <w:r>
              <w:rPr>
                <w:rFonts w:ascii="宋体" w:hAnsi="宋体" w:cs="宋体"/>
                <w:szCs w:val="21"/>
                <w:highlight w:val="none"/>
              </w:rPr>
              <w:t>1</w:t>
            </w:r>
            <w:r>
              <w:rPr>
                <w:rFonts w:hint="eastAsia" w:ascii="宋体" w:hAnsi="宋体" w:cs="宋体"/>
                <w:szCs w:val="21"/>
                <w:highlight w:val="none"/>
              </w:rPr>
              <w:t>分；</w:t>
            </w:r>
          </w:p>
          <w:p>
            <w:pPr>
              <w:tabs>
                <w:tab w:val="left" w:pos="313"/>
              </w:tabs>
              <w:spacing w:line="288" w:lineRule="auto"/>
              <w:jc w:val="left"/>
              <w:rPr>
                <w:rFonts w:ascii="宋体" w:hAnsi="宋体" w:cs="宋体"/>
                <w:szCs w:val="21"/>
                <w:highlight w:val="none"/>
              </w:rPr>
            </w:pPr>
            <w:r>
              <w:rPr>
                <w:rFonts w:hint="eastAsia" w:ascii="宋体" w:hAnsi="宋体" w:cs="宋体"/>
                <w:szCs w:val="21"/>
                <w:highlight w:val="none"/>
              </w:rPr>
              <w:t>4.项目小组成员具有涉密测绘成果管理人员岗位培训证的得</w:t>
            </w:r>
            <w:r>
              <w:rPr>
                <w:rFonts w:ascii="宋体" w:hAnsi="宋体" w:cs="宋体"/>
                <w:szCs w:val="21"/>
                <w:highlight w:val="none"/>
              </w:rPr>
              <w:t>1</w:t>
            </w:r>
            <w:r>
              <w:rPr>
                <w:rFonts w:hint="eastAsia" w:ascii="宋体" w:hAnsi="宋体" w:cs="宋体"/>
                <w:szCs w:val="21"/>
                <w:highlight w:val="none"/>
              </w:rPr>
              <w:t>分；</w:t>
            </w:r>
          </w:p>
          <w:p>
            <w:pPr>
              <w:tabs>
                <w:tab w:val="left" w:pos="313"/>
              </w:tabs>
              <w:spacing w:line="288" w:lineRule="auto"/>
              <w:jc w:val="left"/>
              <w:rPr>
                <w:rFonts w:ascii="宋体" w:hAnsi="宋体" w:cs="宋体"/>
                <w:szCs w:val="21"/>
                <w:highlight w:val="none"/>
              </w:rPr>
            </w:pPr>
            <w:r>
              <w:rPr>
                <w:rFonts w:hint="eastAsia" w:ascii="宋体" w:hAnsi="宋体" w:cs="宋体"/>
                <w:szCs w:val="21"/>
                <w:highlight w:val="none"/>
              </w:rPr>
              <w:t>5.项目小组成员具有数据库系统工程师证书的得</w:t>
            </w:r>
            <w:r>
              <w:rPr>
                <w:rFonts w:ascii="宋体" w:hAnsi="宋体" w:cs="宋体"/>
                <w:szCs w:val="21"/>
                <w:highlight w:val="none"/>
              </w:rPr>
              <w:t>1</w:t>
            </w:r>
            <w:r>
              <w:rPr>
                <w:rFonts w:hint="eastAsia" w:ascii="宋体" w:hAnsi="宋体" w:cs="宋体"/>
                <w:szCs w:val="21"/>
                <w:highlight w:val="none"/>
              </w:rPr>
              <w:t>分；</w:t>
            </w:r>
          </w:p>
          <w:p>
            <w:pPr>
              <w:widowControl/>
              <w:spacing w:line="288" w:lineRule="auto"/>
              <w:jc w:val="left"/>
              <w:rPr>
                <w:rFonts w:hAnsi="宋体"/>
                <w:szCs w:val="21"/>
                <w:highlight w:val="none"/>
              </w:rPr>
            </w:pPr>
            <w:r>
              <w:rPr>
                <w:rFonts w:hint="eastAsia" w:ascii="宋体" w:hAnsi="宋体" w:cs="宋体"/>
                <w:b/>
                <w:bCs/>
                <w:szCs w:val="21"/>
                <w:highlight w:val="none"/>
              </w:rPr>
              <w:t>（提供有效的相关证书复印件并加盖公章，以上人员需是本单位在职员工，需提供本单位为其缴纳的近三个月社保清单，否则不得分。项目小组成员同一人拥有多本证书的按一项计分。）</w:t>
            </w:r>
          </w:p>
        </w:tc>
        <w:tc>
          <w:tcPr>
            <w:tcW w:w="705" w:type="dxa"/>
            <w:vAlign w:val="center"/>
          </w:tcPr>
          <w:p>
            <w:pPr>
              <w:jc w:val="center"/>
              <w:rPr>
                <w:rFonts w:ascii="宋体" w:hAnsi="宋体" w:cs="宋体"/>
                <w:sz w:val="24"/>
                <w:highlight w:val="none"/>
              </w:rPr>
            </w:pPr>
            <w:r>
              <w:rPr>
                <w:rFonts w:hint="eastAsia" w:ascii="宋体" w:hAnsi="宋体" w:cs="宋体"/>
                <w:sz w:val="24"/>
                <w:highlight w:val="none"/>
              </w:rPr>
              <w:t>0-</w:t>
            </w:r>
            <w:r>
              <w:rPr>
                <w:rFonts w:ascii="宋体" w:hAnsi="宋体" w:cs="宋体"/>
                <w:sz w:val="24"/>
                <w:highlight w:val="none"/>
              </w:rPr>
              <w:t>9</w:t>
            </w:r>
          </w:p>
        </w:tc>
        <w:tc>
          <w:tcPr>
            <w:tcW w:w="955" w:type="dxa"/>
            <w:vAlign w:val="center"/>
          </w:tcPr>
          <w:p>
            <w:pPr>
              <w:spacing w:line="320" w:lineRule="exact"/>
              <w:jc w:val="center"/>
              <w:rPr>
                <w:rFonts w:ascii="宋体" w:hAnsi="宋体"/>
                <w:sz w:val="24"/>
                <w:highlight w:val="none"/>
              </w:rPr>
            </w:pPr>
            <w:r>
              <w:rPr>
                <w:rFonts w:hint="eastAsia" w:ascii="宋体" w:hAnsi="宋体"/>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27" w:type="dxa"/>
            <w:vMerge w:val="continue"/>
          </w:tcPr>
          <w:p>
            <w:pPr>
              <w:spacing w:line="320" w:lineRule="exact"/>
              <w:rPr>
                <w:rFonts w:ascii="宋体" w:hAnsi="宋体"/>
                <w:sz w:val="24"/>
                <w:highlight w:val="none"/>
              </w:rPr>
            </w:pPr>
          </w:p>
        </w:tc>
        <w:tc>
          <w:tcPr>
            <w:tcW w:w="950" w:type="dxa"/>
            <w:vAlign w:val="center"/>
          </w:tcPr>
          <w:p>
            <w:pPr>
              <w:widowControl/>
              <w:jc w:val="left"/>
              <w:rPr>
                <w:rFonts w:hAnsi="宋体"/>
                <w:sz w:val="24"/>
                <w:highlight w:val="none"/>
              </w:rPr>
            </w:pPr>
            <w:r>
              <w:rPr>
                <w:rFonts w:hint="eastAsia" w:ascii="宋体" w:hAnsi="宋体" w:cs="宋体"/>
                <w:kern w:val="0"/>
                <w:sz w:val="24"/>
                <w:highlight w:val="none"/>
                <w:lang w:bidi="ar"/>
              </w:rPr>
              <w:t>本项目投入仪器设备资源</w:t>
            </w:r>
          </w:p>
        </w:tc>
        <w:tc>
          <w:tcPr>
            <w:tcW w:w="5812" w:type="dxa"/>
            <w:vAlign w:val="center"/>
          </w:tcPr>
          <w:p>
            <w:pPr>
              <w:widowControl/>
              <w:spacing w:line="288" w:lineRule="auto"/>
              <w:jc w:val="left"/>
              <w:rPr>
                <w:rFonts w:ascii="宋体" w:hAnsi="宋体" w:cs="宋体"/>
                <w:szCs w:val="21"/>
                <w:highlight w:val="none"/>
              </w:rPr>
            </w:pPr>
            <w:r>
              <w:rPr>
                <w:rFonts w:hint="eastAsia" w:ascii="宋体" w:hAnsi="宋体" w:cs="宋体"/>
                <w:szCs w:val="21"/>
                <w:highlight w:val="none"/>
              </w:rPr>
              <w:t>投标人自有5台及以上GPS测量仪得</w:t>
            </w:r>
            <w:r>
              <w:rPr>
                <w:rFonts w:ascii="宋体" w:hAnsi="宋体" w:cs="宋体"/>
                <w:szCs w:val="21"/>
                <w:highlight w:val="none"/>
              </w:rPr>
              <w:t>2</w:t>
            </w:r>
            <w:r>
              <w:rPr>
                <w:rFonts w:hint="eastAsia" w:ascii="宋体" w:hAnsi="宋体" w:cs="宋体"/>
                <w:szCs w:val="21"/>
                <w:highlight w:val="none"/>
              </w:rPr>
              <w:t>分，5台及以上全站仪得</w:t>
            </w:r>
            <w:r>
              <w:rPr>
                <w:rFonts w:ascii="宋体" w:hAnsi="宋体" w:cs="宋体"/>
                <w:szCs w:val="21"/>
                <w:highlight w:val="none"/>
              </w:rPr>
              <w:t>2</w:t>
            </w:r>
            <w:r>
              <w:rPr>
                <w:rFonts w:hint="eastAsia" w:ascii="宋体" w:hAnsi="宋体" w:cs="宋体"/>
                <w:szCs w:val="21"/>
                <w:highlight w:val="none"/>
              </w:rPr>
              <w:t>分，5台及以上管线探测仪得</w:t>
            </w:r>
            <w:r>
              <w:rPr>
                <w:rFonts w:ascii="宋体" w:hAnsi="宋体" w:cs="宋体"/>
                <w:szCs w:val="21"/>
                <w:highlight w:val="none"/>
              </w:rPr>
              <w:t>2</w:t>
            </w:r>
            <w:r>
              <w:rPr>
                <w:rFonts w:hint="eastAsia" w:ascii="宋体" w:hAnsi="宋体" w:cs="宋体"/>
                <w:szCs w:val="21"/>
                <w:highlight w:val="none"/>
              </w:rPr>
              <w:t>分；本项最高得</w:t>
            </w:r>
            <w:r>
              <w:rPr>
                <w:rFonts w:ascii="宋体" w:hAnsi="宋体" w:cs="宋体"/>
                <w:szCs w:val="21"/>
                <w:highlight w:val="none"/>
              </w:rPr>
              <w:t>6</w:t>
            </w:r>
            <w:r>
              <w:rPr>
                <w:rFonts w:hint="eastAsia" w:ascii="宋体" w:hAnsi="宋体" w:cs="宋体"/>
                <w:szCs w:val="21"/>
                <w:highlight w:val="none"/>
              </w:rPr>
              <w:t xml:space="preserve">分。 </w:t>
            </w:r>
          </w:p>
          <w:p>
            <w:pPr>
              <w:widowControl/>
              <w:spacing w:line="288" w:lineRule="auto"/>
              <w:jc w:val="left"/>
              <w:rPr>
                <w:rFonts w:hAnsi="宋体"/>
                <w:szCs w:val="21"/>
                <w:highlight w:val="none"/>
              </w:rPr>
            </w:pPr>
            <w:r>
              <w:rPr>
                <w:rFonts w:hint="eastAsia" w:ascii="宋体" w:hAnsi="宋体" w:cs="宋体"/>
                <w:b/>
                <w:bCs/>
                <w:szCs w:val="21"/>
                <w:highlight w:val="none"/>
                <w:lang w:val="zh-CN"/>
              </w:rPr>
              <w:t>（</w:t>
            </w:r>
            <w:r>
              <w:rPr>
                <w:rFonts w:hint="eastAsia" w:ascii="宋体" w:hAnsi="宋体" w:cs="宋体"/>
                <w:b/>
                <w:bCs/>
                <w:szCs w:val="21"/>
                <w:highlight w:val="none"/>
              </w:rPr>
              <w:t>提供相关设备照片和设备发票复印件，设备发票抬头须与投标人名称相同，否则不得分。</w:t>
            </w:r>
            <w:r>
              <w:rPr>
                <w:rFonts w:hint="eastAsia" w:ascii="宋体" w:hAnsi="宋体" w:cs="宋体"/>
                <w:b/>
                <w:bCs/>
                <w:szCs w:val="21"/>
                <w:highlight w:val="none"/>
                <w:lang w:val="zh-CN"/>
              </w:rPr>
              <w:t>）</w:t>
            </w:r>
          </w:p>
        </w:tc>
        <w:tc>
          <w:tcPr>
            <w:tcW w:w="705" w:type="dxa"/>
            <w:vAlign w:val="center"/>
          </w:tcPr>
          <w:p>
            <w:pPr>
              <w:jc w:val="center"/>
              <w:rPr>
                <w:rFonts w:ascii="宋体" w:hAnsi="宋体" w:cs="宋体"/>
                <w:sz w:val="24"/>
                <w:highlight w:val="none"/>
              </w:rPr>
            </w:pPr>
            <w:r>
              <w:rPr>
                <w:rFonts w:hint="eastAsia" w:ascii="宋体" w:hAnsi="宋体" w:cs="宋体"/>
                <w:sz w:val="24"/>
                <w:highlight w:val="none"/>
              </w:rPr>
              <w:t>0-</w:t>
            </w:r>
            <w:r>
              <w:rPr>
                <w:rFonts w:ascii="宋体" w:hAnsi="宋体" w:cs="宋体"/>
                <w:sz w:val="24"/>
                <w:highlight w:val="none"/>
              </w:rPr>
              <w:t>6</w:t>
            </w:r>
          </w:p>
        </w:tc>
        <w:tc>
          <w:tcPr>
            <w:tcW w:w="955" w:type="dxa"/>
            <w:vAlign w:val="center"/>
          </w:tcPr>
          <w:p>
            <w:pPr>
              <w:spacing w:line="320" w:lineRule="exact"/>
              <w:jc w:val="center"/>
              <w:rPr>
                <w:rFonts w:ascii="宋体" w:hAnsi="宋体"/>
                <w:sz w:val="24"/>
                <w:highlight w:val="none"/>
              </w:rPr>
            </w:pPr>
            <w:r>
              <w:rPr>
                <w:rFonts w:hint="eastAsia" w:ascii="宋体" w:hAnsi="宋体"/>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27" w:type="dxa"/>
            <w:vMerge w:val="continue"/>
          </w:tcPr>
          <w:p>
            <w:pPr>
              <w:spacing w:line="320" w:lineRule="exact"/>
              <w:rPr>
                <w:rFonts w:ascii="宋体" w:hAnsi="宋体"/>
                <w:sz w:val="24"/>
                <w:highlight w:val="none"/>
              </w:rPr>
            </w:pPr>
          </w:p>
        </w:tc>
        <w:tc>
          <w:tcPr>
            <w:tcW w:w="950" w:type="dxa"/>
            <w:vAlign w:val="center"/>
          </w:tcPr>
          <w:p>
            <w:pPr>
              <w:spacing w:line="360" w:lineRule="auto"/>
              <w:jc w:val="center"/>
              <w:rPr>
                <w:rFonts w:hAnsi="宋体"/>
                <w:sz w:val="24"/>
                <w:highlight w:val="none"/>
              </w:rPr>
            </w:pPr>
            <w:r>
              <w:rPr>
                <w:rFonts w:hint="eastAsia" w:ascii="宋体" w:hAnsi="宋体" w:cs="宋体"/>
                <w:sz w:val="24"/>
                <w:highlight w:val="none"/>
                <w:lang w:bidi="ar"/>
              </w:rPr>
              <w:t>成熟度测试</w:t>
            </w:r>
          </w:p>
        </w:tc>
        <w:tc>
          <w:tcPr>
            <w:tcW w:w="5812" w:type="dxa"/>
            <w:vAlign w:val="center"/>
          </w:tcPr>
          <w:p>
            <w:pPr>
              <w:widowControl/>
              <w:spacing w:line="288" w:lineRule="auto"/>
              <w:jc w:val="left"/>
              <w:rPr>
                <w:rFonts w:ascii="宋体" w:hAnsi="宋体" w:cs="宋体"/>
                <w:szCs w:val="21"/>
                <w:highlight w:val="none"/>
                <w:lang w:bidi="ar"/>
              </w:rPr>
            </w:pPr>
            <w:r>
              <w:rPr>
                <w:rFonts w:hint="eastAsia" w:ascii="宋体" w:hAnsi="宋体" w:cs="宋体"/>
                <w:szCs w:val="21"/>
                <w:highlight w:val="none"/>
                <w:lang w:val="zh-CN" w:bidi="ar"/>
              </w:rPr>
              <w:t>投标人具有</w:t>
            </w:r>
            <w:r>
              <w:rPr>
                <w:rFonts w:hint="eastAsia" w:ascii="宋体" w:hAnsi="宋体" w:cs="宋体"/>
                <w:szCs w:val="21"/>
                <w:highlight w:val="none"/>
                <w:lang w:bidi="ar"/>
              </w:rPr>
              <w:t>与本项目相关</w:t>
            </w:r>
            <w:r>
              <w:rPr>
                <w:rFonts w:hint="eastAsia" w:ascii="宋体" w:hAnsi="宋体" w:cs="宋体"/>
                <w:szCs w:val="21"/>
                <w:highlight w:val="none"/>
                <w:lang w:val="zh-CN" w:bidi="ar"/>
              </w:rPr>
              <w:t>软件能力成熟度集成模型CMMI</w:t>
            </w:r>
            <w:r>
              <w:rPr>
                <w:rFonts w:hint="eastAsia" w:ascii="宋体" w:hAnsi="宋体" w:cs="宋体"/>
                <w:szCs w:val="21"/>
                <w:highlight w:val="none"/>
                <w:lang w:bidi="ar"/>
              </w:rPr>
              <w:t xml:space="preserve"> 3</w:t>
            </w:r>
            <w:r>
              <w:rPr>
                <w:rFonts w:hint="eastAsia" w:ascii="宋体" w:hAnsi="宋体" w:cs="宋体"/>
                <w:szCs w:val="21"/>
                <w:highlight w:val="none"/>
                <w:lang w:val="zh-CN" w:bidi="ar"/>
              </w:rPr>
              <w:t>级</w:t>
            </w:r>
            <w:r>
              <w:rPr>
                <w:rFonts w:hint="eastAsia" w:ascii="宋体" w:hAnsi="宋体" w:cs="宋体"/>
                <w:szCs w:val="21"/>
                <w:highlight w:val="none"/>
                <w:lang w:bidi="ar"/>
              </w:rPr>
              <w:t>得</w:t>
            </w:r>
            <w:r>
              <w:rPr>
                <w:rFonts w:ascii="宋体" w:hAnsi="宋体" w:cs="宋体"/>
                <w:szCs w:val="21"/>
                <w:highlight w:val="none"/>
                <w:lang w:bidi="ar"/>
              </w:rPr>
              <w:t>1</w:t>
            </w:r>
            <w:r>
              <w:rPr>
                <w:rFonts w:hint="eastAsia" w:ascii="宋体" w:hAnsi="宋体" w:cs="宋体"/>
                <w:szCs w:val="21"/>
                <w:highlight w:val="none"/>
                <w:lang w:bidi="ar"/>
              </w:rPr>
              <w:t>分，CMMI 4级的得</w:t>
            </w:r>
            <w:r>
              <w:rPr>
                <w:rFonts w:ascii="宋体" w:hAnsi="宋体" w:cs="宋体"/>
                <w:szCs w:val="21"/>
                <w:highlight w:val="none"/>
                <w:lang w:bidi="ar"/>
              </w:rPr>
              <w:t>2</w:t>
            </w:r>
            <w:r>
              <w:rPr>
                <w:rFonts w:hint="eastAsia" w:ascii="宋体" w:hAnsi="宋体" w:cs="宋体"/>
                <w:szCs w:val="21"/>
                <w:highlight w:val="none"/>
                <w:lang w:bidi="ar"/>
              </w:rPr>
              <w:t>分，CMMI 5级的得</w:t>
            </w:r>
            <w:r>
              <w:rPr>
                <w:rFonts w:ascii="宋体" w:hAnsi="宋体" w:cs="宋体"/>
                <w:szCs w:val="21"/>
                <w:highlight w:val="none"/>
                <w:lang w:bidi="ar"/>
              </w:rPr>
              <w:t>3</w:t>
            </w:r>
            <w:r>
              <w:rPr>
                <w:rFonts w:hint="eastAsia" w:ascii="宋体" w:hAnsi="宋体" w:cs="宋体"/>
                <w:szCs w:val="21"/>
                <w:highlight w:val="none"/>
                <w:lang w:bidi="ar"/>
              </w:rPr>
              <w:t>分，其他类型不得分。</w:t>
            </w:r>
          </w:p>
          <w:p>
            <w:pPr>
              <w:widowControl/>
              <w:spacing w:line="288" w:lineRule="auto"/>
              <w:jc w:val="left"/>
              <w:rPr>
                <w:rFonts w:hAnsi="宋体"/>
                <w:szCs w:val="21"/>
                <w:highlight w:val="none"/>
              </w:rPr>
            </w:pPr>
            <w:r>
              <w:rPr>
                <w:rFonts w:hint="eastAsia" w:ascii="宋体" w:hAnsi="宋体" w:cs="宋体"/>
                <w:b/>
                <w:bCs/>
                <w:szCs w:val="21"/>
                <w:highlight w:val="none"/>
                <w:lang w:val="zh-CN"/>
              </w:rPr>
              <w:t>（</w:t>
            </w:r>
            <w:r>
              <w:rPr>
                <w:rFonts w:hint="eastAsia" w:ascii="宋体" w:hAnsi="宋体" w:cs="宋体"/>
                <w:b/>
                <w:bCs/>
                <w:szCs w:val="21"/>
                <w:highlight w:val="none"/>
              </w:rPr>
              <w:t>提供相关证书复印件加盖公章，否则不得分。</w:t>
            </w:r>
            <w:r>
              <w:rPr>
                <w:rFonts w:hint="eastAsia" w:ascii="宋体" w:hAnsi="宋体" w:cs="宋体"/>
                <w:b/>
                <w:bCs/>
                <w:szCs w:val="21"/>
                <w:highlight w:val="none"/>
                <w:lang w:val="zh-CN"/>
              </w:rPr>
              <w:t>）</w:t>
            </w:r>
          </w:p>
        </w:tc>
        <w:tc>
          <w:tcPr>
            <w:tcW w:w="705" w:type="dxa"/>
            <w:vAlign w:val="center"/>
          </w:tcPr>
          <w:p>
            <w:pPr>
              <w:jc w:val="center"/>
              <w:rPr>
                <w:rFonts w:ascii="宋体" w:hAnsi="宋体" w:cs="宋体"/>
                <w:sz w:val="24"/>
                <w:highlight w:val="none"/>
              </w:rPr>
            </w:pPr>
            <w:r>
              <w:rPr>
                <w:rFonts w:hint="eastAsia" w:ascii="宋体" w:hAnsi="宋体" w:cs="宋体"/>
                <w:sz w:val="24"/>
                <w:highlight w:val="none"/>
              </w:rPr>
              <w:t>0-</w:t>
            </w:r>
            <w:r>
              <w:rPr>
                <w:rFonts w:ascii="宋体" w:hAnsi="宋体" w:cs="宋体"/>
                <w:sz w:val="24"/>
                <w:highlight w:val="none"/>
              </w:rPr>
              <w:t>3</w:t>
            </w:r>
          </w:p>
        </w:tc>
        <w:tc>
          <w:tcPr>
            <w:tcW w:w="955" w:type="dxa"/>
            <w:vAlign w:val="center"/>
          </w:tcPr>
          <w:p>
            <w:pPr>
              <w:spacing w:line="320" w:lineRule="exact"/>
              <w:jc w:val="center"/>
              <w:rPr>
                <w:rFonts w:ascii="宋体" w:hAnsi="宋体"/>
                <w:sz w:val="24"/>
                <w:highlight w:val="none"/>
              </w:rPr>
            </w:pPr>
            <w:r>
              <w:rPr>
                <w:rFonts w:hint="eastAsia" w:ascii="宋体" w:hAnsi="宋体"/>
                <w:sz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27" w:type="dxa"/>
            <w:vMerge w:val="continue"/>
          </w:tcPr>
          <w:p>
            <w:pPr>
              <w:spacing w:line="320" w:lineRule="exact"/>
              <w:rPr>
                <w:rFonts w:ascii="宋体" w:hAnsi="宋体"/>
                <w:sz w:val="24"/>
                <w:highlight w:val="none"/>
              </w:rPr>
            </w:pPr>
          </w:p>
        </w:tc>
        <w:tc>
          <w:tcPr>
            <w:tcW w:w="950" w:type="dxa"/>
            <w:vAlign w:val="center"/>
          </w:tcPr>
          <w:p>
            <w:pPr>
              <w:tabs>
                <w:tab w:val="left" w:pos="313"/>
              </w:tabs>
              <w:spacing w:line="360" w:lineRule="auto"/>
              <w:jc w:val="center"/>
              <w:rPr>
                <w:rFonts w:hAnsi="宋体"/>
                <w:sz w:val="24"/>
                <w:highlight w:val="none"/>
              </w:rPr>
            </w:pPr>
            <w:r>
              <w:rPr>
                <w:rFonts w:hint="eastAsia" w:ascii="宋体" w:hAnsi="宋体" w:cs="宋体"/>
                <w:bCs/>
                <w:sz w:val="24"/>
                <w:highlight w:val="none"/>
              </w:rPr>
              <w:t>知识产权</w:t>
            </w:r>
          </w:p>
        </w:tc>
        <w:tc>
          <w:tcPr>
            <w:tcW w:w="5812" w:type="dxa"/>
            <w:vAlign w:val="center"/>
          </w:tcPr>
          <w:p>
            <w:pPr>
              <w:spacing w:line="288" w:lineRule="auto"/>
              <w:jc w:val="left"/>
              <w:rPr>
                <w:rFonts w:ascii="宋体" w:hAnsi="宋体" w:cs="宋体"/>
                <w:szCs w:val="21"/>
                <w:highlight w:val="none"/>
              </w:rPr>
            </w:pPr>
            <w:r>
              <w:rPr>
                <w:rFonts w:hint="eastAsia" w:ascii="宋体" w:hAnsi="宋体" w:cs="宋体"/>
                <w:szCs w:val="21"/>
                <w:highlight w:val="none"/>
                <w:lang w:bidi="ar"/>
              </w:rPr>
              <w:t>投标人在本项目招标公告发布之日前取得管网一体化平板采集系统、管网探测数据成图系统、管网GIS系统等同类型计算机软件著作权证书，每取得1个得</w:t>
            </w:r>
            <w:r>
              <w:rPr>
                <w:rFonts w:ascii="宋体" w:hAnsi="宋体" w:cs="宋体"/>
                <w:szCs w:val="21"/>
                <w:highlight w:val="none"/>
                <w:lang w:bidi="ar"/>
              </w:rPr>
              <w:t>1</w:t>
            </w:r>
            <w:r>
              <w:rPr>
                <w:rFonts w:hint="eastAsia" w:ascii="宋体" w:hAnsi="宋体" w:cs="宋体"/>
                <w:szCs w:val="21"/>
                <w:highlight w:val="none"/>
                <w:lang w:bidi="ar"/>
              </w:rPr>
              <w:t>分，累计最多得</w:t>
            </w:r>
            <w:r>
              <w:rPr>
                <w:rFonts w:ascii="宋体" w:hAnsi="宋体" w:cs="宋体"/>
                <w:szCs w:val="21"/>
                <w:highlight w:val="none"/>
                <w:lang w:bidi="ar"/>
              </w:rPr>
              <w:t>3</w:t>
            </w:r>
            <w:r>
              <w:rPr>
                <w:rFonts w:hint="eastAsia" w:ascii="宋体" w:hAnsi="宋体" w:cs="宋体"/>
                <w:szCs w:val="21"/>
                <w:highlight w:val="none"/>
                <w:lang w:bidi="ar"/>
              </w:rPr>
              <w:t>分，没有不得分。</w:t>
            </w:r>
          </w:p>
          <w:p>
            <w:pPr>
              <w:tabs>
                <w:tab w:val="left" w:pos="313"/>
              </w:tabs>
              <w:spacing w:line="288" w:lineRule="auto"/>
              <w:jc w:val="left"/>
              <w:rPr>
                <w:rFonts w:hAnsi="宋体"/>
                <w:szCs w:val="21"/>
                <w:highlight w:val="none"/>
              </w:rPr>
            </w:pPr>
            <w:r>
              <w:rPr>
                <w:rFonts w:hint="eastAsia" w:ascii="宋体" w:hAnsi="宋体" w:cs="宋体"/>
                <w:b/>
                <w:bCs/>
                <w:szCs w:val="21"/>
                <w:highlight w:val="none"/>
                <w:lang w:val="zh-CN"/>
              </w:rPr>
              <w:t>（</w:t>
            </w:r>
            <w:r>
              <w:rPr>
                <w:rFonts w:hint="eastAsia" w:ascii="宋体" w:hAnsi="宋体" w:cs="宋体"/>
                <w:b/>
                <w:bCs/>
                <w:szCs w:val="21"/>
                <w:highlight w:val="none"/>
              </w:rPr>
              <w:t>提供相关证书复印件或扫描件加盖公章，否则不得分。</w:t>
            </w:r>
            <w:r>
              <w:rPr>
                <w:rFonts w:hint="eastAsia" w:ascii="宋体" w:hAnsi="宋体" w:cs="宋体"/>
                <w:b/>
                <w:bCs/>
                <w:szCs w:val="21"/>
                <w:highlight w:val="none"/>
                <w:lang w:val="zh-CN"/>
              </w:rPr>
              <w:t>）</w:t>
            </w:r>
          </w:p>
        </w:tc>
        <w:tc>
          <w:tcPr>
            <w:tcW w:w="705" w:type="dxa"/>
            <w:vAlign w:val="center"/>
          </w:tcPr>
          <w:p>
            <w:pPr>
              <w:jc w:val="center"/>
              <w:rPr>
                <w:rFonts w:ascii="宋体" w:hAnsi="宋体" w:cs="宋体"/>
                <w:sz w:val="24"/>
                <w:highlight w:val="none"/>
              </w:rPr>
            </w:pPr>
            <w:r>
              <w:rPr>
                <w:rFonts w:hint="eastAsia" w:ascii="宋体" w:hAnsi="宋体" w:cs="宋体"/>
                <w:sz w:val="24"/>
                <w:highlight w:val="none"/>
              </w:rPr>
              <w:t>0-</w:t>
            </w:r>
            <w:r>
              <w:rPr>
                <w:rFonts w:ascii="宋体" w:hAnsi="宋体" w:cs="宋体"/>
                <w:sz w:val="24"/>
                <w:highlight w:val="none"/>
              </w:rPr>
              <w:t>3</w:t>
            </w:r>
          </w:p>
        </w:tc>
        <w:tc>
          <w:tcPr>
            <w:tcW w:w="955" w:type="dxa"/>
            <w:vAlign w:val="center"/>
          </w:tcPr>
          <w:p>
            <w:pPr>
              <w:spacing w:line="320" w:lineRule="exact"/>
              <w:jc w:val="center"/>
              <w:rPr>
                <w:rFonts w:ascii="宋体" w:hAnsi="宋体"/>
                <w:sz w:val="24"/>
                <w:highlight w:val="none"/>
              </w:rPr>
            </w:pPr>
            <w:r>
              <w:rPr>
                <w:rFonts w:hint="eastAsia" w:ascii="宋体" w:hAnsi="宋体"/>
                <w:sz w:val="24"/>
                <w:highlight w:val="none"/>
              </w:rPr>
              <w:t>客观分</w:t>
            </w:r>
          </w:p>
        </w:tc>
      </w:tr>
    </w:tbl>
    <w:p>
      <w:pPr>
        <w:widowControl/>
        <w:spacing w:line="360" w:lineRule="auto"/>
        <w:rPr>
          <w:rFonts w:ascii="宋体" w:hAnsi="宋体" w:cs="宋体"/>
          <w:sz w:val="24"/>
          <w:highlight w:val="none"/>
        </w:rPr>
      </w:pPr>
      <w:r>
        <w:rPr>
          <w:rFonts w:hint="eastAsia" w:ascii="宋体" w:hAnsi="宋体" w:cs="宋体"/>
          <w:b/>
          <w:sz w:val="24"/>
          <w:highlight w:val="none"/>
        </w:rPr>
        <w:t>备注：</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1、响应文件中如附有外文资料，必须逐一对应翻译成中文并加盖响应人公章后附在相关外文资料后面，否则外文资料不予认可。翻译的中文资料与外文资料不符的，均不予认可。翻译严重错误的，将视同提供虚假资料。</w:t>
      </w:r>
    </w:p>
    <w:p>
      <w:pPr>
        <w:widowControl/>
        <w:spacing w:line="360" w:lineRule="auto"/>
        <w:ind w:firstLine="480" w:firstLineChars="200"/>
        <w:rPr>
          <w:rFonts w:ascii="宋体" w:hAnsi="宋体" w:cs="宋体"/>
          <w:sz w:val="24"/>
          <w:highlight w:val="none"/>
        </w:rPr>
      </w:pPr>
      <w:r>
        <w:rPr>
          <w:rFonts w:hint="eastAsia" w:ascii="宋体" w:hAnsi="宋体" w:cs="宋体"/>
          <w:sz w:val="24"/>
          <w:highlight w:val="none"/>
        </w:rPr>
        <w:t>2、响应人编制响应文件（商务技术文件部分）时，建议按此目录（序号和内容）提供评审标准相应的商务技术资料。 </w:t>
      </w:r>
    </w:p>
    <w:p>
      <w:pPr>
        <w:widowControl/>
        <w:spacing w:line="360" w:lineRule="auto"/>
        <w:rPr>
          <w:rFonts w:ascii="宋体" w:hAnsi="宋体" w:cs="宋体"/>
          <w:b/>
          <w:bCs/>
          <w:sz w:val="24"/>
          <w:highlight w:val="none"/>
        </w:rPr>
      </w:pPr>
      <w:r>
        <w:rPr>
          <w:rFonts w:hint="eastAsia" w:ascii="宋体" w:hAnsi="宋体" w:cs="宋体"/>
          <w:b/>
          <w:bCs/>
          <w:sz w:val="24"/>
          <w:highlight w:val="none"/>
        </w:rPr>
        <w:t>2、价格分（</w:t>
      </w:r>
      <w:r>
        <w:rPr>
          <w:rFonts w:ascii="宋体" w:hAnsi="宋体" w:cs="宋体"/>
          <w:b/>
          <w:bCs/>
          <w:sz w:val="24"/>
          <w:highlight w:val="none"/>
        </w:rPr>
        <w:t>4</w:t>
      </w:r>
      <w:r>
        <w:rPr>
          <w:rFonts w:hint="eastAsia" w:ascii="宋体" w:hAnsi="宋体" w:cs="宋体"/>
          <w:b/>
          <w:bCs/>
          <w:sz w:val="24"/>
          <w:highlight w:val="none"/>
        </w:rPr>
        <w:t>0分）</w:t>
      </w:r>
    </w:p>
    <w:p>
      <w:pPr>
        <w:snapToGrid w:val="0"/>
        <w:spacing w:line="360" w:lineRule="auto"/>
        <w:ind w:firstLine="470" w:firstLineChars="196"/>
        <w:rPr>
          <w:highlight w:val="none"/>
        </w:rPr>
      </w:pPr>
      <w:r>
        <w:rPr>
          <w:rStyle w:val="974"/>
          <w:rFonts w:hint="eastAsia" w:ascii="宋体" w:hAnsi="宋体"/>
          <w:kern w:val="0"/>
          <w:sz w:val="24"/>
          <w:highlight w:val="none"/>
        </w:rPr>
        <w:t>投标报价</w:t>
      </w:r>
      <w:r>
        <w:rPr>
          <w:rStyle w:val="974"/>
          <w:rFonts w:ascii="宋体" w:hAnsi="宋体"/>
          <w:kern w:val="0"/>
          <w:sz w:val="24"/>
          <w:highlight w:val="none"/>
        </w:rPr>
        <w:t>的合理性</w:t>
      </w:r>
      <w:r>
        <w:rPr>
          <w:rStyle w:val="974"/>
          <w:rFonts w:hint="eastAsia" w:ascii="宋体" w:hAnsi="宋体"/>
          <w:kern w:val="0"/>
          <w:sz w:val="24"/>
          <w:highlight w:val="none"/>
        </w:rPr>
        <w:t>：</w:t>
      </w:r>
      <w:r>
        <w:rPr>
          <w:rStyle w:val="974"/>
          <w:rFonts w:ascii="宋体" w:hAnsi="宋体"/>
          <w:kern w:val="0"/>
          <w:sz w:val="24"/>
          <w:highlight w:val="none"/>
        </w:rPr>
        <w:t>分析</w:t>
      </w:r>
      <w:r>
        <w:rPr>
          <w:rStyle w:val="974"/>
          <w:rFonts w:hint="eastAsia" w:ascii="宋体" w:hAnsi="宋体"/>
          <w:kern w:val="0"/>
          <w:sz w:val="24"/>
          <w:highlight w:val="none"/>
        </w:rPr>
        <w:t>投标报价</w:t>
      </w:r>
      <w:r>
        <w:rPr>
          <w:rStyle w:val="974"/>
          <w:rFonts w:ascii="宋体" w:hAnsi="宋体"/>
          <w:kern w:val="0"/>
          <w:sz w:val="24"/>
          <w:highlight w:val="none"/>
        </w:rPr>
        <w:t>是否合理，</w:t>
      </w:r>
      <w:r>
        <w:rPr>
          <w:rStyle w:val="974"/>
          <w:rFonts w:hint="eastAsia" w:ascii="宋体" w:hAnsi="宋体"/>
          <w:kern w:val="0"/>
          <w:sz w:val="24"/>
          <w:highlight w:val="none"/>
        </w:rPr>
        <w:t>投标报价</w:t>
      </w:r>
      <w:r>
        <w:rPr>
          <w:rStyle w:val="974"/>
          <w:rFonts w:ascii="宋体" w:hAnsi="宋体"/>
          <w:kern w:val="0"/>
          <w:sz w:val="24"/>
          <w:highlight w:val="none"/>
        </w:rPr>
        <w:t>范围是否完整，有否重大错漏项。评标委员会认为</w:t>
      </w:r>
      <w:r>
        <w:rPr>
          <w:rStyle w:val="974"/>
          <w:rFonts w:hint="eastAsia" w:ascii="宋体" w:hAnsi="宋体"/>
          <w:kern w:val="0"/>
          <w:sz w:val="24"/>
          <w:highlight w:val="none"/>
        </w:rPr>
        <w:t>投标人</w:t>
      </w:r>
      <w:r>
        <w:rPr>
          <w:rStyle w:val="974"/>
          <w:rFonts w:ascii="宋体" w:hAnsi="宋体"/>
          <w:kern w:val="0"/>
          <w:sz w:val="24"/>
          <w:highlight w:val="none"/>
        </w:rPr>
        <w:t>的报价明显低于其他通过符合性审查</w:t>
      </w:r>
      <w:r>
        <w:rPr>
          <w:rStyle w:val="974"/>
          <w:rFonts w:hint="eastAsia" w:ascii="宋体" w:hAnsi="宋体"/>
          <w:kern w:val="0"/>
          <w:sz w:val="24"/>
          <w:highlight w:val="none"/>
        </w:rPr>
        <w:t>投标人</w:t>
      </w:r>
      <w:r>
        <w:rPr>
          <w:rStyle w:val="974"/>
          <w:rFonts w:ascii="宋体" w:hAnsi="宋体"/>
          <w:kern w:val="0"/>
          <w:sz w:val="24"/>
          <w:highlight w:val="none"/>
        </w:rPr>
        <w:t>的报价，有可能影响服务质量或者不能诚信履约的，应当要求其在评标现场合理的时间内提供书面说明，必要时提交相关证明材料</w:t>
      </w:r>
      <w:r>
        <w:rPr>
          <w:rStyle w:val="974"/>
          <w:rFonts w:hint="eastAsia" w:ascii="宋体" w:hAnsi="宋体"/>
          <w:kern w:val="0"/>
          <w:sz w:val="24"/>
          <w:highlight w:val="none"/>
        </w:rPr>
        <w:t>；投标人</w:t>
      </w:r>
      <w:r>
        <w:rPr>
          <w:rStyle w:val="974"/>
          <w:rFonts w:ascii="宋体" w:hAnsi="宋体"/>
          <w:kern w:val="0"/>
          <w:sz w:val="24"/>
          <w:highlight w:val="none"/>
        </w:rPr>
        <w:t>不能证明其报价合理性的，评标委员会应当将其作为无效</w:t>
      </w:r>
      <w:r>
        <w:rPr>
          <w:rStyle w:val="974"/>
          <w:rFonts w:hint="eastAsia" w:ascii="宋体" w:hAnsi="宋体"/>
          <w:kern w:val="0"/>
          <w:sz w:val="24"/>
          <w:highlight w:val="none"/>
        </w:rPr>
        <w:t>投标</w:t>
      </w:r>
      <w:r>
        <w:rPr>
          <w:rStyle w:val="974"/>
          <w:rFonts w:ascii="宋体" w:hAnsi="宋体"/>
          <w:kern w:val="0"/>
          <w:sz w:val="24"/>
          <w:highlight w:val="none"/>
        </w:rPr>
        <w:t>处理。</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vAlign w:val="center"/>
          </w:tcPr>
          <w:p>
            <w:pPr>
              <w:adjustRightInd/>
              <w:spacing w:line="360" w:lineRule="exact"/>
              <w:jc w:val="center"/>
              <w:rPr>
                <w:rFonts w:ascii="宋体" w:hAnsi="宋体" w:cs="宋体"/>
                <w:sz w:val="24"/>
                <w:highlight w:val="none"/>
              </w:rPr>
            </w:pPr>
            <w:r>
              <w:rPr>
                <w:rFonts w:hint="eastAsia" w:ascii="宋体" w:hAnsi="宋体" w:cs="宋体"/>
                <w:sz w:val="24"/>
                <w:highlight w:val="none"/>
              </w:rPr>
              <w:t>价格权值</w:t>
            </w:r>
          </w:p>
        </w:tc>
        <w:tc>
          <w:tcPr>
            <w:tcW w:w="6905" w:type="dxa"/>
            <w:vAlign w:val="center"/>
          </w:tcPr>
          <w:p>
            <w:pPr>
              <w:adjustRightInd/>
              <w:spacing w:line="360" w:lineRule="exact"/>
              <w:jc w:val="center"/>
              <w:rPr>
                <w:rFonts w:ascii="宋体" w:hAnsi="宋体" w:cs="宋体"/>
                <w:sz w:val="24"/>
                <w:highlight w:val="none"/>
              </w:rPr>
            </w:pPr>
            <w:r>
              <w:rPr>
                <w:rFonts w:hint="eastAsia" w:ascii="宋体" w:hAnsi="宋体" w:cs="宋体"/>
                <w:sz w:val="24"/>
                <w:highlight w:val="none"/>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vAlign w:val="center"/>
          </w:tcPr>
          <w:p>
            <w:pPr>
              <w:adjustRightInd/>
              <w:spacing w:line="360" w:lineRule="exact"/>
              <w:jc w:val="center"/>
              <w:rPr>
                <w:rFonts w:ascii="宋体" w:hAnsi="宋体" w:cs="宋体"/>
                <w:sz w:val="24"/>
                <w:highlight w:val="none"/>
              </w:rPr>
            </w:pPr>
            <w:r>
              <w:rPr>
                <w:rFonts w:hint="eastAsia" w:ascii="宋体" w:hAnsi="宋体" w:cs="宋体"/>
                <w:sz w:val="24"/>
                <w:highlight w:val="none"/>
              </w:rPr>
              <w:t>价格权值=0.</w:t>
            </w:r>
            <w:r>
              <w:rPr>
                <w:rFonts w:ascii="宋体" w:hAnsi="宋体" w:cs="宋体"/>
                <w:sz w:val="24"/>
                <w:highlight w:val="none"/>
              </w:rPr>
              <w:t>4</w:t>
            </w:r>
            <w:r>
              <w:rPr>
                <w:rFonts w:hint="eastAsia" w:ascii="宋体" w:hAnsi="宋体" w:cs="宋体"/>
                <w:sz w:val="24"/>
                <w:highlight w:val="none"/>
              </w:rPr>
              <w:t>0</w:t>
            </w:r>
          </w:p>
        </w:tc>
        <w:tc>
          <w:tcPr>
            <w:tcW w:w="6905" w:type="dxa"/>
            <w:vAlign w:val="center"/>
          </w:tcPr>
          <w:p>
            <w:pPr>
              <w:adjustRightInd/>
              <w:spacing w:line="360" w:lineRule="exact"/>
              <w:jc w:val="left"/>
              <w:rPr>
                <w:rFonts w:ascii="宋体" w:hAnsi="宋体" w:cs="宋体"/>
                <w:sz w:val="24"/>
                <w:highlight w:val="none"/>
              </w:rPr>
            </w:pPr>
            <w:r>
              <w:rPr>
                <w:rFonts w:hint="eastAsia" w:ascii="宋体" w:hAnsi="宋体" w:cs="宋体"/>
                <w:sz w:val="24"/>
                <w:highlight w:val="none"/>
              </w:rPr>
              <w:t>最低有效响应价格为评标基准价</w:t>
            </w:r>
          </w:p>
          <w:p>
            <w:pPr>
              <w:adjustRightInd/>
              <w:spacing w:line="360" w:lineRule="exact"/>
              <w:jc w:val="left"/>
              <w:rPr>
                <w:rFonts w:hint="eastAsia" w:ascii="宋体" w:hAnsi="宋体" w:eastAsia="宋体" w:cs="宋体"/>
                <w:sz w:val="24"/>
                <w:highlight w:val="none"/>
                <w:lang w:val="en-US" w:eastAsia="zh-CN"/>
              </w:rPr>
            </w:pPr>
            <w:r>
              <w:rPr>
                <w:rFonts w:hint="eastAsia" w:ascii="宋体" w:hAnsi="宋体" w:cs="宋体"/>
                <w:sz w:val="24"/>
                <w:highlight w:val="none"/>
              </w:rPr>
              <w:t>响应报价得分=(评标基准价／响应报价)×价格权值×100</w:t>
            </w:r>
            <w:r>
              <w:rPr>
                <w:rFonts w:hint="eastAsia" w:ascii="宋体" w:hAnsi="宋体" w:cs="宋体"/>
                <w:sz w:val="24"/>
                <w:highlight w:val="none"/>
                <w:lang w:val="en-US" w:eastAsia="zh-CN"/>
              </w:rPr>
              <w:t>%</w:t>
            </w:r>
          </w:p>
          <w:p>
            <w:pPr>
              <w:adjustRightInd/>
              <w:spacing w:line="360" w:lineRule="exact"/>
              <w:jc w:val="left"/>
              <w:rPr>
                <w:rFonts w:hint="eastAsia" w:ascii="宋体" w:hAnsi="宋体" w:cs="宋体"/>
                <w:sz w:val="24"/>
                <w:highlight w:val="none"/>
              </w:rPr>
            </w:pPr>
            <w:r>
              <w:rPr>
                <w:rFonts w:hint="eastAsia" w:ascii="宋体" w:hAnsi="宋体" w:cs="宋体"/>
                <w:sz w:val="24"/>
                <w:highlight w:val="none"/>
              </w:rPr>
              <w:t>（计算得分保留小数点后2位）</w:t>
            </w:r>
          </w:p>
          <w:p>
            <w:pPr>
              <w:pStyle w:val="2"/>
              <w:rPr>
                <w:rFonts w:hint="default" w:eastAsia="宋体"/>
                <w:highlight w:val="none"/>
                <w:lang w:val="en-US" w:eastAsia="zh-CN"/>
              </w:rPr>
            </w:pPr>
            <w:r>
              <w:rPr>
                <w:rFonts w:hint="eastAsia" w:hAnsi="宋体" w:cs="宋体"/>
                <w:b/>
                <w:bCs/>
                <w:sz w:val="24"/>
                <w:highlight w:val="none"/>
                <w:lang w:eastAsia="zh-CN"/>
              </w:rPr>
              <w:t>例如：投标最低优惠率为</w:t>
            </w:r>
            <w:r>
              <w:rPr>
                <w:rFonts w:hint="eastAsia" w:hAnsi="宋体" w:cs="宋体"/>
                <w:b/>
                <w:bCs/>
                <w:sz w:val="24"/>
                <w:highlight w:val="none"/>
                <w:lang w:val="en-US" w:eastAsia="zh-CN"/>
              </w:rPr>
              <w:t>10%，响应报价优惠为3%，则投标基准价为90%，报价得分=（90%/97%）*40*100%=37.11分。</w:t>
            </w:r>
          </w:p>
        </w:tc>
      </w:tr>
    </w:tbl>
    <w:p>
      <w:pPr>
        <w:rPr>
          <w:rStyle w:val="974"/>
          <w:rFonts w:ascii="宋体" w:hAnsi="宋体"/>
          <w:kern w:val="0"/>
          <w:sz w:val="24"/>
        </w:rPr>
      </w:pPr>
      <w:r>
        <w:rPr>
          <w:rStyle w:val="974"/>
          <w:rFonts w:hint="eastAsia" w:ascii="宋体" w:hAnsi="宋体"/>
          <w:kern w:val="0"/>
          <w:sz w:val="24"/>
        </w:rPr>
        <w:br w:type="page"/>
      </w:r>
      <w:bookmarkStart w:id="394" w:name="_GoBack"/>
      <w:bookmarkEnd w:id="394"/>
    </w:p>
    <w:p>
      <w:pPr>
        <w:pStyle w:val="27"/>
      </w:pPr>
    </w:p>
    <w:p>
      <w:pPr>
        <w:snapToGrid w:val="0"/>
        <w:spacing w:line="570" w:lineRule="exact"/>
        <w:rPr>
          <w:rFonts w:ascii="宋体" w:hAnsi="宋体" w:cs="宋体"/>
          <w:b/>
          <w:sz w:val="28"/>
          <w:szCs w:val="28"/>
        </w:rPr>
      </w:pPr>
      <w:r>
        <w:rPr>
          <w:rFonts w:hint="eastAsia" w:ascii="宋体" w:hAnsi="宋体" w:cs="宋体"/>
          <w:b/>
          <w:sz w:val="28"/>
          <w:szCs w:val="28"/>
        </w:rPr>
        <w:t>一、交易方法</w:t>
      </w:r>
    </w:p>
    <w:p>
      <w:pPr>
        <w:adjustRightInd/>
        <w:spacing w:line="570" w:lineRule="exact"/>
        <w:ind w:firstLine="482" w:firstLineChars="200"/>
        <w:rPr>
          <w:rFonts w:ascii="宋体" w:hAnsi="宋体" w:cs="宋体"/>
          <w:kern w:val="0"/>
          <w:sz w:val="24"/>
        </w:rPr>
      </w:pPr>
      <w:r>
        <w:rPr>
          <w:rFonts w:hint="eastAsia" w:ascii="宋体" w:hAnsi="宋体" w:cs="宋体"/>
          <w:b/>
          <w:kern w:val="0"/>
          <w:sz w:val="24"/>
        </w:rPr>
        <w:t>1.本项目采用综合评估法。</w:t>
      </w:r>
      <w:r>
        <w:rPr>
          <w:rFonts w:hint="eastAsia" w:ascii="宋体" w:hAnsi="宋体" w:cs="宋体"/>
          <w:kern w:val="0"/>
          <w:sz w:val="24"/>
        </w:rPr>
        <w:t>综合评估法，是指响应文件满足公开竞争文件全部实质性要求，且按照评审因素的量化指标评审得分最高的响应人为成交候选人的评标方法。</w:t>
      </w:r>
    </w:p>
    <w:p>
      <w:pPr>
        <w:snapToGrid w:val="0"/>
        <w:spacing w:line="570" w:lineRule="exact"/>
        <w:rPr>
          <w:rFonts w:ascii="宋体" w:hAnsi="宋体" w:cs="宋体"/>
          <w:b/>
          <w:sz w:val="28"/>
          <w:szCs w:val="28"/>
        </w:rPr>
      </w:pPr>
      <w:r>
        <w:rPr>
          <w:rFonts w:hint="eastAsia" w:ascii="宋体" w:hAnsi="宋体" w:cs="宋体"/>
          <w:b/>
          <w:sz w:val="28"/>
          <w:szCs w:val="28"/>
        </w:rPr>
        <w:t>二、交易标准</w:t>
      </w:r>
    </w:p>
    <w:p>
      <w:pPr>
        <w:spacing w:line="570" w:lineRule="exact"/>
        <w:ind w:firstLine="472" w:firstLineChars="196"/>
        <w:rPr>
          <w:rFonts w:ascii="宋体" w:hAnsi="宋体" w:cs="宋体"/>
          <w:b/>
          <w:sz w:val="24"/>
        </w:rPr>
      </w:pPr>
      <w:r>
        <w:rPr>
          <w:rFonts w:hint="eastAsia" w:ascii="宋体" w:hAnsi="宋体" w:cs="宋体"/>
          <w:b/>
          <w:sz w:val="24"/>
        </w:rPr>
        <w:t>2.评标标准：</w:t>
      </w:r>
      <w:r>
        <w:rPr>
          <w:rFonts w:hint="eastAsia" w:ascii="宋体" w:hAnsi="宋体" w:cs="宋体"/>
          <w:kern w:val="0"/>
          <w:sz w:val="24"/>
        </w:rPr>
        <w:t>见交易办法前附表。</w:t>
      </w:r>
    </w:p>
    <w:p>
      <w:pPr>
        <w:snapToGrid w:val="0"/>
        <w:spacing w:line="570" w:lineRule="exact"/>
        <w:rPr>
          <w:rFonts w:ascii="宋体" w:hAnsi="宋体" w:cs="宋体"/>
          <w:b/>
          <w:sz w:val="28"/>
          <w:szCs w:val="28"/>
        </w:rPr>
      </w:pPr>
      <w:r>
        <w:rPr>
          <w:rFonts w:hint="eastAsia" w:ascii="宋体" w:hAnsi="宋体" w:cs="宋体"/>
          <w:b/>
          <w:sz w:val="28"/>
          <w:szCs w:val="28"/>
        </w:rPr>
        <w:t>三、交易程序</w:t>
      </w:r>
    </w:p>
    <w:bookmarkEnd w:id="15"/>
    <w:p>
      <w:pPr>
        <w:spacing w:line="570" w:lineRule="exact"/>
        <w:ind w:firstLine="472" w:firstLineChars="196"/>
        <w:rPr>
          <w:rFonts w:ascii="宋体" w:hAnsi="宋体" w:cs="宋体"/>
          <w:kern w:val="0"/>
          <w:sz w:val="24"/>
        </w:rPr>
      </w:pPr>
      <w:bookmarkStart w:id="391" w:name="第五部分"/>
      <w:bookmarkStart w:id="392" w:name="_Toc86217003"/>
      <w:r>
        <w:rPr>
          <w:rFonts w:hint="eastAsia" w:ascii="宋体" w:hAnsi="宋体" w:cs="宋体"/>
          <w:b/>
          <w:kern w:val="0"/>
          <w:sz w:val="24"/>
        </w:rPr>
        <w:t>3.1符合性审查。</w:t>
      </w:r>
      <w:r>
        <w:rPr>
          <w:rFonts w:hint="eastAsia" w:ascii="宋体" w:hAnsi="宋体" w:cs="宋体"/>
          <w:kern w:val="0"/>
          <w:sz w:val="24"/>
        </w:rPr>
        <w:t>评审委员会应当对符合资格的响应人的响应文件进行符合性审查，以确定其是否满足公开竞争文件的实质性要求。不满足公开竞争文件的实质性要求的，交易无效。</w:t>
      </w:r>
    </w:p>
    <w:p>
      <w:pPr>
        <w:spacing w:line="570" w:lineRule="exact"/>
        <w:ind w:firstLine="472" w:firstLineChars="196"/>
        <w:rPr>
          <w:rFonts w:ascii="宋体" w:hAnsi="宋体" w:cs="宋体"/>
          <w:kern w:val="0"/>
          <w:sz w:val="24"/>
        </w:rPr>
      </w:pPr>
      <w:r>
        <w:rPr>
          <w:rFonts w:hint="eastAsia" w:ascii="宋体" w:hAnsi="宋体" w:cs="宋体"/>
          <w:b/>
          <w:kern w:val="0"/>
          <w:sz w:val="24"/>
        </w:rPr>
        <w:t>3.2比较与评价。</w:t>
      </w:r>
      <w:r>
        <w:rPr>
          <w:rFonts w:hint="eastAsia" w:ascii="宋体" w:hAnsi="宋体" w:cs="宋体"/>
          <w:kern w:val="0"/>
          <w:sz w:val="24"/>
        </w:rPr>
        <w:t>评审委员会应当按照公开竞争文件中规定的评标方法和标准，对符合性审查合格的响应文件进行商务和技术评估，综合比较与评价。</w:t>
      </w:r>
    </w:p>
    <w:p>
      <w:pPr>
        <w:spacing w:line="570" w:lineRule="exact"/>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评审委员会各成员应当独立对每个响应人的商务和技术文件进行评价，并汇总商务技术得分情况。</w:t>
      </w:r>
    </w:p>
    <w:p>
      <w:pPr>
        <w:spacing w:line="570" w:lineRule="exact"/>
        <w:ind w:firstLine="472" w:firstLineChars="196"/>
        <w:rPr>
          <w:rFonts w:ascii="宋体" w:hAnsi="宋体" w:cs="宋体"/>
          <w:b/>
          <w:kern w:val="0"/>
          <w:sz w:val="24"/>
        </w:rPr>
      </w:pPr>
      <w:r>
        <w:rPr>
          <w:rFonts w:hint="eastAsia" w:ascii="宋体" w:hAnsi="宋体" w:cs="宋体"/>
          <w:b/>
          <w:kern w:val="0"/>
          <w:sz w:val="24"/>
        </w:rPr>
        <w:t>3.4报价评审。</w:t>
      </w:r>
    </w:p>
    <w:p>
      <w:pPr>
        <w:pStyle w:val="141"/>
        <w:spacing w:before="0" w:line="570" w:lineRule="exact"/>
        <w:ind w:firstLine="508" w:firstLineChars="212"/>
        <w:rPr>
          <w:rFonts w:ascii="宋体" w:hAnsi="宋体" w:cs="宋体"/>
          <w:kern w:val="0"/>
        </w:rPr>
      </w:pPr>
      <w:r>
        <w:rPr>
          <w:rFonts w:hint="eastAsia" w:ascii="宋体" w:hAnsi="宋体" w:cs="宋体"/>
          <w:kern w:val="0"/>
        </w:rPr>
        <w:t>3.4.1响应文件报价出现前后不一致的，按照下列规定修正：</w:t>
      </w:r>
    </w:p>
    <w:p>
      <w:pPr>
        <w:pStyle w:val="141"/>
        <w:spacing w:before="0" w:line="570" w:lineRule="exact"/>
        <w:ind w:firstLine="480"/>
        <w:rPr>
          <w:rFonts w:ascii="宋体" w:hAnsi="宋体" w:cs="宋体"/>
          <w:kern w:val="0"/>
          <w:szCs w:val="24"/>
        </w:rPr>
      </w:pPr>
      <w:r>
        <w:rPr>
          <w:rFonts w:hint="eastAsia" w:ascii="宋体" w:hAnsi="宋体" w:cs="宋体"/>
          <w:kern w:val="0"/>
          <w:szCs w:val="24"/>
        </w:rPr>
        <w:t>3.4.1.1响应文件中交易一览表(报价表)内容与响应文件中相应内容不一致的，以交易一览表(报价表)为准；</w:t>
      </w:r>
    </w:p>
    <w:p>
      <w:pPr>
        <w:pStyle w:val="141"/>
        <w:spacing w:before="0" w:line="570" w:lineRule="exact"/>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41"/>
        <w:spacing w:before="0" w:line="570" w:lineRule="exact"/>
        <w:ind w:firstLine="480"/>
        <w:rPr>
          <w:rFonts w:ascii="宋体" w:hAnsi="宋体" w:cs="宋体"/>
          <w:kern w:val="0"/>
          <w:szCs w:val="24"/>
        </w:rPr>
      </w:pPr>
      <w:r>
        <w:rPr>
          <w:rFonts w:hint="eastAsia" w:ascii="宋体" w:hAnsi="宋体" w:cs="宋体"/>
          <w:kern w:val="0"/>
          <w:szCs w:val="24"/>
        </w:rPr>
        <w:t>3.4.1.3单价金额小数点或者百分比有明显错位的，以交易一览表的总价为准，并修改单价；</w:t>
      </w:r>
    </w:p>
    <w:p>
      <w:pPr>
        <w:pStyle w:val="141"/>
        <w:spacing w:before="0" w:line="570" w:lineRule="exact"/>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41"/>
        <w:spacing w:before="0" w:line="570" w:lineRule="exact"/>
        <w:ind w:firstLine="480"/>
        <w:rPr>
          <w:rFonts w:ascii="宋体" w:hAnsi="宋体" w:cs="宋体"/>
          <w:kern w:val="0"/>
          <w:szCs w:val="24"/>
        </w:rPr>
      </w:pPr>
      <w:r>
        <w:rPr>
          <w:rFonts w:hint="eastAsia" w:ascii="宋体" w:hAnsi="宋体" w:cs="宋体"/>
          <w:kern w:val="0"/>
          <w:szCs w:val="24"/>
        </w:rPr>
        <w:t>3.4.1.5同时出现两种以上不一致的，按照3.4.1规定的顺序修正。</w:t>
      </w:r>
    </w:p>
    <w:p>
      <w:pPr>
        <w:snapToGrid w:val="0"/>
        <w:spacing w:line="570" w:lineRule="exact"/>
        <w:ind w:firstLine="480" w:firstLineChars="200"/>
        <w:jc w:val="left"/>
        <w:rPr>
          <w:rFonts w:ascii="宋体" w:hAnsi="宋体" w:cs="宋体"/>
          <w:kern w:val="0"/>
          <w:sz w:val="24"/>
        </w:rPr>
      </w:pPr>
      <w:r>
        <w:rPr>
          <w:rFonts w:hint="eastAsia" w:ascii="宋体" w:hAnsi="宋体" w:cs="宋体"/>
          <w:kern w:val="0"/>
          <w:sz w:val="24"/>
        </w:rPr>
        <w:t>3.4.2响应文件出现不是唯一的、有选择性交易报价的，交易无效。</w:t>
      </w:r>
    </w:p>
    <w:p>
      <w:pPr>
        <w:snapToGrid w:val="0"/>
        <w:spacing w:line="570" w:lineRule="exact"/>
        <w:ind w:firstLine="480" w:firstLineChars="200"/>
        <w:jc w:val="left"/>
        <w:rPr>
          <w:rFonts w:ascii="宋体" w:hAnsi="宋体" w:cs="宋体"/>
          <w:kern w:val="0"/>
          <w:sz w:val="24"/>
        </w:rPr>
      </w:pPr>
      <w:r>
        <w:rPr>
          <w:rFonts w:hint="eastAsia" w:ascii="宋体" w:hAnsi="宋体" w:cs="宋体"/>
          <w:kern w:val="0"/>
          <w:sz w:val="24"/>
        </w:rPr>
        <w:t>3.4.3交易报价超过公开竞争文件中规定的预算金额或者最高限价的，交易无效。</w:t>
      </w:r>
    </w:p>
    <w:p>
      <w:pPr>
        <w:pStyle w:val="141"/>
        <w:spacing w:before="0" w:line="570" w:lineRule="exact"/>
        <w:ind w:firstLine="480"/>
        <w:rPr>
          <w:rFonts w:ascii="宋体" w:hAnsi="宋体" w:cs="宋体"/>
          <w:kern w:val="0"/>
          <w:szCs w:val="24"/>
        </w:rPr>
      </w:pPr>
      <w:r>
        <w:rPr>
          <w:rFonts w:hint="eastAsia" w:ascii="宋体" w:hAnsi="宋体" w:cs="宋体"/>
          <w:kern w:val="0"/>
          <w:szCs w:val="24"/>
        </w:rPr>
        <w:t>3.4.4评审委员会认为响应人的报价明显低于其他通过符合性审查响应人的报价，有可能影响产品质量或者不能诚信履约的，应当要求其在合理的时间内提供书面说明，必要时提交相关证明材料；响应人不能证明其报价合理性的，评审委员会应当将其作为无效投标处理。</w:t>
      </w:r>
    </w:p>
    <w:p>
      <w:pPr>
        <w:spacing w:line="570" w:lineRule="exact"/>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估法的，评标结果按评审后得分由高到低顺序排列。得分相同的，按交易报价由低到高顺序排列。得分且交易报价相同的并列。响应文件满足公开竞争文件全部实质性要求，且按照评审因素的量化指标评审得分最高的响应人为排名第一的成交候选人。</w:t>
      </w:r>
    </w:p>
    <w:p>
      <w:pPr>
        <w:spacing w:line="570" w:lineRule="exact"/>
        <w:ind w:firstLine="472" w:firstLineChars="196"/>
        <w:rPr>
          <w:rFonts w:ascii="宋体" w:hAnsi="宋体" w:cs="宋体"/>
          <w:kern w:val="0"/>
          <w:sz w:val="24"/>
        </w:rPr>
      </w:pPr>
      <w:r>
        <w:rPr>
          <w:rFonts w:hint="eastAsia" w:ascii="宋体" w:hAnsi="宋体" w:cs="宋体"/>
          <w:b/>
          <w:kern w:val="0"/>
          <w:sz w:val="24"/>
        </w:rPr>
        <w:t>3.6编写评审报告。</w:t>
      </w:r>
      <w:r>
        <w:rPr>
          <w:rFonts w:hint="eastAsia" w:ascii="宋体" w:hAnsi="宋体" w:cs="宋体"/>
          <w:kern w:val="0"/>
          <w:sz w:val="24"/>
        </w:rPr>
        <w:t>评审委员会根据全体评标成员签字的原始评标记录和评标结果编写评审报告。评审委员会成员对需要共同认定的事项存在争议的，应当按照少数服从多数的原则作出结论。持不同意见的评审委员会成员应当在评审报告上签署不同意见及理由，否则视为同意评审报告。</w:t>
      </w:r>
    </w:p>
    <w:p>
      <w:pPr>
        <w:snapToGrid w:val="0"/>
        <w:spacing w:line="570" w:lineRule="exact"/>
        <w:rPr>
          <w:rFonts w:ascii="宋体" w:hAnsi="宋体" w:cs="宋体"/>
          <w:b/>
          <w:sz w:val="28"/>
          <w:szCs w:val="28"/>
        </w:rPr>
      </w:pPr>
      <w:r>
        <w:rPr>
          <w:rFonts w:hint="eastAsia" w:ascii="宋体" w:hAnsi="宋体" w:cs="宋体"/>
          <w:b/>
          <w:sz w:val="28"/>
          <w:szCs w:val="28"/>
        </w:rPr>
        <w:t>四、评标中的其他事项</w:t>
      </w:r>
    </w:p>
    <w:p>
      <w:pPr>
        <w:pStyle w:val="141"/>
        <w:spacing w:before="0" w:line="570" w:lineRule="exact"/>
        <w:ind w:firstLine="472" w:firstLineChars="196"/>
        <w:rPr>
          <w:rFonts w:ascii="宋体" w:hAnsi="宋体" w:cs="宋体"/>
          <w:kern w:val="0"/>
          <w:szCs w:val="24"/>
        </w:rPr>
      </w:pPr>
      <w:r>
        <w:rPr>
          <w:rFonts w:hint="eastAsia" w:ascii="宋体" w:hAnsi="宋体" w:cs="宋体"/>
          <w:b/>
          <w:kern w:val="0"/>
          <w:szCs w:val="24"/>
        </w:rPr>
        <w:t>4.1响应人澄清、说明或者补正。</w:t>
      </w:r>
      <w:r>
        <w:rPr>
          <w:rFonts w:hint="eastAsia" w:ascii="宋体" w:hAnsi="宋体" w:cs="宋体"/>
          <w:kern w:val="0"/>
          <w:szCs w:val="24"/>
        </w:rPr>
        <w:t>对于响应文件中含义不明确、同类问题表述不一致或者有明显文字和计算错误的内容需要响应人作出必要的澄清、说明或者补正的，评审委员会和响应人通过电子交易平台交换数据电文，响应人提交使用电子签名的相关数据电文或通过平台上传加盖公章的扫描件。给予响应人提交澄清、说明或补正的时间不得少于半小时，响应人已经明确表示澄清说明或补正完毕的除外。响应人的澄清、说明或者补正不得超出响应文件的范围或者改变响应文件的实质性内容。</w:t>
      </w:r>
    </w:p>
    <w:p>
      <w:pPr>
        <w:pStyle w:val="27"/>
        <w:spacing w:line="570" w:lineRule="exact"/>
        <w:ind w:left="954" w:leftChars="226" w:hanging="479" w:firstLineChars="0"/>
        <w:rPr>
          <w:rFonts w:cs="宋体"/>
          <w:szCs w:val="21"/>
        </w:rPr>
      </w:pPr>
      <w:r>
        <w:rPr>
          <w:rFonts w:hint="eastAsia" w:cs="宋体"/>
          <w:b/>
          <w:kern w:val="0"/>
        </w:rPr>
        <w:t>4.2交易无效。</w:t>
      </w:r>
      <w:r>
        <w:rPr>
          <w:rFonts w:hint="eastAsia" w:cs="宋体"/>
          <w:szCs w:val="21"/>
        </w:rPr>
        <w:t>有下列情形之一的，交易无效：</w:t>
      </w:r>
    </w:p>
    <w:p>
      <w:pPr>
        <w:spacing w:line="570" w:lineRule="exact"/>
        <w:ind w:firstLine="480" w:firstLineChars="200"/>
        <w:rPr>
          <w:rFonts w:ascii="宋体" w:hAnsi="宋体" w:cs="宋体"/>
          <w:kern w:val="0"/>
          <w:sz w:val="24"/>
        </w:rPr>
      </w:pPr>
      <w:r>
        <w:rPr>
          <w:rFonts w:hint="eastAsia" w:ascii="宋体" w:hAnsi="宋体" w:cs="宋体"/>
          <w:kern w:val="0"/>
          <w:sz w:val="24"/>
        </w:rPr>
        <w:t>4.2.1响应人不具备公开竞争文件中规定的资格要求的（响应人未提供有效的资格文件的，视为响应人不具备公开竞争文件中规定的资格要求）；</w:t>
      </w:r>
    </w:p>
    <w:p>
      <w:pPr>
        <w:spacing w:line="570" w:lineRule="exact"/>
        <w:ind w:firstLine="480" w:firstLineChars="200"/>
        <w:rPr>
          <w:rFonts w:ascii="宋体" w:hAnsi="宋体" w:cs="宋体"/>
          <w:kern w:val="0"/>
          <w:sz w:val="24"/>
        </w:rPr>
      </w:pPr>
      <w:r>
        <w:rPr>
          <w:rFonts w:hint="eastAsia" w:ascii="宋体" w:hAnsi="宋体" w:cs="宋体"/>
          <w:kern w:val="0"/>
          <w:sz w:val="24"/>
        </w:rPr>
        <w:t>4.2.2响应文件未按照公开竞争文件要求签署、盖章的；</w:t>
      </w:r>
    </w:p>
    <w:p>
      <w:pPr>
        <w:spacing w:line="570" w:lineRule="exact"/>
        <w:ind w:firstLine="480" w:firstLineChars="200"/>
        <w:rPr>
          <w:rFonts w:ascii="宋体" w:hAnsi="宋体" w:cs="宋体"/>
          <w:kern w:val="0"/>
          <w:sz w:val="24"/>
        </w:rPr>
      </w:pPr>
      <w:r>
        <w:rPr>
          <w:rFonts w:hint="eastAsia" w:ascii="宋体" w:hAnsi="宋体" w:cs="宋体"/>
          <w:kern w:val="0"/>
          <w:sz w:val="24"/>
        </w:rPr>
        <w:t>4.2.3响应文件含有交易发起人不能接受的附加条件的；</w:t>
      </w:r>
    </w:p>
    <w:p>
      <w:pPr>
        <w:spacing w:line="570" w:lineRule="exact"/>
        <w:ind w:firstLine="480" w:firstLineChars="200"/>
        <w:rPr>
          <w:rFonts w:ascii="宋体" w:hAnsi="宋体" w:cs="宋体"/>
          <w:kern w:val="0"/>
          <w:sz w:val="24"/>
        </w:rPr>
      </w:pPr>
      <w:r>
        <w:rPr>
          <w:rFonts w:hint="eastAsia" w:ascii="宋体" w:hAnsi="宋体" w:cs="宋体"/>
          <w:kern w:val="0"/>
          <w:sz w:val="24"/>
        </w:rPr>
        <w:t>4.2.4响应文件中承诺的交易有效期少于公开竞争文件中载明的交易有效期的；</w:t>
      </w:r>
    </w:p>
    <w:p>
      <w:pPr>
        <w:snapToGrid w:val="0"/>
        <w:spacing w:line="570" w:lineRule="exact"/>
        <w:ind w:firstLine="120" w:firstLineChars="50"/>
        <w:jc w:val="left"/>
        <w:rPr>
          <w:rFonts w:ascii="宋体" w:hAnsi="宋体" w:cs="宋体"/>
          <w:kern w:val="0"/>
          <w:sz w:val="24"/>
        </w:rPr>
      </w:pPr>
      <w:r>
        <w:rPr>
          <w:rFonts w:hint="eastAsia" w:ascii="宋体" w:hAnsi="宋体" w:cs="宋体"/>
          <w:kern w:val="0"/>
          <w:sz w:val="24"/>
        </w:rPr>
        <w:t xml:space="preserve">   4.2.5响应文件出现不是唯一的、有选择性交易报价的；</w:t>
      </w:r>
    </w:p>
    <w:p>
      <w:pPr>
        <w:spacing w:line="570" w:lineRule="exact"/>
        <w:ind w:firstLine="480" w:firstLineChars="200"/>
        <w:rPr>
          <w:rFonts w:ascii="宋体" w:hAnsi="宋体" w:cs="宋体"/>
          <w:kern w:val="0"/>
          <w:sz w:val="24"/>
        </w:rPr>
      </w:pPr>
      <w:r>
        <w:rPr>
          <w:rFonts w:hint="eastAsia" w:ascii="宋体" w:hAnsi="宋体" w:cs="宋体"/>
          <w:kern w:val="0"/>
          <w:sz w:val="24"/>
        </w:rPr>
        <w:t>4.2.6交易报价超过公开竞争文件中规定的预算金额或者最高限价的；</w:t>
      </w:r>
    </w:p>
    <w:p>
      <w:pPr>
        <w:spacing w:line="570" w:lineRule="exact"/>
        <w:ind w:firstLine="480" w:firstLineChars="200"/>
        <w:rPr>
          <w:rFonts w:ascii="宋体" w:hAnsi="宋体" w:cs="宋体"/>
          <w:kern w:val="0"/>
          <w:sz w:val="24"/>
        </w:rPr>
      </w:pPr>
      <w:r>
        <w:rPr>
          <w:rFonts w:hint="eastAsia" w:ascii="宋体" w:hAnsi="宋体" w:cs="宋体"/>
          <w:kern w:val="0"/>
          <w:sz w:val="24"/>
        </w:rPr>
        <w:t>4.2.7报价明显低于其他通过符合性审查响应人的报价，有可能影响产品质量或者不能诚信履约的，未能按要求提供书面说明或者提交相关证明材料，不能证明其报价合理性的；</w:t>
      </w:r>
    </w:p>
    <w:p>
      <w:pPr>
        <w:spacing w:line="570" w:lineRule="exact"/>
        <w:ind w:firstLine="480" w:firstLineChars="200"/>
        <w:rPr>
          <w:rFonts w:ascii="宋体" w:hAnsi="宋体" w:cs="宋体"/>
          <w:kern w:val="0"/>
          <w:sz w:val="24"/>
        </w:rPr>
      </w:pPr>
      <w:r>
        <w:rPr>
          <w:rFonts w:hint="eastAsia" w:ascii="宋体" w:hAnsi="宋体" w:cs="宋体"/>
          <w:kern w:val="0"/>
          <w:sz w:val="24"/>
        </w:rPr>
        <w:t>4.2.8响应人对根据修正原则修正后的报价不确认的；</w:t>
      </w:r>
    </w:p>
    <w:p>
      <w:pPr>
        <w:spacing w:line="570" w:lineRule="exact"/>
        <w:ind w:firstLine="480" w:firstLineChars="200"/>
        <w:rPr>
          <w:rFonts w:ascii="宋体" w:hAnsi="宋体" w:cs="宋体"/>
          <w:kern w:val="0"/>
          <w:sz w:val="24"/>
        </w:rPr>
      </w:pPr>
      <w:r>
        <w:rPr>
          <w:rFonts w:hint="eastAsia" w:ascii="宋体" w:hAnsi="宋体" w:cs="宋体"/>
          <w:kern w:val="0"/>
          <w:sz w:val="24"/>
        </w:rPr>
        <w:t>4.2.9响应人提供虚假材料投标的；</w:t>
      </w:r>
    </w:p>
    <w:p>
      <w:pPr>
        <w:spacing w:line="570" w:lineRule="exact"/>
        <w:ind w:firstLine="240" w:firstLineChars="100"/>
        <w:rPr>
          <w:rFonts w:ascii="宋体" w:hAnsi="宋体" w:cs="宋体"/>
          <w:kern w:val="0"/>
          <w:sz w:val="24"/>
        </w:rPr>
      </w:pPr>
      <w:r>
        <w:rPr>
          <w:rFonts w:hint="eastAsia" w:ascii="宋体" w:hAnsi="宋体" w:cs="宋体"/>
          <w:kern w:val="0"/>
          <w:sz w:val="24"/>
        </w:rPr>
        <w:t xml:space="preserve">  4.2.10响应人有恶意串通、妨碍其他响应人的竞争行为、损害交易发起人或者其他响应人的合法权益情形的；</w:t>
      </w:r>
    </w:p>
    <w:p>
      <w:pPr>
        <w:spacing w:line="570" w:lineRule="exact"/>
        <w:ind w:firstLine="480" w:firstLineChars="200"/>
        <w:rPr>
          <w:rFonts w:ascii="宋体" w:hAnsi="宋体" w:cs="宋体"/>
          <w:kern w:val="0"/>
          <w:sz w:val="24"/>
        </w:rPr>
      </w:pPr>
      <w:r>
        <w:rPr>
          <w:rFonts w:hint="eastAsia" w:ascii="宋体" w:hAnsi="宋体" w:cs="宋体"/>
          <w:kern w:val="0"/>
          <w:sz w:val="24"/>
        </w:rPr>
        <w:t>4.2.11响应人未在电子交易平台传输递交响应文件的，交易无效；</w:t>
      </w:r>
    </w:p>
    <w:p>
      <w:pPr>
        <w:pStyle w:val="4"/>
        <w:spacing w:line="570" w:lineRule="exact"/>
        <w:ind w:left="862" w:leftChars="205"/>
        <w:rPr>
          <w:rFonts w:ascii="宋体" w:hAnsi="宋体" w:eastAsia="宋体" w:cs="宋体"/>
          <w:kern w:val="0"/>
          <w:sz w:val="24"/>
          <w:szCs w:val="24"/>
          <w:lang w:val="en-US"/>
        </w:rPr>
      </w:pPr>
      <w:r>
        <w:rPr>
          <w:rFonts w:hint="eastAsia" w:ascii="宋体" w:hAnsi="宋体" w:eastAsia="宋体" w:cs="宋体"/>
          <w:kern w:val="0"/>
          <w:sz w:val="24"/>
          <w:szCs w:val="24"/>
          <w:lang w:val="en-US"/>
        </w:rPr>
        <w:t>4.2.12响应文件不满足公开竞争文件的其它实质性要求的；</w:t>
      </w:r>
    </w:p>
    <w:p>
      <w:pPr>
        <w:spacing w:line="570" w:lineRule="exact"/>
        <w:ind w:firstLine="480" w:firstLineChars="200"/>
        <w:rPr>
          <w:rFonts w:ascii="宋体" w:hAnsi="宋体" w:cs="宋体"/>
          <w:kern w:val="0"/>
          <w:sz w:val="24"/>
        </w:rPr>
      </w:pPr>
      <w:r>
        <w:rPr>
          <w:rFonts w:hint="eastAsia" w:ascii="宋体" w:hAnsi="宋体" w:cs="宋体"/>
          <w:kern w:val="0"/>
          <w:sz w:val="24"/>
        </w:rPr>
        <w:t>4.2.13法律、法规、规章（适用本市的）及省级以上规范性文件（适用本市的）规定的其他无效情形。</w:t>
      </w:r>
    </w:p>
    <w:p>
      <w:pPr>
        <w:pStyle w:val="27"/>
        <w:snapToGrid w:val="0"/>
        <w:spacing w:line="570" w:lineRule="exact"/>
        <w:ind w:firstLine="472" w:firstLineChars="196"/>
        <w:rPr>
          <w:rFonts w:cs="宋体"/>
        </w:rPr>
      </w:pPr>
      <w:r>
        <w:rPr>
          <w:rFonts w:hint="eastAsia" w:cs="宋体"/>
          <w:b/>
        </w:rPr>
        <w:t>5.废标。</w:t>
      </w:r>
      <w:r>
        <w:rPr>
          <w:rFonts w:hint="eastAsia" w:cs="宋体"/>
        </w:rPr>
        <w:t>根据《中华人民共和国政府采购法》第三十六条之规定，在交易过程中，出现下列情形之一的，应予废标：</w:t>
      </w:r>
    </w:p>
    <w:p>
      <w:pPr>
        <w:pStyle w:val="27"/>
        <w:snapToGrid w:val="0"/>
        <w:spacing w:line="570" w:lineRule="exact"/>
        <w:rPr>
          <w:rFonts w:cs="宋体"/>
        </w:rPr>
      </w:pPr>
      <w:r>
        <w:rPr>
          <w:rFonts w:hint="eastAsia" w:cs="宋体"/>
        </w:rPr>
        <w:t>5.1符合专业条件的响应人或者对公开竞争文件作实质响应的响应人不足3家的；</w:t>
      </w:r>
    </w:p>
    <w:p>
      <w:pPr>
        <w:pStyle w:val="27"/>
        <w:snapToGrid w:val="0"/>
        <w:spacing w:line="570" w:lineRule="exact"/>
        <w:rPr>
          <w:rFonts w:cs="宋体"/>
        </w:rPr>
      </w:pPr>
      <w:r>
        <w:rPr>
          <w:rFonts w:hint="eastAsia" w:cs="宋体"/>
        </w:rPr>
        <w:t>5.2出现影响采购公正的违法、违规行为的；</w:t>
      </w:r>
    </w:p>
    <w:p>
      <w:pPr>
        <w:pStyle w:val="27"/>
        <w:snapToGrid w:val="0"/>
        <w:spacing w:line="570" w:lineRule="exact"/>
        <w:rPr>
          <w:rFonts w:cs="宋体"/>
        </w:rPr>
      </w:pPr>
      <w:r>
        <w:rPr>
          <w:rFonts w:hint="eastAsia" w:cs="宋体"/>
        </w:rPr>
        <w:t>5.3响应人的报价均超过了采购预算，交易发起人不能支付的；</w:t>
      </w:r>
    </w:p>
    <w:p>
      <w:pPr>
        <w:pStyle w:val="27"/>
        <w:snapToGrid w:val="0"/>
        <w:spacing w:line="570" w:lineRule="exact"/>
        <w:rPr>
          <w:rFonts w:cs="宋体"/>
        </w:rPr>
      </w:pPr>
      <w:r>
        <w:rPr>
          <w:rFonts w:hint="eastAsia" w:cs="宋体"/>
        </w:rPr>
        <w:t>5.4因重大变故，采购任务取消的。</w:t>
      </w:r>
    </w:p>
    <w:p>
      <w:pPr>
        <w:pStyle w:val="27"/>
        <w:snapToGrid w:val="0"/>
        <w:spacing w:line="570" w:lineRule="exact"/>
        <w:rPr>
          <w:rFonts w:cs="宋体"/>
        </w:rPr>
      </w:pPr>
      <w:r>
        <w:rPr>
          <w:rFonts w:hint="eastAsia" w:cs="宋体"/>
        </w:rPr>
        <w:t>废标后，代理机构应当将废标理由通知所有响应人。</w:t>
      </w:r>
    </w:p>
    <w:p>
      <w:pPr>
        <w:pStyle w:val="27"/>
        <w:snapToGrid w:val="0"/>
        <w:spacing w:line="570" w:lineRule="exact"/>
        <w:ind w:firstLine="590" w:firstLineChars="245"/>
        <w:rPr>
          <w:rFonts w:cs="宋体"/>
        </w:rPr>
      </w:pPr>
      <w:r>
        <w:rPr>
          <w:rFonts w:hint="eastAsia" w:cs="宋体"/>
          <w:b/>
        </w:rPr>
        <w:t>6.修改公开竞争文件，重新组织交易活动。</w:t>
      </w:r>
      <w:r>
        <w:rPr>
          <w:rFonts w:hint="eastAsia" w:cs="宋体"/>
        </w:rPr>
        <w:t>评审委员会发现公开竞争文件存在歧义、重大缺陷导致评标工作无法进行，或者公开竞争文件内容违反国家有关强制性规定的，将停止评审工作，并与交易发起人、代理机构沟通并作书面记录。交易发起人、代理机构确认后，将修改公开竞争文件，重新组织交易活动。</w:t>
      </w:r>
    </w:p>
    <w:p>
      <w:pPr>
        <w:pStyle w:val="27"/>
        <w:snapToGrid w:val="0"/>
        <w:spacing w:line="570" w:lineRule="exact"/>
        <w:ind w:firstLine="590" w:firstLineChars="245"/>
        <w:rPr>
          <w:rFonts w:cs="宋体"/>
        </w:rPr>
      </w:pPr>
      <w:r>
        <w:rPr>
          <w:rFonts w:hint="eastAsia" w:cs="宋体"/>
          <w:b/>
          <w:kern w:val="0"/>
        </w:rPr>
        <w:t>7.重新开展交易。</w:t>
      </w:r>
      <w:r>
        <w:rPr>
          <w:rFonts w:hint="eastAsia" w:cs="宋体"/>
        </w:rPr>
        <w:t>影响或者可能影响</w:t>
      </w:r>
      <w:r>
        <w:rPr>
          <w:rFonts w:hint="eastAsia" w:cs="宋体"/>
          <w:kern w:val="0"/>
        </w:rPr>
        <w:t>成交</w:t>
      </w:r>
      <w:r>
        <w:rPr>
          <w:rFonts w:hint="eastAsia" w:cs="宋体"/>
        </w:rPr>
        <w:t>、成交结果的，依照下列规定处理：</w:t>
      </w:r>
    </w:p>
    <w:p>
      <w:pPr>
        <w:pStyle w:val="27"/>
        <w:snapToGrid w:val="0"/>
        <w:spacing w:line="570" w:lineRule="exact"/>
        <w:ind w:firstLine="600" w:firstLineChars="250"/>
        <w:rPr>
          <w:rFonts w:cs="宋体"/>
        </w:rPr>
      </w:pPr>
      <w:r>
        <w:rPr>
          <w:rFonts w:hint="eastAsia" w:cs="宋体"/>
        </w:rPr>
        <w:t>7.1未确定</w:t>
      </w:r>
      <w:r>
        <w:rPr>
          <w:rFonts w:hint="eastAsia" w:cs="宋体"/>
          <w:kern w:val="0"/>
        </w:rPr>
        <w:t>成交</w:t>
      </w:r>
      <w:r>
        <w:rPr>
          <w:rFonts w:hint="eastAsia" w:cs="宋体"/>
        </w:rPr>
        <w:t>或者成交人的，终止本次交易活动，重新开展交易活动。</w:t>
      </w:r>
    </w:p>
    <w:p>
      <w:pPr>
        <w:pStyle w:val="27"/>
        <w:snapToGrid w:val="0"/>
        <w:spacing w:line="570" w:lineRule="exact"/>
        <w:ind w:firstLine="600" w:firstLineChars="250"/>
        <w:rPr>
          <w:rFonts w:cs="宋体"/>
        </w:rPr>
      </w:pPr>
      <w:r>
        <w:rPr>
          <w:rFonts w:hint="eastAsia" w:cs="宋体"/>
        </w:rPr>
        <w:t>7.2已确定</w:t>
      </w:r>
      <w:r>
        <w:rPr>
          <w:rFonts w:hint="eastAsia" w:cs="宋体"/>
          <w:kern w:val="0"/>
        </w:rPr>
        <w:t>成交</w:t>
      </w:r>
      <w:r>
        <w:rPr>
          <w:rFonts w:hint="eastAsia" w:cs="宋体"/>
        </w:rPr>
        <w:t>或者成交人但尚未签订合同的，</w:t>
      </w:r>
      <w:r>
        <w:rPr>
          <w:rFonts w:hint="eastAsia" w:cs="宋体"/>
          <w:kern w:val="0"/>
        </w:rPr>
        <w:t>成交</w:t>
      </w:r>
      <w:r>
        <w:rPr>
          <w:rFonts w:hint="eastAsia" w:cs="宋体"/>
        </w:rPr>
        <w:t>或者成交结果无效，从合格的</w:t>
      </w:r>
      <w:r>
        <w:rPr>
          <w:rFonts w:hint="eastAsia" w:cs="宋体"/>
          <w:kern w:val="0"/>
        </w:rPr>
        <w:t>成交</w:t>
      </w:r>
      <w:r>
        <w:rPr>
          <w:rFonts w:hint="eastAsia" w:cs="宋体"/>
        </w:rPr>
        <w:t>或者成交候选人中另行确定</w:t>
      </w:r>
      <w:r>
        <w:rPr>
          <w:rFonts w:hint="eastAsia" w:cs="宋体"/>
          <w:kern w:val="0"/>
        </w:rPr>
        <w:t>成交</w:t>
      </w:r>
      <w:r>
        <w:rPr>
          <w:rFonts w:hint="eastAsia" w:cs="宋体"/>
        </w:rPr>
        <w:t>或者成交人；没有合格的</w:t>
      </w:r>
      <w:r>
        <w:rPr>
          <w:rFonts w:hint="eastAsia" w:cs="宋体"/>
          <w:kern w:val="0"/>
        </w:rPr>
        <w:t>成交</w:t>
      </w:r>
      <w:r>
        <w:rPr>
          <w:rFonts w:hint="eastAsia" w:cs="宋体"/>
        </w:rPr>
        <w:t>或者成交候选人的，重新开展交易活动。</w:t>
      </w:r>
    </w:p>
    <w:p>
      <w:pPr>
        <w:pStyle w:val="27"/>
        <w:snapToGrid w:val="0"/>
        <w:spacing w:line="570" w:lineRule="exact"/>
        <w:ind w:firstLine="600" w:firstLineChars="250"/>
        <w:rPr>
          <w:rFonts w:cs="宋体"/>
        </w:rPr>
      </w:pPr>
      <w:r>
        <w:rPr>
          <w:rFonts w:hint="eastAsia" w:cs="宋体"/>
        </w:rPr>
        <w:t>7.3书面合同已签订但尚未履行的，撤销合同，从合格的</w:t>
      </w:r>
      <w:r>
        <w:rPr>
          <w:rFonts w:hint="eastAsia" w:cs="宋体"/>
          <w:kern w:val="0"/>
        </w:rPr>
        <w:t>成交</w:t>
      </w:r>
      <w:r>
        <w:rPr>
          <w:rFonts w:hint="eastAsia" w:cs="宋体"/>
        </w:rPr>
        <w:t>或者成交候选人中另行确定</w:t>
      </w:r>
      <w:r>
        <w:rPr>
          <w:rFonts w:hint="eastAsia" w:cs="宋体"/>
          <w:kern w:val="0"/>
        </w:rPr>
        <w:t>成交</w:t>
      </w:r>
      <w:r>
        <w:rPr>
          <w:rFonts w:hint="eastAsia" w:cs="宋体"/>
        </w:rPr>
        <w:t>或者成交人；没有合格的</w:t>
      </w:r>
      <w:r>
        <w:rPr>
          <w:rFonts w:hint="eastAsia" w:cs="宋体"/>
          <w:kern w:val="0"/>
        </w:rPr>
        <w:t>成交</w:t>
      </w:r>
      <w:r>
        <w:rPr>
          <w:rFonts w:hint="eastAsia" w:cs="宋体"/>
        </w:rPr>
        <w:t>或者成交候选人的，重新开展交易活动。</w:t>
      </w:r>
    </w:p>
    <w:p>
      <w:pPr>
        <w:pStyle w:val="27"/>
        <w:snapToGrid w:val="0"/>
        <w:spacing w:line="570" w:lineRule="exact"/>
        <w:rPr>
          <w:rFonts w:cs="宋体"/>
        </w:rPr>
      </w:pPr>
      <w:r>
        <w:rPr>
          <w:rFonts w:hint="eastAsia" w:cs="宋体"/>
        </w:rPr>
        <w:t>7.4书面合同已经履行，给交易发起人、响应人造成损失的，由责任人承担赔偿责任。</w:t>
      </w:r>
    </w:p>
    <w:p>
      <w:pPr>
        <w:pStyle w:val="27"/>
        <w:snapToGrid w:val="0"/>
        <w:spacing w:line="570" w:lineRule="exact"/>
        <w:rPr>
          <w:rFonts w:cs="宋体"/>
        </w:rPr>
      </w:pPr>
      <w:r>
        <w:rPr>
          <w:rFonts w:hint="eastAsia" w:cs="宋体"/>
        </w:rPr>
        <w:t>7.5交易当事人有其他违反政府采购法</w:t>
      </w:r>
      <w:r>
        <w:rPr>
          <w:rFonts w:hint="eastAsia" w:cs="宋体"/>
          <w:kern w:val="0"/>
        </w:rPr>
        <w:t>或者政府采购法实施条例等法律法规规定</w:t>
      </w:r>
      <w:r>
        <w:rPr>
          <w:rFonts w:hint="eastAsia" w:cs="宋体"/>
        </w:rPr>
        <w:t>的行为，经改正后仍然影响或者可能影响</w:t>
      </w:r>
      <w:r>
        <w:rPr>
          <w:rFonts w:hint="eastAsia" w:cs="宋体"/>
          <w:kern w:val="0"/>
        </w:rPr>
        <w:t>成交</w:t>
      </w:r>
      <w:r>
        <w:rPr>
          <w:rFonts w:hint="eastAsia" w:cs="宋体"/>
        </w:rPr>
        <w:t>、成交结果或者依法被认定为</w:t>
      </w:r>
      <w:r>
        <w:rPr>
          <w:rFonts w:hint="eastAsia" w:cs="宋体"/>
          <w:kern w:val="0"/>
        </w:rPr>
        <w:t>成交</w:t>
      </w:r>
      <w:r>
        <w:rPr>
          <w:rFonts w:hint="eastAsia" w:cs="宋体"/>
        </w:rPr>
        <w:t>、成交无效的，依照7.1-7.4规定处理。</w:t>
      </w:r>
    </w:p>
    <w:p>
      <w:pPr>
        <w:pStyle w:val="27"/>
        <w:snapToGrid w:val="0"/>
        <w:spacing w:line="360" w:lineRule="auto"/>
        <w:rPr>
          <w:rFonts w:cs="宋体"/>
        </w:rPr>
      </w:pPr>
      <w:r>
        <w:rPr>
          <w:rFonts w:hint="eastAsia" w:cs="宋体"/>
        </w:rPr>
        <w:t xml:space="preserve"> </w:t>
      </w:r>
    </w:p>
    <w:p>
      <w:pPr>
        <w:pStyle w:val="17"/>
        <w:rPr>
          <w:rFonts w:hAnsi="宋体" w:cs="宋体"/>
          <w:color w:val="auto"/>
        </w:rPr>
      </w:pPr>
    </w:p>
    <w:p>
      <w:pPr>
        <w:rPr>
          <w:rFonts w:ascii="宋体" w:hAnsi="宋体" w:cs="宋体"/>
        </w:rPr>
      </w:pPr>
    </w:p>
    <w:p>
      <w:pPr>
        <w:rPr>
          <w:rFonts w:ascii="宋体" w:hAnsi="宋体" w:cs="宋体"/>
          <w:b/>
          <w:sz w:val="36"/>
          <w:szCs w:val="36"/>
        </w:rPr>
      </w:pPr>
      <w:r>
        <w:rPr>
          <w:rFonts w:hint="eastAsia" w:ascii="宋体" w:hAnsi="宋体" w:cs="宋体"/>
          <w:b/>
          <w:sz w:val="36"/>
          <w:szCs w:val="36"/>
        </w:rPr>
        <w:br w:type="page"/>
      </w:r>
    </w:p>
    <w:p>
      <w:pPr>
        <w:spacing w:line="360" w:lineRule="auto"/>
        <w:ind w:left="718" w:leftChars="342" w:firstLine="119" w:firstLineChars="33"/>
        <w:jc w:val="center"/>
        <w:outlineLvl w:val="0"/>
        <w:rPr>
          <w:rFonts w:ascii="宋体" w:hAnsi="宋体"/>
          <w:b/>
          <w:sz w:val="32"/>
        </w:rPr>
      </w:pPr>
      <w:r>
        <w:rPr>
          <w:rFonts w:hint="eastAsia" w:ascii="宋体" w:hAnsi="宋体" w:cs="宋体"/>
          <w:b/>
          <w:sz w:val="36"/>
          <w:szCs w:val="36"/>
        </w:rPr>
        <w:t xml:space="preserve">第五部分 </w:t>
      </w:r>
      <w:r>
        <w:rPr>
          <w:rFonts w:hint="eastAsia" w:ascii="宋体" w:hAnsi="宋体"/>
          <w:b/>
          <w:sz w:val="32"/>
        </w:rPr>
        <w:t>合同条款</w:t>
      </w:r>
    </w:p>
    <w:p>
      <w:pPr>
        <w:spacing w:line="400" w:lineRule="exact"/>
        <w:jc w:val="center"/>
        <w:rPr>
          <w:rFonts w:ascii="宋体" w:hAnsi="宋体"/>
          <w:b/>
          <w:szCs w:val="21"/>
        </w:rPr>
      </w:pPr>
      <w:r>
        <w:rPr>
          <w:rFonts w:hint="eastAsia" w:ascii="宋体" w:hAnsi="宋体"/>
          <w:b/>
          <w:szCs w:val="21"/>
        </w:rPr>
        <w:t>（本合同为合同样稿，最终稿由甲乙双方协商后确定）</w:t>
      </w:r>
    </w:p>
    <w:p>
      <w:pPr>
        <w:pStyle w:val="2"/>
        <w:snapToGrid w:val="0"/>
        <w:spacing w:line="288" w:lineRule="auto"/>
        <w:jc w:val="center"/>
        <w:rPr>
          <w:b/>
        </w:rPr>
      </w:pPr>
      <w:r>
        <w:rPr>
          <w:rFonts w:hint="eastAsia"/>
          <w:b/>
        </w:rPr>
        <w:t>合同主要条款</w:t>
      </w:r>
    </w:p>
    <w:p>
      <w:pPr>
        <w:pStyle w:val="2"/>
        <w:spacing w:line="288" w:lineRule="auto"/>
        <w:rPr>
          <w:rFonts w:hAnsi="宋体" w:cs="宋体"/>
          <w:sz w:val="24"/>
          <w:szCs w:val="24"/>
        </w:rPr>
      </w:pPr>
      <w:r>
        <w:rPr>
          <w:rFonts w:hint="eastAsia" w:hAnsi="宋体" w:cs="宋体"/>
          <w:sz w:val="24"/>
          <w:szCs w:val="24"/>
        </w:rPr>
        <w:t xml:space="preserve">发包人（甲方）：杭州萧山供水有限公司  </w:t>
      </w:r>
    </w:p>
    <w:p>
      <w:pPr>
        <w:pStyle w:val="2"/>
        <w:spacing w:line="288" w:lineRule="auto"/>
        <w:rPr>
          <w:rFonts w:hAnsi="宋体" w:cs="宋体"/>
          <w:sz w:val="24"/>
          <w:szCs w:val="24"/>
        </w:rPr>
      </w:pPr>
      <w:r>
        <w:rPr>
          <w:rFonts w:hint="eastAsia" w:hAnsi="宋体" w:cs="宋体"/>
          <w:sz w:val="24"/>
          <w:szCs w:val="24"/>
        </w:rPr>
        <w:t xml:space="preserve">中标人（乙方）：    </w:t>
      </w:r>
    </w:p>
    <w:p>
      <w:pPr>
        <w:pStyle w:val="2"/>
        <w:spacing w:line="288" w:lineRule="auto"/>
        <w:ind w:firstLine="480" w:firstLineChars="200"/>
        <w:rPr>
          <w:rFonts w:hAnsi="宋体" w:cs="宋体"/>
          <w:sz w:val="24"/>
          <w:szCs w:val="24"/>
        </w:rPr>
      </w:pPr>
      <w:r>
        <w:rPr>
          <w:rFonts w:hint="eastAsia" w:hAnsi="宋体" w:cs="宋体"/>
          <w:sz w:val="24"/>
          <w:szCs w:val="24"/>
        </w:rPr>
        <w:t>甲方为了完善新建或改造管网基础数据，应用与推广供水管网GIS信息系统建设成果，加强对公司固定资产的管理，特委托中标人对2023年度供水管线与设备进行探测、GIS数据维护与更新服务。现根据《中华人民共和国民法典》、《中华人民共和国测绘法》和有关法律法规，经甲、乙双方协商一致签订本合同。</w:t>
      </w:r>
    </w:p>
    <w:p>
      <w:pPr>
        <w:pStyle w:val="2"/>
        <w:numPr>
          <w:ilvl w:val="0"/>
          <w:numId w:val="4"/>
        </w:numPr>
        <w:spacing w:line="288" w:lineRule="auto"/>
        <w:rPr>
          <w:rFonts w:hAnsi="宋体" w:cs="宋体"/>
          <w:b/>
          <w:bCs/>
          <w:sz w:val="24"/>
          <w:szCs w:val="24"/>
        </w:rPr>
      </w:pPr>
      <w:r>
        <w:rPr>
          <w:rFonts w:hint="eastAsia" w:hAnsi="宋体" w:cs="宋体"/>
          <w:b/>
          <w:bCs/>
          <w:sz w:val="24"/>
          <w:szCs w:val="24"/>
        </w:rPr>
        <w:t>工作范围：</w:t>
      </w:r>
    </w:p>
    <w:p>
      <w:pPr>
        <w:pStyle w:val="2"/>
        <w:numPr>
          <w:ilvl w:val="0"/>
          <w:numId w:val="5"/>
        </w:numPr>
        <w:spacing w:line="288" w:lineRule="auto"/>
        <w:ind w:firstLine="480" w:firstLineChars="200"/>
        <w:rPr>
          <w:rFonts w:hAnsi="宋体" w:cs="宋体"/>
          <w:sz w:val="24"/>
          <w:szCs w:val="24"/>
        </w:rPr>
      </w:pPr>
      <w:r>
        <w:rPr>
          <w:rFonts w:hint="eastAsia" w:hAnsi="宋体" w:cs="宋体"/>
          <w:sz w:val="24"/>
          <w:szCs w:val="24"/>
        </w:rPr>
        <w:t>根据甲方提供的工作联系单，对指定区域地下管线和设备进行现场探测、核对，要求探测至用户水表，并根据探测成果对供水管网GIS信息系统内管网数据进行维护和更新。</w:t>
      </w:r>
    </w:p>
    <w:p>
      <w:pPr>
        <w:pStyle w:val="2"/>
        <w:numPr>
          <w:ilvl w:val="0"/>
          <w:numId w:val="5"/>
        </w:numPr>
        <w:spacing w:line="288" w:lineRule="auto"/>
        <w:ind w:firstLine="480" w:firstLineChars="200"/>
        <w:rPr>
          <w:rFonts w:hAnsi="宋体" w:cs="宋体"/>
          <w:sz w:val="24"/>
          <w:szCs w:val="24"/>
        </w:rPr>
      </w:pPr>
      <w:r>
        <w:rPr>
          <w:rFonts w:hint="eastAsia" w:hAnsi="宋体" w:cs="宋体"/>
          <w:sz w:val="24"/>
          <w:szCs w:val="24"/>
        </w:rPr>
        <w:t>根据甲方要求制作管网地图。</w:t>
      </w:r>
    </w:p>
    <w:p>
      <w:pPr>
        <w:pStyle w:val="2"/>
        <w:numPr>
          <w:ilvl w:val="0"/>
          <w:numId w:val="5"/>
        </w:numPr>
        <w:spacing w:line="288" w:lineRule="auto"/>
        <w:ind w:firstLine="480" w:firstLineChars="200"/>
        <w:rPr>
          <w:rFonts w:hAnsi="宋体" w:cs="宋体"/>
          <w:sz w:val="24"/>
          <w:szCs w:val="24"/>
        </w:rPr>
      </w:pPr>
      <w:r>
        <w:rPr>
          <w:rFonts w:hint="eastAsia" w:hAnsi="宋体" w:cs="宋体"/>
          <w:sz w:val="24"/>
          <w:szCs w:val="24"/>
        </w:rPr>
        <w:t>为甲方现有的供水管网GIS系列软件提供年度维护服务。</w:t>
      </w:r>
    </w:p>
    <w:p>
      <w:pPr>
        <w:pStyle w:val="2"/>
        <w:numPr>
          <w:ilvl w:val="0"/>
          <w:numId w:val="4"/>
        </w:numPr>
        <w:spacing w:line="288" w:lineRule="auto"/>
        <w:rPr>
          <w:rFonts w:hAnsi="宋体" w:cs="宋体"/>
          <w:b/>
          <w:bCs/>
          <w:sz w:val="24"/>
          <w:szCs w:val="24"/>
        </w:rPr>
      </w:pPr>
      <w:r>
        <w:rPr>
          <w:rFonts w:hint="eastAsia" w:hAnsi="宋体" w:cs="宋体"/>
          <w:b/>
          <w:bCs/>
          <w:sz w:val="24"/>
          <w:szCs w:val="24"/>
        </w:rPr>
        <w:t>工作内容：</w:t>
      </w:r>
    </w:p>
    <w:p>
      <w:pPr>
        <w:pStyle w:val="2"/>
        <w:spacing w:line="288" w:lineRule="auto"/>
        <w:ind w:firstLine="480" w:firstLineChars="200"/>
        <w:rPr>
          <w:rFonts w:hAnsi="宋体" w:cs="宋体"/>
          <w:sz w:val="24"/>
          <w:szCs w:val="24"/>
        </w:rPr>
      </w:pPr>
      <w:r>
        <w:rPr>
          <w:rFonts w:hint="eastAsia" w:hAnsi="宋体" w:cs="宋体"/>
          <w:sz w:val="24"/>
          <w:szCs w:val="24"/>
        </w:rPr>
        <w:t>（1）管线探测内容：</w:t>
      </w:r>
    </w:p>
    <w:p>
      <w:pPr>
        <w:spacing w:line="288" w:lineRule="auto"/>
        <w:ind w:firstLine="480" w:firstLineChars="200"/>
        <w:jc w:val="left"/>
        <w:rPr>
          <w:rFonts w:ascii="宋体" w:hAnsi="宋体" w:cs="宋体"/>
          <w:kern w:val="0"/>
          <w:sz w:val="24"/>
        </w:rPr>
      </w:pPr>
      <w:r>
        <w:rPr>
          <w:rFonts w:hint="eastAsia" w:ascii="宋体" w:hAnsi="宋体" w:cs="宋体"/>
          <w:kern w:val="0"/>
          <w:sz w:val="24"/>
        </w:rPr>
        <w:t>①水源、泵站、水塔、水池、流量计、测压点、水质监测点、排放口、预留口。</w:t>
      </w:r>
    </w:p>
    <w:p>
      <w:pPr>
        <w:spacing w:line="288" w:lineRule="auto"/>
        <w:ind w:firstLine="480" w:firstLineChars="200"/>
        <w:jc w:val="left"/>
        <w:rPr>
          <w:rFonts w:ascii="宋体" w:hAnsi="宋体" w:cs="宋体"/>
          <w:kern w:val="0"/>
          <w:sz w:val="24"/>
        </w:rPr>
      </w:pPr>
      <w:r>
        <w:rPr>
          <w:rFonts w:hint="eastAsia" w:ascii="宋体" w:hAnsi="宋体" w:cs="宋体"/>
          <w:kern w:val="0"/>
          <w:sz w:val="24"/>
        </w:rPr>
        <w:t>②管线（管径、材质、所在道路、用途、特殊管线类型）。</w:t>
      </w:r>
    </w:p>
    <w:p>
      <w:pPr>
        <w:spacing w:line="288" w:lineRule="auto"/>
        <w:ind w:firstLine="480" w:firstLineChars="200"/>
        <w:jc w:val="left"/>
        <w:rPr>
          <w:rFonts w:ascii="宋体" w:hAnsi="宋体" w:cs="宋体"/>
          <w:kern w:val="0"/>
          <w:sz w:val="24"/>
        </w:rPr>
      </w:pPr>
      <w:r>
        <w:rPr>
          <w:rFonts w:hint="eastAsia" w:ascii="宋体" w:hAnsi="宋体" w:cs="宋体"/>
          <w:kern w:val="0"/>
          <w:sz w:val="24"/>
        </w:rPr>
        <w:t>③阀门（类型、材质、口径、坐标、高程、地址）。</w:t>
      </w:r>
    </w:p>
    <w:p>
      <w:pPr>
        <w:spacing w:line="288" w:lineRule="auto"/>
        <w:ind w:firstLine="480" w:firstLineChars="200"/>
        <w:jc w:val="left"/>
        <w:rPr>
          <w:rFonts w:ascii="宋体" w:hAnsi="宋体" w:cs="宋体"/>
          <w:kern w:val="0"/>
          <w:sz w:val="24"/>
        </w:rPr>
      </w:pPr>
      <w:r>
        <w:rPr>
          <w:rFonts w:hint="eastAsia" w:ascii="宋体" w:hAnsi="宋体" w:cs="宋体"/>
          <w:kern w:val="0"/>
          <w:sz w:val="24"/>
        </w:rPr>
        <w:t>④弯头、三通、四通、变径、变材、堵头（名称、坐标、高程、口径）。</w:t>
      </w:r>
    </w:p>
    <w:p>
      <w:pPr>
        <w:spacing w:line="288" w:lineRule="auto"/>
        <w:ind w:firstLine="480" w:firstLineChars="200"/>
        <w:jc w:val="left"/>
        <w:rPr>
          <w:rFonts w:ascii="宋体" w:hAnsi="宋体" w:cs="宋体"/>
          <w:kern w:val="0"/>
          <w:sz w:val="24"/>
        </w:rPr>
      </w:pPr>
      <w:r>
        <w:rPr>
          <w:rFonts w:hint="eastAsia" w:ascii="宋体" w:hAnsi="宋体" w:cs="宋体"/>
          <w:kern w:val="0"/>
          <w:sz w:val="24"/>
        </w:rPr>
        <w:fldChar w:fldCharType="begin"/>
      </w:r>
      <w:r>
        <w:rPr>
          <w:rFonts w:hint="eastAsia" w:ascii="宋体" w:hAnsi="宋体" w:cs="宋体"/>
          <w:kern w:val="0"/>
          <w:sz w:val="24"/>
        </w:rPr>
        <w:instrText xml:space="preserve"> = 5 \* GB3 </w:instrText>
      </w:r>
      <w:r>
        <w:rPr>
          <w:rFonts w:hint="eastAsia" w:ascii="宋体" w:hAnsi="宋体" w:cs="宋体"/>
          <w:kern w:val="0"/>
          <w:sz w:val="24"/>
        </w:rPr>
        <w:fldChar w:fldCharType="separate"/>
      </w:r>
      <w:r>
        <w:rPr>
          <w:rFonts w:hint="eastAsia" w:ascii="宋体" w:hAnsi="宋体" w:cs="宋体"/>
          <w:kern w:val="0"/>
          <w:sz w:val="24"/>
        </w:rPr>
        <w:t>⑤</w:t>
      </w:r>
      <w:r>
        <w:rPr>
          <w:rFonts w:hint="eastAsia" w:ascii="宋体" w:hAnsi="宋体" w:cs="宋体"/>
          <w:kern w:val="0"/>
          <w:sz w:val="24"/>
        </w:rPr>
        <w:fldChar w:fldCharType="end"/>
      </w:r>
      <w:r>
        <w:rPr>
          <w:rFonts w:hint="eastAsia" w:ascii="宋体" w:hAnsi="宋体" w:cs="宋体"/>
          <w:kern w:val="0"/>
          <w:sz w:val="24"/>
        </w:rPr>
        <w:t>消防栓（规格、坐标、高程）。</w:t>
      </w:r>
    </w:p>
    <w:p>
      <w:pPr>
        <w:spacing w:line="288" w:lineRule="auto"/>
        <w:ind w:firstLine="480" w:firstLineChars="200"/>
        <w:jc w:val="left"/>
        <w:rPr>
          <w:rFonts w:ascii="宋体" w:hAnsi="宋体" w:cs="宋体"/>
          <w:kern w:val="0"/>
          <w:sz w:val="24"/>
        </w:rPr>
      </w:pPr>
      <w:r>
        <w:rPr>
          <w:rFonts w:hint="eastAsia" w:ascii="宋体" w:hAnsi="宋体" w:cs="宋体"/>
          <w:kern w:val="0"/>
          <w:sz w:val="24"/>
        </w:rPr>
        <w:fldChar w:fldCharType="begin"/>
      </w:r>
      <w:r>
        <w:rPr>
          <w:rFonts w:hint="eastAsia" w:ascii="宋体" w:hAnsi="宋体" w:cs="宋体"/>
          <w:kern w:val="0"/>
          <w:sz w:val="24"/>
        </w:rPr>
        <w:instrText xml:space="preserve"> = 6 \* GB3 </w:instrText>
      </w:r>
      <w:r>
        <w:rPr>
          <w:rFonts w:hint="eastAsia" w:ascii="宋体" w:hAnsi="宋体" w:cs="宋体"/>
          <w:kern w:val="0"/>
          <w:sz w:val="24"/>
        </w:rPr>
        <w:fldChar w:fldCharType="separate"/>
      </w:r>
      <w:r>
        <w:rPr>
          <w:rFonts w:hint="eastAsia" w:ascii="宋体" w:hAnsi="宋体" w:cs="宋体"/>
          <w:kern w:val="0"/>
          <w:sz w:val="24"/>
        </w:rPr>
        <w:t>⑥</w:t>
      </w:r>
      <w:r>
        <w:rPr>
          <w:rFonts w:hint="eastAsia" w:ascii="宋体" w:hAnsi="宋体" w:cs="宋体"/>
          <w:kern w:val="0"/>
          <w:sz w:val="24"/>
        </w:rPr>
        <w:fldChar w:fldCharType="end"/>
      </w:r>
      <w:r>
        <w:rPr>
          <w:rFonts w:hint="eastAsia" w:ascii="宋体" w:hAnsi="宋体" w:cs="宋体"/>
          <w:kern w:val="0"/>
          <w:sz w:val="24"/>
        </w:rPr>
        <w:t>水表（口径、材质、地址、表身号、用户编号、用户名称）。</w:t>
      </w:r>
    </w:p>
    <w:p>
      <w:pPr>
        <w:pStyle w:val="2"/>
        <w:spacing w:line="288" w:lineRule="auto"/>
        <w:ind w:firstLine="480" w:firstLineChars="200"/>
        <w:rPr>
          <w:rFonts w:hAnsi="宋体" w:cs="宋体"/>
          <w:sz w:val="24"/>
          <w:szCs w:val="24"/>
        </w:rPr>
      </w:pPr>
      <w:r>
        <w:rPr>
          <w:rFonts w:hint="eastAsia" w:hAnsi="宋体" w:cs="宋体"/>
          <w:sz w:val="24"/>
          <w:szCs w:val="24"/>
        </w:rPr>
        <w:t>（2）水表调查：根据甲方提供的用户水表编号、表身号信息对水表进行测量与核对调查。</w:t>
      </w:r>
    </w:p>
    <w:p>
      <w:pPr>
        <w:pStyle w:val="2"/>
        <w:spacing w:line="288" w:lineRule="auto"/>
        <w:ind w:firstLine="480" w:firstLineChars="200"/>
        <w:rPr>
          <w:rFonts w:hAnsi="宋体" w:cs="宋体"/>
          <w:sz w:val="24"/>
          <w:szCs w:val="24"/>
        </w:rPr>
      </w:pPr>
      <w:r>
        <w:rPr>
          <w:rFonts w:hint="eastAsia" w:hAnsi="宋体" w:cs="宋体"/>
          <w:sz w:val="24"/>
          <w:szCs w:val="24"/>
        </w:rPr>
        <w:t>（3）与原有数据进行衔接：要求把本年度探测的数据和甲方原有GIS信息系统数据进行整合衔接，建立统一的管网GIS数据库。</w:t>
      </w:r>
    </w:p>
    <w:p>
      <w:pPr>
        <w:pStyle w:val="2"/>
        <w:spacing w:line="288" w:lineRule="auto"/>
        <w:ind w:firstLine="480" w:firstLineChars="200"/>
        <w:rPr>
          <w:rFonts w:hAnsi="宋体" w:cs="宋体"/>
          <w:sz w:val="24"/>
          <w:szCs w:val="24"/>
          <w:highlight w:val="yellow"/>
        </w:rPr>
      </w:pPr>
      <w:r>
        <w:rPr>
          <w:rFonts w:hint="eastAsia" w:hAnsi="宋体" w:cs="宋体"/>
          <w:sz w:val="24"/>
          <w:szCs w:val="24"/>
        </w:rPr>
        <w:t>（4）地图制作：根据甲方要求制作管网地图。</w:t>
      </w:r>
    </w:p>
    <w:p>
      <w:pPr>
        <w:pStyle w:val="2"/>
        <w:spacing w:line="288" w:lineRule="auto"/>
        <w:ind w:firstLine="480" w:firstLineChars="200"/>
        <w:rPr>
          <w:rFonts w:hAnsi="宋体" w:cs="宋体"/>
          <w:sz w:val="24"/>
          <w:szCs w:val="24"/>
          <w:highlight w:val="yellow"/>
        </w:rPr>
      </w:pPr>
      <w:r>
        <w:rPr>
          <w:rFonts w:hint="eastAsia" w:hAnsi="宋体" w:cs="宋体"/>
          <w:sz w:val="24"/>
          <w:szCs w:val="24"/>
        </w:rPr>
        <w:t>（5）</w:t>
      </w:r>
      <w:bookmarkStart w:id="393" w:name="_Hlk144808003"/>
      <w:r>
        <w:rPr>
          <w:rFonts w:hint="eastAsia" w:hAnsi="宋体" w:cs="宋体"/>
          <w:sz w:val="24"/>
          <w:szCs w:val="24"/>
        </w:rPr>
        <w:t>供水管网GIS系列软件年度维护服务：需维护的软件系统包括供水管网GIS信息系统（桌面版、网页版、移动版）、供水管网巡检系统、巡检事件工单管理系统、分区计量系统。年度维护服务内容包括功能优化、接口维护、故障修复、使用培训等。</w:t>
      </w:r>
      <w:bookmarkEnd w:id="393"/>
    </w:p>
    <w:p>
      <w:pPr>
        <w:pStyle w:val="2"/>
        <w:spacing w:line="288" w:lineRule="auto"/>
        <w:rPr>
          <w:rFonts w:hAnsi="宋体" w:cs="宋体"/>
          <w:sz w:val="24"/>
          <w:szCs w:val="24"/>
        </w:rPr>
      </w:pPr>
      <w:r>
        <w:rPr>
          <w:rFonts w:hint="eastAsia" w:hAnsi="宋体" w:cs="宋体"/>
          <w:b/>
          <w:bCs/>
          <w:sz w:val="24"/>
          <w:szCs w:val="24"/>
        </w:rPr>
        <w:t xml:space="preserve">第三条 </w:t>
      </w:r>
      <w:r>
        <w:rPr>
          <w:rFonts w:hint="eastAsia" w:hAnsi="宋体" w:cs="宋体"/>
          <w:sz w:val="24"/>
          <w:szCs w:val="24"/>
        </w:rPr>
        <w:t>执行技术标准：</w:t>
      </w:r>
    </w:p>
    <w:tbl>
      <w:tblPr>
        <w:tblStyle w:val="66"/>
        <w:tblW w:w="90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6"/>
        <w:gridCol w:w="3078"/>
        <w:gridCol w:w="3120"/>
        <w:gridCol w:w="16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pStyle w:val="2"/>
              <w:spacing w:line="288" w:lineRule="auto"/>
              <w:rPr>
                <w:rFonts w:hAnsi="宋体" w:cs="宋体"/>
                <w:b/>
                <w:sz w:val="24"/>
                <w:szCs w:val="24"/>
              </w:rPr>
            </w:pPr>
            <w:r>
              <w:rPr>
                <w:rFonts w:hint="eastAsia" w:hAnsi="宋体" w:cs="宋体"/>
                <w:b/>
                <w:sz w:val="24"/>
                <w:szCs w:val="24"/>
              </w:rPr>
              <w:t>工作项目</w:t>
            </w:r>
          </w:p>
        </w:tc>
        <w:tc>
          <w:tcPr>
            <w:tcW w:w="3078" w:type="dxa"/>
            <w:tcBorders>
              <w:top w:val="single" w:color="auto" w:sz="4" w:space="0"/>
              <w:left w:val="single" w:color="auto" w:sz="4" w:space="0"/>
              <w:bottom w:val="single" w:color="auto" w:sz="4" w:space="0"/>
              <w:right w:val="single" w:color="auto" w:sz="4" w:space="0"/>
            </w:tcBorders>
            <w:vAlign w:val="center"/>
          </w:tcPr>
          <w:p>
            <w:pPr>
              <w:pStyle w:val="2"/>
              <w:spacing w:line="288" w:lineRule="auto"/>
              <w:rPr>
                <w:rFonts w:hAnsi="宋体" w:cs="宋体"/>
                <w:b/>
                <w:sz w:val="24"/>
                <w:szCs w:val="24"/>
              </w:rPr>
            </w:pPr>
            <w:r>
              <w:rPr>
                <w:rFonts w:hint="eastAsia" w:hAnsi="宋体" w:cs="宋体"/>
                <w:b/>
                <w:sz w:val="24"/>
                <w:szCs w:val="24"/>
              </w:rPr>
              <w:t>工作内容</w:t>
            </w:r>
          </w:p>
        </w:tc>
        <w:tc>
          <w:tcPr>
            <w:tcW w:w="3120" w:type="dxa"/>
            <w:tcBorders>
              <w:top w:val="single" w:color="auto" w:sz="4" w:space="0"/>
              <w:left w:val="single" w:color="auto" w:sz="4" w:space="0"/>
              <w:bottom w:val="single" w:color="auto" w:sz="4" w:space="0"/>
              <w:right w:val="single" w:color="auto" w:sz="4" w:space="0"/>
            </w:tcBorders>
            <w:vAlign w:val="center"/>
          </w:tcPr>
          <w:p>
            <w:pPr>
              <w:pStyle w:val="2"/>
              <w:spacing w:line="288" w:lineRule="auto"/>
              <w:rPr>
                <w:rFonts w:hAnsi="宋体" w:cs="宋体"/>
                <w:b/>
                <w:sz w:val="24"/>
                <w:szCs w:val="24"/>
              </w:rPr>
            </w:pPr>
            <w:r>
              <w:rPr>
                <w:rFonts w:hint="eastAsia" w:hAnsi="宋体" w:cs="宋体"/>
                <w:b/>
                <w:sz w:val="24"/>
                <w:szCs w:val="24"/>
              </w:rPr>
              <w:t>执行标准</w:t>
            </w:r>
          </w:p>
        </w:tc>
        <w:tc>
          <w:tcPr>
            <w:tcW w:w="1619" w:type="dxa"/>
            <w:tcBorders>
              <w:top w:val="single" w:color="auto" w:sz="4" w:space="0"/>
              <w:left w:val="single" w:color="auto" w:sz="4" w:space="0"/>
              <w:bottom w:val="single" w:color="auto" w:sz="4" w:space="0"/>
              <w:right w:val="single" w:color="auto" w:sz="4" w:space="0"/>
            </w:tcBorders>
            <w:vAlign w:val="center"/>
          </w:tcPr>
          <w:p>
            <w:pPr>
              <w:pStyle w:val="2"/>
              <w:spacing w:line="288" w:lineRule="auto"/>
              <w:rPr>
                <w:rFonts w:hAnsi="宋体" w:cs="宋体"/>
                <w:b/>
                <w:sz w:val="24"/>
                <w:szCs w:val="24"/>
              </w:rPr>
            </w:pPr>
            <w:r>
              <w:rPr>
                <w:rFonts w:hint="eastAsia" w:hAnsi="宋体" w:cs="宋体"/>
                <w:b/>
                <w:sz w:val="24"/>
                <w:szCs w:val="24"/>
              </w:rPr>
              <w:t>精度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276" w:type="dxa"/>
            <w:vMerge w:val="restart"/>
            <w:tcBorders>
              <w:top w:val="single" w:color="auto" w:sz="4" w:space="0"/>
              <w:left w:val="single" w:color="auto" w:sz="4" w:space="0"/>
              <w:right w:val="single" w:color="auto" w:sz="4" w:space="0"/>
            </w:tcBorders>
            <w:vAlign w:val="center"/>
          </w:tcPr>
          <w:p>
            <w:pPr>
              <w:pStyle w:val="2"/>
              <w:spacing w:line="288" w:lineRule="auto"/>
              <w:rPr>
                <w:rFonts w:hAnsi="宋体" w:cs="宋体"/>
                <w:sz w:val="24"/>
                <w:szCs w:val="24"/>
              </w:rPr>
            </w:pPr>
            <w:r>
              <w:rPr>
                <w:rFonts w:hint="eastAsia" w:hAnsi="宋体" w:cs="宋体"/>
                <w:sz w:val="24"/>
                <w:szCs w:val="24"/>
              </w:rPr>
              <w:t>管线（管段）探测</w:t>
            </w:r>
          </w:p>
        </w:tc>
        <w:tc>
          <w:tcPr>
            <w:tcW w:w="3078" w:type="dxa"/>
            <w:vMerge w:val="restart"/>
            <w:tcBorders>
              <w:top w:val="single" w:color="auto" w:sz="4" w:space="0"/>
              <w:left w:val="single" w:color="auto" w:sz="4" w:space="0"/>
              <w:right w:val="single" w:color="auto" w:sz="4" w:space="0"/>
            </w:tcBorders>
            <w:vAlign w:val="center"/>
          </w:tcPr>
          <w:p>
            <w:pPr>
              <w:pStyle w:val="2"/>
              <w:spacing w:line="288" w:lineRule="auto"/>
              <w:rPr>
                <w:rFonts w:hAnsi="宋体" w:cs="宋体"/>
                <w:sz w:val="24"/>
                <w:szCs w:val="24"/>
              </w:rPr>
            </w:pPr>
            <w:r>
              <w:rPr>
                <w:rFonts w:hint="eastAsia" w:hAnsi="宋体" w:cs="宋体"/>
                <w:sz w:val="24"/>
                <w:szCs w:val="24"/>
              </w:rPr>
              <w:t xml:space="preserve">根据联系单对管线与设备进行现场探查与坐标测量，探测成果导入GIS数据库 </w:t>
            </w:r>
          </w:p>
        </w:tc>
        <w:tc>
          <w:tcPr>
            <w:tcW w:w="3120" w:type="dxa"/>
            <w:tcBorders>
              <w:top w:val="single" w:color="auto" w:sz="4" w:space="0"/>
              <w:left w:val="single" w:color="auto" w:sz="4" w:space="0"/>
              <w:bottom w:val="single" w:color="auto" w:sz="4" w:space="0"/>
              <w:right w:val="single" w:color="auto" w:sz="4" w:space="0"/>
            </w:tcBorders>
            <w:vAlign w:val="center"/>
          </w:tcPr>
          <w:p>
            <w:pPr>
              <w:pStyle w:val="2"/>
              <w:spacing w:line="288" w:lineRule="auto"/>
              <w:rPr>
                <w:rFonts w:hAnsi="宋体" w:cs="宋体"/>
                <w:sz w:val="24"/>
                <w:szCs w:val="24"/>
              </w:rPr>
            </w:pPr>
            <w:r>
              <w:rPr>
                <w:rFonts w:hint="eastAsia" w:hAnsi="宋体" w:cs="宋体"/>
                <w:sz w:val="24"/>
                <w:szCs w:val="24"/>
              </w:rPr>
              <w:t>《城市地下管线探测技术规程》</w:t>
            </w:r>
          </w:p>
        </w:tc>
        <w:tc>
          <w:tcPr>
            <w:tcW w:w="1619" w:type="dxa"/>
            <w:vMerge w:val="restart"/>
            <w:tcBorders>
              <w:top w:val="single" w:color="auto" w:sz="4" w:space="0"/>
              <w:left w:val="single" w:color="auto" w:sz="4" w:space="0"/>
              <w:right w:val="single" w:color="auto" w:sz="4" w:space="0"/>
            </w:tcBorders>
            <w:vAlign w:val="center"/>
          </w:tcPr>
          <w:p>
            <w:pPr>
              <w:pStyle w:val="2"/>
              <w:spacing w:line="288" w:lineRule="auto"/>
              <w:rPr>
                <w:rFonts w:hAnsi="宋体" w:cs="宋体"/>
                <w:sz w:val="24"/>
                <w:szCs w:val="24"/>
              </w:rPr>
            </w:pPr>
            <w:r>
              <w:rPr>
                <w:rFonts w:hint="eastAsia" w:hAnsi="宋体" w:cs="宋体"/>
                <w:sz w:val="24"/>
                <w:szCs w:val="24"/>
              </w:rPr>
              <w:t>精度：≤50cm</w:t>
            </w:r>
          </w:p>
          <w:p>
            <w:pPr>
              <w:pStyle w:val="2"/>
              <w:spacing w:line="288" w:lineRule="auto"/>
              <w:rPr>
                <w:rFonts w:hAnsi="宋体" w:cs="宋体"/>
                <w:sz w:val="24"/>
                <w:szCs w:val="24"/>
              </w:rPr>
            </w:pPr>
            <w:r>
              <w:rPr>
                <w:rFonts w:hint="eastAsia" w:hAnsi="宋体" w:cs="宋体"/>
                <w:sz w:val="24"/>
                <w:szCs w:val="24"/>
              </w:rPr>
              <w:t>误差率：≤99%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1276" w:type="dxa"/>
            <w:vMerge w:val="continue"/>
            <w:tcBorders>
              <w:left w:val="single" w:color="auto" w:sz="4" w:space="0"/>
              <w:bottom w:val="single" w:color="auto" w:sz="4" w:space="0"/>
              <w:right w:val="single" w:color="auto" w:sz="4" w:space="0"/>
            </w:tcBorders>
            <w:vAlign w:val="center"/>
          </w:tcPr>
          <w:p>
            <w:pPr>
              <w:pStyle w:val="2"/>
              <w:spacing w:line="288" w:lineRule="auto"/>
              <w:rPr>
                <w:rFonts w:hAnsi="宋体" w:cs="宋体"/>
                <w:sz w:val="24"/>
                <w:szCs w:val="24"/>
              </w:rPr>
            </w:pPr>
          </w:p>
        </w:tc>
        <w:tc>
          <w:tcPr>
            <w:tcW w:w="3078" w:type="dxa"/>
            <w:vMerge w:val="continue"/>
            <w:tcBorders>
              <w:left w:val="single" w:color="auto" w:sz="4" w:space="0"/>
              <w:bottom w:val="single" w:color="auto" w:sz="4" w:space="0"/>
              <w:right w:val="single" w:color="auto" w:sz="4" w:space="0"/>
            </w:tcBorders>
            <w:vAlign w:val="center"/>
          </w:tcPr>
          <w:p>
            <w:pPr>
              <w:pStyle w:val="2"/>
              <w:spacing w:line="288" w:lineRule="auto"/>
              <w:rPr>
                <w:rFonts w:hAnsi="宋体" w:cs="宋体"/>
                <w:sz w:val="24"/>
                <w:szCs w:val="24"/>
              </w:rPr>
            </w:pPr>
          </w:p>
        </w:tc>
        <w:tc>
          <w:tcPr>
            <w:tcW w:w="3120" w:type="dxa"/>
            <w:tcBorders>
              <w:top w:val="single" w:color="auto" w:sz="4" w:space="0"/>
              <w:left w:val="single" w:color="auto" w:sz="4" w:space="0"/>
              <w:bottom w:val="single" w:color="auto" w:sz="4" w:space="0"/>
              <w:right w:val="single" w:color="auto" w:sz="4" w:space="0"/>
            </w:tcBorders>
            <w:vAlign w:val="center"/>
          </w:tcPr>
          <w:p>
            <w:pPr>
              <w:pStyle w:val="2"/>
              <w:spacing w:line="288" w:lineRule="auto"/>
              <w:rPr>
                <w:rFonts w:hAnsi="宋体" w:cs="宋体"/>
                <w:sz w:val="24"/>
                <w:szCs w:val="24"/>
              </w:rPr>
            </w:pPr>
            <w:r>
              <w:rPr>
                <w:rFonts w:hint="eastAsia" w:hAnsi="宋体" w:cs="宋体"/>
                <w:sz w:val="24"/>
                <w:szCs w:val="24"/>
              </w:rPr>
              <w:t>《浙江省城市供水现代化营业所(分公司)评价标准实施细则》</w:t>
            </w:r>
          </w:p>
        </w:tc>
        <w:tc>
          <w:tcPr>
            <w:tcW w:w="1619" w:type="dxa"/>
            <w:vMerge w:val="continue"/>
            <w:tcBorders>
              <w:left w:val="single" w:color="auto" w:sz="4" w:space="0"/>
              <w:bottom w:val="single" w:color="auto" w:sz="4" w:space="0"/>
              <w:right w:val="single" w:color="auto" w:sz="4" w:space="0"/>
            </w:tcBorders>
            <w:vAlign w:val="center"/>
          </w:tcPr>
          <w:p>
            <w:pPr>
              <w:pStyle w:val="2"/>
              <w:spacing w:line="288" w:lineRule="auto"/>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pStyle w:val="2"/>
              <w:spacing w:line="288" w:lineRule="auto"/>
              <w:rPr>
                <w:rFonts w:hAnsi="宋体" w:cs="宋体"/>
                <w:sz w:val="24"/>
                <w:szCs w:val="24"/>
              </w:rPr>
            </w:pPr>
            <w:r>
              <w:rPr>
                <w:rFonts w:hint="eastAsia" w:hAnsi="宋体" w:cs="宋体"/>
                <w:sz w:val="24"/>
                <w:szCs w:val="24"/>
              </w:rPr>
              <w:t>设备现场核对</w:t>
            </w:r>
          </w:p>
        </w:tc>
        <w:tc>
          <w:tcPr>
            <w:tcW w:w="3078" w:type="dxa"/>
            <w:tcBorders>
              <w:top w:val="single" w:color="auto" w:sz="4" w:space="0"/>
              <w:left w:val="single" w:color="auto" w:sz="4" w:space="0"/>
              <w:bottom w:val="single" w:color="auto" w:sz="4" w:space="0"/>
              <w:right w:val="single" w:color="auto" w:sz="4" w:space="0"/>
            </w:tcBorders>
            <w:vAlign w:val="center"/>
          </w:tcPr>
          <w:p>
            <w:pPr>
              <w:pStyle w:val="2"/>
              <w:spacing w:line="288" w:lineRule="auto"/>
              <w:rPr>
                <w:rFonts w:hAnsi="宋体" w:cs="宋体"/>
                <w:sz w:val="24"/>
                <w:szCs w:val="24"/>
              </w:rPr>
            </w:pPr>
            <w:r>
              <w:rPr>
                <w:rFonts w:hint="eastAsia" w:hAnsi="宋体" w:cs="宋体"/>
                <w:sz w:val="24"/>
                <w:szCs w:val="24"/>
              </w:rPr>
              <w:t>根据联系单对管线与设备进行现场核对，并对GIS数据进行修改与更新</w:t>
            </w:r>
          </w:p>
        </w:tc>
        <w:tc>
          <w:tcPr>
            <w:tcW w:w="3120" w:type="dxa"/>
            <w:tcBorders>
              <w:top w:val="single" w:color="auto" w:sz="4" w:space="0"/>
              <w:left w:val="single" w:color="auto" w:sz="4" w:space="0"/>
              <w:bottom w:val="single" w:color="auto" w:sz="4" w:space="0"/>
              <w:right w:val="single" w:color="auto" w:sz="4" w:space="0"/>
            </w:tcBorders>
            <w:vAlign w:val="center"/>
          </w:tcPr>
          <w:p>
            <w:pPr>
              <w:pStyle w:val="2"/>
              <w:spacing w:line="288" w:lineRule="auto"/>
              <w:rPr>
                <w:rFonts w:hAnsi="宋体" w:cs="宋体"/>
                <w:sz w:val="24"/>
                <w:szCs w:val="24"/>
              </w:rPr>
            </w:pPr>
            <w:r>
              <w:rPr>
                <w:rFonts w:hint="eastAsia" w:hAnsi="宋体" w:cs="宋体"/>
                <w:sz w:val="24"/>
                <w:szCs w:val="24"/>
              </w:rPr>
              <w:t>萧山供水管网GIS信息系统</w:t>
            </w:r>
          </w:p>
          <w:p>
            <w:pPr>
              <w:pStyle w:val="2"/>
              <w:spacing w:line="288" w:lineRule="auto"/>
              <w:rPr>
                <w:rFonts w:hAnsi="宋体" w:cs="宋体"/>
                <w:sz w:val="24"/>
                <w:szCs w:val="24"/>
              </w:rPr>
            </w:pPr>
            <w:r>
              <w:rPr>
                <w:rFonts w:hint="eastAsia" w:hAnsi="宋体" w:cs="宋体"/>
                <w:sz w:val="24"/>
                <w:szCs w:val="24"/>
              </w:rPr>
              <w:t>入库格式与要求</w:t>
            </w:r>
          </w:p>
        </w:tc>
        <w:tc>
          <w:tcPr>
            <w:tcW w:w="1619" w:type="dxa"/>
            <w:tcBorders>
              <w:top w:val="single" w:color="auto" w:sz="4" w:space="0"/>
              <w:left w:val="single" w:color="auto" w:sz="4" w:space="0"/>
              <w:bottom w:val="single" w:color="auto" w:sz="4" w:space="0"/>
              <w:right w:val="single" w:color="auto" w:sz="4" w:space="0"/>
            </w:tcBorders>
            <w:vAlign w:val="center"/>
          </w:tcPr>
          <w:p>
            <w:pPr>
              <w:pStyle w:val="2"/>
              <w:spacing w:line="288" w:lineRule="auto"/>
              <w:rPr>
                <w:rFonts w:hAnsi="宋体" w:cs="宋体"/>
                <w:sz w:val="24"/>
                <w:szCs w:val="24"/>
              </w:rPr>
            </w:pPr>
            <w:r>
              <w:rPr>
                <w:rFonts w:hint="eastAsia" w:hAnsi="宋体" w:cs="宋体"/>
                <w:sz w:val="24"/>
                <w:szCs w:val="24"/>
              </w:rPr>
              <w:t>精度：≤1m</w:t>
            </w:r>
          </w:p>
          <w:p>
            <w:pPr>
              <w:pStyle w:val="2"/>
              <w:spacing w:line="288" w:lineRule="auto"/>
              <w:rPr>
                <w:rFonts w:hAnsi="宋体" w:cs="宋体"/>
                <w:sz w:val="24"/>
                <w:szCs w:val="24"/>
              </w:rPr>
            </w:pPr>
            <w:r>
              <w:rPr>
                <w:rFonts w:hint="eastAsia" w:hAnsi="宋体" w:cs="宋体"/>
                <w:sz w:val="24"/>
                <w:szCs w:val="24"/>
              </w:rPr>
              <w:t>误差率：≤99%</w:t>
            </w:r>
          </w:p>
        </w:tc>
      </w:tr>
    </w:tbl>
    <w:p>
      <w:pPr>
        <w:spacing w:line="288" w:lineRule="auto"/>
        <w:jc w:val="left"/>
        <w:rPr>
          <w:rFonts w:ascii="宋体" w:hAnsi="宋体" w:cs="宋体"/>
          <w:sz w:val="24"/>
        </w:rPr>
      </w:pPr>
    </w:p>
    <w:p>
      <w:pPr>
        <w:pStyle w:val="2"/>
        <w:spacing w:line="288" w:lineRule="auto"/>
        <w:rPr>
          <w:rFonts w:hAnsi="宋体" w:cs="宋体"/>
          <w:sz w:val="24"/>
          <w:szCs w:val="24"/>
        </w:rPr>
      </w:pPr>
      <w:r>
        <w:rPr>
          <w:rFonts w:hint="eastAsia" w:hAnsi="宋体" w:cs="宋体"/>
          <w:b/>
          <w:bCs/>
          <w:sz w:val="24"/>
          <w:szCs w:val="24"/>
        </w:rPr>
        <w:t>第四条</w:t>
      </w:r>
      <w:r>
        <w:rPr>
          <w:rFonts w:hint="eastAsia" w:hAnsi="宋体" w:cs="宋体"/>
          <w:sz w:val="24"/>
          <w:szCs w:val="24"/>
        </w:rPr>
        <w:t xml:space="preserve"> 工程费用计算方式和支付方式</w:t>
      </w:r>
    </w:p>
    <w:p>
      <w:pPr>
        <w:pStyle w:val="2"/>
        <w:spacing w:line="288" w:lineRule="auto"/>
        <w:ind w:firstLine="240" w:firstLineChars="100"/>
        <w:rPr>
          <w:rFonts w:hAnsi="宋体" w:cs="宋体"/>
          <w:sz w:val="24"/>
          <w:szCs w:val="24"/>
        </w:rPr>
      </w:pPr>
      <w:r>
        <w:rPr>
          <w:rFonts w:hint="eastAsia" w:hAnsi="宋体" w:cs="宋体"/>
          <w:sz w:val="24"/>
          <w:szCs w:val="24"/>
        </w:rPr>
        <w:t>1.工程费用计算方式：</w:t>
      </w:r>
    </w:p>
    <w:p>
      <w:pPr>
        <w:pStyle w:val="2"/>
        <w:spacing w:line="288" w:lineRule="auto"/>
        <w:ind w:firstLine="240" w:firstLineChars="100"/>
        <w:rPr>
          <w:rFonts w:hAnsi="宋体" w:cs="宋体"/>
          <w:sz w:val="24"/>
          <w:szCs w:val="24"/>
        </w:rPr>
      </w:pPr>
      <w:r>
        <w:rPr>
          <w:rFonts w:hint="eastAsia" w:hAnsi="宋体" w:cs="宋体"/>
          <w:sz w:val="24"/>
          <w:szCs w:val="24"/>
        </w:rPr>
        <w:t>（1）探测管线长度小于等于500米时，按下表计算探测费用：</w:t>
      </w:r>
    </w:p>
    <w:tbl>
      <w:tblPr>
        <w:tblStyle w:val="66"/>
        <w:tblW w:w="91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7"/>
        <w:gridCol w:w="2410"/>
        <w:gridCol w:w="1914"/>
        <w:gridCol w:w="1062"/>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2297" w:type="dxa"/>
            <w:vAlign w:val="center"/>
          </w:tcPr>
          <w:p>
            <w:pPr>
              <w:pStyle w:val="490"/>
              <w:spacing w:line="288" w:lineRule="auto"/>
              <w:jc w:val="center"/>
              <w:rPr>
                <w:rFonts w:ascii="宋体" w:hAnsi="宋体" w:cs="宋体"/>
                <w:sz w:val="24"/>
                <w:szCs w:val="24"/>
              </w:rPr>
            </w:pPr>
            <w:r>
              <w:rPr>
                <w:rFonts w:hint="eastAsia" w:ascii="宋体" w:hAnsi="宋体" w:cs="宋体"/>
                <w:sz w:val="24"/>
                <w:szCs w:val="24"/>
              </w:rPr>
              <w:t>工作项目</w:t>
            </w:r>
          </w:p>
        </w:tc>
        <w:tc>
          <w:tcPr>
            <w:tcW w:w="4324" w:type="dxa"/>
            <w:gridSpan w:val="2"/>
            <w:vAlign w:val="center"/>
          </w:tcPr>
          <w:p>
            <w:pPr>
              <w:pStyle w:val="490"/>
              <w:spacing w:line="288" w:lineRule="auto"/>
              <w:jc w:val="center"/>
              <w:rPr>
                <w:rFonts w:ascii="宋体" w:hAnsi="宋体" w:cs="宋体"/>
                <w:sz w:val="24"/>
                <w:szCs w:val="24"/>
              </w:rPr>
            </w:pPr>
            <w:r>
              <w:rPr>
                <w:rFonts w:hint="eastAsia" w:ascii="宋体" w:hAnsi="宋体" w:cs="宋体"/>
                <w:sz w:val="24"/>
                <w:szCs w:val="24"/>
              </w:rPr>
              <w:t>工作内容</w:t>
            </w:r>
          </w:p>
        </w:tc>
        <w:tc>
          <w:tcPr>
            <w:tcW w:w="1062" w:type="dxa"/>
            <w:tcBorders>
              <w:right w:val="single" w:color="auto" w:sz="4" w:space="0"/>
            </w:tcBorders>
            <w:vAlign w:val="center"/>
          </w:tcPr>
          <w:p>
            <w:pPr>
              <w:pStyle w:val="490"/>
              <w:spacing w:line="288" w:lineRule="auto"/>
              <w:jc w:val="center"/>
              <w:rPr>
                <w:rFonts w:ascii="宋体" w:hAnsi="宋体" w:cs="宋体"/>
                <w:sz w:val="24"/>
                <w:szCs w:val="24"/>
              </w:rPr>
            </w:pPr>
            <w:r>
              <w:rPr>
                <w:rFonts w:hint="eastAsia" w:ascii="宋体" w:hAnsi="宋体" w:cs="宋体"/>
                <w:sz w:val="24"/>
                <w:szCs w:val="24"/>
              </w:rPr>
              <w:t>单价</w:t>
            </w:r>
          </w:p>
        </w:tc>
        <w:tc>
          <w:tcPr>
            <w:tcW w:w="1418" w:type="dxa"/>
            <w:tcBorders>
              <w:left w:val="single" w:color="auto" w:sz="4" w:space="0"/>
            </w:tcBorders>
            <w:vAlign w:val="center"/>
          </w:tcPr>
          <w:p>
            <w:pPr>
              <w:pStyle w:val="490"/>
              <w:spacing w:line="288"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5" w:hRule="atLeast"/>
          <w:jc w:val="center"/>
        </w:trPr>
        <w:tc>
          <w:tcPr>
            <w:tcW w:w="2297" w:type="dxa"/>
            <w:vAlign w:val="center"/>
          </w:tcPr>
          <w:p>
            <w:pPr>
              <w:pStyle w:val="490"/>
              <w:spacing w:line="288" w:lineRule="auto"/>
              <w:jc w:val="center"/>
              <w:rPr>
                <w:rFonts w:ascii="宋体" w:hAnsi="宋体" w:cs="宋体"/>
                <w:sz w:val="24"/>
                <w:szCs w:val="24"/>
              </w:rPr>
            </w:pPr>
            <w:r>
              <w:rPr>
                <w:rFonts w:hint="eastAsia" w:ascii="宋体" w:hAnsi="宋体" w:cs="宋体"/>
                <w:sz w:val="24"/>
                <w:szCs w:val="24"/>
              </w:rPr>
              <w:t>管线探测（探测管线长度大于500米）</w:t>
            </w:r>
          </w:p>
        </w:tc>
        <w:tc>
          <w:tcPr>
            <w:tcW w:w="4324" w:type="dxa"/>
            <w:gridSpan w:val="2"/>
            <w:vAlign w:val="center"/>
          </w:tcPr>
          <w:p>
            <w:pPr>
              <w:pStyle w:val="490"/>
              <w:spacing w:line="288" w:lineRule="auto"/>
              <w:jc w:val="center"/>
              <w:rPr>
                <w:rFonts w:ascii="宋体" w:hAnsi="宋体" w:cs="宋体"/>
                <w:sz w:val="24"/>
                <w:szCs w:val="24"/>
              </w:rPr>
            </w:pPr>
            <w:r>
              <w:rPr>
                <w:rFonts w:hint="eastAsia" w:ascii="宋体" w:hAnsi="宋体" w:cs="宋体"/>
                <w:sz w:val="24"/>
                <w:szCs w:val="24"/>
              </w:rPr>
              <w:t>管线探测，测量，水表调查、管线数据建库</w:t>
            </w:r>
          </w:p>
        </w:tc>
        <w:tc>
          <w:tcPr>
            <w:tcW w:w="1062" w:type="dxa"/>
            <w:tcBorders>
              <w:right w:val="single" w:color="auto" w:sz="4" w:space="0"/>
            </w:tcBorders>
            <w:vAlign w:val="center"/>
          </w:tcPr>
          <w:p>
            <w:pPr>
              <w:pStyle w:val="490"/>
              <w:spacing w:line="288" w:lineRule="auto"/>
              <w:jc w:val="center"/>
              <w:rPr>
                <w:rFonts w:ascii="宋体" w:hAnsi="宋体" w:cs="宋体"/>
                <w:sz w:val="24"/>
                <w:szCs w:val="24"/>
              </w:rPr>
            </w:pPr>
          </w:p>
        </w:tc>
        <w:tc>
          <w:tcPr>
            <w:tcW w:w="1418" w:type="dxa"/>
            <w:vMerge w:val="restart"/>
            <w:tcBorders>
              <w:left w:val="single" w:color="auto" w:sz="4" w:space="0"/>
            </w:tcBorders>
            <w:vAlign w:val="center"/>
          </w:tcPr>
          <w:p>
            <w:pPr>
              <w:pStyle w:val="490"/>
              <w:spacing w:line="288" w:lineRule="auto"/>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2297" w:type="dxa"/>
            <w:vMerge w:val="restart"/>
            <w:vAlign w:val="center"/>
          </w:tcPr>
          <w:p>
            <w:pPr>
              <w:pStyle w:val="490"/>
              <w:spacing w:line="288" w:lineRule="auto"/>
              <w:jc w:val="center"/>
              <w:rPr>
                <w:rFonts w:ascii="宋体" w:hAnsi="宋体" w:cs="宋体"/>
                <w:sz w:val="24"/>
                <w:szCs w:val="24"/>
              </w:rPr>
            </w:pPr>
            <w:r>
              <w:rPr>
                <w:rFonts w:hint="eastAsia" w:ascii="宋体" w:hAnsi="宋体" w:cs="宋体"/>
                <w:sz w:val="24"/>
                <w:szCs w:val="24"/>
              </w:rPr>
              <w:t>零星管线、管段探测</w:t>
            </w:r>
          </w:p>
        </w:tc>
        <w:tc>
          <w:tcPr>
            <w:tcW w:w="4324" w:type="dxa"/>
            <w:gridSpan w:val="2"/>
            <w:vAlign w:val="center"/>
          </w:tcPr>
          <w:p>
            <w:pPr>
              <w:pStyle w:val="490"/>
              <w:spacing w:line="288" w:lineRule="auto"/>
              <w:jc w:val="center"/>
              <w:rPr>
                <w:rFonts w:ascii="宋体" w:hAnsi="宋体" w:cs="宋体"/>
                <w:sz w:val="24"/>
                <w:szCs w:val="24"/>
              </w:rPr>
            </w:pPr>
            <w:r>
              <w:rPr>
                <w:rFonts w:hint="eastAsia" w:ascii="宋体" w:hAnsi="宋体" w:cs="宋体"/>
                <w:sz w:val="24"/>
                <w:szCs w:val="24"/>
              </w:rPr>
              <w:t>对供水管线及设备进行物探</w:t>
            </w:r>
          </w:p>
        </w:tc>
        <w:tc>
          <w:tcPr>
            <w:tcW w:w="1062" w:type="dxa"/>
            <w:tcBorders>
              <w:right w:val="single" w:color="auto" w:sz="4" w:space="0"/>
            </w:tcBorders>
            <w:vAlign w:val="center"/>
          </w:tcPr>
          <w:p>
            <w:pPr>
              <w:pStyle w:val="490"/>
              <w:spacing w:line="288" w:lineRule="auto"/>
              <w:jc w:val="center"/>
              <w:rPr>
                <w:rFonts w:ascii="宋体" w:hAnsi="宋体" w:cs="宋体"/>
                <w:sz w:val="24"/>
                <w:szCs w:val="24"/>
              </w:rPr>
            </w:pPr>
          </w:p>
        </w:tc>
        <w:tc>
          <w:tcPr>
            <w:tcW w:w="1418" w:type="dxa"/>
            <w:vMerge w:val="continue"/>
            <w:tcBorders>
              <w:left w:val="single" w:color="auto" w:sz="4" w:space="0"/>
            </w:tcBorders>
            <w:vAlign w:val="center"/>
          </w:tcPr>
          <w:p>
            <w:pPr>
              <w:pStyle w:val="490"/>
              <w:spacing w:line="288" w:lineRule="auto"/>
              <w:jc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2297" w:type="dxa"/>
            <w:vMerge w:val="continue"/>
            <w:vAlign w:val="center"/>
          </w:tcPr>
          <w:p>
            <w:pPr>
              <w:pStyle w:val="490"/>
              <w:spacing w:line="288" w:lineRule="auto"/>
              <w:jc w:val="center"/>
              <w:rPr>
                <w:rFonts w:ascii="宋体" w:hAnsi="宋体" w:cs="宋体"/>
                <w:sz w:val="24"/>
                <w:szCs w:val="24"/>
              </w:rPr>
            </w:pPr>
          </w:p>
        </w:tc>
        <w:tc>
          <w:tcPr>
            <w:tcW w:w="4324" w:type="dxa"/>
            <w:gridSpan w:val="2"/>
            <w:vAlign w:val="center"/>
          </w:tcPr>
          <w:p>
            <w:pPr>
              <w:pStyle w:val="490"/>
              <w:spacing w:line="288" w:lineRule="auto"/>
              <w:jc w:val="center"/>
              <w:rPr>
                <w:rFonts w:ascii="宋体" w:hAnsi="宋体" w:cs="宋体"/>
                <w:sz w:val="24"/>
                <w:szCs w:val="24"/>
              </w:rPr>
            </w:pPr>
            <w:r>
              <w:rPr>
                <w:rFonts w:hint="eastAsia" w:ascii="宋体" w:hAnsi="宋体" w:cs="宋体"/>
                <w:sz w:val="24"/>
                <w:szCs w:val="24"/>
              </w:rPr>
              <w:t>对供水管线及设备进行测量</w:t>
            </w:r>
          </w:p>
        </w:tc>
        <w:tc>
          <w:tcPr>
            <w:tcW w:w="1062" w:type="dxa"/>
            <w:tcBorders>
              <w:right w:val="single" w:color="auto" w:sz="4" w:space="0"/>
            </w:tcBorders>
            <w:vAlign w:val="center"/>
          </w:tcPr>
          <w:p>
            <w:pPr>
              <w:pStyle w:val="490"/>
              <w:spacing w:line="288" w:lineRule="auto"/>
              <w:jc w:val="center"/>
              <w:rPr>
                <w:rFonts w:ascii="宋体" w:hAnsi="宋体" w:cs="宋体"/>
                <w:sz w:val="24"/>
                <w:szCs w:val="24"/>
              </w:rPr>
            </w:pPr>
          </w:p>
        </w:tc>
        <w:tc>
          <w:tcPr>
            <w:tcW w:w="1418" w:type="dxa"/>
            <w:vMerge w:val="continue"/>
            <w:tcBorders>
              <w:left w:val="single" w:color="auto" w:sz="4" w:space="0"/>
            </w:tcBorders>
            <w:vAlign w:val="center"/>
          </w:tcPr>
          <w:p>
            <w:pPr>
              <w:pStyle w:val="490"/>
              <w:spacing w:line="288" w:lineRule="auto"/>
              <w:jc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jc w:val="center"/>
        </w:trPr>
        <w:tc>
          <w:tcPr>
            <w:tcW w:w="2297" w:type="dxa"/>
            <w:vMerge w:val="continue"/>
            <w:vAlign w:val="center"/>
          </w:tcPr>
          <w:p>
            <w:pPr>
              <w:pStyle w:val="490"/>
              <w:spacing w:line="288" w:lineRule="auto"/>
              <w:jc w:val="center"/>
              <w:rPr>
                <w:rFonts w:ascii="宋体" w:hAnsi="宋体" w:cs="宋体"/>
                <w:sz w:val="24"/>
                <w:szCs w:val="24"/>
              </w:rPr>
            </w:pPr>
          </w:p>
        </w:tc>
        <w:tc>
          <w:tcPr>
            <w:tcW w:w="4324" w:type="dxa"/>
            <w:gridSpan w:val="2"/>
            <w:vAlign w:val="center"/>
          </w:tcPr>
          <w:p>
            <w:pPr>
              <w:pStyle w:val="490"/>
              <w:spacing w:line="288" w:lineRule="auto"/>
              <w:jc w:val="center"/>
              <w:rPr>
                <w:rFonts w:ascii="宋体" w:hAnsi="宋体" w:cs="宋体"/>
                <w:sz w:val="24"/>
                <w:szCs w:val="24"/>
              </w:rPr>
            </w:pPr>
            <w:r>
              <w:rPr>
                <w:rFonts w:hint="eastAsia" w:ascii="宋体" w:hAnsi="宋体" w:cs="宋体"/>
                <w:sz w:val="24"/>
                <w:szCs w:val="24"/>
              </w:rPr>
              <w:t>对供水管线及设备进行物探与测量</w:t>
            </w:r>
          </w:p>
        </w:tc>
        <w:tc>
          <w:tcPr>
            <w:tcW w:w="1062" w:type="dxa"/>
            <w:tcBorders>
              <w:right w:val="single" w:color="auto" w:sz="4" w:space="0"/>
            </w:tcBorders>
            <w:vAlign w:val="center"/>
          </w:tcPr>
          <w:p>
            <w:pPr>
              <w:pStyle w:val="490"/>
              <w:spacing w:line="288" w:lineRule="auto"/>
              <w:jc w:val="center"/>
              <w:rPr>
                <w:rFonts w:ascii="宋体" w:hAnsi="宋体" w:cs="宋体"/>
                <w:sz w:val="24"/>
                <w:szCs w:val="24"/>
              </w:rPr>
            </w:pPr>
          </w:p>
        </w:tc>
        <w:tc>
          <w:tcPr>
            <w:tcW w:w="1418" w:type="dxa"/>
            <w:vMerge w:val="continue"/>
            <w:tcBorders>
              <w:left w:val="single" w:color="auto" w:sz="4" w:space="0"/>
            </w:tcBorders>
            <w:vAlign w:val="center"/>
          </w:tcPr>
          <w:p>
            <w:pPr>
              <w:pStyle w:val="490"/>
              <w:spacing w:line="288" w:lineRule="auto"/>
              <w:jc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2297" w:type="dxa"/>
            <w:vMerge w:val="continue"/>
            <w:vAlign w:val="center"/>
          </w:tcPr>
          <w:p>
            <w:pPr>
              <w:pStyle w:val="490"/>
              <w:spacing w:line="288" w:lineRule="auto"/>
              <w:jc w:val="center"/>
              <w:rPr>
                <w:rFonts w:ascii="宋体" w:hAnsi="宋体" w:cs="宋体"/>
                <w:sz w:val="24"/>
                <w:szCs w:val="24"/>
              </w:rPr>
            </w:pPr>
          </w:p>
        </w:tc>
        <w:tc>
          <w:tcPr>
            <w:tcW w:w="4324" w:type="dxa"/>
            <w:gridSpan w:val="2"/>
            <w:vAlign w:val="center"/>
          </w:tcPr>
          <w:p>
            <w:pPr>
              <w:pStyle w:val="490"/>
              <w:spacing w:line="288" w:lineRule="auto"/>
              <w:jc w:val="center"/>
              <w:rPr>
                <w:rFonts w:ascii="宋体" w:hAnsi="宋体" w:cs="宋体"/>
                <w:sz w:val="24"/>
                <w:szCs w:val="24"/>
              </w:rPr>
            </w:pPr>
            <w:r>
              <w:rPr>
                <w:rFonts w:hint="eastAsia" w:ascii="宋体" w:hAnsi="宋体" w:cs="宋体"/>
                <w:sz w:val="24"/>
                <w:szCs w:val="24"/>
              </w:rPr>
              <w:t>对特殊地段所有综合管线进行物探</w:t>
            </w:r>
          </w:p>
        </w:tc>
        <w:tc>
          <w:tcPr>
            <w:tcW w:w="1062" w:type="dxa"/>
            <w:tcBorders>
              <w:right w:val="single" w:color="auto" w:sz="4" w:space="0"/>
            </w:tcBorders>
            <w:vAlign w:val="center"/>
          </w:tcPr>
          <w:p>
            <w:pPr>
              <w:pStyle w:val="490"/>
              <w:spacing w:line="288" w:lineRule="auto"/>
              <w:jc w:val="center"/>
              <w:rPr>
                <w:rFonts w:ascii="宋体" w:hAnsi="宋体" w:cs="宋体"/>
                <w:sz w:val="24"/>
                <w:szCs w:val="24"/>
              </w:rPr>
            </w:pPr>
          </w:p>
        </w:tc>
        <w:tc>
          <w:tcPr>
            <w:tcW w:w="1418" w:type="dxa"/>
            <w:vMerge w:val="continue"/>
            <w:tcBorders>
              <w:left w:val="single" w:color="auto" w:sz="4" w:space="0"/>
            </w:tcBorders>
            <w:vAlign w:val="center"/>
          </w:tcPr>
          <w:p>
            <w:pPr>
              <w:pStyle w:val="490"/>
              <w:spacing w:line="288" w:lineRule="auto"/>
              <w:jc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2297" w:type="dxa"/>
            <w:vMerge w:val="continue"/>
            <w:vAlign w:val="center"/>
          </w:tcPr>
          <w:p>
            <w:pPr>
              <w:pStyle w:val="490"/>
              <w:spacing w:line="288" w:lineRule="auto"/>
              <w:jc w:val="center"/>
              <w:rPr>
                <w:rFonts w:ascii="宋体" w:hAnsi="宋体" w:cs="宋体"/>
                <w:sz w:val="24"/>
                <w:szCs w:val="24"/>
              </w:rPr>
            </w:pPr>
          </w:p>
        </w:tc>
        <w:tc>
          <w:tcPr>
            <w:tcW w:w="2410" w:type="dxa"/>
            <w:vMerge w:val="restart"/>
            <w:vAlign w:val="center"/>
          </w:tcPr>
          <w:p>
            <w:pPr>
              <w:pStyle w:val="490"/>
              <w:spacing w:line="288" w:lineRule="auto"/>
              <w:jc w:val="center"/>
              <w:rPr>
                <w:rFonts w:ascii="宋体" w:hAnsi="宋体" w:cs="宋体"/>
                <w:sz w:val="24"/>
                <w:szCs w:val="24"/>
              </w:rPr>
            </w:pPr>
            <w:r>
              <w:rPr>
                <w:rFonts w:hint="eastAsia" w:ascii="宋体" w:hAnsi="宋体" w:cs="宋体"/>
                <w:sz w:val="24"/>
                <w:szCs w:val="24"/>
              </w:rPr>
              <w:t>单项设备定位、信息核对与入库</w:t>
            </w:r>
          </w:p>
          <w:p>
            <w:pPr>
              <w:pStyle w:val="490"/>
              <w:spacing w:line="288" w:lineRule="auto"/>
              <w:jc w:val="center"/>
              <w:rPr>
                <w:rFonts w:ascii="宋体" w:hAnsi="宋体" w:cs="宋体"/>
                <w:sz w:val="24"/>
                <w:szCs w:val="24"/>
              </w:rPr>
            </w:pPr>
            <w:r>
              <w:rPr>
                <w:rFonts w:hint="eastAsia" w:ascii="宋体" w:hAnsi="宋体" w:cs="宋体"/>
                <w:sz w:val="24"/>
                <w:szCs w:val="24"/>
              </w:rPr>
              <w:t>（如水质点、压力点、流量点、智能消火栓等）</w:t>
            </w:r>
          </w:p>
        </w:tc>
        <w:tc>
          <w:tcPr>
            <w:tcW w:w="1914" w:type="dxa"/>
            <w:vAlign w:val="center"/>
          </w:tcPr>
          <w:p>
            <w:pPr>
              <w:spacing w:line="288" w:lineRule="auto"/>
              <w:rPr>
                <w:rFonts w:ascii="宋体" w:hAnsi="宋体" w:cs="宋体"/>
                <w:sz w:val="24"/>
              </w:rPr>
            </w:pPr>
            <w:r>
              <w:rPr>
                <w:rFonts w:hint="eastAsia" w:ascii="宋体" w:hAnsi="宋体" w:cs="宋体"/>
                <w:sz w:val="24"/>
              </w:rPr>
              <w:t>集中（≥10只/处）</w:t>
            </w:r>
          </w:p>
        </w:tc>
        <w:tc>
          <w:tcPr>
            <w:tcW w:w="1062" w:type="dxa"/>
            <w:tcBorders>
              <w:right w:val="single" w:color="auto" w:sz="4" w:space="0"/>
            </w:tcBorders>
            <w:vAlign w:val="center"/>
          </w:tcPr>
          <w:p>
            <w:pPr>
              <w:spacing w:line="288" w:lineRule="auto"/>
              <w:jc w:val="center"/>
              <w:rPr>
                <w:rFonts w:ascii="宋体" w:hAnsi="宋体" w:cs="宋体"/>
                <w:sz w:val="24"/>
              </w:rPr>
            </w:pPr>
          </w:p>
        </w:tc>
        <w:tc>
          <w:tcPr>
            <w:tcW w:w="1418" w:type="dxa"/>
            <w:vMerge w:val="continue"/>
            <w:tcBorders>
              <w:left w:val="single" w:color="auto" w:sz="4" w:space="0"/>
            </w:tcBorders>
            <w:vAlign w:val="center"/>
          </w:tcPr>
          <w:p>
            <w:pPr>
              <w:pStyle w:val="490"/>
              <w:spacing w:line="288" w:lineRule="auto"/>
              <w:jc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2297" w:type="dxa"/>
            <w:vMerge w:val="continue"/>
            <w:vAlign w:val="center"/>
          </w:tcPr>
          <w:p>
            <w:pPr>
              <w:pStyle w:val="490"/>
              <w:spacing w:line="288" w:lineRule="auto"/>
              <w:jc w:val="center"/>
              <w:rPr>
                <w:rFonts w:ascii="宋体" w:hAnsi="宋体" w:cs="宋体"/>
                <w:sz w:val="24"/>
                <w:szCs w:val="24"/>
              </w:rPr>
            </w:pPr>
          </w:p>
        </w:tc>
        <w:tc>
          <w:tcPr>
            <w:tcW w:w="2410" w:type="dxa"/>
            <w:vMerge w:val="continue"/>
            <w:vAlign w:val="center"/>
          </w:tcPr>
          <w:p>
            <w:pPr>
              <w:pStyle w:val="490"/>
              <w:spacing w:line="288" w:lineRule="auto"/>
              <w:jc w:val="center"/>
              <w:rPr>
                <w:rFonts w:ascii="宋体" w:hAnsi="宋体" w:cs="宋体"/>
                <w:sz w:val="24"/>
                <w:szCs w:val="24"/>
              </w:rPr>
            </w:pPr>
          </w:p>
        </w:tc>
        <w:tc>
          <w:tcPr>
            <w:tcW w:w="1914" w:type="dxa"/>
            <w:vAlign w:val="center"/>
          </w:tcPr>
          <w:p>
            <w:pPr>
              <w:spacing w:line="288" w:lineRule="auto"/>
              <w:rPr>
                <w:rFonts w:ascii="宋体" w:hAnsi="宋体" w:cs="宋体"/>
                <w:sz w:val="24"/>
              </w:rPr>
            </w:pPr>
            <w:r>
              <w:rPr>
                <w:rFonts w:hint="eastAsia" w:ascii="宋体" w:hAnsi="宋体" w:cs="宋体"/>
                <w:sz w:val="24"/>
              </w:rPr>
              <w:t>零星（＜10只/处）</w:t>
            </w:r>
          </w:p>
        </w:tc>
        <w:tc>
          <w:tcPr>
            <w:tcW w:w="1062" w:type="dxa"/>
            <w:tcBorders>
              <w:right w:val="single" w:color="auto" w:sz="4" w:space="0"/>
            </w:tcBorders>
            <w:vAlign w:val="center"/>
          </w:tcPr>
          <w:p>
            <w:pPr>
              <w:spacing w:line="288" w:lineRule="auto"/>
              <w:jc w:val="center"/>
              <w:rPr>
                <w:rFonts w:ascii="宋体" w:hAnsi="宋体" w:cs="宋体"/>
                <w:sz w:val="24"/>
              </w:rPr>
            </w:pPr>
          </w:p>
        </w:tc>
        <w:tc>
          <w:tcPr>
            <w:tcW w:w="1418" w:type="dxa"/>
            <w:vMerge w:val="continue"/>
            <w:tcBorders>
              <w:left w:val="single" w:color="auto" w:sz="4" w:space="0"/>
            </w:tcBorders>
            <w:vAlign w:val="center"/>
          </w:tcPr>
          <w:p>
            <w:pPr>
              <w:pStyle w:val="490"/>
              <w:spacing w:line="288" w:lineRule="auto"/>
              <w:jc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2297" w:type="dxa"/>
            <w:vAlign w:val="center"/>
          </w:tcPr>
          <w:p>
            <w:pPr>
              <w:pStyle w:val="490"/>
              <w:spacing w:line="288" w:lineRule="auto"/>
              <w:jc w:val="center"/>
              <w:rPr>
                <w:rFonts w:ascii="宋体" w:hAnsi="宋体" w:cs="宋体"/>
                <w:sz w:val="24"/>
                <w:szCs w:val="24"/>
              </w:rPr>
            </w:pPr>
            <w:r>
              <w:rPr>
                <w:rFonts w:hint="eastAsia" w:ascii="宋体" w:hAnsi="宋体" w:cs="宋体"/>
                <w:sz w:val="24"/>
                <w:szCs w:val="24"/>
              </w:rPr>
              <w:t>管网GIS系列软件维护服务</w:t>
            </w:r>
          </w:p>
        </w:tc>
        <w:tc>
          <w:tcPr>
            <w:tcW w:w="4324" w:type="dxa"/>
            <w:gridSpan w:val="2"/>
            <w:vAlign w:val="center"/>
          </w:tcPr>
          <w:p>
            <w:pPr>
              <w:pStyle w:val="490"/>
              <w:spacing w:line="288" w:lineRule="auto"/>
              <w:jc w:val="center"/>
              <w:rPr>
                <w:rFonts w:ascii="宋体" w:hAnsi="宋体" w:cs="宋体"/>
                <w:sz w:val="24"/>
                <w:szCs w:val="24"/>
              </w:rPr>
            </w:pPr>
            <w:r>
              <w:rPr>
                <w:rFonts w:hint="eastAsia" w:ascii="宋体" w:hAnsi="宋体" w:cs="宋体"/>
                <w:sz w:val="24"/>
                <w:szCs w:val="24"/>
              </w:rPr>
              <w:t>维护的软件系统包括供水管网GIS信息系统（桌面版、网页版、移动版）、供水管网巡检系统、巡检事件工单管理系统、分区计量系统。维护服务内容包括功能优化、接口维护、故障修复、使用培训等。</w:t>
            </w:r>
          </w:p>
        </w:tc>
        <w:tc>
          <w:tcPr>
            <w:tcW w:w="1062" w:type="dxa"/>
            <w:tcBorders>
              <w:right w:val="single" w:color="auto" w:sz="4" w:space="0"/>
            </w:tcBorders>
            <w:vAlign w:val="center"/>
          </w:tcPr>
          <w:p>
            <w:pPr>
              <w:pStyle w:val="490"/>
              <w:spacing w:line="288" w:lineRule="auto"/>
              <w:jc w:val="center"/>
              <w:rPr>
                <w:rFonts w:ascii="宋体" w:hAnsi="宋体" w:cs="宋体"/>
                <w:sz w:val="24"/>
                <w:szCs w:val="24"/>
              </w:rPr>
            </w:pPr>
          </w:p>
        </w:tc>
        <w:tc>
          <w:tcPr>
            <w:tcW w:w="1418" w:type="dxa"/>
            <w:vMerge w:val="continue"/>
            <w:tcBorders>
              <w:left w:val="single" w:color="auto" w:sz="4" w:space="0"/>
            </w:tcBorders>
            <w:vAlign w:val="center"/>
          </w:tcPr>
          <w:p>
            <w:pPr>
              <w:pStyle w:val="490"/>
              <w:spacing w:line="288" w:lineRule="auto"/>
              <w:rPr>
                <w:rFonts w:ascii="宋体" w:hAnsi="宋体" w:cs="宋体"/>
                <w:sz w:val="24"/>
                <w:szCs w:val="24"/>
              </w:rPr>
            </w:pPr>
          </w:p>
        </w:tc>
      </w:tr>
    </w:tbl>
    <w:p>
      <w:pPr>
        <w:pStyle w:val="2"/>
        <w:spacing w:line="288" w:lineRule="auto"/>
        <w:rPr>
          <w:rFonts w:hAnsi="宋体" w:cs="宋体"/>
          <w:sz w:val="24"/>
          <w:szCs w:val="24"/>
        </w:rPr>
      </w:pPr>
    </w:p>
    <w:p>
      <w:pPr>
        <w:pStyle w:val="2"/>
        <w:spacing w:line="288" w:lineRule="auto"/>
        <w:ind w:firstLine="240" w:firstLineChars="100"/>
        <w:rPr>
          <w:rFonts w:hAnsi="宋体" w:cs="宋体"/>
          <w:sz w:val="24"/>
          <w:szCs w:val="24"/>
        </w:rPr>
      </w:pPr>
      <w:r>
        <w:rPr>
          <w:rFonts w:hint="eastAsia" w:hAnsi="宋体" w:cs="宋体"/>
          <w:sz w:val="24"/>
          <w:szCs w:val="24"/>
        </w:rPr>
        <w:t>（2）探测管线长度大于500米时，按实际探测的公里数计算服务费用，单价：</w:t>
      </w:r>
      <w:r>
        <w:rPr>
          <w:rFonts w:hint="eastAsia" w:hAnsi="宋体" w:cs="宋体"/>
          <w:sz w:val="24"/>
          <w:szCs w:val="24"/>
          <w:u w:val="single"/>
        </w:rPr>
        <w:t xml:space="preserve">    </w:t>
      </w:r>
      <w:r>
        <w:rPr>
          <w:rFonts w:hint="eastAsia" w:hAnsi="宋体" w:cs="宋体"/>
          <w:sz w:val="24"/>
          <w:szCs w:val="24"/>
        </w:rPr>
        <w:t>元每公里（小写：</w:t>
      </w:r>
      <w:r>
        <w:rPr>
          <w:rFonts w:hint="eastAsia" w:hAnsi="宋体" w:cs="宋体"/>
          <w:sz w:val="24"/>
          <w:szCs w:val="24"/>
          <w:u w:val="single"/>
        </w:rPr>
        <w:t xml:space="preserve">￥      </w:t>
      </w:r>
      <w:r>
        <w:rPr>
          <w:rFonts w:hint="eastAsia" w:hAnsi="宋体" w:cs="宋体"/>
          <w:sz w:val="24"/>
          <w:szCs w:val="24"/>
        </w:rPr>
        <w:t>元/公里）</w:t>
      </w:r>
    </w:p>
    <w:p>
      <w:pPr>
        <w:pStyle w:val="2"/>
        <w:spacing w:line="288" w:lineRule="auto"/>
        <w:rPr>
          <w:rFonts w:hAnsi="宋体" w:cs="宋体"/>
          <w:sz w:val="24"/>
          <w:szCs w:val="24"/>
        </w:rPr>
      </w:pPr>
      <w:r>
        <w:rPr>
          <w:rFonts w:hint="eastAsia" w:hAnsi="宋体" w:cs="宋体"/>
          <w:sz w:val="24"/>
          <w:szCs w:val="24"/>
        </w:rPr>
        <w:t>说明：包含管线探测，测量，水表调查、管线数据建库入库等费用。</w:t>
      </w:r>
    </w:p>
    <w:p>
      <w:pPr>
        <w:pStyle w:val="2"/>
        <w:spacing w:line="288" w:lineRule="auto"/>
        <w:ind w:firstLine="240" w:firstLineChars="100"/>
        <w:rPr>
          <w:rFonts w:hAnsi="宋体" w:cs="宋体"/>
          <w:sz w:val="24"/>
          <w:szCs w:val="24"/>
        </w:rPr>
      </w:pPr>
      <w:r>
        <w:rPr>
          <w:rFonts w:hint="eastAsia" w:hAnsi="宋体" w:cs="宋体"/>
          <w:sz w:val="24"/>
          <w:szCs w:val="24"/>
        </w:rPr>
        <w:t>（3）地图制作费用根据制图范围、制图要求由双方另行商定。</w:t>
      </w:r>
    </w:p>
    <w:p>
      <w:pPr>
        <w:pStyle w:val="2"/>
        <w:spacing w:line="288" w:lineRule="auto"/>
        <w:ind w:firstLine="240" w:firstLineChars="100"/>
        <w:rPr>
          <w:rFonts w:hAnsi="宋体" w:cs="宋体"/>
          <w:sz w:val="24"/>
          <w:szCs w:val="24"/>
        </w:rPr>
      </w:pPr>
      <w:r>
        <w:rPr>
          <w:rFonts w:hint="eastAsia" w:hAnsi="宋体" w:cs="宋体"/>
          <w:sz w:val="24"/>
          <w:szCs w:val="24"/>
        </w:rPr>
        <w:t>（4）供水管网GIS系列软件年度维护服务：¥</w:t>
      </w:r>
      <w:r>
        <w:rPr>
          <w:rFonts w:hint="eastAsia" w:hAnsi="宋体" w:cs="宋体"/>
          <w:sz w:val="24"/>
          <w:szCs w:val="24"/>
          <w:u w:val="single"/>
        </w:rPr>
        <w:t xml:space="preserve">       </w:t>
      </w:r>
      <w:r>
        <w:rPr>
          <w:rFonts w:hint="eastAsia" w:hAnsi="宋体" w:cs="宋体"/>
          <w:sz w:val="24"/>
          <w:szCs w:val="24"/>
        </w:rPr>
        <w:t>元/年；</w:t>
      </w:r>
    </w:p>
    <w:p>
      <w:pPr>
        <w:pStyle w:val="2"/>
        <w:spacing w:line="288" w:lineRule="auto"/>
        <w:rPr>
          <w:rFonts w:hAnsi="宋体" w:cs="宋体"/>
          <w:sz w:val="24"/>
          <w:szCs w:val="24"/>
        </w:rPr>
      </w:pPr>
      <w:r>
        <w:rPr>
          <w:rFonts w:hint="eastAsia" w:hAnsi="宋体" w:cs="宋体"/>
          <w:sz w:val="24"/>
          <w:szCs w:val="24"/>
        </w:rPr>
        <w:t>2.服务费用支付方式：</w:t>
      </w:r>
    </w:p>
    <w:p>
      <w:pPr>
        <w:pStyle w:val="2"/>
        <w:spacing w:line="288" w:lineRule="auto"/>
        <w:ind w:firstLine="240" w:firstLineChars="100"/>
        <w:rPr>
          <w:rFonts w:hAnsi="宋体" w:cs="宋体"/>
          <w:sz w:val="24"/>
          <w:szCs w:val="24"/>
        </w:rPr>
      </w:pPr>
      <w:r>
        <w:rPr>
          <w:rFonts w:hint="eastAsia" w:hAnsi="宋体" w:cs="宋体"/>
          <w:sz w:val="24"/>
          <w:szCs w:val="24"/>
        </w:rPr>
        <w:t>（1）软件年度维护服务费：甲方于合同签订后30个工作日内一次性付清当年度维护服务费；</w:t>
      </w:r>
    </w:p>
    <w:p>
      <w:pPr>
        <w:pStyle w:val="2"/>
        <w:spacing w:line="288" w:lineRule="auto"/>
        <w:ind w:firstLine="240" w:firstLineChars="100"/>
        <w:rPr>
          <w:rFonts w:hAnsi="宋体" w:cs="宋体"/>
          <w:sz w:val="24"/>
          <w:szCs w:val="24"/>
        </w:rPr>
      </w:pPr>
      <w:r>
        <w:rPr>
          <w:rFonts w:hint="eastAsia" w:hAnsi="宋体" w:cs="宋体"/>
          <w:sz w:val="24"/>
          <w:szCs w:val="24"/>
        </w:rPr>
        <w:t>（2）管线探测费用按照季度结算方式，乙方根据甲方指定的范围完成探测工作后向甲方提交探测成果和验收单，甲方对乙方探测成果进行验收抽查后根据验收单工程量进行支付。</w:t>
      </w:r>
    </w:p>
    <w:p>
      <w:pPr>
        <w:pStyle w:val="2"/>
        <w:spacing w:line="288" w:lineRule="auto"/>
        <w:rPr>
          <w:rFonts w:hAnsi="宋体" w:cs="宋体"/>
          <w:sz w:val="24"/>
          <w:szCs w:val="24"/>
        </w:rPr>
      </w:pPr>
      <w:r>
        <w:rPr>
          <w:rFonts w:hint="eastAsia" w:hAnsi="宋体" w:cs="宋体"/>
          <w:b/>
          <w:bCs/>
          <w:sz w:val="24"/>
          <w:szCs w:val="24"/>
        </w:rPr>
        <w:t xml:space="preserve">第五条 </w:t>
      </w:r>
      <w:r>
        <w:rPr>
          <w:rFonts w:hint="eastAsia" w:hAnsi="宋体" w:cs="宋体"/>
          <w:sz w:val="24"/>
          <w:szCs w:val="24"/>
        </w:rPr>
        <w:t xml:space="preserve">工期安排及成果提交： </w:t>
      </w:r>
    </w:p>
    <w:p>
      <w:pPr>
        <w:pStyle w:val="2"/>
        <w:spacing w:line="288" w:lineRule="auto"/>
        <w:ind w:firstLine="240" w:firstLineChars="100"/>
        <w:rPr>
          <w:rFonts w:hAnsi="宋体" w:cs="宋体"/>
          <w:sz w:val="24"/>
          <w:szCs w:val="24"/>
        </w:rPr>
      </w:pPr>
      <w:r>
        <w:rPr>
          <w:rFonts w:hint="eastAsia" w:hAnsi="宋体" w:cs="宋体"/>
          <w:sz w:val="24"/>
          <w:szCs w:val="24"/>
        </w:rPr>
        <w:t>1. 本合同为年度服务合同，有效期截止   年    月    日，合同一年一签；如双方无异议，可续签一年。</w:t>
      </w:r>
    </w:p>
    <w:p>
      <w:pPr>
        <w:spacing w:line="288" w:lineRule="auto"/>
        <w:ind w:firstLine="240" w:firstLineChars="100"/>
        <w:jc w:val="left"/>
        <w:rPr>
          <w:rFonts w:ascii="宋体" w:hAnsi="宋体" w:cs="宋体"/>
          <w:sz w:val="24"/>
        </w:rPr>
      </w:pPr>
      <w:r>
        <w:rPr>
          <w:rFonts w:hint="eastAsia" w:ascii="宋体" w:hAnsi="宋体" w:cs="宋体"/>
          <w:sz w:val="24"/>
        </w:rPr>
        <w:t>2. 乙方自接到甲方工作联系单后3个工作日内安排人员进行现场核对与探测；</w:t>
      </w:r>
    </w:p>
    <w:p>
      <w:pPr>
        <w:spacing w:line="288" w:lineRule="auto"/>
        <w:ind w:firstLine="240" w:firstLineChars="100"/>
        <w:jc w:val="left"/>
        <w:rPr>
          <w:rFonts w:ascii="宋体" w:hAnsi="宋体" w:cs="宋体"/>
          <w:sz w:val="24"/>
        </w:rPr>
      </w:pPr>
      <w:r>
        <w:rPr>
          <w:rFonts w:hint="eastAsia" w:ascii="宋体" w:hAnsi="宋体" w:cs="宋体"/>
          <w:sz w:val="24"/>
        </w:rPr>
        <w:t>3. 乙方完成现场核对与探测工作后3个工作日内提交甲方数据成果；</w:t>
      </w:r>
    </w:p>
    <w:p>
      <w:pPr>
        <w:spacing w:line="288" w:lineRule="auto"/>
        <w:ind w:firstLine="240" w:firstLineChars="100"/>
        <w:jc w:val="left"/>
        <w:rPr>
          <w:rFonts w:ascii="宋体" w:hAnsi="宋体" w:cs="宋体"/>
          <w:sz w:val="24"/>
        </w:rPr>
      </w:pPr>
      <w:r>
        <w:rPr>
          <w:rFonts w:hint="eastAsia" w:ascii="宋体" w:hAnsi="宋体" w:cs="宋体"/>
          <w:sz w:val="24"/>
        </w:rPr>
        <w:t>4. 每周定时进行管网GIS系统数据更新，每15天提交一次已更新的工程量清单，由甲方进行数据成果确认。</w:t>
      </w:r>
    </w:p>
    <w:p>
      <w:pPr>
        <w:spacing w:line="288" w:lineRule="auto"/>
        <w:ind w:firstLine="240" w:firstLineChars="100"/>
        <w:jc w:val="left"/>
        <w:rPr>
          <w:rFonts w:ascii="宋体" w:hAnsi="宋体" w:cs="宋体"/>
          <w:sz w:val="24"/>
        </w:rPr>
      </w:pPr>
      <w:r>
        <w:rPr>
          <w:rFonts w:hint="eastAsia" w:ascii="宋体" w:hAnsi="宋体" w:cs="宋体"/>
          <w:sz w:val="24"/>
        </w:rPr>
        <w:t>5. 成果提交：</w:t>
      </w:r>
    </w:p>
    <w:p>
      <w:pPr>
        <w:spacing w:line="288" w:lineRule="auto"/>
        <w:ind w:firstLine="240" w:firstLineChars="100"/>
        <w:jc w:val="left"/>
        <w:rPr>
          <w:rFonts w:ascii="宋体" w:hAnsi="宋体" w:cs="宋体"/>
          <w:sz w:val="24"/>
        </w:rPr>
      </w:pPr>
      <w:r>
        <w:rPr>
          <w:rFonts w:hint="eastAsia" w:ascii="宋体" w:hAnsi="宋体" w:cs="宋体"/>
          <w:sz w:val="24"/>
        </w:rPr>
        <w:t>5.1现场核对与探测成果表、图                        电子版、纸质各一份</w:t>
      </w:r>
    </w:p>
    <w:p>
      <w:pPr>
        <w:spacing w:line="288" w:lineRule="auto"/>
        <w:ind w:firstLine="240" w:firstLineChars="100"/>
        <w:jc w:val="left"/>
        <w:rPr>
          <w:rFonts w:ascii="宋体" w:hAnsi="宋体" w:cs="宋体"/>
          <w:sz w:val="24"/>
        </w:rPr>
      </w:pPr>
      <w:r>
        <w:rPr>
          <w:rFonts w:hint="eastAsia" w:ascii="宋体" w:hAnsi="宋体" w:cs="宋体"/>
          <w:sz w:val="24"/>
        </w:rPr>
        <w:t>5.2月度工程量清单                                  电子版、纸质各一份</w:t>
      </w:r>
    </w:p>
    <w:p>
      <w:pPr>
        <w:spacing w:line="288" w:lineRule="auto"/>
        <w:ind w:firstLine="240" w:firstLineChars="100"/>
        <w:jc w:val="left"/>
        <w:rPr>
          <w:rFonts w:ascii="宋体" w:hAnsi="宋体" w:cs="宋体"/>
          <w:sz w:val="24"/>
        </w:rPr>
      </w:pPr>
      <w:r>
        <w:rPr>
          <w:rFonts w:hint="eastAsia" w:ascii="宋体" w:hAnsi="宋体" w:cs="宋体"/>
          <w:sz w:val="24"/>
        </w:rPr>
        <w:t>5.3每次更新后的管网GIS数据库文件                  电子版一份</w:t>
      </w:r>
    </w:p>
    <w:p>
      <w:pPr>
        <w:spacing w:line="288" w:lineRule="auto"/>
        <w:ind w:firstLine="240" w:firstLineChars="100"/>
        <w:jc w:val="left"/>
        <w:rPr>
          <w:rFonts w:ascii="宋体" w:hAnsi="宋体" w:cs="宋体"/>
          <w:sz w:val="24"/>
        </w:rPr>
      </w:pPr>
      <w:r>
        <w:rPr>
          <w:rFonts w:hint="eastAsia" w:ascii="宋体" w:hAnsi="宋体" w:cs="宋体"/>
          <w:sz w:val="24"/>
        </w:rPr>
        <w:t>5.4年度服务维护报告                                电子版、纸质各一份</w:t>
      </w:r>
    </w:p>
    <w:p>
      <w:pPr>
        <w:pStyle w:val="768"/>
        <w:spacing w:line="288" w:lineRule="auto"/>
        <w:ind w:firstLine="0" w:firstLineChars="0"/>
        <w:rPr>
          <w:rFonts w:ascii="宋体" w:hAnsi="宋体" w:eastAsia="宋体" w:cs="宋体"/>
          <w:sz w:val="24"/>
        </w:rPr>
      </w:pPr>
      <w:r>
        <w:rPr>
          <w:rFonts w:hint="eastAsia" w:ascii="宋体" w:hAnsi="宋体" w:eastAsia="宋体" w:cs="宋体"/>
          <w:b/>
          <w:bCs/>
          <w:sz w:val="24"/>
        </w:rPr>
        <w:t>第六条</w:t>
      </w:r>
      <w:r>
        <w:rPr>
          <w:rFonts w:hint="eastAsia" w:ascii="宋体" w:hAnsi="宋体" w:eastAsia="宋体" w:cs="宋体"/>
          <w:sz w:val="24"/>
        </w:rPr>
        <w:t xml:space="preserve"> 成果验收</w:t>
      </w:r>
    </w:p>
    <w:p>
      <w:pPr>
        <w:pStyle w:val="768"/>
        <w:spacing w:line="288" w:lineRule="auto"/>
        <w:ind w:firstLine="240" w:firstLineChars="100"/>
        <w:rPr>
          <w:rFonts w:ascii="宋体" w:hAnsi="宋体" w:eastAsia="宋体" w:cs="宋体"/>
          <w:sz w:val="24"/>
        </w:rPr>
      </w:pPr>
      <w:r>
        <w:rPr>
          <w:rFonts w:hint="eastAsia" w:ascii="宋体" w:hAnsi="宋体" w:eastAsia="宋体" w:cs="宋体"/>
          <w:sz w:val="24"/>
        </w:rPr>
        <w:t>1.甲方按季度根据工作联系单，对乙方提交的成果图和工程量清单进行验收、抽查。</w:t>
      </w:r>
    </w:p>
    <w:p>
      <w:pPr>
        <w:pStyle w:val="768"/>
        <w:spacing w:line="288" w:lineRule="auto"/>
        <w:ind w:firstLine="240" w:firstLineChars="100"/>
        <w:rPr>
          <w:rFonts w:ascii="宋体" w:hAnsi="宋体" w:eastAsia="宋体" w:cs="宋体"/>
          <w:sz w:val="24"/>
        </w:rPr>
      </w:pPr>
      <w:r>
        <w:rPr>
          <w:rFonts w:hint="eastAsia" w:ascii="宋体" w:hAnsi="宋体" w:eastAsia="宋体" w:cs="宋体"/>
          <w:sz w:val="24"/>
        </w:rPr>
        <w:t>2.验收方式：</w:t>
      </w:r>
    </w:p>
    <w:p>
      <w:pPr>
        <w:pStyle w:val="768"/>
        <w:spacing w:line="288" w:lineRule="auto"/>
        <w:ind w:firstLine="0" w:firstLineChars="0"/>
        <w:rPr>
          <w:rFonts w:ascii="宋体" w:hAnsi="宋体" w:eastAsia="宋体" w:cs="宋体"/>
          <w:sz w:val="24"/>
        </w:rPr>
      </w:pPr>
      <w:r>
        <w:rPr>
          <w:rFonts w:hint="eastAsia" w:ascii="宋体" w:hAnsi="宋体" w:eastAsia="宋体" w:cs="宋体"/>
          <w:sz w:val="24"/>
        </w:rPr>
        <w:t>（1）外业验收：在外业管线探测完成后，甲方不定时组织人员对数据成果采取现场随机抽样核对、图纸会审等方法对数据成果的精度和正确性进行验收。验收标准依据《浙江省城市供水现代化营业所(分公司)评价标准实施细则》；如验收不合格，乙方无条件返工，直至验收合格为止。验收过程做详细记录，并由甲方出具验收报告。</w:t>
      </w:r>
    </w:p>
    <w:p>
      <w:pPr>
        <w:pStyle w:val="768"/>
        <w:spacing w:line="288" w:lineRule="auto"/>
        <w:ind w:firstLine="0" w:firstLineChars="0"/>
        <w:rPr>
          <w:rFonts w:ascii="宋体" w:hAnsi="宋体" w:eastAsia="宋体" w:cs="宋体"/>
          <w:sz w:val="24"/>
        </w:rPr>
      </w:pPr>
      <w:r>
        <w:rPr>
          <w:rFonts w:hint="eastAsia" w:ascii="宋体" w:hAnsi="宋体" w:eastAsia="宋体" w:cs="宋体"/>
          <w:sz w:val="24"/>
        </w:rPr>
        <w:t>（2）内业验收：乙方提交的内业数据资料，经甲方确认数据格式符合要求和进入甲方供水管网信息系统之后无误差，方可确定验收合格，并由甲方出具验收报告。</w:t>
      </w:r>
    </w:p>
    <w:p>
      <w:pPr>
        <w:pStyle w:val="768"/>
        <w:spacing w:line="288" w:lineRule="auto"/>
        <w:ind w:firstLine="0" w:firstLineChars="0"/>
        <w:rPr>
          <w:rFonts w:ascii="宋体" w:hAnsi="宋体" w:eastAsia="宋体" w:cs="宋体"/>
          <w:sz w:val="24"/>
        </w:rPr>
      </w:pPr>
      <w:r>
        <w:rPr>
          <w:rFonts w:hint="eastAsia" w:ascii="宋体" w:hAnsi="宋体" w:eastAsia="宋体" w:cs="宋体"/>
          <w:sz w:val="24"/>
        </w:rPr>
        <w:t>（3）只有甲方确认外业验收和内业验收全部合格之后，本工程视为验收合格。</w:t>
      </w:r>
    </w:p>
    <w:p>
      <w:pPr>
        <w:pStyle w:val="768"/>
        <w:spacing w:line="288" w:lineRule="auto"/>
        <w:ind w:firstLine="0" w:firstLineChars="0"/>
        <w:rPr>
          <w:rFonts w:ascii="宋体" w:hAnsi="宋体" w:eastAsia="宋体" w:cs="宋体"/>
          <w:sz w:val="24"/>
        </w:rPr>
      </w:pPr>
      <w:r>
        <w:rPr>
          <w:rFonts w:hint="eastAsia" w:ascii="宋体" w:hAnsi="宋体" w:eastAsia="宋体" w:cs="宋体"/>
          <w:b/>
          <w:bCs/>
          <w:sz w:val="24"/>
        </w:rPr>
        <w:t>第七条 甲方的责任与义务</w:t>
      </w:r>
    </w:p>
    <w:p>
      <w:pPr>
        <w:pStyle w:val="2"/>
        <w:spacing w:line="288" w:lineRule="auto"/>
        <w:ind w:firstLine="480" w:firstLineChars="200"/>
        <w:rPr>
          <w:rFonts w:hAnsi="宋体" w:cs="宋体"/>
          <w:sz w:val="24"/>
          <w:szCs w:val="24"/>
        </w:rPr>
      </w:pPr>
      <w:r>
        <w:rPr>
          <w:rFonts w:hint="eastAsia" w:hAnsi="宋体" w:cs="宋体"/>
          <w:sz w:val="24"/>
          <w:szCs w:val="24"/>
        </w:rPr>
        <w:t>1. 向乙方提供符合乙方要求的规范的工作联系单，说明工作要求，并对乙方更新成果及时进行验收。</w:t>
      </w:r>
    </w:p>
    <w:p>
      <w:pPr>
        <w:pStyle w:val="2"/>
        <w:spacing w:line="288" w:lineRule="auto"/>
        <w:ind w:firstLine="480" w:firstLineChars="200"/>
        <w:rPr>
          <w:rFonts w:hAnsi="宋体" w:cs="宋体"/>
          <w:sz w:val="24"/>
          <w:szCs w:val="24"/>
        </w:rPr>
      </w:pPr>
      <w:r>
        <w:rPr>
          <w:rFonts w:hint="eastAsia" w:hAnsi="宋体" w:cs="宋体"/>
          <w:sz w:val="24"/>
          <w:szCs w:val="24"/>
        </w:rPr>
        <w:t>2.及时向乙方提交有关测区的设计图纸及水表等资料。</w:t>
      </w:r>
    </w:p>
    <w:p>
      <w:pPr>
        <w:pStyle w:val="2"/>
        <w:spacing w:line="288" w:lineRule="auto"/>
        <w:ind w:firstLine="480" w:firstLineChars="200"/>
        <w:rPr>
          <w:rFonts w:hAnsi="宋体" w:cs="宋体"/>
          <w:sz w:val="24"/>
          <w:szCs w:val="24"/>
        </w:rPr>
      </w:pPr>
      <w:r>
        <w:rPr>
          <w:rFonts w:hint="eastAsia" w:hAnsi="宋体" w:cs="宋体"/>
          <w:sz w:val="24"/>
          <w:szCs w:val="24"/>
        </w:rPr>
        <w:t>3.指定相关人员作为任务联系人，配合乙方进行工作协调与现场确认。</w:t>
      </w:r>
    </w:p>
    <w:p>
      <w:pPr>
        <w:pStyle w:val="2"/>
        <w:spacing w:line="288" w:lineRule="auto"/>
        <w:ind w:firstLine="480" w:firstLineChars="200"/>
        <w:rPr>
          <w:rFonts w:hAnsi="宋体" w:cs="宋体"/>
          <w:sz w:val="24"/>
          <w:szCs w:val="24"/>
        </w:rPr>
      </w:pPr>
      <w:r>
        <w:rPr>
          <w:rFonts w:hint="eastAsia" w:hAnsi="宋体" w:cs="宋体"/>
          <w:sz w:val="24"/>
          <w:szCs w:val="24"/>
        </w:rPr>
        <w:t>4. 按合同约定支付工程费用。</w:t>
      </w:r>
    </w:p>
    <w:p>
      <w:pPr>
        <w:pStyle w:val="768"/>
        <w:spacing w:line="288" w:lineRule="auto"/>
        <w:ind w:firstLine="0" w:firstLineChars="0"/>
        <w:rPr>
          <w:rFonts w:ascii="宋体" w:hAnsi="宋体" w:eastAsia="宋体" w:cs="宋体"/>
          <w:b/>
          <w:bCs/>
          <w:sz w:val="24"/>
        </w:rPr>
      </w:pPr>
      <w:r>
        <w:rPr>
          <w:rFonts w:hint="eastAsia" w:ascii="宋体" w:hAnsi="宋体" w:eastAsia="宋体" w:cs="宋体"/>
          <w:b/>
          <w:bCs/>
          <w:sz w:val="24"/>
        </w:rPr>
        <w:t>第八条 乙方的责任与义务</w:t>
      </w:r>
    </w:p>
    <w:p>
      <w:pPr>
        <w:pStyle w:val="768"/>
        <w:spacing w:line="288" w:lineRule="auto"/>
        <w:ind w:firstLine="480"/>
        <w:rPr>
          <w:rFonts w:ascii="宋体" w:hAnsi="宋体" w:eastAsia="宋体" w:cs="宋体"/>
          <w:sz w:val="24"/>
        </w:rPr>
      </w:pPr>
      <w:r>
        <w:rPr>
          <w:rFonts w:hint="eastAsia" w:ascii="宋体" w:hAnsi="宋体" w:eastAsia="宋体" w:cs="宋体"/>
          <w:sz w:val="24"/>
        </w:rPr>
        <w:t>1.在接到甲方工作联系单后3个工作日内组织人员进行现场核对或探测。</w:t>
      </w:r>
    </w:p>
    <w:p>
      <w:pPr>
        <w:pStyle w:val="2"/>
        <w:spacing w:line="288" w:lineRule="auto"/>
        <w:ind w:firstLine="480" w:firstLineChars="200"/>
        <w:rPr>
          <w:rFonts w:hAnsi="宋体" w:cs="宋体"/>
          <w:sz w:val="24"/>
          <w:szCs w:val="24"/>
        </w:rPr>
      </w:pPr>
      <w:r>
        <w:rPr>
          <w:rFonts w:hint="eastAsia" w:hAnsi="宋体" w:cs="宋体"/>
          <w:sz w:val="24"/>
          <w:szCs w:val="24"/>
        </w:rPr>
        <w:t>2.乙方完成现场核对与探测工作后3个工作日内提交甲方数据成果；</w:t>
      </w:r>
    </w:p>
    <w:p>
      <w:pPr>
        <w:pStyle w:val="2"/>
        <w:spacing w:line="288" w:lineRule="auto"/>
        <w:ind w:firstLine="480" w:firstLineChars="200"/>
        <w:rPr>
          <w:rFonts w:hAnsi="宋体" w:cs="宋体"/>
          <w:sz w:val="24"/>
          <w:szCs w:val="24"/>
        </w:rPr>
      </w:pPr>
      <w:r>
        <w:rPr>
          <w:rFonts w:hint="eastAsia" w:hAnsi="宋体" w:cs="宋体"/>
          <w:sz w:val="24"/>
          <w:szCs w:val="24"/>
        </w:rPr>
        <w:t>3.乙方在接到甲方工作联系单到提交甲方数据成果的时间不得超过一个月（遇不可抗力因素除外，并需要出具书面说明），每月5日进行考核，考核前，乙方提交上月已完成测绘工程清单和相关的书面说明，时间遇节假日顺延。</w:t>
      </w:r>
    </w:p>
    <w:p>
      <w:pPr>
        <w:pStyle w:val="2"/>
        <w:tabs>
          <w:tab w:val="left" w:pos="735"/>
        </w:tabs>
        <w:spacing w:line="288" w:lineRule="auto"/>
        <w:ind w:firstLine="480" w:firstLineChars="200"/>
        <w:rPr>
          <w:rFonts w:hAnsi="宋体" w:cs="宋体"/>
          <w:sz w:val="24"/>
          <w:szCs w:val="24"/>
        </w:rPr>
      </w:pPr>
      <w:r>
        <w:rPr>
          <w:rFonts w:hint="eastAsia" w:hAnsi="宋体" w:cs="宋体"/>
          <w:sz w:val="24"/>
          <w:szCs w:val="24"/>
        </w:rPr>
        <w:t>4.根据合同约定技术和精度要求，保证工程质量。</w:t>
      </w:r>
    </w:p>
    <w:p>
      <w:pPr>
        <w:pStyle w:val="2"/>
        <w:spacing w:line="288" w:lineRule="auto"/>
        <w:ind w:firstLine="480" w:firstLineChars="200"/>
        <w:rPr>
          <w:rFonts w:hAnsi="宋体" w:cs="宋体"/>
          <w:sz w:val="24"/>
          <w:szCs w:val="24"/>
        </w:rPr>
      </w:pPr>
      <w:r>
        <w:rPr>
          <w:rFonts w:hint="eastAsia" w:hAnsi="宋体" w:cs="宋体"/>
          <w:sz w:val="24"/>
          <w:szCs w:val="24"/>
        </w:rPr>
        <w:t>5.乙方在施工期间必须制定严格的安全管理条例，遵守有关安全管理规定。甲方对乙方在施工期间发生的安全事故概不负责。</w:t>
      </w:r>
    </w:p>
    <w:p>
      <w:pPr>
        <w:pStyle w:val="2"/>
        <w:spacing w:line="288" w:lineRule="auto"/>
        <w:rPr>
          <w:rFonts w:hAnsi="宋体" w:cs="宋体"/>
          <w:sz w:val="24"/>
          <w:szCs w:val="24"/>
        </w:rPr>
      </w:pPr>
      <w:r>
        <w:rPr>
          <w:rFonts w:hint="eastAsia" w:hAnsi="宋体" w:cs="宋体"/>
          <w:b/>
          <w:bCs/>
          <w:sz w:val="24"/>
          <w:szCs w:val="24"/>
        </w:rPr>
        <w:t>第九条</w:t>
      </w:r>
      <w:r>
        <w:rPr>
          <w:rFonts w:hint="eastAsia" w:hAnsi="宋体" w:cs="宋体"/>
          <w:sz w:val="24"/>
          <w:szCs w:val="24"/>
        </w:rPr>
        <w:t xml:space="preserve"> 乙方测绘成果的所有权、使用权和著作权归属甲方所有，乙方不得以任何形式提供给第三方，如有违反，乙方须承担由此造成的一切法律及经济责任。</w:t>
      </w:r>
    </w:p>
    <w:p>
      <w:pPr>
        <w:pStyle w:val="2"/>
        <w:spacing w:line="288" w:lineRule="auto"/>
        <w:rPr>
          <w:rFonts w:hAnsi="宋体" w:cs="宋体"/>
          <w:sz w:val="24"/>
          <w:szCs w:val="24"/>
        </w:rPr>
      </w:pPr>
      <w:r>
        <w:rPr>
          <w:rFonts w:hint="eastAsia" w:hAnsi="宋体" w:cs="宋体"/>
          <w:b/>
          <w:bCs/>
          <w:sz w:val="24"/>
          <w:szCs w:val="24"/>
        </w:rPr>
        <w:t>第十条</w:t>
      </w:r>
      <w:r>
        <w:rPr>
          <w:rFonts w:hint="eastAsia" w:hAnsi="宋体" w:cs="宋体"/>
          <w:sz w:val="24"/>
          <w:szCs w:val="24"/>
        </w:rPr>
        <w:t xml:space="preserve"> 乙方对甲方提供的包括地形图在内的所有资料不得随意复制、转借及私自保留，如有违反，乙方须承担由此造成的一切法律及经济责任。</w:t>
      </w:r>
    </w:p>
    <w:p>
      <w:pPr>
        <w:pStyle w:val="2"/>
        <w:spacing w:line="288" w:lineRule="auto"/>
        <w:rPr>
          <w:rFonts w:hAnsi="宋体" w:cs="宋体"/>
          <w:sz w:val="24"/>
          <w:szCs w:val="24"/>
        </w:rPr>
      </w:pPr>
      <w:r>
        <w:rPr>
          <w:rFonts w:hint="eastAsia" w:hAnsi="宋体" w:cs="宋体"/>
          <w:b/>
          <w:bCs/>
          <w:sz w:val="24"/>
          <w:szCs w:val="24"/>
        </w:rPr>
        <w:t xml:space="preserve">第十一条 </w:t>
      </w:r>
      <w:r>
        <w:rPr>
          <w:rFonts w:hint="eastAsia" w:hAnsi="宋体" w:cs="宋体"/>
          <w:sz w:val="24"/>
          <w:szCs w:val="24"/>
        </w:rPr>
        <w:t>处罚条例</w:t>
      </w:r>
    </w:p>
    <w:p>
      <w:pPr>
        <w:pStyle w:val="2"/>
        <w:spacing w:line="288" w:lineRule="auto"/>
        <w:ind w:firstLine="480" w:firstLineChars="200"/>
        <w:rPr>
          <w:rFonts w:hAnsi="宋体" w:cs="宋体"/>
          <w:sz w:val="24"/>
          <w:szCs w:val="24"/>
        </w:rPr>
      </w:pPr>
      <w:r>
        <w:rPr>
          <w:rFonts w:hint="eastAsia" w:hAnsi="宋体" w:cs="宋体"/>
          <w:sz w:val="24"/>
          <w:szCs w:val="24"/>
        </w:rPr>
        <w:t>1.甲方对数据成果进行现场随机抽样核对、图纸会审后，按《浙江省城市供水现代化营业所(分公司)评价标准实施细则》评定为不合格时，乙方需要进行无条件返工直至评定合格，同时甲方将对乙方进行相应的处罚，根据实际偏差情况扣除相应的探测费用，具体按下表执行：</w:t>
      </w:r>
    </w:p>
    <w:tbl>
      <w:tblPr>
        <w:tblStyle w:val="6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2908"/>
        <w:gridCol w:w="2130"/>
        <w:gridCol w:w="3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dxa"/>
          </w:tcPr>
          <w:p>
            <w:pPr>
              <w:pStyle w:val="2"/>
              <w:spacing w:line="288" w:lineRule="auto"/>
              <w:rPr>
                <w:rFonts w:hAnsi="宋体" w:cs="宋体"/>
                <w:sz w:val="24"/>
                <w:szCs w:val="24"/>
              </w:rPr>
            </w:pPr>
          </w:p>
        </w:tc>
        <w:tc>
          <w:tcPr>
            <w:tcW w:w="2908" w:type="dxa"/>
          </w:tcPr>
          <w:p>
            <w:pPr>
              <w:pStyle w:val="2"/>
              <w:spacing w:line="288" w:lineRule="auto"/>
              <w:rPr>
                <w:rFonts w:hAnsi="宋体" w:cs="宋体"/>
                <w:b/>
                <w:bCs/>
                <w:sz w:val="24"/>
                <w:szCs w:val="24"/>
              </w:rPr>
            </w:pPr>
            <w:r>
              <w:rPr>
                <w:rFonts w:hint="eastAsia" w:hAnsi="宋体" w:cs="宋体"/>
                <w:b/>
                <w:bCs/>
                <w:sz w:val="24"/>
                <w:szCs w:val="24"/>
              </w:rPr>
              <w:t>处罚情形</w:t>
            </w:r>
          </w:p>
        </w:tc>
        <w:tc>
          <w:tcPr>
            <w:tcW w:w="2130" w:type="dxa"/>
          </w:tcPr>
          <w:p>
            <w:pPr>
              <w:pStyle w:val="2"/>
              <w:spacing w:line="288" w:lineRule="auto"/>
              <w:rPr>
                <w:rFonts w:hAnsi="宋体" w:cs="宋体"/>
                <w:b/>
                <w:bCs/>
                <w:sz w:val="24"/>
                <w:szCs w:val="24"/>
              </w:rPr>
            </w:pPr>
            <w:r>
              <w:rPr>
                <w:rFonts w:hint="eastAsia" w:hAnsi="宋体" w:cs="宋体"/>
                <w:b/>
                <w:bCs/>
                <w:sz w:val="24"/>
                <w:szCs w:val="24"/>
              </w:rPr>
              <w:t>处罚标准</w:t>
            </w:r>
          </w:p>
        </w:tc>
        <w:tc>
          <w:tcPr>
            <w:tcW w:w="3866" w:type="dxa"/>
          </w:tcPr>
          <w:p>
            <w:pPr>
              <w:pStyle w:val="2"/>
              <w:spacing w:line="288" w:lineRule="auto"/>
              <w:rPr>
                <w:rFonts w:hAnsi="宋体" w:cs="宋体"/>
                <w:b/>
                <w:bCs/>
                <w:sz w:val="24"/>
                <w:szCs w:val="24"/>
              </w:rPr>
            </w:pPr>
            <w:r>
              <w:rPr>
                <w:rFonts w:hint="eastAsia" w:hAnsi="宋体" w:cs="宋体"/>
                <w:b/>
                <w:bCs/>
                <w:sz w:val="24"/>
                <w:szCs w:val="24"/>
              </w:rPr>
              <w:t>处罚细则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418" w:type="dxa"/>
            <w:vAlign w:val="center"/>
          </w:tcPr>
          <w:p>
            <w:pPr>
              <w:pStyle w:val="2"/>
              <w:spacing w:line="288" w:lineRule="auto"/>
              <w:rPr>
                <w:rFonts w:hAnsi="宋体" w:cs="宋体"/>
                <w:b/>
                <w:bCs/>
                <w:sz w:val="24"/>
                <w:szCs w:val="24"/>
              </w:rPr>
            </w:pPr>
            <w:r>
              <w:rPr>
                <w:rFonts w:hint="eastAsia" w:hAnsi="宋体" w:cs="宋体"/>
                <w:b/>
                <w:bCs/>
                <w:sz w:val="24"/>
                <w:szCs w:val="24"/>
              </w:rPr>
              <w:t>1</w:t>
            </w:r>
          </w:p>
        </w:tc>
        <w:tc>
          <w:tcPr>
            <w:tcW w:w="2908" w:type="dxa"/>
            <w:vAlign w:val="center"/>
          </w:tcPr>
          <w:p>
            <w:pPr>
              <w:pStyle w:val="2"/>
              <w:spacing w:line="288" w:lineRule="auto"/>
              <w:rPr>
                <w:rFonts w:hAnsi="宋体" w:cs="宋体"/>
                <w:sz w:val="24"/>
                <w:szCs w:val="24"/>
              </w:rPr>
            </w:pPr>
            <w:r>
              <w:rPr>
                <w:rFonts w:hint="eastAsia" w:hAnsi="宋体" w:cs="宋体"/>
                <w:sz w:val="24"/>
                <w:szCs w:val="24"/>
              </w:rPr>
              <w:t>甲方在对数据成果进行抽样核对发现管线走向有误、管径有误或者设备统计有误，按《浙江省城市供水现代化营业所(分公司)评价标准实施细则》评定为不合格的</w:t>
            </w:r>
          </w:p>
        </w:tc>
        <w:tc>
          <w:tcPr>
            <w:tcW w:w="2130" w:type="dxa"/>
            <w:vAlign w:val="center"/>
          </w:tcPr>
          <w:p>
            <w:pPr>
              <w:pStyle w:val="2"/>
              <w:spacing w:line="288" w:lineRule="auto"/>
              <w:rPr>
                <w:rFonts w:hAnsi="宋体" w:cs="宋体"/>
                <w:sz w:val="24"/>
                <w:szCs w:val="24"/>
              </w:rPr>
            </w:pPr>
            <w:r>
              <w:rPr>
                <w:rFonts w:hint="eastAsia" w:hAnsi="宋体" w:cs="宋体"/>
                <w:sz w:val="24"/>
                <w:szCs w:val="24"/>
              </w:rPr>
              <w:t>乙方需要进行无条件返工直至评定合格，并视情况扣除工程探测费用的8-20%</w:t>
            </w:r>
          </w:p>
        </w:tc>
        <w:tc>
          <w:tcPr>
            <w:tcW w:w="3866" w:type="dxa"/>
            <w:vAlign w:val="center"/>
          </w:tcPr>
          <w:p>
            <w:pPr>
              <w:pStyle w:val="2"/>
              <w:spacing w:line="288" w:lineRule="auto"/>
              <w:rPr>
                <w:rFonts w:hAnsi="宋体" w:cs="宋体"/>
                <w:sz w:val="24"/>
                <w:szCs w:val="24"/>
              </w:rPr>
            </w:pPr>
            <w:r>
              <w:rPr>
                <w:rFonts w:hint="eastAsia" w:hAnsi="宋体" w:cs="宋体"/>
                <w:sz w:val="24"/>
                <w:szCs w:val="24"/>
              </w:rPr>
              <w:t>（1）总工程测绘费用大于2万元的，扣除总工程测绘费的8%；</w:t>
            </w:r>
          </w:p>
          <w:p>
            <w:pPr>
              <w:pStyle w:val="2"/>
              <w:spacing w:line="288" w:lineRule="auto"/>
              <w:rPr>
                <w:rFonts w:hAnsi="宋体" w:cs="宋体"/>
                <w:sz w:val="24"/>
                <w:szCs w:val="24"/>
              </w:rPr>
            </w:pPr>
            <w:r>
              <w:rPr>
                <w:rFonts w:hint="eastAsia" w:hAnsi="宋体" w:cs="宋体"/>
                <w:sz w:val="24"/>
                <w:szCs w:val="24"/>
              </w:rPr>
              <w:t>（2）总工程测绘费用小于2万元且大于1万元的，扣除总工程测绘费的12%；</w:t>
            </w:r>
          </w:p>
          <w:p>
            <w:pPr>
              <w:pStyle w:val="2"/>
              <w:spacing w:line="288" w:lineRule="auto"/>
              <w:rPr>
                <w:rFonts w:hAnsi="宋体" w:cs="宋体"/>
                <w:sz w:val="24"/>
                <w:szCs w:val="24"/>
              </w:rPr>
            </w:pPr>
            <w:r>
              <w:rPr>
                <w:rFonts w:hint="eastAsia" w:hAnsi="宋体" w:cs="宋体"/>
                <w:sz w:val="24"/>
                <w:szCs w:val="24"/>
              </w:rPr>
              <w:t>（3）总工程测绘费用小于1万元且大于5000元的，扣除总工程测绘费的16%；</w:t>
            </w:r>
          </w:p>
          <w:p>
            <w:pPr>
              <w:pStyle w:val="2"/>
              <w:spacing w:line="288" w:lineRule="auto"/>
              <w:rPr>
                <w:rFonts w:hAnsi="宋体" w:cs="宋体"/>
                <w:sz w:val="24"/>
                <w:szCs w:val="24"/>
              </w:rPr>
            </w:pPr>
            <w:r>
              <w:rPr>
                <w:rFonts w:hint="eastAsia" w:hAnsi="宋体" w:cs="宋体"/>
                <w:sz w:val="24"/>
                <w:szCs w:val="24"/>
              </w:rPr>
              <w:t>（4）总工程测绘费用小于5000元的，扣除总工程测绘费的20%。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dxa"/>
            <w:vAlign w:val="center"/>
          </w:tcPr>
          <w:p>
            <w:pPr>
              <w:pStyle w:val="2"/>
              <w:spacing w:line="288" w:lineRule="auto"/>
              <w:rPr>
                <w:rFonts w:hAnsi="宋体" w:cs="宋体"/>
                <w:b/>
                <w:bCs/>
                <w:sz w:val="24"/>
                <w:szCs w:val="24"/>
              </w:rPr>
            </w:pPr>
            <w:r>
              <w:rPr>
                <w:rFonts w:hint="eastAsia" w:hAnsi="宋体" w:cs="宋体"/>
                <w:b/>
                <w:bCs/>
                <w:sz w:val="24"/>
                <w:szCs w:val="24"/>
              </w:rPr>
              <w:t>2</w:t>
            </w:r>
          </w:p>
        </w:tc>
        <w:tc>
          <w:tcPr>
            <w:tcW w:w="2908" w:type="dxa"/>
            <w:vAlign w:val="center"/>
          </w:tcPr>
          <w:p>
            <w:pPr>
              <w:pStyle w:val="2"/>
              <w:spacing w:line="288" w:lineRule="auto"/>
              <w:rPr>
                <w:rFonts w:hAnsi="宋体" w:cs="宋体"/>
                <w:sz w:val="24"/>
                <w:szCs w:val="24"/>
              </w:rPr>
            </w:pPr>
            <w:r>
              <w:rPr>
                <w:rFonts w:hint="eastAsia" w:hAnsi="宋体" w:cs="宋体"/>
                <w:sz w:val="24"/>
                <w:szCs w:val="24"/>
              </w:rPr>
              <w:t>甲方日常抽查或者巡查时发现管线走向有误、管径有误或者设备统计有误，并且判定责任在于乙方的</w:t>
            </w:r>
          </w:p>
        </w:tc>
        <w:tc>
          <w:tcPr>
            <w:tcW w:w="2130" w:type="dxa"/>
            <w:vAlign w:val="center"/>
          </w:tcPr>
          <w:p>
            <w:pPr>
              <w:pStyle w:val="2"/>
              <w:spacing w:line="288" w:lineRule="auto"/>
              <w:rPr>
                <w:rFonts w:hAnsi="宋体" w:cs="宋体"/>
                <w:sz w:val="24"/>
                <w:szCs w:val="24"/>
              </w:rPr>
            </w:pPr>
            <w:r>
              <w:rPr>
                <w:rFonts w:hint="eastAsia" w:hAnsi="宋体" w:cs="宋体"/>
                <w:sz w:val="24"/>
                <w:szCs w:val="24"/>
              </w:rPr>
              <w:t>每处处以500-1000元的罚款，并按要求重测修正</w:t>
            </w:r>
          </w:p>
        </w:tc>
        <w:tc>
          <w:tcPr>
            <w:tcW w:w="3866" w:type="dxa"/>
            <w:vAlign w:val="center"/>
          </w:tcPr>
          <w:p>
            <w:pPr>
              <w:pStyle w:val="2"/>
              <w:spacing w:line="288" w:lineRule="auto"/>
              <w:rPr>
                <w:rFonts w:hAnsi="宋体" w:cs="宋体"/>
                <w:sz w:val="24"/>
                <w:szCs w:val="24"/>
              </w:rPr>
            </w:pPr>
            <w:r>
              <w:rPr>
                <w:rFonts w:hint="eastAsia" w:hAnsi="宋体" w:cs="宋体"/>
                <w:sz w:val="24"/>
                <w:szCs w:val="24"/>
              </w:rPr>
              <w:t>（1）口径大于600及以上的，罚款1000元；</w:t>
            </w:r>
          </w:p>
          <w:p>
            <w:pPr>
              <w:pStyle w:val="2"/>
              <w:spacing w:line="288" w:lineRule="auto"/>
              <w:rPr>
                <w:rFonts w:hAnsi="宋体" w:cs="宋体"/>
                <w:sz w:val="24"/>
                <w:szCs w:val="24"/>
              </w:rPr>
            </w:pPr>
            <w:r>
              <w:rPr>
                <w:rFonts w:hint="eastAsia" w:hAnsi="宋体" w:cs="宋体"/>
                <w:sz w:val="24"/>
                <w:szCs w:val="24"/>
              </w:rPr>
              <w:t>（2）口径大于300及以上600以下的，罚款800元；</w:t>
            </w:r>
          </w:p>
          <w:p>
            <w:pPr>
              <w:pStyle w:val="2"/>
              <w:spacing w:line="288" w:lineRule="auto"/>
              <w:rPr>
                <w:rFonts w:hAnsi="宋体" w:cs="宋体"/>
                <w:sz w:val="24"/>
                <w:szCs w:val="24"/>
              </w:rPr>
            </w:pPr>
            <w:r>
              <w:rPr>
                <w:rFonts w:hint="eastAsia" w:hAnsi="宋体" w:cs="宋体"/>
                <w:sz w:val="24"/>
                <w:szCs w:val="24"/>
              </w:rPr>
              <w:t>（3）口径小于300的，罚款500元。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8" w:type="dxa"/>
            <w:vAlign w:val="center"/>
          </w:tcPr>
          <w:p>
            <w:pPr>
              <w:pStyle w:val="2"/>
              <w:spacing w:line="288" w:lineRule="auto"/>
              <w:rPr>
                <w:rFonts w:hAnsi="宋体" w:cs="宋体"/>
                <w:b/>
                <w:bCs/>
                <w:sz w:val="24"/>
                <w:szCs w:val="24"/>
              </w:rPr>
            </w:pPr>
            <w:r>
              <w:rPr>
                <w:rFonts w:hint="eastAsia" w:hAnsi="宋体" w:cs="宋体"/>
                <w:b/>
                <w:bCs/>
                <w:sz w:val="24"/>
                <w:szCs w:val="24"/>
              </w:rPr>
              <w:t>3</w:t>
            </w:r>
          </w:p>
        </w:tc>
        <w:tc>
          <w:tcPr>
            <w:tcW w:w="2908" w:type="dxa"/>
            <w:vAlign w:val="center"/>
          </w:tcPr>
          <w:p>
            <w:pPr>
              <w:pStyle w:val="2"/>
              <w:spacing w:line="288" w:lineRule="auto"/>
              <w:rPr>
                <w:rFonts w:hAnsi="宋体" w:cs="宋体"/>
                <w:sz w:val="24"/>
                <w:szCs w:val="24"/>
              </w:rPr>
            </w:pPr>
            <w:r>
              <w:rPr>
                <w:rFonts w:hint="eastAsia" w:hAnsi="宋体" w:cs="宋体"/>
                <w:sz w:val="24"/>
                <w:szCs w:val="24"/>
              </w:rPr>
              <w:t>由于乙方所测管线走向有误、管径有误或者设备统计有误，并因此误导公司决策或发生工程事故，导致公司产生经济、名誉损失的</w:t>
            </w:r>
          </w:p>
        </w:tc>
        <w:tc>
          <w:tcPr>
            <w:tcW w:w="2130" w:type="dxa"/>
            <w:vAlign w:val="center"/>
          </w:tcPr>
          <w:p>
            <w:pPr>
              <w:pStyle w:val="2"/>
              <w:spacing w:line="288" w:lineRule="auto"/>
              <w:rPr>
                <w:rFonts w:hAnsi="宋体" w:cs="宋体"/>
                <w:sz w:val="24"/>
                <w:szCs w:val="24"/>
              </w:rPr>
            </w:pPr>
            <w:r>
              <w:rPr>
                <w:rFonts w:hint="eastAsia" w:hAnsi="宋体" w:cs="宋体"/>
                <w:sz w:val="24"/>
                <w:szCs w:val="24"/>
              </w:rPr>
              <w:t>乙方按要求重测修正的同时，甲方有权要求乙方赔偿，并按照实际损失进行处罚</w:t>
            </w:r>
          </w:p>
        </w:tc>
        <w:tc>
          <w:tcPr>
            <w:tcW w:w="3866" w:type="dxa"/>
            <w:vAlign w:val="center"/>
          </w:tcPr>
          <w:p>
            <w:pPr>
              <w:pStyle w:val="2"/>
              <w:spacing w:line="288" w:lineRule="auto"/>
              <w:rPr>
                <w:rFonts w:hAnsi="宋体" w:cs="宋体"/>
                <w:sz w:val="24"/>
                <w:szCs w:val="24"/>
              </w:rPr>
            </w:pPr>
            <w:r>
              <w:rPr>
                <w:rFonts w:hint="eastAsia" w:hAnsi="宋体" w:cs="宋体"/>
                <w:sz w:val="24"/>
                <w:szCs w:val="24"/>
              </w:rPr>
              <w:t>根据实际损失协商并判定处罚金额。</w:t>
            </w:r>
          </w:p>
        </w:tc>
      </w:tr>
    </w:tbl>
    <w:p>
      <w:pPr>
        <w:pStyle w:val="2"/>
        <w:spacing w:line="288" w:lineRule="auto"/>
        <w:ind w:firstLine="480" w:firstLineChars="200"/>
        <w:rPr>
          <w:rFonts w:hAnsi="宋体" w:cs="宋体"/>
          <w:sz w:val="24"/>
          <w:szCs w:val="24"/>
        </w:rPr>
      </w:pPr>
      <w:r>
        <w:rPr>
          <w:rFonts w:hint="eastAsia" w:hAnsi="宋体" w:cs="宋体"/>
          <w:sz w:val="24"/>
          <w:szCs w:val="24"/>
        </w:rPr>
        <w:t>2.乙方未收到甲方通知，私下进场探测的，一经发现，甲方有权扣除该工程的全部探测费用。</w:t>
      </w:r>
    </w:p>
    <w:p>
      <w:pPr>
        <w:pStyle w:val="2"/>
        <w:spacing w:line="288" w:lineRule="auto"/>
        <w:ind w:firstLine="480" w:firstLineChars="200"/>
        <w:rPr>
          <w:rFonts w:hAnsi="宋体" w:cs="宋体"/>
          <w:sz w:val="24"/>
          <w:szCs w:val="24"/>
        </w:rPr>
      </w:pPr>
      <w:r>
        <w:rPr>
          <w:rFonts w:hint="eastAsia" w:hAnsi="宋体" w:cs="宋体"/>
          <w:sz w:val="24"/>
          <w:szCs w:val="24"/>
        </w:rPr>
        <w:t>3.在无不可抗力和特殊情况下逾期未完成测绘的工程，根据逾期时间扣除相应的测绘费用，超过时间1-5个工作日的，扣除5%的测绘费用；超过时间6-10个工作日的，扣除10%的测绘费用；超过时间11-15个工作日内的，扣除15%的测绘费用；超过时间16个工作日以上的，扣除20%的测绘费用。</w:t>
      </w:r>
    </w:p>
    <w:p>
      <w:pPr>
        <w:pStyle w:val="2"/>
        <w:spacing w:line="288" w:lineRule="auto"/>
        <w:ind w:firstLine="480" w:firstLineChars="200"/>
        <w:rPr>
          <w:rFonts w:hAnsi="宋体" w:cs="宋体"/>
          <w:sz w:val="24"/>
          <w:szCs w:val="24"/>
        </w:rPr>
      </w:pPr>
      <w:r>
        <w:rPr>
          <w:rFonts w:hint="eastAsia" w:hAnsi="宋体" w:cs="宋体"/>
          <w:sz w:val="24"/>
          <w:szCs w:val="24"/>
        </w:rPr>
        <w:t>4.探测已按时完成，但是成果资料逾期提交的，每超过一天，扣除500元探测费用。</w:t>
      </w:r>
    </w:p>
    <w:p>
      <w:pPr>
        <w:pStyle w:val="2"/>
        <w:spacing w:line="288" w:lineRule="auto"/>
        <w:ind w:firstLine="480" w:firstLineChars="200"/>
        <w:rPr>
          <w:rFonts w:hAnsi="宋体" w:cs="宋体"/>
          <w:sz w:val="24"/>
          <w:szCs w:val="24"/>
        </w:rPr>
      </w:pPr>
      <w:r>
        <w:rPr>
          <w:rFonts w:hint="eastAsia" w:hAnsi="宋体" w:cs="宋体"/>
          <w:sz w:val="24"/>
          <w:szCs w:val="24"/>
        </w:rPr>
        <w:t>5.若一年度服务周期内处罚次数累计超过3次，则下年度取消在本公司该项目的投标资格。</w:t>
      </w:r>
    </w:p>
    <w:p>
      <w:pPr>
        <w:pStyle w:val="2"/>
        <w:spacing w:line="288" w:lineRule="auto"/>
        <w:rPr>
          <w:rFonts w:hAnsi="宋体" w:cs="宋体"/>
          <w:sz w:val="24"/>
          <w:szCs w:val="24"/>
        </w:rPr>
      </w:pPr>
      <w:r>
        <w:rPr>
          <w:rFonts w:hint="eastAsia" w:hAnsi="宋体" w:cs="宋体"/>
          <w:b/>
          <w:sz w:val="24"/>
          <w:szCs w:val="24"/>
        </w:rPr>
        <w:t xml:space="preserve">第十二条 </w:t>
      </w:r>
      <w:r>
        <w:rPr>
          <w:rFonts w:hint="eastAsia" w:hAnsi="宋体" w:cs="宋体"/>
          <w:sz w:val="24"/>
          <w:szCs w:val="24"/>
        </w:rPr>
        <w:t>违约责任</w:t>
      </w:r>
    </w:p>
    <w:p>
      <w:pPr>
        <w:pStyle w:val="2"/>
        <w:spacing w:line="288" w:lineRule="auto"/>
        <w:ind w:firstLine="480" w:firstLineChars="200"/>
        <w:rPr>
          <w:rFonts w:hAnsi="宋体" w:cs="宋体"/>
          <w:sz w:val="24"/>
          <w:szCs w:val="24"/>
        </w:rPr>
      </w:pPr>
      <w:r>
        <w:rPr>
          <w:rFonts w:hint="eastAsia" w:hAnsi="宋体" w:cs="宋体"/>
          <w:sz w:val="24"/>
          <w:szCs w:val="24"/>
        </w:rPr>
        <w:t>1.合同生效后，如任何一方擅自中途停止或解除合同，应向对方偿付由此造成的损失费。</w:t>
      </w:r>
    </w:p>
    <w:p>
      <w:pPr>
        <w:pStyle w:val="2"/>
        <w:spacing w:line="288" w:lineRule="auto"/>
        <w:ind w:firstLine="480" w:firstLineChars="200"/>
        <w:rPr>
          <w:rFonts w:hint="eastAsia" w:hAnsi="宋体" w:cs="宋体"/>
          <w:sz w:val="24"/>
          <w:szCs w:val="24"/>
        </w:rPr>
      </w:pPr>
      <w:r>
        <w:rPr>
          <w:rFonts w:hint="eastAsia" w:hAnsi="宋体" w:cs="宋体"/>
          <w:sz w:val="24"/>
          <w:szCs w:val="24"/>
        </w:rPr>
        <w:t>2.对于甲方提供的图纸和技术资料以及属于甲方的数据成果，乙方有义务保密，不得向第三方转让，否则，甲方有权追究乙方由此造成的损失。</w:t>
      </w:r>
    </w:p>
    <w:p>
      <w:r>
        <w:rPr>
          <w:rFonts w:hint="eastAsia" w:hAnsi="宋体" w:cs="宋体"/>
          <w:sz w:val="24"/>
          <w:szCs w:val="24"/>
          <w:lang w:val="en-US" w:eastAsia="zh-CN"/>
        </w:rPr>
        <w:t xml:space="preserve">    3.如乙方多次违反</w:t>
      </w:r>
      <w:r>
        <w:rPr>
          <w:rFonts w:hint="eastAsia" w:hAnsi="宋体" w:cs="宋体"/>
          <w:sz w:val="24"/>
          <w:szCs w:val="24"/>
        </w:rPr>
        <w:t>处罚条例</w:t>
      </w:r>
      <w:r>
        <w:rPr>
          <w:rFonts w:hint="eastAsia" w:hAnsi="宋体" w:cs="宋体"/>
          <w:sz w:val="24"/>
          <w:szCs w:val="24"/>
          <w:lang w:eastAsia="zh-CN"/>
        </w:rPr>
        <w:t>，给甲方造成不良影响的，甲方有权终止合同，不对乙方负任何赔偿责任。</w:t>
      </w:r>
    </w:p>
    <w:p>
      <w:pPr>
        <w:pStyle w:val="2"/>
        <w:spacing w:line="288" w:lineRule="auto"/>
        <w:rPr>
          <w:rFonts w:hAnsi="宋体" w:cs="宋体"/>
          <w:sz w:val="24"/>
          <w:szCs w:val="24"/>
        </w:rPr>
      </w:pPr>
      <w:r>
        <w:rPr>
          <w:rFonts w:hint="eastAsia" w:hAnsi="宋体" w:cs="宋体"/>
          <w:b/>
          <w:bCs/>
          <w:sz w:val="24"/>
          <w:szCs w:val="24"/>
        </w:rPr>
        <w:t>第十三条</w:t>
      </w:r>
      <w:r>
        <w:rPr>
          <w:rFonts w:hint="eastAsia" w:hAnsi="宋体" w:cs="宋体"/>
          <w:sz w:val="24"/>
          <w:szCs w:val="24"/>
        </w:rPr>
        <w:t xml:space="preserve"> 由于不可抗力（天气、节假日或其他因素等），致使合同无法履行时，双方应按有关法律规定及时协商处理，可合理延长工期。</w:t>
      </w:r>
    </w:p>
    <w:p>
      <w:pPr>
        <w:pStyle w:val="2"/>
        <w:spacing w:line="288" w:lineRule="auto"/>
        <w:rPr>
          <w:rFonts w:hAnsi="宋体" w:cs="宋体"/>
          <w:sz w:val="24"/>
          <w:szCs w:val="24"/>
        </w:rPr>
      </w:pPr>
      <w:r>
        <w:rPr>
          <w:rFonts w:hint="eastAsia" w:hAnsi="宋体" w:cs="宋体"/>
          <w:b/>
          <w:bCs/>
          <w:sz w:val="24"/>
          <w:szCs w:val="24"/>
        </w:rPr>
        <w:t xml:space="preserve">第十四条 </w:t>
      </w:r>
      <w:r>
        <w:rPr>
          <w:rFonts w:hint="eastAsia" w:hAnsi="宋体" w:cs="宋体"/>
          <w:sz w:val="24"/>
          <w:szCs w:val="24"/>
        </w:rPr>
        <w:t>本合同执行过程中的未尽事宜，双方应本着实事求是友好协商的态度加以解决。双方协商一致的，签订补充协议。补充协议与本合同具有同等效力。</w:t>
      </w:r>
    </w:p>
    <w:p>
      <w:pPr>
        <w:pStyle w:val="2"/>
        <w:spacing w:line="288" w:lineRule="auto"/>
        <w:rPr>
          <w:rFonts w:hAnsi="宋体" w:cs="宋体"/>
          <w:sz w:val="24"/>
          <w:szCs w:val="24"/>
        </w:rPr>
      </w:pPr>
      <w:r>
        <w:rPr>
          <w:rFonts w:hint="eastAsia" w:hAnsi="宋体" w:cs="宋体"/>
          <w:b/>
          <w:bCs/>
          <w:sz w:val="24"/>
          <w:szCs w:val="24"/>
        </w:rPr>
        <w:t>第十五条</w:t>
      </w:r>
      <w:r>
        <w:rPr>
          <w:rFonts w:hint="eastAsia" w:hAnsi="宋体" w:cs="宋体"/>
          <w:sz w:val="24"/>
          <w:szCs w:val="24"/>
        </w:rPr>
        <w:t xml:space="preserve"> 因合同执行过程中双方发生纠纷，可由双方协商解决。若达不成协议，双方同意就本合同产生的纠纷向本地人民法院提起诉讼。</w:t>
      </w:r>
    </w:p>
    <w:p>
      <w:pPr>
        <w:pStyle w:val="2"/>
        <w:spacing w:line="288" w:lineRule="auto"/>
        <w:rPr>
          <w:rFonts w:hAnsi="宋体" w:cs="宋体"/>
          <w:sz w:val="24"/>
          <w:szCs w:val="24"/>
        </w:rPr>
      </w:pPr>
      <w:r>
        <w:rPr>
          <w:rFonts w:hint="eastAsia" w:hAnsi="宋体" w:cs="宋体"/>
          <w:b/>
          <w:bCs/>
          <w:sz w:val="24"/>
          <w:szCs w:val="24"/>
        </w:rPr>
        <w:t>第十六条</w:t>
      </w:r>
      <w:r>
        <w:rPr>
          <w:rFonts w:hint="eastAsia" w:hAnsi="宋体" w:cs="宋体"/>
          <w:sz w:val="24"/>
          <w:szCs w:val="24"/>
        </w:rPr>
        <w:t xml:space="preserve"> 本合同一式肆份，双方各执贰份，具有同等法律效力。</w:t>
      </w:r>
    </w:p>
    <w:p>
      <w:pPr>
        <w:pStyle w:val="2"/>
        <w:spacing w:line="288" w:lineRule="auto"/>
        <w:rPr>
          <w:rFonts w:hAnsi="宋体" w:cs="宋体"/>
          <w:sz w:val="24"/>
          <w:szCs w:val="24"/>
        </w:rPr>
      </w:pPr>
    </w:p>
    <w:p>
      <w:pPr>
        <w:pStyle w:val="2"/>
        <w:spacing w:line="360" w:lineRule="auto"/>
        <w:rPr>
          <w:rFonts w:hAnsi="宋体" w:cs="宋体"/>
          <w:sz w:val="24"/>
          <w:szCs w:val="24"/>
        </w:rPr>
      </w:pPr>
      <w:r>
        <w:rPr>
          <w:rFonts w:hint="eastAsia" w:hAnsi="宋体" w:cs="宋体"/>
          <w:sz w:val="24"/>
          <w:szCs w:val="24"/>
        </w:rPr>
        <w:t>甲方 (公章)：杭州萧山供水有限公司         乙方 (公章)：</w:t>
      </w:r>
    </w:p>
    <w:p>
      <w:pPr>
        <w:pStyle w:val="2"/>
        <w:spacing w:line="360" w:lineRule="auto"/>
        <w:rPr>
          <w:rFonts w:hAnsi="宋体" w:cs="宋体"/>
          <w:sz w:val="24"/>
          <w:szCs w:val="24"/>
        </w:rPr>
      </w:pPr>
      <w:r>
        <w:rPr>
          <w:rFonts w:hint="eastAsia" w:hAnsi="宋体" w:cs="宋体"/>
          <w:sz w:val="24"/>
          <w:szCs w:val="24"/>
        </w:rPr>
        <w:t>法定代表人(签字)：</w:t>
      </w:r>
      <w:r>
        <w:rPr>
          <w:rFonts w:hint="eastAsia" w:hAnsi="宋体" w:cs="宋体"/>
          <w:sz w:val="24"/>
          <w:szCs w:val="24"/>
        </w:rPr>
        <w:tab/>
      </w:r>
      <w:r>
        <w:rPr>
          <w:rFonts w:hint="eastAsia" w:hAnsi="宋体" w:cs="宋体"/>
          <w:sz w:val="24"/>
          <w:szCs w:val="24"/>
        </w:rPr>
        <w:tab/>
      </w:r>
      <w:r>
        <w:rPr>
          <w:rFonts w:hint="eastAsia" w:hAnsi="宋体" w:cs="宋体"/>
          <w:sz w:val="24"/>
          <w:szCs w:val="24"/>
        </w:rPr>
        <w:tab/>
      </w:r>
      <w:r>
        <w:rPr>
          <w:rFonts w:hint="eastAsia" w:hAnsi="宋体" w:cs="宋体"/>
          <w:sz w:val="24"/>
          <w:szCs w:val="24"/>
        </w:rPr>
        <w:t xml:space="preserve">             法定代表人(签字)：          </w:t>
      </w:r>
    </w:p>
    <w:p>
      <w:pPr>
        <w:pStyle w:val="2"/>
        <w:spacing w:line="360" w:lineRule="auto"/>
        <w:rPr>
          <w:rFonts w:hAnsi="宋体" w:cs="宋体"/>
          <w:sz w:val="24"/>
          <w:szCs w:val="24"/>
        </w:rPr>
      </w:pPr>
      <w:r>
        <w:rPr>
          <w:rFonts w:hint="eastAsia" w:hAnsi="宋体" w:cs="宋体"/>
          <w:sz w:val="24"/>
          <w:szCs w:val="24"/>
        </w:rPr>
        <w:t xml:space="preserve">或委托代理人(签字)：      </w:t>
      </w:r>
      <w:r>
        <w:rPr>
          <w:rFonts w:hint="eastAsia" w:hAnsi="宋体" w:cs="宋体"/>
          <w:sz w:val="24"/>
          <w:szCs w:val="24"/>
        </w:rPr>
        <w:tab/>
      </w:r>
      <w:r>
        <w:rPr>
          <w:rFonts w:hint="eastAsia" w:hAnsi="宋体" w:cs="宋体"/>
          <w:sz w:val="24"/>
          <w:szCs w:val="24"/>
        </w:rPr>
        <w:t xml:space="preserve">             或委托代理人(签字)：           </w:t>
      </w:r>
    </w:p>
    <w:p>
      <w:pPr>
        <w:spacing w:line="360" w:lineRule="auto"/>
        <w:jc w:val="left"/>
        <w:rPr>
          <w:rFonts w:ascii="宋体" w:hAnsi="宋体" w:cs="宋体"/>
          <w:sz w:val="24"/>
        </w:rPr>
      </w:pPr>
      <w:r>
        <w:rPr>
          <w:rFonts w:hint="eastAsia" w:ascii="宋体" w:hAnsi="宋体" w:cs="宋体"/>
          <w:sz w:val="24"/>
        </w:rPr>
        <w:t>年    月    日                              年    月    日</w:t>
      </w:r>
    </w:p>
    <w:p>
      <w:pPr>
        <w:rPr>
          <w:rFonts w:ascii="宋体" w:hAnsi="宋体" w:cs="宋体"/>
          <w:sz w:val="24"/>
        </w:rPr>
      </w:pPr>
    </w:p>
    <w:p>
      <w:pPr>
        <w:rPr>
          <w:rFonts w:ascii="宋体" w:hAnsi="宋体" w:cs="宋体"/>
          <w:sz w:val="24"/>
        </w:rPr>
      </w:pPr>
      <w:r>
        <w:rPr>
          <w:rFonts w:hint="eastAsia" w:ascii="宋体" w:hAnsi="宋体" w:cs="宋体"/>
          <w:sz w:val="24"/>
        </w:rPr>
        <w:br w:type="page"/>
      </w:r>
    </w:p>
    <w:p>
      <w:pPr>
        <w:rPr>
          <w:rFonts w:ascii="宋体" w:hAnsi="宋体" w:cs="宋体"/>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1"/>
      <w:r>
        <w:rPr>
          <w:rFonts w:hint="eastAsia" w:ascii="宋体" w:hAnsi="宋体" w:cs="宋体"/>
          <w:b/>
          <w:sz w:val="36"/>
          <w:szCs w:val="20"/>
        </w:rPr>
        <w:t xml:space="preserve"> </w:t>
      </w:r>
      <w:bookmarkEnd w:id="392"/>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（1）符合参加交易活动应当具备的一般条件的承诺函…………………（页码）</w:t>
      </w:r>
    </w:p>
    <w:p>
      <w:pPr>
        <w:snapToGrid w:val="0"/>
        <w:spacing w:line="360" w:lineRule="auto"/>
        <w:rPr>
          <w:rFonts w:ascii="宋体" w:hAnsi="宋体" w:cs="宋体"/>
          <w:sz w:val="24"/>
        </w:rPr>
      </w:pPr>
      <w:r>
        <w:rPr>
          <w:rFonts w:hint="eastAsia" w:ascii="宋体" w:hAnsi="宋体" w:cs="宋体"/>
          <w:sz w:val="24"/>
        </w:rPr>
        <w:t>（2）本项目的特定资格要求………………………………………………（页码）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符合参加交易活动应当具备的一般条件的承诺函</w:t>
      </w:r>
    </w:p>
    <w:p>
      <w:pPr>
        <w:snapToGrid w:val="0"/>
        <w:spacing w:line="360" w:lineRule="auto"/>
        <w:rPr>
          <w:rFonts w:ascii="宋体" w:hAnsi="宋体" w:cs="宋体"/>
          <w:sz w:val="24"/>
        </w:rPr>
      </w:pPr>
    </w:p>
    <w:p>
      <w:pPr>
        <w:snapToGrid w:val="0"/>
        <w:spacing w:line="360" w:lineRule="auto"/>
        <w:rPr>
          <w:rFonts w:ascii="宋体" w:hAnsi="宋体" w:cs="宋体"/>
          <w:sz w:val="24"/>
          <w:u w:val="single"/>
        </w:rPr>
      </w:pPr>
      <w:r>
        <w:rPr>
          <w:rFonts w:hint="eastAsia" w:ascii="宋体" w:hAnsi="宋体" w:cs="宋体"/>
          <w:sz w:val="24"/>
          <w:u w:val="single"/>
        </w:rPr>
        <w:t>（交易发起人）、（代理机构）：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u w:val="single"/>
        </w:rPr>
        <w:t>（项目名称）【交易编号：    】</w:t>
      </w:r>
      <w:r>
        <w:rPr>
          <w:rFonts w:hint="eastAsia" w:ascii="宋体" w:hAnsi="宋体" w:cs="宋体"/>
          <w:sz w:val="24"/>
        </w:rPr>
        <w:t>交易活动，郑重承诺：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（一）具备以下条件：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5、参加交易活动前三年内，在经营活动中没有重大违法记录；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5520" w:firstLineChars="2300"/>
        <w:rPr>
          <w:rFonts w:ascii="宋体" w:hAnsi="宋体" w:cs="宋体"/>
          <w:kern w:val="0"/>
          <w:sz w:val="24"/>
          <w:lang w:val="zh-CN"/>
        </w:rPr>
      </w:pPr>
    </w:p>
    <w:p>
      <w:pPr>
        <w:snapToGrid w:val="0"/>
        <w:spacing w:line="360" w:lineRule="auto"/>
        <w:ind w:firstLine="5520" w:firstLineChars="2300"/>
        <w:rPr>
          <w:rFonts w:ascii="宋体" w:hAnsi="宋体" w:cs="宋体"/>
          <w:kern w:val="0"/>
          <w:sz w:val="24"/>
          <w:lang w:val="zh-CN"/>
        </w:rPr>
      </w:pPr>
    </w:p>
    <w:p>
      <w:pPr>
        <w:snapToGrid w:val="0"/>
        <w:spacing w:line="360" w:lineRule="auto"/>
        <w:ind w:firstLine="5520" w:firstLineChars="2300"/>
        <w:rPr>
          <w:rFonts w:ascii="宋体" w:hAnsi="宋体" w:cs="宋体"/>
          <w:kern w:val="0"/>
          <w:sz w:val="24"/>
          <w:lang w:val="zh-CN"/>
        </w:rPr>
      </w:pP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响应人名称(电子签名)：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b/>
          <w:kern w:val="0"/>
          <w:sz w:val="32"/>
          <w:szCs w:val="32"/>
        </w:rPr>
      </w:pPr>
      <w:r>
        <w:rPr>
          <w:rFonts w:hint="eastAsia" w:ascii="宋体" w:hAnsi="宋体" w:cs="宋体"/>
          <w:b/>
          <w:kern w:val="0"/>
          <w:sz w:val="32"/>
          <w:szCs w:val="32"/>
        </w:rPr>
        <w:br w:type="page"/>
      </w: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二、本项目的特定资格要求</w:t>
      </w:r>
    </w:p>
    <w:p>
      <w:pPr>
        <w:spacing w:line="360" w:lineRule="auto"/>
        <w:jc w:val="center"/>
        <w:rPr>
          <w:rFonts w:ascii="宋体" w:hAnsi="宋体" w:cs="宋体"/>
          <w:sz w:val="24"/>
        </w:rPr>
      </w:pPr>
      <w:r>
        <w:rPr>
          <w:rFonts w:hint="eastAsia" w:ascii="宋体" w:hAnsi="宋体" w:cs="宋体"/>
          <w:sz w:val="24"/>
        </w:rPr>
        <w:t>（根据交易公告本项目的特定资格要求提供相应的材料；）</w:t>
      </w:r>
    </w:p>
    <w:p>
      <w:pPr>
        <w:spacing w:line="360" w:lineRule="auto"/>
        <w:jc w:val="center"/>
        <w:rPr>
          <w:rFonts w:ascii="宋体" w:hAnsi="宋体" w:cs="宋体"/>
          <w:kern w:val="0"/>
          <w:sz w:val="24"/>
          <w:lang w:val="zh-CN"/>
        </w:rPr>
      </w:pPr>
    </w:p>
    <w:p>
      <w:pPr>
        <w:widowControl/>
        <w:spacing w:line="360" w:lineRule="auto"/>
        <w:ind w:left="15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pacing w:line="360" w:lineRule="auto"/>
        <w:jc w:val="center"/>
        <w:outlineLvl w:val="0"/>
        <w:rPr>
          <w:rFonts w:ascii="宋体" w:hAnsi="宋体" w:cs="宋体"/>
          <w:b/>
          <w:kern w:val="0"/>
          <w:sz w:val="36"/>
          <w:szCs w:val="36"/>
        </w:rPr>
      </w:pPr>
    </w:p>
    <w:p>
      <w:pPr>
        <w:snapToGrid w:val="0"/>
        <w:spacing w:line="360" w:lineRule="auto"/>
        <w:ind w:right="480"/>
        <w:jc w:val="center"/>
        <w:rPr>
          <w:rFonts w:ascii="宋体" w:hAnsi="宋体" w:cs="宋体"/>
          <w:b/>
          <w:kern w:val="0"/>
          <w:sz w:val="32"/>
          <w:szCs w:val="32"/>
        </w:rPr>
      </w:pPr>
    </w:p>
    <w:p>
      <w:pPr>
        <w:spacing w:line="360" w:lineRule="auto"/>
        <w:jc w:val="center"/>
        <w:outlineLvl w:val="0"/>
        <w:rPr>
          <w:rFonts w:ascii="宋体" w:hAnsi="宋体" w:cs="宋体"/>
          <w:b/>
          <w:kern w:val="0"/>
          <w:sz w:val="36"/>
          <w:szCs w:val="36"/>
        </w:rPr>
      </w:pPr>
    </w:p>
    <w:p>
      <w:pPr>
        <w:snapToGrid w:val="0"/>
        <w:spacing w:line="360" w:lineRule="auto"/>
        <w:ind w:right="480"/>
        <w:jc w:val="center"/>
        <w:rPr>
          <w:rFonts w:ascii="宋体" w:hAnsi="宋体" w:cs="宋体"/>
          <w:b/>
          <w:kern w:val="0"/>
          <w:sz w:val="32"/>
          <w:szCs w:val="32"/>
        </w:rPr>
      </w:pPr>
    </w:p>
    <w:p>
      <w:pPr>
        <w:spacing w:line="360" w:lineRule="auto"/>
        <w:jc w:val="center"/>
        <w:outlineLvl w:val="0"/>
        <w:rPr>
          <w:rFonts w:ascii="宋体" w:hAnsi="宋体" w:cs="宋体"/>
          <w:b/>
          <w:kern w:val="0"/>
          <w:sz w:val="36"/>
          <w:szCs w:val="36"/>
        </w:rPr>
      </w:pPr>
    </w:p>
    <w:p>
      <w:pPr>
        <w:rPr>
          <w:rFonts w:ascii="宋体" w:hAnsi="宋体" w:cs="宋体"/>
          <w:b/>
          <w:kern w:val="0"/>
          <w:sz w:val="36"/>
          <w:szCs w:val="36"/>
        </w:rPr>
      </w:pPr>
      <w:r>
        <w:rPr>
          <w:rFonts w:hint="eastAsia" w:ascii="宋体" w:hAnsi="宋体" w:cs="宋体"/>
          <w:b/>
          <w:kern w:val="0"/>
          <w:sz w:val="36"/>
          <w:szCs w:val="36"/>
        </w:rPr>
        <w:br w:type="page"/>
      </w:r>
    </w:p>
    <w:p>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jc w:val="distribute"/>
        <w:rPr>
          <w:rFonts w:ascii="宋体" w:hAnsi="宋体" w:cs="宋体"/>
        </w:rPr>
      </w:pPr>
      <w:r>
        <w:rPr>
          <w:rFonts w:hint="eastAsia" w:ascii="宋体" w:hAnsi="宋体" w:cs="宋体"/>
          <w:sz w:val="24"/>
        </w:rPr>
        <w:t>（1）交易函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firstLine="480" w:firstLineChars="200"/>
        <w:jc w:val="distribute"/>
        <w:rPr>
          <w:rFonts w:ascii="宋体" w:hAnsi="宋体" w:cs="宋体"/>
          <w:sz w:val="24"/>
        </w:rPr>
      </w:pPr>
      <w:r>
        <w:rPr>
          <w:rFonts w:hint="eastAsia" w:ascii="宋体" w:hAnsi="宋体" w:cs="宋体"/>
          <w:sz w:val="24"/>
        </w:rPr>
        <w:t>（3）营业执照</w:t>
      </w:r>
      <w:r>
        <w:rPr>
          <w:rFonts w:hint="eastAsia" w:ascii="宋体" w:hAnsi="宋体" w:cs="宋体"/>
        </w:rPr>
        <w:t>………………………………………………………………………………（页码）</w:t>
      </w:r>
    </w:p>
    <w:p>
      <w:pPr>
        <w:snapToGrid w:val="0"/>
        <w:spacing w:line="360" w:lineRule="auto"/>
        <w:ind w:firstLine="480" w:firstLineChars="200"/>
        <w:jc w:val="distribute"/>
        <w:rPr>
          <w:rFonts w:ascii="宋体" w:hAnsi="宋体" w:cs="宋体"/>
        </w:rPr>
      </w:pPr>
      <w:r>
        <w:rPr>
          <w:rFonts w:hint="eastAsia" w:ascii="宋体" w:hAnsi="宋体" w:cs="宋体"/>
          <w:sz w:val="24"/>
        </w:rPr>
        <w:t>（4）符合性审查资料</w:t>
      </w:r>
      <w:r>
        <w:rPr>
          <w:rFonts w:hint="eastAsia" w:ascii="宋体" w:hAnsi="宋体" w:cs="宋体"/>
        </w:rPr>
        <w:t>………………………………………………………………………（页码）</w:t>
      </w:r>
    </w:p>
    <w:p>
      <w:pPr>
        <w:snapToGrid w:val="0"/>
        <w:spacing w:line="360" w:lineRule="auto"/>
        <w:ind w:firstLine="480" w:firstLineChars="200"/>
        <w:jc w:val="distribute"/>
        <w:rPr>
          <w:rFonts w:ascii="宋体" w:hAnsi="宋体" w:cs="宋体"/>
          <w:sz w:val="24"/>
        </w:rPr>
      </w:pPr>
      <w:r>
        <w:rPr>
          <w:rFonts w:hint="eastAsia" w:ascii="宋体" w:hAnsi="宋体" w:cs="宋体"/>
          <w:sz w:val="24"/>
        </w:rPr>
        <w:t>（5）评审标准相应的商务技术资料</w:t>
      </w:r>
      <w:r>
        <w:rPr>
          <w:rFonts w:hint="eastAsia" w:ascii="宋体" w:hAnsi="宋体" w:cs="宋体"/>
        </w:rPr>
        <w:t>……………………………………………………（页码）</w:t>
      </w:r>
    </w:p>
    <w:p>
      <w:pPr>
        <w:snapToGrid w:val="0"/>
        <w:spacing w:line="360" w:lineRule="auto"/>
        <w:ind w:firstLine="480" w:firstLineChars="200"/>
        <w:jc w:val="distribute"/>
        <w:rPr>
          <w:rFonts w:ascii="宋体" w:hAnsi="宋体" w:cs="宋体"/>
          <w:sz w:val="24"/>
        </w:rPr>
      </w:pPr>
      <w:r>
        <w:rPr>
          <w:rFonts w:hint="eastAsia" w:ascii="宋体" w:hAnsi="宋体" w:cs="宋体"/>
          <w:sz w:val="24"/>
        </w:rPr>
        <w:t>（6）商务技术偏离表</w:t>
      </w:r>
      <w:r>
        <w:rPr>
          <w:rFonts w:hint="eastAsia" w:ascii="宋体" w:hAnsi="宋体" w:cs="宋体"/>
        </w:rPr>
        <w:t>………………………………………………………………………（页码）</w:t>
      </w:r>
    </w:p>
    <w:p>
      <w:pPr>
        <w:snapToGrid w:val="0"/>
        <w:spacing w:line="360" w:lineRule="auto"/>
        <w:ind w:left="479" w:leftChars="228"/>
        <w:jc w:val="distribute"/>
        <w:rPr>
          <w:rFonts w:ascii="宋体" w:hAnsi="宋体" w:cs="宋体"/>
          <w:sz w:val="24"/>
        </w:rPr>
      </w:pPr>
      <w:r>
        <w:rPr>
          <w:rFonts w:hint="eastAsia" w:ascii="宋体" w:hAnsi="宋体" w:cs="宋体"/>
          <w:sz w:val="24"/>
        </w:rPr>
        <w:t>（7）</w:t>
      </w:r>
      <w:r>
        <w:rPr>
          <w:rFonts w:hint="eastAsia" w:ascii="宋体" w:hAnsi="宋体" w:cs="宋体"/>
          <w:sz w:val="24"/>
          <w:lang w:val="zh-CN"/>
        </w:rPr>
        <w:t>响应人廉洁自律承诺书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b/>
          <w:kern w:val="0"/>
          <w:sz w:val="32"/>
          <w:szCs w:val="32"/>
        </w:rPr>
      </w:pPr>
      <w:r>
        <w:rPr>
          <w:rFonts w:hint="eastAsia"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一、交易函</w:t>
      </w:r>
    </w:p>
    <w:p>
      <w:pPr>
        <w:snapToGrid w:val="0"/>
        <w:spacing w:line="360" w:lineRule="auto"/>
        <w:rPr>
          <w:rFonts w:ascii="宋体" w:hAnsi="宋体" w:cs="宋体"/>
          <w:sz w:val="24"/>
          <w:u w:val="single"/>
        </w:rPr>
      </w:pPr>
      <w:r>
        <w:rPr>
          <w:rFonts w:hint="eastAsia" w:ascii="宋体" w:hAnsi="宋体" w:cs="宋体"/>
          <w:sz w:val="24"/>
          <w:u w:val="single"/>
        </w:rPr>
        <w:t>（交易发起人）、（代理机构）：</w:t>
      </w:r>
    </w:p>
    <w:p>
      <w:pPr>
        <w:snapToGrid w:val="0"/>
        <w:spacing w:line="440" w:lineRule="exact"/>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u w:val="single"/>
        </w:rPr>
        <w:t>（项目名称）【交易编号：        】</w:t>
      </w:r>
      <w:r>
        <w:rPr>
          <w:rFonts w:hint="eastAsia" w:ascii="宋体" w:hAnsi="宋体" w:cs="宋体"/>
          <w:sz w:val="24"/>
        </w:rPr>
        <w:t>招标的有关活动，并对此项目进行投标。为此：</w:t>
      </w:r>
    </w:p>
    <w:p>
      <w:pPr>
        <w:snapToGrid w:val="0"/>
        <w:spacing w:line="440" w:lineRule="exact"/>
        <w:ind w:firstLine="480" w:firstLineChars="200"/>
        <w:rPr>
          <w:rFonts w:ascii="宋体" w:hAnsi="宋体" w:cs="宋体"/>
          <w:sz w:val="24"/>
        </w:rPr>
      </w:pPr>
      <w:r>
        <w:rPr>
          <w:rFonts w:hint="eastAsia" w:ascii="宋体" w:hAnsi="宋体" w:cs="宋体"/>
          <w:sz w:val="24"/>
        </w:rPr>
        <w:t>1、我方承诺交易有效期从提交响应文件的截止之日起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本响应文件在交易有效期满之前均具有约束力。</w:t>
      </w:r>
    </w:p>
    <w:p>
      <w:pPr>
        <w:snapToGrid w:val="0"/>
        <w:spacing w:line="440" w:lineRule="exact"/>
        <w:ind w:firstLine="480" w:firstLineChars="200"/>
        <w:rPr>
          <w:rFonts w:ascii="宋体" w:hAnsi="宋体" w:cs="宋体"/>
          <w:sz w:val="24"/>
        </w:rPr>
      </w:pPr>
      <w:r>
        <w:rPr>
          <w:rFonts w:hint="eastAsia" w:ascii="宋体" w:hAnsi="宋体" w:cs="宋体"/>
          <w:sz w:val="24"/>
        </w:rPr>
        <w:t>2、我方的响应文件包括以下内容：</w:t>
      </w:r>
    </w:p>
    <w:p>
      <w:pPr>
        <w:snapToGrid w:val="0"/>
        <w:spacing w:line="440" w:lineRule="exact"/>
        <w:ind w:left="210" w:leftChars="100" w:firstLine="480" w:firstLineChars="200"/>
        <w:rPr>
          <w:rFonts w:ascii="宋体" w:hAnsi="宋体" w:cs="宋体"/>
          <w:sz w:val="24"/>
        </w:rPr>
      </w:pPr>
      <w:r>
        <w:rPr>
          <w:rFonts w:hint="eastAsia" w:ascii="宋体" w:hAnsi="宋体" w:cs="宋体"/>
          <w:sz w:val="24"/>
        </w:rPr>
        <w:t>2.1资格文件：</w:t>
      </w:r>
    </w:p>
    <w:p>
      <w:pPr>
        <w:snapToGrid w:val="0"/>
        <w:spacing w:line="440" w:lineRule="exact"/>
        <w:ind w:left="420" w:leftChars="200" w:firstLine="480" w:firstLineChars="200"/>
        <w:rPr>
          <w:rFonts w:ascii="宋体" w:hAnsi="宋体" w:cs="宋体"/>
          <w:sz w:val="24"/>
        </w:rPr>
      </w:pPr>
      <w:r>
        <w:rPr>
          <w:rFonts w:hint="eastAsia" w:ascii="宋体" w:hAnsi="宋体" w:cs="宋体"/>
          <w:sz w:val="24"/>
        </w:rPr>
        <w:t>2.1.1承诺函；</w:t>
      </w:r>
    </w:p>
    <w:p>
      <w:pPr>
        <w:snapToGrid w:val="0"/>
        <w:spacing w:line="440" w:lineRule="exact"/>
        <w:ind w:left="420" w:leftChars="200" w:firstLine="480" w:firstLineChars="200"/>
        <w:rPr>
          <w:rFonts w:ascii="宋体" w:hAnsi="宋体" w:cs="宋体"/>
          <w:sz w:val="24"/>
        </w:rPr>
      </w:pPr>
      <w:r>
        <w:rPr>
          <w:rFonts w:hint="eastAsia" w:ascii="宋体" w:hAnsi="宋体" w:cs="宋体"/>
          <w:sz w:val="24"/>
        </w:rPr>
        <w:t>2.1.2本项目的特定资格要求（如果有）。</w:t>
      </w:r>
    </w:p>
    <w:p>
      <w:pPr>
        <w:snapToGrid w:val="0"/>
        <w:spacing w:line="440" w:lineRule="exact"/>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440" w:lineRule="exact"/>
        <w:ind w:left="420" w:leftChars="200" w:firstLine="480" w:firstLineChars="200"/>
        <w:rPr>
          <w:rFonts w:ascii="宋体" w:hAnsi="宋体" w:cs="宋体"/>
          <w:sz w:val="24"/>
        </w:rPr>
      </w:pPr>
      <w:r>
        <w:rPr>
          <w:rFonts w:hint="eastAsia" w:ascii="宋体" w:hAnsi="宋体" w:cs="宋体"/>
          <w:sz w:val="24"/>
        </w:rPr>
        <w:t>2.2.1交易函；</w:t>
      </w:r>
      <w:r>
        <w:rPr>
          <w:rFonts w:hint="eastAsia" w:ascii="宋体" w:hAnsi="宋体" w:cs="宋体"/>
          <w:sz w:val="24"/>
          <w:lang w:val="zh-CN"/>
        </w:rPr>
        <w:t xml:space="preserve"> </w:t>
      </w:r>
    </w:p>
    <w:p>
      <w:pPr>
        <w:snapToGrid w:val="0"/>
        <w:spacing w:line="440" w:lineRule="exact"/>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440" w:lineRule="exact"/>
        <w:ind w:left="420" w:leftChars="200" w:firstLine="480" w:firstLineChars="200"/>
        <w:rPr>
          <w:rFonts w:ascii="宋体" w:hAnsi="宋体" w:cs="宋体"/>
          <w:sz w:val="24"/>
        </w:rPr>
      </w:pPr>
      <w:r>
        <w:rPr>
          <w:rFonts w:hint="eastAsia" w:ascii="宋体" w:hAnsi="宋体" w:cs="宋体"/>
          <w:sz w:val="24"/>
        </w:rPr>
        <w:t>2.2.3营业执照；</w:t>
      </w:r>
    </w:p>
    <w:p>
      <w:pPr>
        <w:snapToGrid w:val="0"/>
        <w:spacing w:line="440" w:lineRule="exact"/>
        <w:ind w:left="420" w:leftChars="200" w:firstLine="480" w:firstLineChars="200"/>
        <w:rPr>
          <w:rFonts w:ascii="宋体" w:hAnsi="宋体" w:cs="宋体"/>
          <w:sz w:val="24"/>
        </w:rPr>
      </w:pPr>
      <w:r>
        <w:rPr>
          <w:rFonts w:hint="eastAsia" w:ascii="宋体" w:hAnsi="宋体" w:cs="宋体"/>
          <w:sz w:val="24"/>
        </w:rPr>
        <w:t>2.2.4符合性审查资料；</w:t>
      </w:r>
    </w:p>
    <w:p>
      <w:pPr>
        <w:snapToGrid w:val="0"/>
        <w:spacing w:line="440" w:lineRule="exact"/>
        <w:ind w:left="420" w:leftChars="200" w:firstLine="480" w:firstLineChars="200"/>
        <w:rPr>
          <w:rFonts w:ascii="宋体" w:hAnsi="宋体" w:cs="宋体"/>
        </w:rPr>
      </w:pPr>
      <w:r>
        <w:rPr>
          <w:rFonts w:hint="eastAsia" w:ascii="宋体" w:hAnsi="宋体" w:cs="宋体"/>
          <w:sz w:val="24"/>
        </w:rPr>
        <w:t>2.2.5评审标准相应的商务技术资料；</w:t>
      </w:r>
    </w:p>
    <w:p>
      <w:pPr>
        <w:snapToGrid w:val="0"/>
        <w:spacing w:line="440" w:lineRule="exact"/>
        <w:ind w:left="420" w:leftChars="200" w:firstLine="480" w:firstLineChars="200"/>
        <w:rPr>
          <w:rFonts w:ascii="宋体" w:hAnsi="宋体" w:cs="宋体"/>
          <w:sz w:val="24"/>
        </w:rPr>
      </w:pPr>
      <w:r>
        <w:rPr>
          <w:rFonts w:hint="eastAsia" w:ascii="宋体" w:hAnsi="宋体" w:cs="宋体"/>
          <w:sz w:val="24"/>
        </w:rPr>
        <w:t>2.2.6商务技术偏离表；</w:t>
      </w:r>
    </w:p>
    <w:p>
      <w:pPr>
        <w:snapToGrid w:val="0"/>
        <w:spacing w:line="440" w:lineRule="exact"/>
        <w:ind w:left="420" w:leftChars="200" w:firstLine="480" w:firstLineChars="200"/>
        <w:rPr>
          <w:rFonts w:ascii="宋体" w:hAnsi="宋体" w:cs="宋体"/>
          <w:sz w:val="24"/>
        </w:rPr>
      </w:pPr>
      <w:r>
        <w:rPr>
          <w:rFonts w:hint="eastAsia" w:ascii="宋体" w:hAnsi="宋体" w:cs="宋体"/>
          <w:sz w:val="24"/>
        </w:rPr>
        <w:t>2.2.7</w:t>
      </w:r>
      <w:r>
        <w:rPr>
          <w:rFonts w:hint="eastAsia" w:ascii="宋体" w:hAnsi="宋体" w:cs="宋体"/>
          <w:sz w:val="24"/>
          <w:lang w:val="zh-CN"/>
        </w:rPr>
        <w:t>响应人廉洁自律承诺书。</w:t>
      </w:r>
    </w:p>
    <w:p>
      <w:pPr>
        <w:snapToGrid w:val="0"/>
        <w:spacing w:line="440" w:lineRule="exact"/>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440" w:lineRule="exact"/>
        <w:ind w:left="420" w:leftChars="200" w:firstLine="480" w:firstLineChars="200"/>
        <w:rPr>
          <w:rFonts w:ascii="宋体" w:hAnsi="宋体" w:cs="宋体"/>
          <w:sz w:val="24"/>
        </w:rPr>
      </w:pPr>
      <w:r>
        <w:rPr>
          <w:rFonts w:hint="eastAsia" w:ascii="宋体" w:hAnsi="宋体" w:cs="宋体"/>
          <w:sz w:val="24"/>
        </w:rPr>
        <w:t>2.3.1交易一览表（报价表）。</w:t>
      </w:r>
    </w:p>
    <w:p>
      <w:pPr>
        <w:snapToGrid w:val="0"/>
        <w:spacing w:line="440" w:lineRule="exact"/>
        <w:ind w:firstLine="480" w:firstLineChars="200"/>
        <w:rPr>
          <w:rFonts w:ascii="宋体" w:hAnsi="宋体" w:cs="宋体"/>
          <w:sz w:val="24"/>
        </w:rPr>
      </w:pPr>
      <w:r>
        <w:rPr>
          <w:rFonts w:hint="eastAsia" w:ascii="宋体" w:hAnsi="宋体" w:cs="宋体"/>
          <w:sz w:val="24"/>
        </w:rPr>
        <w:t>3、我方承诺除商务技术偏离表列出的偏离外，我方响应公开竞争文件的全部要求。</w:t>
      </w:r>
    </w:p>
    <w:p>
      <w:pPr>
        <w:snapToGrid w:val="0"/>
        <w:spacing w:line="440" w:lineRule="exact"/>
        <w:ind w:firstLine="480" w:firstLineChars="200"/>
        <w:rPr>
          <w:rFonts w:ascii="宋体" w:hAnsi="宋体" w:cs="宋体"/>
          <w:sz w:val="24"/>
        </w:rPr>
      </w:pPr>
      <w:r>
        <w:rPr>
          <w:rFonts w:hint="eastAsia" w:ascii="宋体" w:hAnsi="宋体" w:cs="宋体"/>
          <w:sz w:val="24"/>
        </w:rPr>
        <w:t>4、如我方成交，我方承诺：</w:t>
      </w:r>
    </w:p>
    <w:p>
      <w:pPr>
        <w:snapToGrid w:val="0"/>
        <w:spacing w:line="440" w:lineRule="exact"/>
        <w:ind w:left="210" w:leftChars="100" w:firstLine="480" w:firstLineChars="200"/>
        <w:rPr>
          <w:rFonts w:ascii="宋体" w:hAnsi="宋体" w:cs="宋体"/>
          <w:sz w:val="24"/>
        </w:rPr>
      </w:pPr>
      <w:r>
        <w:rPr>
          <w:rFonts w:hint="eastAsia" w:ascii="宋体" w:hAnsi="宋体" w:cs="宋体"/>
          <w:sz w:val="24"/>
        </w:rPr>
        <w:t xml:space="preserve">4.1在收到成交通知书后，在成交通知书规定的期限内与你方签订合同； </w:t>
      </w:r>
    </w:p>
    <w:p>
      <w:pPr>
        <w:snapToGrid w:val="0"/>
        <w:spacing w:line="440" w:lineRule="exact"/>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440" w:lineRule="exact"/>
        <w:ind w:left="210" w:leftChars="100" w:firstLine="480" w:firstLineChars="200"/>
        <w:rPr>
          <w:rFonts w:ascii="宋体" w:hAnsi="宋体" w:cs="宋体"/>
          <w:sz w:val="24"/>
        </w:rPr>
      </w:pPr>
      <w:r>
        <w:rPr>
          <w:rFonts w:hint="eastAsia" w:ascii="宋体" w:hAnsi="宋体" w:cs="宋体"/>
          <w:sz w:val="24"/>
        </w:rPr>
        <w:t xml:space="preserve">4.3按照公开竞争文件要求提交履约保证金； </w:t>
      </w:r>
    </w:p>
    <w:p>
      <w:pPr>
        <w:snapToGrid w:val="0"/>
        <w:spacing w:line="440" w:lineRule="exact"/>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440" w:lineRule="exact"/>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440" w:lineRule="exact"/>
        <w:ind w:firstLine="3600" w:firstLineChars="1500"/>
        <w:rPr>
          <w:rFonts w:ascii="宋体" w:hAnsi="宋体" w:cs="宋体"/>
          <w:sz w:val="24"/>
        </w:rPr>
      </w:pPr>
      <w:r>
        <w:rPr>
          <w:rFonts w:hint="eastAsia" w:ascii="宋体" w:hAnsi="宋体" w:cs="宋体"/>
          <w:sz w:val="24"/>
        </w:rPr>
        <w:t xml:space="preserve">响应人名称（电子签名）：                          </w:t>
      </w:r>
    </w:p>
    <w:p>
      <w:pPr>
        <w:spacing w:line="440" w:lineRule="exact"/>
        <w:jc w:val="center"/>
        <w:rPr>
          <w:rFonts w:ascii="宋体" w:hAnsi="宋体" w:cs="宋体"/>
          <w:kern w:val="0"/>
          <w:sz w:val="24"/>
          <w:u w:val="single"/>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sz w:val="24"/>
        </w:rPr>
        <w:t>注：按本格式和要求提供。</w:t>
      </w:r>
    </w:p>
    <w:p>
      <w:pPr>
        <w:pStyle w:val="25"/>
        <w:rPr>
          <w:rFonts w:hAnsi="宋体" w:cs="宋体"/>
          <w:lang w:val="en-US"/>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u w:val="single"/>
        </w:rPr>
        <w:t>（交易发起人）、（代理机构）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u w:val="single"/>
        </w:rPr>
        <w:t>（项目名称）【交易编号：       】</w:t>
      </w:r>
      <w:r>
        <w:rPr>
          <w:rFonts w:hint="eastAsia" w:ascii="宋体" w:hAnsi="宋体" w:cs="宋体"/>
          <w:kern w:val="0"/>
          <w:sz w:val="24"/>
          <w:lang w:val="zh-CN"/>
        </w:rPr>
        <w:t>交易项目的一切事项，其法律后果由我方承担。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响应人名称(电子签名)：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snapToGrid w:val="0"/>
        <w:spacing w:line="360" w:lineRule="auto"/>
        <w:rPr>
          <w:rFonts w:ascii="宋体" w:hAnsi="宋体" w:cs="宋体"/>
          <w:kern w:val="0"/>
          <w:sz w:val="24"/>
          <w:lang w:val="zh-CN"/>
        </w:rPr>
      </w:pPr>
      <w:r>
        <w:rPr>
          <w:rFonts w:hint="eastAsia" w:ascii="宋体" w:hAnsi="宋体" w:cs="宋体"/>
          <w:b/>
          <w:kern w:val="0"/>
          <w:sz w:val="32"/>
          <w:szCs w:val="32"/>
          <w:lang w:val="zh-CN"/>
        </w:rPr>
        <w:t xml:space="preserve">    </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的身份证明（适用于法定代表人、单位负责人或者自然人本人代表响应人参加投标）</w:t>
      </w:r>
    </w:p>
    <w:p>
      <w:pPr>
        <w:pStyle w:val="159"/>
        <w:spacing w:line="360" w:lineRule="auto"/>
        <w:rPr>
          <w:rFonts w:hAnsi="宋体" w:cs="宋体"/>
          <w:bCs/>
          <w:sz w:val="24"/>
        </w:rPr>
      </w:pPr>
      <w:r>
        <w:rPr>
          <w:rFonts w:hint="eastAsia" w:hAnsi="宋体" w:cs="宋体"/>
          <w:bCs/>
          <w:sz w:val="24"/>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9"/>
              <w:adjustRightInd w:val="0"/>
              <w:spacing w:line="360" w:lineRule="auto"/>
              <w:rPr>
                <w:rFonts w:hAnsi="宋体" w:cs="宋体"/>
                <w:bCs/>
                <w:sz w:val="24"/>
              </w:rPr>
            </w:pPr>
            <w:r>
              <w:rPr>
                <w:rFonts w:hint="eastAsia" w:hAnsi="宋体" w:cs="宋体"/>
                <w:bCs/>
                <w:sz w:val="24"/>
              </w:rPr>
              <w:t>正面：                                 反面：</w:t>
            </w:r>
          </w:p>
          <w:p>
            <w:pPr>
              <w:pStyle w:val="159"/>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响应人名称(电子签名)：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三、营业执照</w:t>
      </w:r>
    </w:p>
    <w:p>
      <w:pPr>
        <w:jc w:val="center"/>
        <w:rPr>
          <w:rFonts w:ascii="宋体" w:hAnsi="宋体" w:cs="宋体"/>
          <w:b/>
          <w:kern w:val="0"/>
          <w:sz w:val="32"/>
          <w:szCs w:val="32"/>
        </w:rPr>
      </w:pP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59"/>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p>
    <w:p>
      <w:pPr>
        <w:snapToGrid w:val="0"/>
        <w:spacing w:line="360" w:lineRule="auto"/>
        <w:ind w:firstLine="576"/>
        <w:jc w:val="center"/>
        <w:rPr>
          <w:rFonts w:ascii="宋体" w:hAnsi="宋体" w:cs="宋体"/>
          <w:kern w:val="0"/>
          <w:sz w:val="24"/>
          <w:lang w:val="zh-CN"/>
        </w:rPr>
      </w:pP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响应人名称(电子签名)：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3976"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566"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响应文件中的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3976" w:type="dxa"/>
            <w:vAlign w:val="center"/>
          </w:tcPr>
          <w:p>
            <w:pPr>
              <w:spacing w:line="360" w:lineRule="auto"/>
              <w:jc w:val="center"/>
              <w:rPr>
                <w:rFonts w:ascii="宋体" w:hAnsi="宋体" w:cs="宋体"/>
                <w:sz w:val="24"/>
              </w:rPr>
            </w:pPr>
            <w:r>
              <w:rPr>
                <w:rFonts w:hint="eastAsia" w:ascii="宋体" w:hAnsi="宋体" w:cs="宋体"/>
                <w:sz w:val="24"/>
              </w:rPr>
              <w:t>响应文件按照公开竞争文件要求签署、盖章。</w:t>
            </w:r>
          </w:p>
        </w:tc>
        <w:tc>
          <w:tcPr>
            <w:tcW w:w="3566" w:type="dxa"/>
            <w:vAlign w:val="center"/>
          </w:tcPr>
          <w:p>
            <w:pPr>
              <w:jc w:val="cente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pPr>
              <w:jc w:val="center"/>
              <w:rPr>
                <w:rFonts w:ascii="宋体" w:hAnsi="宋体" w:cs="宋体"/>
                <w:sz w:val="24"/>
              </w:rPr>
            </w:pPr>
          </w:p>
          <w:p>
            <w:pPr>
              <w:jc w:val="center"/>
              <w:rPr>
                <w:rFonts w:ascii="宋体" w:hAnsi="宋体" w:cs="宋体"/>
                <w:sz w:val="24"/>
              </w:rPr>
            </w:pPr>
            <w:r>
              <w:rPr>
                <w:rFonts w:hint="eastAsia" w:ascii="宋体" w:hAnsi="宋体" w:cs="宋体"/>
                <w:sz w:val="24"/>
              </w:rPr>
              <w:t>见响应文件</w:t>
            </w:r>
          </w:p>
          <w:p>
            <w:pPr>
              <w:jc w:val="cente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宋体" w:hAnsi="宋体" w:cs="宋体"/>
                <w:sz w:val="24"/>
              </w:rPr>
            </w:pPr>
            <w:r>
              <w:rPr>
                <w:rFonts w:hint="eastAsia" w:ascii="宋体" w:hAnsi="宋体" w:cs="宋体"/>
                <w:sz w:val="24"/>
              </w:rPr>
              <w:t>2</w:t>
            </w:r>
          </w:p>
        </w:tc>
        <w:tc>
          <w:tcPr>
            <w:tcW w:w="3976" w:type="dxa"/>
            <w:vAlign w:val="center"/>
          </w:tcPr>
          <w:p>
            <w:pPr>
              <w:spacing w:line="360" w:lineRule="auto"/>
              <w:jc w:val="center"/>
              <w:rPr>
                <w:rFonts w:ascii="宋体" w:hAnsi="宋体" w:cs="宋体"/>
                <w:sz w:val="24"/>
              </w:rPr>
            </w:pPr>
            <w:r>
              <w:rPr>
                <w:rFonts w:hint="eastAsia" w:ascii="宋体" w:hAnsi="宋体" w:cs="宋体"/>
                <w:sz w:val="24"/>
              </w:rPr>
              <w:t>响应文件中承诺的交易有效期不少于公开竞争文件中载明的交易有效期。</w:t>
            </w:r>
          </w:p>
        </w:tc>
        <w:tc>
          <w:tcPr>
            <w:tcW w:w="3566" w:type="dxa"/>
            <w:vAlign w:val="center"/>
          </w:tcPr>
          <w:p>
            <w:pPr>
              <w:jc w:val="center"/>
              <w:rPr>
                <w:rFonts w:ascii="宋体" w:hAnsi="宋体" w:cs="宋体"/>
                <w:sz w:val="24"/>
              </w:rPr>
            </w:pPr>
            <w:r>
              <w:rPr>
                <w:rFonts w:hint="eastAsia" w:ascii="宋体" w:hAnsi="宋体" w:cs="宋体"/>
                <w:sz w:val="24"/>
              </w:rPr>
              <w:t>交易函</w:t>
            </w:r>
          </w:p>
        </w:tc>
        <w:tc>
          <w:tcPr>
            <w:tcW w:w="1418" w:type="dxa"/>
            <w:vAlign w:val="center"/>
          </w:tcPr>
          <w:p>
            <w:pPr>
              <w:jc w:val="cente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3976" w:type="dxa"/>
            <w:vAlign w:val="center"/>
          </w:tcPr>
          <w:p>
            <w:pPr>
              <w:spacing w:line="360" w:lineRule="auto"/>
              <w:jc w:val="center"/>
              <w:rPr>
                <w:rFonts w:ascii="宋体" w:hAnsi="宋体" w:cs="宋体"/>
                <w:sz w:val="24"/>
              </w:rPr>
            </w:pPr>
            <w:r>
              <w:rPr>
                <w:rFonts w:hint="eastAsia" w:ascii="宋体" w:hAnsi="宋体" w:cs="宋体"/>
                <w:sz w:val="24"/>
              </w:rPr>
              <w:t>响应文件满足公开竞争文件的其它实质性要求。</w:t>
            </w:r>
          </w:p>
        </w:tc>
        <w:tc>
          <w:tcPr>
            <w:tcW w:w="3566" w:type="dxa"/>
            <w:vAlign w:val="center"/>
          </w:tcPr>
          <w:p>
            <w:pPr>
              <w:jc w:val="center"/>
              <w:rPr>
                <w:rFonts w:ascii="宋体" w:hAnsi="宋体" w:cs="宋体"/>
                <w:sz w:val="24"/>
              </w:rPr>
            </w:pPr>
            <w:r>
              <w:rPr>
                <w:rFonts w:hint="eastAsia" w:ascii="宋体" w:hAnsi="宋体" w:cs="宋体"/>
                <w:kern w:val="0"/>
                <w:sz w:val="24"/>
              </w:rPr>
              <w:t>公开竞争文件其它实质性要求相应的材料（“▲” 系指实质性要求条款，公开竞争文件无其它实质性要求的，无需提供）</w:t>
            </w:r>
          </w:p>
        </w:tc>
        <w:tc>
          <w:tcPr>
            <w:tcW w:w="1418" w:type="dxa"/>
            <w:vAlign w:val="center"/>
          </w:tcPr>
          <w:p>
            <w:pPr>
              <w:jc w:val="cente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五、评审标准相应的商务技术资料</w:t>
      </w:r>
    </w:p>
    <w:p>
      <w:pPr>
        <w:snapToGrid w:val="0"/>
        <w:spacing w:line="360" w:lineRule="auto"/>
        <w:jc w:val="left"/>
        <w:rPr>
          <w:rFonts w:ascii="宋体" w:hAnsi="宋体" w:cs="宋体"/>
          <w:b/>
          <w:sz w:val="24"/>
        </w:rPr>
      </w:pPr>
      <w:r>
        <w:rPr>
          <w:rFonts w:hint="eastAsia" w:ascii="宋体" w:hAnsi="宋体" w:cs="宋体"/>
          <w:b/>
          <w:sz w:val="24"/>
        </w:rPr>
        <w:t>（按公开竞争文件第四部分交易办法前附表中“响应文件中评审标准相应的商务技术资料目录”提供资料。）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6"/>
        <w:rPr>
          <w:rFonts w:hAnsi="宋体" w:cs="宋体"/>
          <w:b/>
          <w:kern w:val="0"/>
          <w:sz w:val="32"/>
          <w:szCs w:val="32"/>
        </w:rPr>
      </w:pPr>
    </w:p>
    <w:p>
      <w:pPr>
        <w:pStyle w:val="53"/>
        <w:rPr>
          <w:rFonts w:ascii="宋体" w:hAnsi="宋体" w:cs="宋体"/>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pacing w:line="360" w:lineRule="auto"/>
        <w:ind w:right="420"/>
        <w:jc w:val="center"/>
        <w:rPr>
          <w:rFonts w:ascii="宋体" w:hAnsi="宋体" w:cs="宋体"/>
          <w:b/>
          <w:kern w:val="0"/>
          <w:sz w:val="32"/>
          <w:szCs w:val="32"/>
        </w:rPr>
      </w:pPr>
      <w:r>
        <w:rPr>
          <w:rFonts w:hint="eastAsia" w:ascii="宋体" w:hAnsi="宋体" w:cs="宋体"/>
          <w:b/>
          <w:kern w:val="0"/>
          <w:sz w:val="32"/>
          <w:szCs w:val="32"/>
        </w:rPr>
        <w:t>六、商务技术偏离表</w:t>
      </w:r>
    </w:p>
    <w:tbl>
      <w:tblPr>
        <w:tblStyle w:val="6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公开竞争文件章节及具体内容</w:t>
            </w:r>
          </w:p>
        </w:tc>
        <w:tc>
          <w:tcPr>
            <w:tcW w:w="3546" w:type="dxa"/>
          </w:tcPr>
          <w:p>
            <w:pPr>
              <w:jc w:val="center"/>
              <w:rPr>
                <w:rFonts w:ascii="宋体" w:hAnsi="宋体" w:cs="宋体"/>
                <w:b/>
                <w:bCs/>
                <w:sz w:val="24"/>
              </w:rPr>
            </w:pPr>
            <w:r>
              <w:rPr>
                <w:rFonts w:hint="eastAsia" w:ascii="宋体" w:hAnsi="宋体" w:cs="宋体"/>
                <w:b/>
                <w:bCs/>
                <w:sz w:val="24"/>
              </w:rPr>
              <w:t>响应文件章节及具体内容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响应人保证：除商务技术偏离表列出的偏离外，响应人响应公开竞争文件的全部要求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响应人廉洁自律承诺书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u w:val="single"/>
        </w:rPr>
        <w:t>（交易发起人）、（代理机构）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w:t>
      </w:r>
      <w:r>
        <w:rPr>
          <w:rFonts w:hint="eastAsia" w:ascii="宋体" w:hAnsi="宋体" w:cs="宋体"/>
          <w:kern w:val="0"/>
          <w:sz w:val="24"/>
        </w:rPr>
        <w:t>成交</w:t>
      </w:r>
      <w:r>
        <w:rPr>
          <w:rFonts w:hint="eastAsia" w:ascii="宋体" w:hAnsi="宋体" w:cs="宋体"/>
          <w:kern w:val="0"/>
          <w:sz w:val="24"/>
          <w:lang w:val="zh-CN"/>
        </w:rPr>
        <w:t>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 xml:space="preserve">六、严格遵守相关法律法规，诚实守信，合法经营，坚决抵制各种违法违纪行为。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w:t>
      </w:r>
      <w:r>
        <w:rPr>
          <w:rFonts w:hint="eastAsia" w:ascii="宋体" w:hAnsi="宋体" w:cs="宋体"/>
          <w:kern w:val="0"/>
          <w:sz w:val="24"/>
        </w:rPr>
        <w:t>成交</w:t>
      </w:r>
      <w:r>
        <w:rPr>
          <w:rFonts w:hint="eastAsia" w:ascii="宋体" w:hAnsi="宋体" w:cs="宋体"/>
          <w:kern w:val="0"/>
          <w:sz w:val="24"/>
          <w:lang w:val="zh-CN"/>
        </w:rPr>
        <w:t>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响应人名称（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（1）交易一览表（报价表）………………………………………………………（页码）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70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pStyle w:val="70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一、交易一览表（报价表）</w:t>
      </w:r>
    </w:p>
    <w:p>
      <w:pPr>
        <w:snapToGrid w:val="0"/>
        <w:spacing w:line="360" w:lineRule="auto"/>
        <w:rPr>
          <w:rFonts w:ascii="宋体" w:hAnsi="宋体" w:cs="宋体"/>
          <w:kern w:val="0"/>
          <w:sz w:val="24"/>
        </w:rPr>
      </w:pPr>
      <w:r>
        <w:rPr>
          <w:rFonts w:hint="eastAsia" w:ascii="宋体" w:hAnsi="宋体" w:cs="宋体"/>
          <w:sz w:val="24"/>
          <w:u w:val="single"/>
        </w:rPr>
        <w:t>（交易发起人）、（代理机构）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按你方公开竞争文件要求，我们，本响应文件签字方，谨此向你方发出要约如下：如你方接受本投标，我方承诺按照如下交易一览表（报价表）的价格完成</w:t>
      </w:r>
      <w:r>
        <w:rPr>
          <w:rFonts w:hint="eastAsia" w:ascii="宋体" w:hAnsi="宋体" w:cs="宋体"/>
          <w:sz w:val="24"/>
          <w:u w:val="single"/>
        </w:rPr>
        <w:t>（项目名称）</w:t>
      </w:r>
      <w:r>
        <w:rPr>
          <w:rFonts w:hint="eastAsia" w:ascii="宋体" w:hAnsi="宋体" w:cs="宋体"/>
          <w:kern w:val="0"/>
          <w:sz w:val="24"/>
          <w:u w:val="single"/>
          <w:lang w:val="zh-CN"/>
        </w:rPr>
        <w:t>【交易编号：</w:t>
      </w:r>
      <w:r>
        <w:rPr>
          <w:rFonts w:hint="eastAsia" w:ascii="宋体" w:hAnsi="宋体" w:cs="宋体"/>
          <w:sz w:val="24"/>
          <w:u w:val="single"/>
        </w:rPr>
        <w:t xml:space="preserve">          】</w:t>
      </w:r>
      <w:r>
        <w:rPr>
          <w:rFonts w:hint="eastAsia" w:ascii="宋体" w:hAnsi="宋体" w:cs="宋体"/>
          <w:sz w:val="24"/>
        </w:rPr>
        <w:t>的实施</w:t>
      </w:r>
      <w:r>
        <w:rPr>
          <w:rFonts w:hint="eastAsia" w:ascii="宋体" w:hAnsi="宋体" w:cs="宋体"/>
          <w:kern w:val="0"/>
          <w:sz w:val="24"/>
          <w:lang w:val="zh-CN"/>
        </w:rPr>
        <w:t>。</w:t>
      </w:r>
    </w:p>
    <w:p>
      <w:pPr>
        <w:snapToGrid w:val="0"/>
        <w:spacing w:line="360" w:lineRule="auto"/>
        <w:jc w:val="center"/>
        <w:rPr>
          <w:rFonts w:ascii="宋体" w:hAnsi="宋体" w:cs="宋体"/>
          <w:b/>
          <w:kern w:val="0"/>
          <w:sz w:val="24"/>
          <w:lang w:val="zh-CN"/>
        </w:rPr>
      </w:pPr>
      <w:r>
        <w:rPr>
          <w:rFonts w:hint="eastAsia" w:ascii="宋体" w:hAnsi="宋体" w:cs="宋体"/>
          <w:b/>
          <w:kern w:val="0"/>
          <w:sz w:val="24"/>
          <w:lang w:val="zh-CN"/>
        </w:rPr>
        <w:t>交易一览表（报价表）(单位均为人民币元)</w:t>
      </w:r>
    </w:p>
    <w:tbl>
      <w:tblPr>
        <w:tblStyle w:val="66"/>
        <w:tblW w:w="14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264"/>
        <w:gridCol w:w="3839"/>
        <w:gridCol w:w="2236"/>
        <w:gridCol w:w="1471"/>
        <w:gridCol w:w="1471"/>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序号</w:t>
            </w:r>
          </w:p>
        </w:tc>
        <w:tc>
          <w:tcPr>
            <w:tcW w:w="22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名称</w:t>
            </w:r>
          </w:p>
        </w:tc>
        <w:tc>
          <w:tcPr>
            <w:tcW w:w="38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具体服务</w:t>
            </w:r>
          </w:p>
        </w:tc>
        <w:tc>
          <w:tcPr>
            <w:tcW w:w="22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最高限价</w:t>
            </w:r>
          </w:p>
        </w:tc>
        <w:tc>
          <w:tcPr>
            <w:tcW w:w="14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最低优惠率（%）</w:t>
            </w:r>
          </w:p>
        </w:tc>
        <w:tc>
          <w:tcPr>
            <w:tcW w:w="14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统一优惠率（%）</w:t>
            </w:r>
          </w:p>
        </w:tc>
        <w:tc>
          <w:tcPr>
            <w:tcW w:w="19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22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管线探测（探测管线长度大于500米）</w:t>
            </w:r>
          </w:p>
        </w:tc>
        <w:tc>
          <w:tcPr>
            <w:tcW w:w="38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管线探测，测量，水表调查、管线数据建库</w:t>
            </w:r>
          </w:p>
        </w:tc>
        <w:tc>
          <w:tcPr>
            <w:tcW w:w="223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ascii="宋体" w:hAnsi="宋体" w:cs="宋体"/>
                <w:sz w:val="24"/>
              </w:rPr>
              <w:t>2097.60</w:t>
            </w:r>
            <w:r>
              <w:rPr>
                <w:rFonts w:hint="eastAsia" w:ascii="宋体" w:hAnsi="宋体" w:cs="宋体"/>
                <w:sz w:val="24"/>
              </w:rPr>
              <w:t>元/公里</w:t>
            </w:r>
          </w:p>
        </w:tc>
        <w:tc>
          <w:tcPr>
            <w:tcW w:w="1471" w:type="dxa"/>
            <w:vMerge w:val="restart"/>
            <w:tcBorders>
              <w:top w:val="single" w:color="auto" w:sz="4" w:space="0"/>
              <w:left w:val="single" w:color="auto" w:sz="4" w:space="0"/>
              <w:right w:val="single" w:color="auto" w:sz="4" w:space="0"/>
            </w:tcBorders>
            <w:vAlign w:val="center"/>
          </w:tcPr>
          <w:p>
            <w:pPr>
              <w:tabs>
                <w:tab w:val="left" w:pos="553"/>
              </w:tabs>
              <w:snapToGrid w:val="0"/>
              <w:jc w:val="left"/>
              <w:rPr>
                <w:rFonts w:ascii="宋体" w:hAnsi="宋体" w:cs="宋体"/>
                <w:sz w:val="24"/>
              </w:rPr>
            </w:pPr>
            <w:r>
              <w:rPr>
                <w:rFonts w:hint="eastAsia" w:ascii="宋体" w:hAnsi="宋体" w:cs="宋体"/>
                <w:sz w:val="24"/>
              </w:rPr>
              <w:tab/>
            </w:r>
            <w:r>
              <w:rPr>
                <w:rFonts w:hint="eastAsia" w:ascii="宋体" w:hAnsi="宋体" w:cs="宋体"/>
                <w:sz w:val="24"/>
              </w:rPr>
              <w:t>3%</w:t>
            </w:r>
          </w:p>
        </w:tc>
        <w:tc>
          <w:tcPr>
            <w:tcW w:w="1471"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rPr>
            </w:pPr>
          </w:p>
        </w:tc>
        <w:tc>
          <w:tcPr>
            <w:tcW w:w="19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2264" w:type="dxa"/>
            <w:vMerge w:val="restart"/>
            <w:tcBorders>
              <w:top w:val="single" w:color="auto" w:sz="4" w:space="0"/>
              <w:left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零星管线、管段探测</w:t>
            </w:r>
          </w:p>
        </w:tc>
        <w:tc>
          <w:tcPr>
            <w:tcW w:w="38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对供水管线及设备进行物探</w:t>
            </w:r>
          </w:p>
        </w:tc>
        <w:tc>
          <w:tcPr>
            <w:tcW w:w="223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ascii="宋体" w:hAnsi="宋体" w:cs="宋体"/>
                <w:sz w:val="24"/>
              </w:rPr>
              <w:t>552</w:t>
            </w:r>
            <w:r>
              <w:rPr>
                <w:rFonts w:hint="eastAsia" w:ascii="宋体" w:hAnsi="宋体" w:cs="宋体"/>
                <w:sz w:val="24"/>
              </w:rPr>
              <w:t>元/处</w:t>
            </w:r>
          </w:p>
        </w:tc>
        <w:tc>
          <w:tcPr>
            <w:tcW w:w="1471" w:type="dxa"/>
            <w:vMerge w:val="continue"/>
            <w:tcBorders>
              <w:left w:val="single" w:color="auto" w:sz="4" w:space="0"/>
              <w:right w:val="single" w:color="auto" w:sz="4" w:space="0"/>
            </w:tcBorders>
            <w:vAlign w:val="center"/>
          </w:tcPr>
          <w:p>
            <w:pPr>
              <w:snapToGrid w:val="0"/>
              <w:jc w:val="center"/>
              <w:rPr>
                <w:rFonts w:ascii="宋体" w:hAnsi="宋体" w:cs="宋体"/>
                <w:sz w:val="24"/>
              </w:rPr>
            </w:pPr>
          </w:p>
        </w:tc>
        <w:tc>
          <w:tcPr>
            <w:tcW w:w="1471" w:type="dxa"/>
            <w:vMerge w:val="continue"/>
            <w:tcBorders>
              <w:left w:val="single" w:color="auto" w:sz="4" w:space="0"/>
              <w:right w:val="single" w:color="auto" w:sz="4" w:space="0"/>
            </w:tcBorders>
            <w:vAlign w:val="center"/>
          </w:tcPr>
          <w:p>
            <w:pPr>
              <w:jc w:val="center"/>
              <w:rPr>
                <w:rFonts w:ascii="宋体" w:hAnsi="宋体" w:cs="宋体"/>
                <w:sz w:val="24"/>
              </w:rPr>
            </w:pPr>
          </w:p>
        </w:tc>
        <w:tc>
          <w:tcPr>
            <w:tcW w:w="19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w:t>
            </w:r>
          </w:p>
        </w:tc>
        <w:tc>
          <w:tcPr>
            <w:tcW w:w="2264" w:type="dxa"/>
            <w:vMerge w:val="continue"/>
            <w:tcBorders>
              <w:left w:val="single" w:color="auto" w:sz="4" w:space="0"/>
              <w:right w:val="single" w:color="auto" w:sz="4" w:space="0"/>
            </w:tcBorders>
            <w:vAlign w:val="center"/>
          </w:tcPr>
          <w:p>
            <w:pPr>
              <w:snapToGrid w:val="0"/>
              <w:jc w:val="center"/>
              <w:rPr>
                <w:rFonts w:ascii="宋体" w:hAnsi="宋体" w:cs="宋体"/>
                <w:sz w:val="24"/>
              </w:rPr>
            </w:pPr>
          </w:p>
        </w:tc>
        <w:tc>
          <w:tcPr>
            <w:tcW w:w="38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对供水管线及设备进行测量</w:t>
            </w:r>
          </w:p>
        </w:tc>
        <w:tc>
          <w:tcPr>
            <w:tcW w:w="223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ascii="宋体" w:hAnsi="宋体" w:cs="宋体"/>
                <w:sz w:val="24"/>
              </w:rPr>
              <w:t>883.2</w:t>
            </w:r>
            <w:r>
              <w:rPr>
                <w:rFonts w:hint="eastAsia" w:ascii="宋体" w:hAnsi="宋体" w:cs="宋体"/>
                <w:sz w:val="24"/>
              </w:rPr>
              <w:t>元/处</w:t>
            </w:r>
          </w:p>
        </w:tc>
        <w:tc>
          <w:tcPr>
            <w:tcW w:w="1471" w:type="dxa"/>
            <w:vMerge w:val="continue"/>
            <w:tcBorders>
              <w:left w:val="single" w:color="auto" w:sz="4" w:space="0"/>
              <w:right w:val="single" w:color="auto" w:sz="4" w:space="0"/>
            </w:tcBorders>
            <w:vAlign w:val="center"/>
          </w:tcPr>
          <w:p>
            <w:pPr>
              <w:snapToGrid w:val="0"/>
              <w:jc w:val="center"/>
              <w:rPr>
                <w:rFonts w:ascii="宋体" w:hAnsi="宋体" w:cs="宋体"/>
                <w:sz w:val="24"/>
              </w:rPr>
            </w:pPr>
          </w:p>
        </w:tc>
        <w:tc>
          <w:tcPr>
            <w:tcW w:w="1471" w:type="dxa"/>
            <w:vMerge w:val="continue"/>
            <w:tcBorders>
              <w:left w:val="single" w:color="auto" w:sz="4" w:space="0"/>
              <w:right w:val="single" w:color="auto" w:sz="4" w:space="0"/>
            </w:tcBorders>
            <w:vAlign w:val="center"/>
          </w:tcPr>
          <w:p>
            <w:pPr>
              <w:jc w:val="center"/>
              <w:rPr>
                <w:rFonts w:ascii="宋体" w:hAnsi="宋体" w:cs="宋体"/>
                <w:sz w:val="24"/>
              </w:rPr>
            </w:pPr>
          </w:p>
        </w:tc>
        <w:tc>
          <w:tcPr>
            <w:tcW w:w="19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2264" w:type="dxa"/>
            <w:vMerge w:val="continue"/>
            <w:tcBorders>
              <w:left w:val="single" w:color="auto" w:sz="4" w:space="0"/>
              <w:right w:val="single" w:color="auto" w:sz="4" w:space="0"/>
            </w:tcBorders>
            <w:vAlign w:val="center"/>
          </w:tcPr>
          <w:p>
            <w:pPr>
              <w:snapToGrid w:val="0"/>
              <w:jc w:val="center"/>
              <w:rPr>
                <w:rFonts w:ascii="宋体" w:hAnsi="宋体" w:cs="宋体"/>
                <w:sz w:val="24"/>
              </w:rPr>
            </w:pPr>
          </w:p>
        </w:tc>
        <w:tc>
          <w:tcPr>
            <w:tcW w:w="38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对供水管线及设备进行物探与测量</w:t>
            </w:r>
          </w:p>
        </w:tc>
        <w:tc>
          <w:tcPr>
            <w:tcW w:w="223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ascii="宋体" w:hAnsi="宋体" w:cs="宋体"/>
                <w:sz w:val="24"/>
              </w:rPr>
              <w:t>1104</w:t>
            </w:r>
            <w:r>
              <w:rPr>
                <w:rFonts w:hint="eastAsia" w:ascii="宋体" w:hAnsi="宋体" w:cs="宋体"/>
                <w:sz w:val="24"/>
              </w:rPr>
              <w:t>元/处</w:t>
            </w:r>
          </w:p>
        </w:tc>
        <w:tc>
          <w:tcPr>
            <w:tcW w:w="1471" w:type="dxa"/>
            <w:vMerge w:val="continue"/>
            <w:tcBorders>
              <w:left w:val="single" w:color="auto" w:sz="4" w:space="0"/>
              <w:right w:val="single" w:color="auto" w:sz="4" w:space="0"/>
            </w:tcBorders>
            <w:vAlign w:val="center"/>
          </w:tcPr>
          <w:p>
            <w:pPr>
              <w:snapToGrid w:val="0"/>
              <w:jc w:val="center"/>
              <w:rPr>
                <w:rFonts w:ascii="宋体" w:hAnsi="宋体" w:cs="宋体"/>
                <w:sz w:val="24"/>
              </w:rPr>
            </w:pPr>
          </w:p>
        </w:tc>
        <w:tc>
          <w:tcPr>
            <w:tcW w:w="1471" w:type="dxa"/>
            <w:vMerge w:val="continue"/>
            <w:tcBorders>
              <w:left w:val="single" w:color="auto" w:sz="4" w:space="0"/>
              <w:right w:val="single" w:color="auto" w:sz="4" w:space="0"/>
            </w:tcBorders>
            <w:vAlign w:val="center"/>
          </w:tcPr>
          <w:p>
            <w:pPr>
              <w:jc w:val="center"/>
              <w:rPr>
                <w:rFonts w:ascii="宋体" w:hAnsi="宋体" w:cs="宋体"/>
                <w:sz w:val="24"/>
              </w:rPr>
            </w:pPr>
          </w:p>
        </w:tc>
        <w:tc>
          <w:tcPr>
            <w:tcW w:w="19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2264" w:type="dxa"/>
            <w:vMerge w:val="continue"/>
            <w:tcBorders>
              <w:left w:val="single" w:color="auto" w:sz="4" w:space="0"/>
              <w:right w:val="single" w:color="auto" w:sz="4" w:space="0"/>
            </w:tcBorders>
            <w:vAlign w:val="center"/>
          </w:tcPr>
          <w:p>
            <w:pPr>
              <w:snapToGrid w:val="0"/>
              <w:jc w:val="center"/>
              <w:rPr>
                <w:rFonts w:ascii="宋体" w:hAnsi="宋体" w:cs="宋体"/>
                <w:sz w:val="24"/>
              </w:rPr>
            </w:pPr>
          </w:p>
        </w:tc>
        <w:tc>
          <w:tcPr>
            <w:tcW w:w="38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对特殊地段所有综合管线进行物探</w:t>
            </w:r>
          </w:p>
        </w:tc>
        <w:tc>
          <w:tcPr>
            <w:tcW w:w="223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ascii="宋体" w:hAnsi="宋体" w:cs="宋体"/>
                <w:sz w:val="24"/>
              </w:rPr>
              <w:t>3312</w:t>
            </w:r>
            <w:r>
              <w:rPr>
                <w:rFonts w:hint="eastAsia" w:ascii="宋体" w:hAnsi="宋体" w:cs="宋体"/>
                <w:sz w:val="24"/>
              </w:rPr>
              <w:t>元/处</w:t>
            </w:r>
          </w:p>
        </w:tc>
        <w:tc>
          <w:tcPr>
            <w:tcW w:w="1471" w:type="dxa"/>
            <w:vMerge w:val="continue"/>
            <w:tcBorders>
              <w:left w:val="single" w:color="auto" w:sz="4" w:space="0"/>
              <w:right w:val="single" w:color="auto" w:sz="4" w:space="0"/>
            </w:tcBorders>
            <w:vAlign w:val="center"/>
          </w:tcPr>
          <w:p>
            <w:pPr>
              <w:snapToGrid w:val="0"/>
              <w:jc w:val="center"/>
              <w:rPr>
                <w:rFonts w:ascii="宋体" w:hAnsi="宋体" w:cs="宋体"/>
                <w:sz w:val="24"/>
              </w:rPr>
            </w:pPr>
          </w:p>
        </w:tc>
        <w:tc>
          <w:tcPr>
            <w:tcW w:w="1471" w:type="dxa"/>
            <w:vMerge w:val="continue"/>
            <w:tcBorders>
              <w:left w:val="single" w:color="auto" w:sz="4" w:space="0"/>
              <w:right w:val="single" w:color="auto" w:sz="4" w:space="0"/>
            </w:tcBorders>
            <w:vAlign w:val="center"/>
          </w:tcPr>
          <w:p>
            <w:pPr>
              <w:jc w:val="center"/>
              <w:rPr>
                <w:rFonts w:ascii="宋体" w:hAnsi="宋体" w:cs="宋体"/>
                <w:sz w:val="24"/>
              </w:rPr>
            </w:pPr>
          </w:p>
        </w:tc>
        <w:tc>
          <w:tcPr>
            <w:tcW w:w="19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6</w:t>
            </w:r>
          </w:p>
        </w:tc>
        <w:tc>
          <w:tcPr>
            <w:tcW w:w="2264" w:type="dxa"/>
            <w:vMerge w:val="continue"/>
            <w:tcBorders>
              <w:left w:val="single" w:color="auto" w:sz="4" w:space="0"/>
              <w:right w:val="single" w:color="auto" w:sz="4" w:space="0"/>
            </w:tcBorders>
            <w:vAlign w:val="center"/>
          </w:tcPr>
          <w:p>
            <w:pPr>
              <w:snapToGrid w:val="0"/>
              <w:jc w:val="center"/>
              <w:rPr>
                <w:rFonts w:ascii="宋体" w:hAnsi="宋体" w:cs="宋体"/>
                <w:sz w:val="24"/>
              </w:rPr>
            </w:pPr>
          </w:p>
        </w:tc>
        <w:tc>
          <w:tcPr>
            <w:tcW w:w="3839" w:type="dxa"/>
            <w:vMerge w:val="restart"/>
            <w:tcBorders>
              <w:top w:val="single" w:color="auto" w:sz="4" w:space="0"/>
              <w:left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单项设备定位、信息核对与入库</w:t>
            </w:r>
          </w:p>
          <w:p>
            <w:pPr>
              <w:snapToGrid w:val="0"/>
              <w:jc w:val="center"/>
              <w:rPr>
                <w:rFonts w:ascii="宋体" w:hAnsi="宋体" w:cs="宋体"/>
                <w:sz w:val="24"/>
              </w:rPr>
            </w:pPr>
            <w:r>
              <w:rPr>
                <w:rFonts w:hint="eastAsia" w:ascii="宋体" w:hAnsi="宋体" w:cs="宋体"/>
                <w:sz w:val="24"/>
              </w:rPr>
              <w:t>（如水质点、压力点、流量点、智能消火栓等）</w:t>
            </w:r>
          </w:p>
        </w:tc>
        <w:tc>
          <w:tcPr>
            <w:tcW w:w="223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集中（≥10只/处）</w:t>
            </w:r>
          </w:p>
        </w:tc>
        <w:tc>
          <w:tcPr>
            <w:tcW w:w="1471" w:type="dxa"/>
            <w:vMerge w:val="continue"/>
            <w:tcBorders>
              <w:left w:val="single" w:color="auto" w:sz="4" w:space="0"/>
              <w:right w:val="single" w:color="auto" w:sz="4" w:space="0"/>
            </w:tcBorders>
            <w:vAlign w:val="center"/>
          </w:tcPr>
          <w:p>
            <w:pPr>
              <w:snapToGrid w:val="0"/>
              <w:jc w:val="center"/>
              <w:rPr>
                <w:rFonts w:ascii="宋体" w:hAnsi="宋体" w:cs="宋体"/>
                <w:sz w:val="24"/>
              </w:rPr>
            </w:pPr>
          </w:p>
        </w:tc>
        <w:tc>
          <w:tcPr>
            <w:tcW w:w="1471" w:type="dxa"/>
            <w:vMerge w:val="continue"/>
            <w:tcBorders>
              <w:left w:val="single" w:color="auto" w:sz="4" w:space="0"/>
              <w:right w:val="single" w:color="auto" w:sz="4" w:space="0"/>
            </w:tcBorders>
            <w:vAlign w:val="center"/>
          </w:tcPr>
          <w:p>
            <w:pPr>
              <w:jc w:val="center"/>
              <w:rPr>
                <w:rFonts w:ascii="宋体" w:hAnsi="宋体" w:cs="宋体"/>
                <w:sz w:val="24"/>
              </w:rPr>
            </w:pPr>
          </w:p>
        </w:tc>
        <w:tc>
          <w:tcPr>
            <w:tcW w:w="19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7</w:t>
            </w:r>
          </w:p>
        </w:tc>
        <w:tc>
          <w:tcPr>
            <w:tcW w:w="2264" w:type="dxa"/>
            <w:vMerge w:val="continue"/>
            <w:tcBorders>
              <w:left w:val="single" w:color="auto" w:sz="4" w:space="0"/>
              <w:bottom w:val="single" w:color="auto" w:sz="4" w:space="0"/>
              <w:right w:val="single" w:color="auto" w:sz="4" w:space="0"/>
            </w:tcBorders>
            <w:vAlign w:val="center"/>
          </w:tcPr>
          <w:p>
            <w:pPr>
              <w:snapToGrid w:val="0"/>
              <w:jc w:val="center"/>
              <w:rPr>
                <w:rFonts w:ascii="宋体" w:hAnsi="宋体" w:cs="宋体"/>
                <w:bCs/>
                <w:sz w:val="24"/>
              </w:rPr>
            </w:pPr>
          </w:p>
        </w:tc>
        <w:tc>
          <w:tcPr>
            <w:tcW w:w="3839" w:type="dxa"/>
            <w:vMerge w:val="continue"/>
            <w:tcBorders>
              <w:left w:val="single" w:color="auto" w:sz="4" w:space="0"/>
              <w:bottom w:val="single" w:color="auto" w:sz="4" w:space="0"/>
              <w:right w:val="single" w:color="auto" w:sz="4" w:space="0"/>
            </w:tcBorders>
            <w:vAlign w:val="center"/>
          </w:tcPr>
          <w:p>
            <w:pPr>
              <w:snapToGrid w:val="0"/>
              <w:jc w:val="center"/>
              <w:rPr>
                <w:rFonts w:ascii="宋体" w:hAnsi="宋体" w:cs="宋体"/>
                <w:sz w:val="24"/>
              </w:rPr>
            </w:pPr>
          </w:p>
        </w:tc>
        <w:tc>
          <w:tcPr>
            <w:tcW w:w="223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零星（＜10只/处）</w:t>
            </w:r>
          </w:p>
        </w:tc>
        <w:tc>
          <w:tcPr>
            <w:tcW w:w="1471" w:type="dxa"/>
            <w:vMerge w:val="continue"/>
            <w:tcBorders>
              <w:left w:val="single" w:color="auto" w:sz="4" w:space="0"/>
              <w:right w:val="single" w:color="auto" w:sz="4" w:space="0"/>
            </w:tcBorders>
            <w:vAlign w:val="center"/>
          </w:tcPr>
          <w:p>
            <w:pPr>
              <w:snapToGrid w:val="0"/>
              <w:jc w:val="center"/>
              <w:rPr>
                <w:rFonts w:ascii="宋体" w:hAnsi="宋体" w:cs="宋体"/>
                <w:sz w:val="24"/>
              </w:rPr>
            </w:pPr>
          </w:p>
        </w:tc>
        <w:tc>
          <w:tcPr>
            <w:tcW w:w="1471" w:type="dxa"/>
            <w:vMerge w:val="continue"/>
            <w:tcBorders>
              <w:left w:val="single" w:color="auto" w:sz="4" w:space="0"/>
              <w:right w:val="single" w:color="auto" w:sz="4" w:space="0"/>
            </w:tcBorders>
            <w:vAlign w:val="center"/>
          </w:tcPr>
          <w:p>
            <w:pPr>
              <w:jc w:val="center"/>
              <w:rPr>
                <w:rFonts w:ascii="宋体" w:hAnsi="宋体" w:cs="宋体"/>
                <w:sz w:val="24"/>
              </w:rPr>
            </w:pPr>
          </w:p>
        </w:tc>
        <w:tc>
          <w:tcPr>
            <w:tcW w:w="19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8</w:t>
            </w:r>
          </w:p>
        </w:tc>
        <w:tc>
          <w:tcPr>
            <w:tcW w:w="22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Cs/>
                <w:sz w:val="24"/>
              </w:rPr>
            </w:pPr>
            <w:r>
              <w:rPr>
                <w:rFonts w:hint="eastAsia" w:ascii="宋体" w:hAnsi="宋体" w:cs="宋体"/>
                <w:bCs/>
                <w:sz w:val="24"/>
              </w:rPr>
              <w:t>管网GIS系列软件维护服务</w:t>
            </w:r>
          </w:p>
        </w:tc>
        <w:tc>
          <w:tcPr>
            <w:tcW w:w="38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hint="eastAsia" w:ascii="宋体" w:hAnsi="宋体" w:cs="宋体"/>
                <w:sz w:val="24"/>
              </w:rPr>
              <w:t>维护的软件系统包括供水管网GIS信息系统（桌面版、网页版、移动版）、供水管网巡检系统、巡检事件工单管理系统、分区计量系统。维护服务内容包括功能优化、接口维护、故障修复、使用培训等。</w:t>
            </w:r>
          </w:p>
        </w:tc>
        <w:tc>
          <w:tcPr>
            <w:tcW w:w="223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 w:val="24"/>
              </w:rPr>
            </w:pPr>
            <w:r>
              <w:rPr>
                <w:rFonts w:ascii="宋体" w:hAnsi="宋体" w:cs="宋体"/>
                <w:sz w:val="24"/>
              </w:rPr>
              <w:t>100000</w:t>
            </w:r>
            <w:r>
              <w:rPr>
                <w:rFonts w:hint="eastAsia" w:ascii="宋体" w:hAnsi="宋体" w:cs="宋体"/>
                <w:sz w:val="24"/>
              </w:rPr>
              <w:t>元/年</w:t>
            </w:r>
          </w:p>
        </w:tc>
        <w:tc>
          <w:tcPr>
            <w:tcW w:w="1471" w:type="dxa"/>
            <w:vMerge w:val="continue"/>
            <w:tcBorders>
              <w:left w:val="single" w:color="auto" w:sz="4" w:space="0"/>
              <w:bottom w:val="single" w:color="auto" w:sz="4" w:space="0"/>
              <w:right w:val="single" w:color="auto" w:sz="4" w:space="0"/>
            </w:tcBorders>
            <w:vAlign w:val="center"/>
          </w:tcPr>
          <w:p>
            <w:pPr>
              <w:snapToGrid w:val="0"/>
              <w:jc w:val="center"/>
              <w:rPr>
                <w:rFonts w:ascii="宋体" w:hAnsi="宋体" w:cs="宋体"/>
                <w:sz w:val="24"/>
              </w:rPr>
            </w:pPr>
          </w:p>
        </w:tc>
        <w:tc>
          <w:tcPr>
            <w:tcW w:w="1471"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9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8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r>
              <w:rPr>
                <w:rFonts w:hint="eastAsia" w:ascii="宋体" w:hAnsi="宋体" w:cs="宋体"/>
                <w:b/>
                <w:sz w:val="24"/>
              </w:rPr>
              <w:t>统一优惠率（%）</w:t>
            </w:r>
          </w:p>
        </w:tc>
        <w:tc>
          <w:tcPr>
            <w:tcW w:w="22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p>
        </w:tc>
        <w:tc>
          <w:tcPr>
            <w:tcW w:w="14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 w:val="24"/>
              </w:rPr>
            </w:pPr>
          </w:p>
        </w:tc>
        <w:tc>
          <w:tcPr>
            <w:tcW w:w="346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u w:val="single"/>
              </w:rPr>
              <w:t xml:space="preserve">              </w:t>
            </w:r>
            <w:r>
              <w:rPr>
                <w:rFonts w:hint="eastAsia" w:ascii="宋体" w:hAnsi="宋体" w:cs="宋体"/>
                <w:sz w:val="24"/>
              </w:rPr>
              <w:t xml:space="preserve"> % </w:t>
            </w:r>
          </w:p>
        </w:tc>
      </w:tr>
    </w:tbl>
    <w:p>
      <w:pPr>
        <w:snapToGrid w:val="0"/>
        <w:spacing w:line="360" w:lineRule="auto"/>
        <w:ind w:left="480"/>
        <w:rPr>
          <w:rFonts w:ascii="宋体" w:hAnsi="宋体" w:cs="宋体"/>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1、响应人需按本表格式填写，不得自行更改。</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交易发起人将以合同形式有偿取得货物或服务，不接受响应人给予的赠品、回扣或者与交易无关的其他商品、服务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响应文件含有交易发起人不能接受的附加条件的，交易无效</w:t>
      </w:r>
      <w:r>
        <w:rPr>
          <w:rFonts w:hint="eastAsia" w:ascii="宋体" w:hAnsi="宋体" w:cs="宋体"/>
          <w:b/>
          <w:kern w:val="0"/>
          <w:sz w:val="24"/>
          <w:lang w:val="zh-CN"/>
        </w:rPr>
        <w:t>；交易内容未包含在《交易一览表（报价表）》名称栏中，响应人不能作出合理解释的，</w:t>
      </w:r>
      <w:r>
        <w:rPr>
          <w:rFonts w:hint="eastAsia" w:ascii="宋体" w:hAnsi="宋体" w:cs="宋体"/>
          <w:b/>
          <w:kern w:val="0"/>
          <w:sz w:val="24"/>
        </w:rPr>
        <w:t>视为</w:t>
      </w:r>
      <w:r>
        <w:rPr>
          <w:rFonts w:hint="eastAsia" w:ascii="宋体" w:hAnsi="宋体" w:cs="宋体"/>
          <w:b/>
          <w:sz w:val="24"/>
        </w:rPr>
        <w:t>响应文件含有交易发起人不能接受的附加条件的，交易无效。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4、特别提示：代理机构将对项目名称和项目编号，成交响应人名称、地址和</w:t>
      </w:r>
      <w:r>
        <w:rPr>
          <w:rFonts w:hint="eastAsia" w:ascii="宋体" w:hAnsi="宋体" w:cs="宋体"/>
          <w:kern w:val="0"/>
          <w:sz w:val="24"/>
        </w:rPr>
        <w:t>成交</w:t>
      </w:r>
      <w:r>
        <w:rPr>
          <w:rFonts w:hint="eastAsia" w:ascii="宋体" w:hAnsi="宋体" w:cs="宋体"/>
          <w:kern w:val="0"/>
          <w:sz w:val="24"/>
          <w:lang w:val="zh-CN"/>
        </w:rPr>
        <w:t>金额等予以公示。</w:t>
      </w:r>
    </w:p>
    <w:p>
      <w:pPr>
        <w:spacing w:line="360" w:lineRule="auto"/>
        <w:ind w:firstLine="482" w:firstLineChars="200"/>
        <w:rPr>
          <w:rFonts w:ascii="宋体" w:hAnsi="宋体" w:cs="宋体"/>
          <w:b/>
          <w:kern w:val="0"/>
          <w:sz w:val="24"/>
        </w:rPr>
      </w:pPr>
    </w:p>
    <w:p>
      <w:pPr>
        <w:autoSpaceDE w:val="0"/>
        <w:autoSpaceDN w:val="0"/>
        <w:spacing w:line="360" w:lineRule="auto"/>
        <w:ind w:left="2" w:leftChars="1" w:right="1120" w:firstLine="7680" w:firstLineChars="3200"/>
        <w:jc w:val="left"/>
        <w:rPr>
          <w:rFonts w:ascii="宋体" w:hAnsi="宋体" w:cs="宋体"/>
          <w:kern w:val="0"/>
          <w:sz w:val="24"/>
          <w:lang w:val="zh-CN"/>
        </w:rPr>
      </w:pPr>
      <w:r>
        <w:rPr>
          <w:rFonts w:hint="eastAsia" w:ascii="宋体" w:hAnsi="宋体" w:cs="宋体"/>
          <w:kern w:val="0"/>
          <w:sz w:val="24"/>
          <w:lang w:val="zh-CN"/>
        </w:rPr>
        <w:t>响应人名称（</w:t>
      </w:r>
      <w:r>
        <w:rPr>
          <w:rFonts w:hint="eastAsia" w:ascii="宋体" w:hAnsi="宋体" w:cs="宋体"/>
          <w:sz w:val="24"/>
        </w:rPr>
        <w:t>电子签名</w:t>
      </w:r>
      <w:r>
        <w:rPr>
          <w:rFonts w:hint="eastAsia" w:ascii="宋体" w:hAnsi="宋体" w:cs="宋体"/>
          <w:kern w:val="0"/>
          <w:sz w:val="24"/>
          <w:lang w:val="zh-CN"/>
        </w:rPr>
        <w:t>）：</w:t>
      </w:r>
    </w:p>
    <w:p>
      <w:pPr>
        <w:autoSpaceDE w:val="0"/>
        <w:autoSpaceDN w:val="0"/>
        <w:spacing w:line="360" w:lineRule="auto"/>
        <w:ind w:left="2" w:leftChars="1" w:right="1120" w:firstLine="7680" w:firstLineChars="3200"/>
        <w:jc w:val="left"/>
        <w:rPr>
          <w:rFonts w:ascii="宋体" w:hAnsi="宋体" w:cs="宋体"/>
          <w:sz w:val="32"/>
          <w:szCs w:val="32"/>
        </w:rPr>
        <w:sectPr>
          <w:pgSz w:w="16838" w:h="11906" w:orient="landscape"/>
          <w:pgMar w:top="1418" w:right="1247" w:bottom="1418" w:left="1276" w:header="851" w:footer="992" w:gutter="0"/>
          <w:cols w:space="720" w:num="1"/>
          <w:titlePg/>
          <w:docGrid w:linePitch="312" w:charSpace="0"/>
        </w:sect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附件1：</w:t>
      </w:r>
      <w:r>
        <w:rPr>
          <w:rFonts w:hint="eastAsia" w:ascii="宋体" w:hAnsi="宋体" w:cs="宋体"/>
          <w:b/>
          <w:spacing w:val="6"/>
          <w:sz w:val="32"/>
          <w:szCs w:val="32"/>
          <w:lang w:val="zh-CN"/>
        </w:rPr>
        <w:t>异议</w:t>
      </w:r>
      <w:r>
        <w:rPr>
          <w:rFonts w:hint="eastAsia" w:ascii="宋体" w:hAnsi="宋体" w:cs="宋体"/>
          <w:b/>
          <w:spacing w:val="6"/>
          <w:sz w:val="32"/>
          <w:szCs w:val="32"/>
        </w:rPr>
        <w:t>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异议函范本</w:t>
      </w:r>
    </w:p>
    <w:p>
      <w:pPr>
        <w:snapToGrid w:val="0"/>
        <w:spacing w:before="240" w:beforeLines="100" w:line="360" w:lineRule="auto"/>
        <w:rPr>
          <w:rFonts w:ascii="宋体" w:hAnsi="宋体" w:cs="宋体"/>
          <w:bCs/>
          <w:sz w:val="24"/>
        </w:rPr>
      </w:pPr>
      <w:r>
        <w:rPr>
          <w:rFonts w:hint="eastAsia" w:ascii="宋体" w:hAnsi="宋体" w:cs="宋体"/>
          <w:bCs/>
          <w:sz w:val="24"/>
        </w:rPr>
        <w:t>一、异议响应人基本信息</w:t>
      </w:r>
    </w:p>
    <w:p>
      <w:pPr>
        <w:snapToGrid w:val="0"/>
        <w:spacing w:line="360" w:lineRule="auto"/>
        <w:rPr>
          <w:rFonts w:ascii="宋体" w:hAnsi="宋体" w:cs="宋体"/>
          <w:sz w:val="24"/>
          <w:u w:val="dotted"/>
        </w:rPr>
      </w:pPr>
      <w:r>
        <w:rPr>
          <w:rFonts w:hint="eastAsia" w:ascii="宋体" w:hAnsi="宋体" w:cs="宋体"/>
          <w:sz w:val="24"/>
        </w:rPr>
        <w:t>异议响应人：</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二、异议项目基本情况</w:t>
      </w:r>
    </w:p>
    <w:p>
      <w:pPr>
        <w:snapToGrid w:val="0"/>
        <w:spacing w:line="360" w:lineRule="auto"/>
        <w:rPr>
          <w:rFonts w:ascii="宋体" w:hAnsi="宋体" w:cs="宋体"/>
          <w:sz w:val="24"/>
        </w:rPr>
      </w:pPr>
      <w:r>
        <w:rPr>
          <w:rFonts w:hint="eastAsia" w:ascii="宋体" w:hAnsi="宋体" w:cs="宋体"/>
          <w:sz w:val="24"/>
        </w:rPr>
        <w:t>异议项目的名称：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异议项目的编号：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交易发起人名称：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公开竞争文件获取日期：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三、异议事项具体内容</w:t>
      </w:r>
    </w:p>
    <w:p>
      <w:pPr>
        <w:snapToGrid w:val="0"/>
        <w:spacing w:line="360" w:lineRule="auto"/>
        <w:rPr>
          <w:rFonts w:ascii="宋体" w:hAnsi="宋体" w:cs="宋体"/>
          <w:sz w:val="24"/>
          <w:u w:val="dotted"/>
        </w:rPr>
      </w:pPr>
      <w:r>
        <w:rPr>
          <w:rFonts w:hint="eastAsia" w:ascii="宋体" w:hAnsi="宋体" w:cs="宋体"/>
          <w:sz w:val="24"/>
        </w:rPr>
        <w:t>异议事项1：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异议事项2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四、与异议事项相关的异议请求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异议函制作说明：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1.响应人提出异议时，应提交异议函和必要的证明材料。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2.异议响应人若委托代理人进行异议的，异议函应按要求列明“授权代表”的有关内容，并在附件中提交由异议</w:t>
      </w:r>
      <w:r>
        <w:rPr>
          <w:rFonts w:hint="eastAsia" w:ascii="宋体" w:hAnsi="宋体" w:cs="宋体"/>
          <w:kern w:val="0"/>
          <w:sz w:val="24"/>
        </w:rPr>
        <w:t>响应人签署的授权委托书。授权委托书应载明代理人的姓名或者名称、代理事项、具体权限、期限和相关事项。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3.异议响应人若对项目的某一分包进行异议，异议函中应列明具体分包号。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4.异议函的异议事项应具体、明确，并有必要的事实依据和法律依据。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5.异议函的异议请求应与异议事项相关。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6.异议响应人为自然人的，异议函应由本人签字；异议响应人为法人或者其他组织的，异议函应由法定代表人、主要负责人，或者其授权代表签字或者盖章，并加盖公章。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相关响应人：</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交易名称：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交易编号：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交易发起人名称：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公开竞争文件公告: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成交结果公告: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三、异议基本情况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提出异议，异议事项为：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交易发起人/代理机构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日,就异议事项作出了答复/没有在法定期限内作出答复。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1.投诉人提起投诉时，应当提交投诉书和必要的证明材料，并按照被投诉人和与投诉事项有关的响应人数量提供投诉书副本。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4.投诉书应简要列明异议事项，异议函、异议答复等作为附件材料提供。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left"/>
        <w:rPr>
          <w:rFonts w:ascii="宋体" w:hAnsi="宋体" w:cs="宋体"/>
          <w:b/>
          <w:spacing w:val="6"/>
          <w:sz w:val="32"/>
          <w:szCs w:val="32"/>
        </w:rPr>
      </w:pPr>
    </w:p>
    <w:p>
      <w:pPr>
        <w:autoSpaceDE w:val="0"/>
        <w:autoSpaceDN w:val="0"/>
        <w:jc w:val="left"/>
        <w:rPr>
          <w:rFonts w:ascii="宋体" w:hAnsi="宋体" w:cs="宋体"/>
          <w:b/>
          <w:spacing w:val="6"/>
          <w:sz w:val="32"/>
          <w:szCs w:val="32"/>
        </w:rPr>
      </w:pPr>
      <w:r>
        <w:rPr>
          <w:rFonts w:hint="eastAsia" w:ascii="宋体" w:hAnsi="宋体" w:cs="宋体"/>
          <w:b/>
          <w:spacing w:val="6"/>
          <w:sz w:val="32"/>
          <w:szCs w:val="32"/>
        </w:rPr>
        <w:t>附件3：</w:t>
      </w:r>
    </w:p>
    <w:p>
      <w:pPr>
        <w:autoSpaceDE w:val="0"/>
        <w:autoSpaceDN w:val="0"/>
        <w:jc w:val="center"/>
        <w:rPr>
          <w:rFonts w:ascii="宋体" w:hAnsi="宋体" w:cs="宋体"/>
          <w:b/>
          <w:bCs/>
          <w:sz w:val="32"/>
          <w:szCs w:val="32"/>
        </w:rPr>
      </w:pPr>
    </w:p>
    <w:p>
      <w:pPr>
        <w:autoSpaceDE w:val="0"/>
        <w:autoSpaceDN w:val="0"/>
        <w:jc w:val="center"/>
        <w:rPr>
          <w:rFonts w:ascii="宋体" w:hAnsi="宋体" w:cs="宋体"/>
          <w:b/>
          <w:bCs/>
          <w:sz w:val="32"/>
          <w:szCs w:val="32"/>
        </w:rPr>
      </w:pP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rPr>
        <w:t>（交易发起人）、（代理机构）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(响应人全称)是中华人民共和国依法登记注册的合法企业，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u w:val="single"/>
        </w:rPr>
        <w:t>（项目名称）项目【交易编号：      ）】</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sectPr>
      <w:headerReference r:id="rId12" w:type="first"/>
      <w:footerReference r:id="rId15" w:type="first"/>
      <w:headerReference r:id="rId11" w:type="default"/>
      <w:footerReference r:id="rId13" w:type="default"/>
      <w:footerReference r:id="rId14"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29</w:t>
                    </w:r>
                    <w:r>
                      <w:fldChar w:fldCharType="end"/>
                    </w:r>
                    <w:r>
                      <w:t xml:space="preserve"> 页</w:t>
                    </w:r>
                  </w:p>
                </w:txbxContent>
              </v:textbox>
            </v:shape>
          </w:pict>
        </mc:Fallback>
      </mc:AlternateContent>
    </w:r>
  </w:p>
  <w:p>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28</w:t>
                    </w:r>
                    <w:r>
                      <w:fldChar w:fldCharType="end"/>
                    </w:r>
                    <w:r>
                      <w:t xml:space="preserve"> 页</w:t>
                    </w:r>
                  </w:p>
                </w:txbxContent>
              </v:textbox>
            </v:shape>
          </w:pict>
        </mc:Fallback>
      </mc:AlternateConten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39</w:t>
                    </w:r>
                    <w:r>
                      <w:fldChar w:fldCharType="end"/>
                    </w:r>
                    <w: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6"/>
      </w:rPr>
    </w:pPr>
    <w:r>
      <w:fldChar w:fldCharType="begin"/>
    </w:r>
    <w:r>
      <w:rPr>
        <w:rStyle w:val="76"/>
      </w:rPr>
      <w:instrText xml:space="preserve">PAGE  </w:instrText>
    </w:r>
    <w:r>
      <w:fldChar w:fldCharType="end"/>
    </w:r>
  </w:p>
  <w:p>
    <w:pPr>
      <w:pStyle w:val="4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rPr>
        <w:rFonts w:hint="eastAsia"/>
      </w:rPr>
      <w:t xml:space="preserve">                                                                                        公开竞争文件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rPr>
        <w:rFonts w:hint="eastAsia"/>
      </w:rPr>
      <w:t xml:space="preserve">                                                                                        公开竞争文件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公开竞争文件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公开竞争文件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公开竞争文件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w:t>
    </w:r>
    <w:r>
      <w:rPr>
        <w:rFonts w:hint="eastAsia"/>
      </w:rPr>
      <w:t xml:space="preserve">                                                             公开竞争文件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A55137"/>
    <w:multiLevelType w:val="singleLevel"/>
    <w:tmpl w:val="A5A55137"/>
    <w:lvl w:ilvl="0" w:tentative="0">
      <w:start w:val="1"/>
      <w:numFmt w:val="decimal"/>
      <w:suff w:val="nothing"/>
      <w:lvlText w:val="（%1）"/>
      <w:lvlJc w:val="left"/>
    </w:lvl>
  </w:abstractNum>
  <w:abstractNum w:abstractNumId="1">
    <w:nsid w:val="ACE5C195"/>
    <w:multiLevelType w:val="singleLevel"/>
    <w:tmpl w:val="ACE5C195"/>
    <w:lvl w:ilvl="0" w:tentative="0">
      <w:start w:val="1"/>
      <w:numFmt w:val="chineseCounting"/>
      <w:suff w:val="space"/>
      <w:lvlText w:val="第%1条"/>
      <w:lvlJc w:val="left"/>
      <w:rPr>
        <w:rFonts w:hint="eastAsia"/>
      </w:rPr>
    </w:lvl>
  </w:abstractNum>
  <w:abstractNum w:abstractNumId="2">
    <w:nsid w:val="432294EC"/>
    <w:multiLevelType w:val="singleLevel"/>
    <w:tmpl w:val="432294EC"/>
    <w:lvl w:ilvl="0" w:tentative="0">
      <w:start w:val="8"/>
      <w:numFmt w:val="decimal"/>
      <w:lvlText w:val="%1."/>
      <w:lvlJc w:val="left"/>
      <w:pPr>
        <w:tabs>
          <w:tab w:val="left" w:pos="312"/>
        </w:tabs>
      </w:pPr>
    </w:lvl>
  </w:abstractNum>
  <w:abstractNum w:abstractNumId="3">
    <w:nsid w:val="434CA0FB"/>
    <w:multiLevelType w:val="singleLevel"/>
    <w:tmpl w:val="434CA0FB"/>
    <w:lvl w:ilvl="0" w:tentative="0">
      <w:start w:val="14"/>
      <w:numFmt w:val="decimal"/>
      <w:lvlText w:val="%1."/>
      <w:lvlJc w:val="left"/>
      <w:pPr>
        <w:tabs>
          <w:tab w:val="left" w:pos="312"/>
        </w:tabs>
      </w:pPr>
    </w:lvl>
  </w:abstractNum>
  <w:abstractNum w:abstractNumId="4">
    <w:nsid w:val="5559833E"/>
    <w:multiLevelType w:val="singleLevel"/>
    <w:tmpl w:val="5559833E"/>
    <w:lvl w:ilvl="0" w:tentative="0">
      <w:start w:val="1"/>
      <w:numFmt w:val="chineseCounting"/>
      <w:suff w:val="nothing"/>
      <w:lvlText w:val="%1、"/>
      <w:lvlJc w:val="left"/>
      <w:pPr>
        <w:ind w:left="0" w:firstLine="0"/>
      </w:pPr>
    </w:lvl>
  </w:abstractNum>
  <w:num w:numId="1">
    <w:abstractNumId w:val="3"/>
  </w:num>
  <w:num w:numId="2">
    <w:abstractNumId w:val="4"/>
    <w:lvlOverride w:ilvl="0">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wOGU3ZDU0OWE3MmIzNzlhNzdiMzBhNTdiYmI4YjIifQ=="/>
  </w:docVars>
  <w:rsids>
    <w:rsidRoot w:val="00172A27"/>
    <w:rsid w:val="00000451"/>
    <w:rsid w:val="0000108B"/>
    <w:rsid w:val="0000133D"/>
    <w:rsid w:val="00001509"/>
    <w:rsid w:val="000032B2"/>
    <w:rsid w:val="0000363B"/>
    <w:rsid w:val="00003B8A"/>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46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A28"/>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0DF"/>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6A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1D7C"/>
    <w:rsid w:val="00242510"/>
    <w:rsid w:val="00242F79"/>
    <w:rsid w:val="00244008"/>
    <w:rsid w:val="0024415B"/>
    <w:rsid w:val="00245565"/>
    <w:rsid w:val="002458C1"/>
    <w:rsid w:val="00245E62"/>
    <w:rsid w:val="002460D0"/>
    <w:rsid w:val="00246357"/>
    <w:rsid w:val="00247422"/>
    <w:rsid w:val="00247BA2"/>
    <w:rsid w:val="00250870"/>
    <w:rsid w:val="0025151C"/>
    <w:rsid w:val="0025184F"/>
    <w:rsid w:val="00251967"/>
    <w:rsid w:val="00252419"/>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392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5991"/>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0E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39E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4E5"/>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FC2"/>
    <w:rsid w:val="00486516"/>
    <w:rsid w:val="0048664F"/>
    <w:rsid w:val="004868AD"/>
    <w:rsid w:val="00486D00"/>
    <w:rsid w:val="00487FE1"/>
    <w:rsid w:val="00490707"/>
    <w:rsid w:val="00490815"/>
    <w:rsid w:val="0049117E"/>
    <w:rsid w:val="004916F2"/>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3E3"/>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AB0"/>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4B7"/>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61F"/>
    <w:rsid w:val="005D0FB4"/>
    <w:rsid w:val="005D1176"/>
    <w:rsid w:val="005D1747"/>
    <w:rsid w:val="005D266D"/>
    <w:rsid w:val="005D306D"/>
    <w:rsid w:val="005D3327"/>
    <w:rsid w:val="005D4854"/>
    <w:rsid w:val="005D5BCF"/>
    <w:rsid w:val="005D65BF"/>
    <w:rsid w:val="005D6D84"/>
    <w:rsid w:val="005D70A1"/>
    <w:rsid w:val="005D75FC"/>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4EB9"/>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C1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37F2F"/>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10C"/>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315"/>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2E12"/>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4F2"/>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43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B52"/>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5AEB"/>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8F7884"/>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37501"/>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4F4E"/>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4CC"/>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2"/>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5FC"/>
    <w:rsid w:val="009E5701"/>
    <w:rsid w:val="009E5711"/>
    <w:rsid w:val="009E758E"/>
    <w:rsid w:val="009E7BFB"/>
    <w:rsid w:val="009E7D6B"/>
    <w:rsid w:val="009E7E81"/>
    <w:rsid w:val="009F020A"/>
    <w:rsid w:val="009F05AD"/>
    <w:rsid w:val="009F0659"/>
    <w:rsid w:val="009F1109"/>
    <w:rsid w:val="009F1256"/>
    <w:rsid w:val="009F143E"/>
    <w:rsid w:val="009F17B1"/>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67A"/>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61C"/>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22"/>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01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4E2F"/>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16C"/>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760"/>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BE4"/>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5FF"/>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4CA"/>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2AC"/>
    <w:rsid w:val="00D22B13"/>
    <w:rsid w:val="00D2371E"/>
    <w:rsid w:val="00D237E0"/>
    <w:rsid w:val="00D23A17"/>
    <w:rsid w:val="00D23F93"/>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CB2"/>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DF7FE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49"/>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2ACA"/>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59FA"/>
    <w:rsid w:val="00F06340"/>
    <w:rsid w:val="00F0665D"/>
    <w:rsid w:val="00F06D42"/>
    <w:rsid w:val="00F07134"/>
    <w:rsid w:val="00F0724D"/>
    <w:rsid w:val="00F07378"/>
    <w:rsid w:val="00F10B81"/>
    <w:rsid w:val="00F10BC9"/>
    <w:rsid w:val="00F113C9"/>
    <w:rsid w:val="00F11891"/>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874"/>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4D19"/>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78F"/>
    <w:rsid w:val="00FC4A89"/>
    <w:rsid w:val="00FC4DB0"/>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7055D0"/>
    <w:rsid w:val="0178495D"/>
    <w:rsid w:val="019F7441"/>
    <w:rsid w:val="01A06AA0"/>
    <w:rsid w:val="01B37585"/>
    <w:rsid w:val="01B5399D"/>
    <w:rsid w:val="01C064F8"/>
    <w:rsid w:val="01D55165"/>
    <w:rsid w:val="01DF6BF8"/>
    <w:rsid w:val="01EC2C57"/>
    <w:rsid w:val="02021298"/>
    <w:rsid w:val="020B640B"/>
    <w:rsid w:val="025F0711"/>
    <w:rsid w:val="02644317"/>
    <w:rsid w:val="026B2E25"/>
    <w:rsid w:val="02824D4D"/>
    <w:rsid w:val="02BE3979"/>
    <w:rsid w:val="02DC4B10"/>
    <w:rsid w:val="02DD76CE"/>
    <w:rsid w:val="02E84AFC"/>
    <w:rsid w:val="02F36323"/>
    <w:rsid w:val="02F5619C"/>
    <w:rsid w:val="030E12FE"/>
    <w:rsid w:val="03233C63"/>
    <w:rsid w:val="0326446A"/>
    <w:rsid w:val="032D5555"/>
    <w:rsid w:val="036634D2"/>
    <w:rsid w:val="038A68D9"/>
    <w:rsid w:val="03DD35E4"/>
    <w:rsid w:val="04076900"/>
    <w:rsid w:val="041A5A3B"/>
    <w:rsid w:val="042311BA"/>
    <w:rsid w:val="042B157A"/>
    <w:rsid w:val="048F763B"/>
    <w:rsid w:val="049F330E"/>
    <w:rsid w:val="04AA775C"/>
    <w:rsid w:val="04AF1889"/>
    <w:rsid w:val="04B85F11"/>
    <w:rsid w:val="04EE3F9B"/>
    <w:rsid w:val="04F66F48"/>
    <w:rsid w:val="051E28A6"/>
    <w:rsid w:val="05251E14"/>
    <w:rsid w:val="05507636"/>
    <w:rsid w:val="05770BD6"/>
    <w:rsid w:val="058806C7"/>
    <w:rsid w:val="05A16594"/>
    <w:rsid w:val="05A7762D"/>
    <w:rsid w:val="05BF4603"/>
    <w:rsid w:val="05C04DC2"/>
    <w:rsid w:val="060E5941"/>
    <w:rsid w:val="06110FAF"/>
    <w:rsid w:val="06493CA7"/>
    <w:rsid w:val="065A6178"/>
    <w:rsid w:val="066D3597"/>
    <w:rsid w:val="066F1CF3"/>
    <w:rsid w:val="06930BB8"/>
    <w:rsid w:val="06956198"/>
    <w:rsid w:val="07245D42"/>
    <w:rsid w:val="07264C62"/>
    <w:rsid w:val="072F6604"/>
    <w:rsid w:val="074460BC"/>
    <w:rsid w:val="0779354C"/>
    <w:rsid w:val="077F0C95"/>
    <w:rsid w:val="07C300BD"/>
    <w:rsid w:val="07FE18F3"/>
    <w:rsid w:val="08061376"/>
    <w:rsid w:val="08452D77"/>
    <w:rsid w:val="086401F8"/>
    <w:rsid w:val="08751CAA"/>
    <w:rsid w:val="0876556A"/>
    <w:rsid w:val="087E4C40"/>
    <w:rsid w:val="08A53637"/>
    <w:rsid w:val="08A871D0"/>
    <w:rsid w:val="08D66AD6"/>
    <w:rsid w:val="08DA33A3"/>
    <w:rsid w:val="08E80F13"/>
    <w:rsid w:val="092612F3"/>
    <w:rsid w:val="092748F4"/>
    <w:rsid w:val="09335624"/>
    <w:rsid w:val="093E11FE"/>
    <w:rsid w:val="0944690F"/>
    <w:rsid w:val="09535675"/>
    <w:rsid w:val="095F057D"/>
    <w:rsid w:val="0960544E"/>
    <w:rsid w:val="09642282"/>
    <w:rsid w:val="09733572"/>
    <w:rsid w:val="09772C16"/>
    <w:rsid w:val="098353B5"/>
    <w:rsid w:val="09A92330"/>
    <w:rsid w:val="09B06B87"/>
    <w:rsid w:val="09C13146"/>
    <w:rsid w:val="09E04166"/>
    <w:rsid w:val="09F81448"/>
    <w:rsid w:val="0A1C0718"/>
    <w:rsid w:val="0A2C10A7"/>
    <w:rsid w:val="0A3E7710"/>
    <w:rsid w:val="0A5B7E63"/>
    <w:rsid w:val="0A5E227D"/>
    <w:rsid w:val="0A7F4701"/>
    <w:rsid w:val="0AA374A5"/>
    <w:rsid w:val="0AAB7649"/>
    <w:rsid w:val="0AAF5E89"/>
    <w:rsid w:val="0AB86C5C"/>
    <w:rsid w:val="0ABC5606"/>
    <w:rsid w:val="0AC42692"/>
    <w:rsid w:val="0ADE3108"/>
    <w:rsid w:val="0ADF4EB4"/>
    <w:rsid w:val="0B0F74C5"/>
    <w:rsid w:val="0B30404E"/>
    <w:rsid w:val="0B4C6C14"/>
    <w:rsid w:val="0B524759"/>
    <w:rsid w:val="0B631A88"/>
    <w:rsid w:val="0B683D45"/>
    <w:rsid w:val="0B76461B"/>
    <w:rsid w:val="0B7F3F11"/>
    <w:rsid w:val="0B884417"/>
    <w:rsid w:val="0B93709B"/>
    <w:rsid w:val="0BB73C35"/>
    <w:rsid w:val="0BF6188C"/>
    <w:rsid w:val="0BF73C91"/>
    <w:rsid w:val="0C170175"/>
    <w:rsid w:val="0C3F54A3"/>
    <w:rsid w:val="0C41327A"/>
    <w:rsid w:val="0C571A41"/>
    <w:rsid w:val="0C5C1171"/>
    <w:rsid w:val="0C5E1CBC"/>
    <w:rsid w:val="0C615B50"/>
    <w:rsid w:val="0C6E0EEC"/>
    <w:rsid w:val="0C8445DA"/>
    <w:rsid w:val="0C87121B"/>
    <w:rsid w:val="0CAE0BF3"/>
    <w:rsid w:val="0CC007F7"/>
    <w:rsid w:val="0CC617AC"/>
    <w:rsid w:val="0CFE707A"/>
    <w:rsid w:val="0D063BDA"/>
    <w:rsid w:val="0D08375F"/>
    <w:rsid w:val="0D184CFB"/>
    <w:rsid w:val="0D37621D"/>
    <w:rsid w:val="0D3D3B60"/>
    <w:rsid w:val="0D400115"/>
    <w:rsid w:val="0D4A7419"/>
    <w:rsid w:val="0D774F56"/>
    <w:rsid w:val="0D827401"/>
    <w:rsid w:val="0D84094E"/>
    <w:rsid w:val="0D8A00E9"/>
    <w:rsid w:val="0D8D589E"/>
    <w:rsid w:val="0D95362E"/>
    <w:rsid w:val="0DA01C73"/>
    <w:rsid w:val="0DD63300"/>
    <w:rsid w:val="0DE348D2"/>
    <w:rsid w:val="0DF50604"/>
    <w:rsid w:val="0DF702FE"/>
    <w:rsid w:val="0E060E51"/>
    <w:rsid w:val="0E22536A"/>
    <w:rsid w:val="0E24319C"/>
    <w:rsid w:val="0E373674"/>
    <w:rsid w:val="0E556D99"/>
    <w:rsid w:val="0E5604B2"/>
    <w:rsid w:val="0E6D5D79"/>
    <w:rsid w:val="0E6F14E6"/>
    <w:rsid w:val="0E9D0089"/>
    <w:rsid w:val="0EB803EE"/>
    <w:rsid w:val="0EF94D4B"/>
    <w:rsid w:val="0F0B13B6"/>
    <w:rsid w:val="0F182768"/>
    <w:rsid w:val="0F4958DC"/>
    <w:rsid w:val="0F515DF7"/>
    <w:rsid w:val="0F5405AF"/>
    <w:rsid w:val="0F596BA8"/>
    <w:rsid w:val="0F6248D2"/>
    <w:rsid w:val="0F635421"/>
    <w:rsid w:val="0F693536"/>
    <w:rsid w:val="0F7B0511"/>
    <w:rsid w:val="0F7B76D9"/>
    <w:rsid w:val="0F816ACD"/>
    <w:rsid w:val="0F9832DB"/>
    <w:rsid w:val="0FBF3FD2"/>
    <w:rsid w:val="0FBF7FF3"/>
    <w:rsid w:val="0FCF1C32"/>
    <w:rsid w:val="0FDA406B"/>
    <w:rsid w:val="0FFC3E38"/>
    <w:rsid w:val="10156805"/>
    <w:rsid w:val="10646583"/>
    <w:rsid w:val="107D4B15"/>
    <w:rsid w:val="10841832"/>
    <w:rsid w:val="108A3C80"/>
    <w:rsid w:val="10C26171"/>
    <w:rsid w:val="10DC700E"/>
    <w:rsid w:val="10F33360"/>
    <w:rsid w:val="10F4083A"/>
    <w:rsid w:val="10FC16EA"/>
    <w:rsid w:val="110F1D40"/>
    <w:rsid w:val="11266F33"/>
    <w:rsid w:val="118963A1"/>
    <w:rsid w:val="11C6522A"/>
    <w:rsid w:val="11E104CC"/>
    <w:rsid w:val="11E20309"/>
    <w:rsid w:val="12255233"/>
    <w:rsid w:val="12530213"/>
    <w:rsid w:val="127723A9"/>
    <w:rsid w:val="12862074"/>
    <w:rsid w:val="12883966"/>
    <w:rsid w:val="129E45B4"/>
    <w:rsid w:val="12D21374"/>
    <w:rsid w:val="12D81596"/>
    <w:rsid w:val="13072A44"/>
    <w:rsid w:val="131A1B7F"/>
    <w:rsid w:val="13474EA5"/>
    <w:rsid w:val="135F4BE2"/>
    <w:rsid w:val="13913864"/>
    <w:rsid w:val="139B1A0A"/>
    <w:rsid w:val="139B5BDE"/>
    <w:rsid w:val="139D25C7"/>
    <w:rsid w:val="13BF3CE4"/>
    <w:rsid w:val="13E0119D"/>
    <w:rsid w:val="14013E22"/>
    <w:rsid w:val="140F0A5D"/>
    <w:rsid w:val="141008D8"/>
    <w:rsid w:val="14125FE6"/>
    <w:rsid w:val="142B70E5"/>
    <w:rsid w:val="14500381"/>
    <w:rsid w:val="146D271E"/>
    <w:rsid w:val="14982588"/>
    <w:rsid w:val="149A5AD9"/>
    <w:rsid w:val="14A7619D"/>
    <w:rsid w:val="14F25B02"/>
    <w:rsid w:val="150536C3"/>
    <w:rsid w:val="150C1963"/>
    <w:rsid w:val="151447A0"/>
    <w:rsid w:val="154A6454"/>
    <w:rsid w:val="15762120"/>
    <w:rsid w:val="15844A86"/>
    <w:rsid w:val="15BD3FB0"/>
    <w:rsid w:val="15F56AC3"/>
    <w:rsid w:val="1608540D"/>
    <w:rsid w:val="16204A74"/>
    <w:rsid w:val="166C515D"/>
    <w:rsid w:val="16A8729C"/>
    <w:rsid w:val="16B33777"/>
    <w:rsid w:val="16BC70A7"/>
    <w:rsid w:val="16C6339E"/>
    <w:rsid w:val="16C730F7"/>
    <w:rsid w:val="16D6012D"/>
    <w:rsid w:val="16FE2244"/>
    <w:rsid w:val="172A5A81"/>
    <w:rsid w:val="172F2D79"/>
    <w:rsid w:val="17557BEF"/>
    <w:rsid w:val="176D1E2A"/>
    <w:rsid w:val="17852075"/>
    <w:rsid w:val="178B06F1"/>
    <w:rsid w:val="179901BE"/>
    <w:rsid w:val="17A05FFC"/>
    <w:rsid w:val="17D349C1"/>
    <w:rsid w:val="17E066D8"/>
    <w:rsid w:val="1823570C"/>
    <w:rsid w:val="1830729E"/>
    <w:rsid w:val="18394486"/>
    <w:rsid w:val="185134E3"/>
    <w:rsid w:val="1870062C"/>
    <w:rsid w:val="187E2872"/>
    <w:rsid w:val="18817102"/>
    <w:rsid w:val="18830A15"/>
    <w:rsid w:val="18852B28"/>
    <w:rsid w:val="188B5321"/>
    <w:rsid w:val="18BD63C0"/>
    <w:rsid w:val="18C776A6"/>
    <w:rsid w:val="18CA21AC"/>
    <w:rsid w:val="18D64F20"/>
    <w:rsid w:val="18EE574D"/>
    <w:rsid w:val="19341F4D"/>
    <w:rsid w:val="197524E7"/>
    <w:rsid w:val="19761DA4"/>
    <w:rsid w:val="19932372"/>
    <w:rsid w:val="19A07A88"/>
    <w:rsid w:val="19A20DD5"/>
    <w:rsid w:val="19AE03F1"/>
    <w:rsid w:val="19D16EBE"/>
    <w:rsid w:val="1A071A03"/>
    <w:rsid w:val="1A1A5A79"/>
    <w:rsid w:val="1A1A697E"/>
    <w:rsid w:val="1A1F16AE"/>
    <w:rsid w:val="1A3B5C77"/>
    <w:rsid w:val="1A4E1543"/>
    <w:rsid w:val="1A78287A"/>
    <w:rsid w:val="1A7A249A"/>
    <w:rsid w:val="1A883645"/>
    <w:rsid w:val="1A984BAD"/>
    <w:rsid w:val="1AB8220E"/>
    <w:rsid w:val="1AE4166C"/>
    <w:rsid w:val="1AF06CFB"/>
    <w:rsid w:val="1AF11B8D"/>
    <w:rsid w:val="1B11359C"/>
    <w:rsid w:val="1B2A271F"/>
    <w:rsid w:val="1B530544"/>
    <w:rsid w:val="1B713184"/>
    <w:rsid w:val="1B825FBC"/>
    <w:rsid w:val="1BA209CF"/>
    <w:rsid w:val="1BB4777D"/>
    <w:rsid w:val="1BD75AB8"/>
    <w:rsid w:val="1BE22A26"/>
    <w:rsid w:val="1C0459C2"/>
    <w:rsid w:val="1C1B3B4A"/>
    <w:rsid w:val="1C537570"/>
    <w:rsid w:val="1C88086E"/>
    <w:rsid w:val="1CA045EE"/>
    <w:rsid w:val="1CC47A8B"/>
    <w:rsid w:val="1CC86312"/>
    <w:rsid w:val="1D266CE1"/>
    <w:rsid w:val="1D3963AF"/>
    <w:rsid w:val="1D6A673C"/>
    <w:rsid w:val="1D9247AE"/>
    <w:rsid w:val="1DB567EC"/>
    <w:rsid w:val="1DEC22C4"/>
    <w:rsid w:val="1DF51A98"/>
    <w:rsid w:val="1E0D7198"/>
    <w:rsid w:val="1E3D060F"/>
    <w:rsid w:val="1E3F7D2E"/>
    <w:rsid w:val="1E4134E4"/>
    <w:rsid w:val="1E5062B3"/>
    <w:rsid w:val="1E523514"/>
    <w:rsid w:val="1E714A66"/>
    <w:rsid w:val="1E730E11"/>
    <w:rsid w:val="1E802593"/>
    <w:rsid w:val="1E8B6156"/>
    <w:rsid w:val="1EA703CC"/>
    <w:rsid w:val="1EB7330C"/>
    <w:rsid w:val="1F0A0FF3"/>
    <w:rsid w:val="1F5771FF"/>
    <w:rsid w:val="1FE868A9"/>
    <w:rsid w:val="20034907"/>
    <w:rsid w:val="20173E4B"/>
    <w:rsid w:val="204E48BC"/>
    <w:rsid w:val="208921B3"/>
    <w:rsid w:val="2093370A"/>
    <w:rsid w:val="20973DEB"/>
    <w:rsid w:val="20B26522"/>
    <w:rsid w:val="20B34C6B"/>
    <w:rsid w:val="20B44310"/>
    <w:rsid w:val="20DF1008"/>
    <w:rsid w:val="20EE2FE4"/>
    <w:rsid w:val="211116EB"/>
    <w:rsid w:val="211E01F0"/>
    <w:rsid w:val="212D6D8F"/>
    <w:rsid w:val="216133FC"/>
    <w:rsid w:val="218944CA"/>
    <w:rsid w:val="21942E74"/>
    <w:rsid w:val="21D56769"/>
    <w:rsid w:val="21D62C50"/>
    <w:rsid w:val="21E52EF3"/>
    <w:rsid w:val="21FB5D7B"/>
    <w:rsid w:val="220B1C3D"/>
    <w:rsid w:val="221D1D20"/>
    <w:rsid w:val="22334A87"/>
    <w:rsid w:val="22B61EBB"/>
    <w:rsid w:val="22B83BEE"/>
    <w:rsid w:val="22BE6801"/>
    <w:rsid w:val="22C04C60"/>
    <w:rsid w:val="22E03145"/>
    <w:rsid w:val="23113F1A"/>
    <w:rsid w:val="233500BF"/>
    <w:rsid w:val="23377FF7"/>
    <w:rsid w:val="236B425F"/>
    <w:rsid w:val="23836192"/>
    <w:rsid w:val="23901F29"/>
    <w:rsid w:val="239C0061"/>
    <w:rsid w:val="23B908A4"/>
    <w:rsid w:val="23E406C4"/>
    <w:rsid w:val="23E95BEF"/>
    <w:rsid w:val="23FC52F4"/>
    <w:rsid w:val="23FD0064"/>
    <w:rsid w:val="244C6C81"/>
    <w:rsid w:val="245375B0"/>
    <w:rsid w:val="24642C0A"/>
    <w:rsid w:val="24667B44"/>
    <w:rsid w:val="246A3BA8"/>
    <w:rsid w:val="248B443A"/>
    <w:rsid w:val="2492728B"/>
    <w:rsid w:val="249307DC"/>
    <w:rsid w:val="24B22173"/>
    <w:rsid w:val="24B95AD9"/>
    <w:rsid w:val="24BE24DA"/>
    <w:rsid w:val="24CF5825"/>
    <w:rsid w:val="24D663E6"/>
    <w:rsid w:val="24D77F2B"/>
    <w:rsid w:val="254F52B1"/>
    <w:rsid w:val="258B00E2"/>
    <w:rsid w:val="25A34E23"/>
    <w:rsid w:val="25A917A6"/>
    <w:rsid w:val="25BE27CC"/>
    <w:rsid w:val="25E92F53"/>
    <w:rsid w:val="25F74A5C"/>
    <w:rsid w:val="2628662C"/>
    <w:rsid w:val="262D45DE"/>
    <w:rsid w:val="266E6AE8"/>
    <w:rsid w:val="267E09C1"/>
    <w:rsid w:val="26871DC8"/>
    <w:rsid w:val="26A53EF9"/>
    <w:rsid w:val="26A56700"/>
    <w:rsid w:val="26A6481F"/>
    <w:rsid w:val="26A94201"/>
    <w:rsid w:val="26AC274F"/>
    <w:rsid w:val="270377E9"/>
    <w:rsid w:val="27044A29"/>
    <w:rsid w:val="271D34C8"/>
    <w:rsid w:val="272F6449"/>
    <w:rsid w:val="274C4FBA"/>
    <w:rsid w:val="276142BF"/>
    <w:rsid w:val="27783712"/>
    <w:rsid w:val="27907362"/>
    <w:rsid w:val="279B7084"/>
    <w:rsid w:val="27A02A0E"/>
    <w:rsid w:val="27A41DC1"/>
    <w:rsid w:val="27A85E14"/>
    <w:rsid w:val="282D0BDB"/>
    <w:rsid w:val="28333E1D"/>
    <w:rsid w:val="28454BD6"/>
    <w:rsid w:val="28455253"/>
    <w:rsid w:val="28551971"/>
    <w:rsid w:val="285B1C53"/>
    <w:rsid w:val="289F7086"/>
    <w:rsid w:val="28C32028"/>
    <w:rsid w:val="28CC490F"/>
    <w:rsid w:val="28DE40AA"/>
    <w:rsid w:val="29345E77"/>
    <w:rsid w:val="29453CBE"/>
    <w:rsid w:val="294C65AD"/>
    <w:rsid w:val="294E3480"/>
    <w:rsid w:val="29806583"/>
    <w:rsid w:val="298B3C4C"/>
    <w:rsid w:val="29C46615"/>
    <w:rsid w:val="29F26D24"/>
    <w:rsid w:val="2A15033F"/>
    <w:rsid w:val="2A1662C1"/>
    <w:rsid w:val="2A1C7367"/>
    <w:rsid w:val="2A2815FA"/>
    <w:rsid w:val="2A6D6092"/>
    <w:rsid w:val="2A7D76B4"/>
    <w:rsid w:val="2A830ABD"/>
    <w:rsid w:val="2AA12964"/>
    <w:rsid w:val="2AD8021A"/>
    <w:rsid w:val="2AEE1B3B"/>
    <w:rsid w:val="2AF47F2E"/>
    <w:rsid w:val="2B437463"/>
    <w:rsid w:val="2B7807EE"/>
    <w:rsid w:val="2B8C47CE"/>
    <w:rsid w:val="2BA50BF7"/>
    <w:rsid w:val="2BBF00EC"/>
    <w:rsid w:val="2BC37CFD"/>
    <w:rsid w:val="2BD5237F"/>
    <w:rsid w:val="2BE536CE"/>
    <w:rsid w:val="2BE758D9"/>
    <w:rsid w:val="2BEA7DD3"/>
    <w:rsid w:val="2C09049E"/>
    <w:rsid w:val="2C0A653C"/>
    <w:rsid w:val="2C191F85"/>
    <w:rsid w:val="2C8C4873"/>
    <w:rsid w:val="2C994A93"/>
    <w:rsid w:val="2CE82D6F"/>
    <w:rsid w:val="2D2216DE"/>
    <w:rsid w:val="2D343236"/>
    <w:rsid w:val="2D65207D"/>
    <w:rsid w:val="2D6D6409"/>
    <w:rsid w:val="2D956040"/>
    <w:rsid w:val="2DC53663"/>
    <w:rsid w:val="2DD15014"/>
    <w:rsid w:val="2DF57D44"/>
    <w:rsid w:val="2DF72DE4"/>
    <w:rsid w:val="2E0220AF"/>
    <w:rsid w:val="2E284D88"/>
    <w:rsid w:val="2E4B082A"/>
    <w:rsid w:val="2E5D4E86"/>
    <w:rsid w:val="2E5D790B"/>
    <w:rsid w:val="2E776A61"/>
    <w:rsid w:val="2E9A143D"/>
    <w:rsid w:val="2E9A3C18"/>
    <w:rsid w:val="2EBB0FEE"/>
    <w:rsid w:val="2EC63002"/>
    <w:rsid w:val="2ECB46DA"/>
    <w:rsid w:val="2F064D1A"/>
    <w:rsid w:val="2F0A6B38"/>
    <w:rsid w:val="2F0E78D3"/>
    <w:rsid w:val="2F5763F8"/>
    <w:rsid w:val="2F946CCB"/>
    <w:rsid w:val="2FD25781"/>
    <w:rsid w:val="2FDE33BA"/>
    <w:rsid w:val="2FF346DE"/>
    <w:rsid w:val="2FFB7730"/>
    <w:rsid w:val="2FFD7934"/>
    <w:rsid w:val="30201A01"/>
    <w:rsid w:val="30733ACD"/>
    <w:rsid w:val="308C3862"/>
    <w:rsid w:val="309379D8"/>
    <w:rsid w:val="309B6899"/>
    <w:rsid w:val="30A270F7"/>
    <w:rsid w:val="30DF1478"/>
    <w:rsid w:val="30EA055D"/>
    <w:rsid w:val="30EC586F"/>
    <w:rsid w:val="30F508D4"/>
    <w:rsid w:val="31322E68"/>
    <w:rsid w:val="317334B2"/>
    <w:rsid w:val="319C6071"/>
    <w:rsid w:val="31AC537E"/>
    <w:rsid w:val="31B420C4"/>
    <w:rsid w:val="31B82C24"/>
    <w:rsid w:val="31C17BA9"/>
    <w:rsid w:val="31C549B6"/>
    <w:rsid w:val="31E3679B"/>
    <w:rsid w:val="31E732FD"/>
    <w:rsid w:val="32517576"/>
    <w:rsid w:val="3262346C"/>
    <w:rsid w:val="32943297"/>
    <w:rsid w:val="32A64673"/>
    <w:rsid w:val="32BE5C2C"/>
    <w:rsid w:val="32FB6478"/>
    <w:rsid w:val="331E793D"/>
    <w:rsid w:val="332637C2"/>
    <w:rsid w:val="33263B3F"/>
    <w:rsid w:val="333C7E1F"/>
    <w:rsid w:val="336963EB"/>
    <w:rsid w:val="33816EEB"/>
    <w:rsid w:val="338863E7"/>
    <w:rsid w:val="33EB55CD"/>
    <w:rsid w:val="33EC4C02"/>
    <w:rsid w:val="340D2360"/>
    <w:rsid w:val="3410665D"/>
    <w:rsid w:val="341F7742"/>
    <w:rsid w:val="34211214"/>
    <w:rsid w:val="342E63AB"/>
    <w:rsid w:val="34433534"/>
    <w:rsid w:val="345E036E"/>
    <w:rsid w:val="3466782F"/>
    <w:rsid w:val="347B5D1E"/>
    <w:rsid w:val="34950E68"/>
    <w:rsid w:val="34986E94"/>
    <w:rsid w:val="34AA5361"/>
    <w:rsid w:val="34AF62C9"/>
    <w:rsid w:val="34CB4388"/>
    <w:rsid w:val="34DC2C0A"/>
    <w:rsid w:val="34EC3BCC"/>
    <w:rsid w:val="34FA6E12"/>
    <w:rsid w:val="354D7158"/>
    <w:rsid w:val="358D5588"/>
    <w:rsid w:val="36136070"/>
    <w:rsid w:val="36365688"/>
    <w:rsid w:val="363A3B40"/>
    <w:rsid w:val="365302AE"/>
    <w:rsid w:val="36607A0A"/>
    <w:rsid w:val="366E227C"/>
    <w:rsid w:val="366F2E0D"/>
    <w:rsid w:val="367B6A5C"/>
    <w:rsid w:val="36A74ADA"/>
    <w:rsid w:val="36AD60D5"/>
    <w:rsid w:val="36B224F9"/>
    <w:rsid w:val="36EC0CC9"/>
    <w:rsid w:val="37390A8E"/>
    <w:rsid w:val="373F410B"/>
    <w:rsid w:val="3756404C"/>
    <w:rsid w:val="376A0174"/>
    <w:rsid w:val="3772655E"/>
    <w:rsid w:val="378C13F6"/>
    <w:rsid w:val="37BD1A5A"/>
    <w:rsid w:val="37E16E9C"/>
    <w:rsid w:val="37EE7094"/>
    <w:rsid w:val="38131FE2"/>
    <w:rsid w:val="38296C89"/>
    <w:rsid w:val="383002EB"/>
    <w:rsid w:val="38586797"/>
    <w:rsid w:val="388843DC"/>
    <w:rsid w:val="38BC0149"/>
    <w:rsid w:val="38D87D1C"/>
    <w:rsid w:val="38DE6D4B"/>
    <w:rsid w:val="3902751A"/>
    <w:rsid w:val="391F535F"/>
    <w:rsid w:val="392E73EA"/>
    <w:rsid w:val="39636459"/>
    <w:rsid w:val="396B7F6C"/>
    <w:rsid w:val="399C14F7"/>
    <w:rsid w:val="39B324CD"/>
    <w:rsid w:val="39B417A9"/>
    <w:rsid w:val="39C66799"/>
    <w:rsid w:val="39F5707E"/>
    <w:rsid w:val="39FC5695"/>
    <w:rsid w:val="3A006D8E"/>
    <w:rsid w:val="3A3651E5"/>
    <w:rsid w:val="3A4E2342"/>
    <w:rsid w:val="3A744481"/>
    <w:rsid w:val="3A8C7BEF"/>
    <w:rsid w:val="3A906246"/>
    <w:rsid w:val="3AA842F0"/>
    <w:rsid w:val="3B2349B7"/>
    <w:rsid w:val="3B4677B8"/>
    <w:rsid w:val="3B616CFF"/>
    <w:rsid w:val="3B6259F6"/>
    <w:rsid w:val="3B894B0B"/>
    <w:rsid w:val="3B976654"/>
    <w:rsid w:val="3B9B68EE"/>
    <w:rsid w:val="3BC01EFC"/>
    <w:rsid w:val="3BC52CC1"/>
    <w:rsid w:val="3BCA786A"/>
    <w:rsid w:val="3BD06659"/>
    <w:rsid w:val="3BD31E2F"/>
    <w:rsid w:val="3BF15831"/>
    <w:rsid w:val="3C105946"/>
    <w:rsid w:val="3C3A44D8"/>
    <w:rsid w:val="3C471448"/>
    <w:rsid w:val="3C556941"/>
    <w:rsid w:val="3C5F759A"/>
    <w:rsid w:val="3C616601"/>
    <w:rsid w:val="3C6C525A"/>
    <w:rsid w:val="3C760652"/>
    <w:rsid w:val="3C9B1CB9"/>
    <w:rsid w:val="3CA60D3D"/>
    <w:rsid w:val="3CCE23CB"/>
    <w:rsid w:val="3CD13E73"/>
    <w:rsid w:val="3CD17D17"/>
    <w:rsid w:val="3CED249E"/>
    <w:rsid w:val="3CEE6358"/>
    <w:rsid w:val="3D3B2FFA"/>
    <w:rsid w:val="3D3C7F39"/>
    <w:rsid w:val="3D440F09"/>
    <w:rsid w:val="3D4504A0"/>
    <w:rsid w:val="3D5A1DE7"/>
    <w:rsid w:val="3D64467C"/>
    <w:rsid w:val="3D791A09"/>
    <w:rsid w:val="3D7E0A99"/>
    <w:rsid w:val="3D8734BB"/>
    <w:rsid w:val="3D9A11D4"/>
    <w:rsid w:val="3DA16D89"/>
    <w:rsid w:val="3DA364BE"/>
    <w:rsid w:val="3DA475D8"/>
    <w:rsid w:val="3DB67810"/>
    <w:rsid w:val="3DC01751"/>
    <w:rsid w:val="3DD50C8A"/>
    <w:rsid w:val="3DE041CB"/>
    <w:rsid w:val="3E0D48F6"/>
    <w:rsid w:val="3E1868B4"/>
    <w:rsid w:val="3E1D2DF9"/>
    <w:rsid w:val="3E377251"/>
    <w:rsid w:val="3E42664B"/>
    <w:rsid w:val="3E5A7334"/>
    <w:rsid w:val="3E7B5D6B"/>
    <w:rsid w:val="3E843E66"/>
    <w:rsid w:val="3E8F51FE"/>
    <w:rsid w:val="3E926F87"/>
    <w:rsid w:val="3E992734"/>
    <w:rsid w:val="3E9A59DE"/>
    <w:rsid w:val="3EA95CBD"/>
    <w:rsid w:val="3EAF4836"/>
    <w:rsid w:val="3EC33DFA"/>
    <w:rsid w:val="3EF66285"/>
    <w:rsid w:val="3F060E16"/>
    <w:rsid w:val="3F1D1096"/>
    <w:rsid w:val="3F2F0234"/>
    <w:rsid w:val="3F5707E4"/>
    <w:rsid w:val="3F6363FE"/>
    <w:rsid w:val="3F756B8F"/>
    <w:rsid w:val="3F8D4B70"/>
    <w:rsid w:val="3F95482B"/>
    <w:rsid w:val="3FAF4907"/>
    <w:rsid w:val="3FE468EA"/>
    <w:rsid w:val="4019356B"/>
    <w:rsid w:val="401E1828"/>
    <w:rsid w:val="40592157"/>
    <w:rsid w:val="406E1CAE"/>
    <w:rsid w:val="40937DD1"/>
    <w:rsid w:val="40A0133A"/>
    <w:rsid w:val="40C31A53"/>
    <w:rsid w:val="40F33AA5"/>
    <w:rsid w:val="40F92A66"/>
    <w:rsid w:val="40FF545D"/>
    <w:rsid w:val="410067C8"/>
    <w:rsid w:val="411249BA"/>
    <w:rsid w:val="413C45E3"/>
    <w:rsid w:val="4147433B"/>
    <w:rsid w:val="418F0D2A"/>
    <w:rsid w:val="419500D6"/>
    <w:rsid w:val="41D01505"/>
    <w:rsid w:val="42144242"/>
    <w:rsid w:val="4238518B"/>
    <w:rsid w:val="42474939"/>
    <w:rsid w:val="424C3C57"/>
    <w:rsid w:val="42613FF3"/>
    <w:rsid w:val="42660D96"/>
    <w:rsid w:val="428667D2"/>
    <w:rsid w:val="42AC0CAD"/>
    <w:rsid w:val="42CD1CE0"/>
    <w:rsid w:val="42D53E10"/>
    <w:rsid w:val="42E1381E"/>
    <w:rsid w:val="42ED6459"/>
    <w:rsid w:val="42FE58DD"/>
    <w:rsid w:val="43174B3D"/>
    <w:rsid w:val="4336230A"/>
    <w:rsid w:val="433F0E43"/>
    <w:rsid w:val="434B790E"/>
    <w:rsid w:val="4360274F"/>
    <w:rsid w:val="43977AB6"/>
    <w:rsid w:val="43A3342B"/>
    <w:rsid w:val="43C77C27"/>
    <w:rsid w:val="43DE09EE"/>
    <w:rsid w:val="44002FAD"/>
    <w:rsid w:val="4430589B"/>
    <w:rsid w:val="44356927"/>
    <w:rsid w:val="449101DD"/>
    <w:rsid w:val="449D00C3"/>
    <w:rsid w:val="44AB36BA"/>
    <w:rsid w:val="44B92B77"/>
    <w:rsid w:val="44DE1391"/>
    <w:rsid w:val="44E72961"/>
    <w:rsid w:val="45144786"/>
    <w:rsid w:val="451B225C"/>
    <w:rsid w:val="452410C9"/>
    <w:rsid w:val="452B71EC"/>
    <w:rsid w:val="452E1696"/>
    <w:rsid w:val="45317DFB"/>
    <w:rsid w:val="456D3CE4"/>
    <w:rsid w:val="4579042C"/>
    <w:rsid w:val="457E4BFD"/>
    <w:rsid w:val="457F0571"/>
    <w:rsid w:val="45851176"/>
    <w:rsid w:val="45853C91"/>
    <w:rsid w:val="458A2D71"/>
    <w:rsid w:val="458E4BD4"/>
    <w:rsid w:val="45C63B94"/>
    <w:rsid w:val="45F134FD"/>
    <w:rsid w:val="460E7DA5"/>
    <w:rsid w:val="461B579A"/>
    <w:rsid w:val="46422483"/>
    <w:rsid w:val="4659254A"/>
    <w:rsid w:val="465B0637"/>
    <w:rsid w:val="465E3F0D"/>
    <w:rsid w:val="466A16E6"/>
    <w:rsid w:val="46791209"/>
    <w:rsid w:val="46893F2B"/>
    <w:rsid w:val="46C4686E"/>
    <w:rsid w:val="472A3E43"/>
    <w:rsid w:val="47391126"/>
    <w:rsid w:val="473D0E4D"/>
    <w:rsid w:val="477B778F"/>
    <w:rsid w:val="478203EC"/>
    <w:rsid w:val="478464A5"/>
    <w:rsid w:val="47B025FA"/>
    <w:rsid w:val="47EC7057"/>
    <w:rsid w:val="48010DED"/>
    <w:rsid w:val="4809698F"/>
    <w:rsid w:val="48097DF4"/>
    <w:rsid w:val="480C2553"/>
    <w:rsid w:val="4811697D"/>
    <w:rsid w:val="4867796E"/>
    <w:rsid w:val="487A3E25"/>
    <w:rsid w:val="487B0FC2"/>
    <w:rsid w:val="48833F78"/>
    <w:rsid w:val="488B5503"/>
    <w:rsid w:val="48937E21"/>
    <w:rsid w:val="48975AF1"/>
    <w:rsid w:val="489A0361"/>
    <w:rsid w:val="48B94FF3"/>
    <w:rsid w:val="48CD3EBF"/>
    <w:rsid w:val="48E37AAB"/>
    <w:rsid w:val="48EC362B"/>
    <w:rsid w:val="48FB2C50"/>
    <w:rsid w:val="48FD4B4C"/>
    <w:rsid w:val="48FE1B78"/>
    <w:rsid w:val="490606C8"/>
    <w:rsid w:val="490A68E0"/>
    <w:rsid w:val="491055FE"/>
    <w:rsid w:val="49131B61"/>
    <w:rsid w:val="494C6EA1"/>
    <w:rsid w:val="494D4D8B"/>
    <w:rsid w:val="495F5B3E"/>
    <w:rsid w:val="496F77D7"/>
    <w:rsid w:val="497654FD"/>
    <w:rsid w:val="498F505D"/>
    <w:rsid w:val="49B64211"/>
    <w:rsid w:val="49C10D2B"/>
    <w:rsid w:val="49F6167F"/>
    <w:rsid w:val="4A064FA0"/>
    <w:rsid w:val="4A0C76B0"/>
    <w:rsid w:val="4A16615C"/>
    <w:rsid w:val="4A4424D7"/>
    <w:rsid w:val="4A493572"/>
    <w:rsid w:val="4A6E0CA4"/>
    <w:rsid w:val="4A83134F"/>
    <w:rsid w:val="4AB00BDC"/>
    <w:rsid w:val="4AB82D0F"/>
    <w:rsid w:val="4AEB7664"/>
    <w:rsid w:val="4AFD7C19"/>
    <w:rsid w:val="4B0567D1"/>
    <w:rsid w:val="4B236AAE"/>
    <w:rsid w:val="4B555D27"/>
    <w:rsid w:val="4B707271"/>
    <w:rsid w:val="4B9739F7"/>
    <w:rsid w:val="4B974368"/>
    <w:rsid w:val="4B9A6B21"/>
    <w:rsid w:val="4B9C1FA2"/>
    <w:rsid w:val="4BE96C25"/>
    <w:rsid w:val="4BEE2503"/>
    <w:rsid w:val="4BFD5CE3"/>
    <w:rsid w:val="4C237EAA"/>
    <w:rsid w:val="4C245A30"/>
    <w:rsid w:val="4C5D53ED"/>
    <w:rsid w:val="4C676029"/>
    <w:rsid w:val="4CAF7256"/>
    <w:rsid w:val="4CB6685F"/>
    <w:rsid w:val="4CC367FE"/>
    <w:rsid w:val="4D077F3C"/>
    <w:rsid w:val="4D123355"/>
    <w:rsid w:val="4D2A3B31"/>
    <w:rsid w:val="4D312C52"/>
    <w:rsid w:val="4D4B0F25"/>
    <w:rsid w:val="4D905305"/>
    <w:rsid w:val="4D964A72"/>
    <w:rsid w:val="4D9C1254"/>
    <w:rsid w:val="4E526455"/>
    <w:rsid w:val="4E5A0B37"/>
    <w:rsid w:val="4E5F2074"/>
    <w:rsid w:val="4E793892"/>
    <w:rsid w:val="4E800872"/>
    <w:rsid w:val="4E9532A8"/>
    <w:rsid w:val="4E9A20A5"/>
    <w:rsid w:val="4EBD1C34"/>
    <w:rsid w:val="4EC569ED"/>
    <w:rsid w:val="4ED50EA1"/>
    <w:rsid w:val="4EEC050C"/>
    <w:rsid w:val="4EF833C6"/>
    <w:rsid w:val="4F104EC3"/>
    <w:rsid w:val="4F47354A"/>
    <w:rsid w:val="4F911C54"/>
    <w:rsid w:val="4FBF3F5F"/>
    <w:rsid w:val="4FE625E0"/>
    <w:rsid w:val="4FED5402"/>
    <w:rsid w:val="5021480F"/>
    <w:rsid w:val="505D15FC"/>
    <w:rsid w:val="50707CB0"/>
    <w:rsid w:val="50755E1B"/>
    <w:rsid w:val="50962ECB"/>
    <w:rsid w:val="50A42E38"/>
    <w:rsid w:val="50A4577F"/>
    <w:rsid w:val="50B73D1F"/>
    <w:rsid w:val="50BD5BC9"/>
    <w:rsid w:val="50C11EEE"/>
    <w:rsid w:val="50D73351"/>
    <w:rsid w:val="50D77086"/>
    <w:rsid w:val="50E97CFC"/>
    <w:rsid w:val="50F1399D"/>
    <w:rsid w:val="50FA4028"/>
    <w:rsid w:val="50FE434C"/>
    <w:rsid w:val="510D65B7"/>
    <w:rsid w:val="511157AB"/>
    <w:rsid w:val="5142540C"/>
    <w:rsid w:val="518832C8"/>
    <w:rsid w:val="51A0432A"/>
    <w:rsid w:val="51A86090"/>
    <w:rsid w:val="51B7396D"/>
    <w:rsid w:val="51F4743E"/>
    <w:rsid w:val="522E4CC3"/>
    <w:rsid w:val="5244713B"/>
    <w:rsid w:val="52615633"/>
    <w:rsid w:val="526A04DD"/>
    <w:rsid w:val="52977FD4"/>
    <w:rsid w:val="52A25790"/>
    <w:rsid w:val="52A96B6F"/>
    <w:rsid w:val="52B45975"/>
    <w:rsid w:val="52D94AA4"/>
    <w:rsid w:val="52EA3A62"/>
    <w:rsid w:val="52F50BB8"/>
    <w:rsid w:val="53097272"/>
    <w:rsid w:val="53152E87"/>
    <w:rsid w:val="53544462"/>
    <w:rsid w:val="53676980"/>
    <w:rsid w:val="53960CB2"/>
    <w:rsid w:val="5397158E"/>
    <w:rsid w:val="53D42C20"/>
    <w:rsid w:val="54013861"/>
    <w:rsid w:val="54487265"/>
    <w:rsid w:val="544D6070"/>
    <w:rsid w:val="545B4ECF"/>
    <w:rsid w:val="54605E1E"/>
    <w:rsid w:val="54B3506A"/>
    <w:rsid w:val="54CA0D16"/>
    <w:rsid w:val="54DD4057"/>
    <w:rsid w:val="54E7490F"/>
    <w:rsid w:val="54FF4546"/>
    <w:rsid w:val="55061018"/>
    <w:rsid w:val="550764A4"/>
    <w:rsid w:val="550B2BF6"/>
    <w:rsid w:val="55214EB5"/>
    <w:rsid w:val="55364EFD"/>
    <w:rsid w:val="555D4828"/>
    <w:rsid w:val="557A4C8B"/>
    <w:rsid w:val="558931E1"/>
    <w:rsid w:val="55923347"/>
    <w:rsid w:val="55925180"/>
    <w:rsid w:val="55983B1B"/>
    <w:rsid w:val="55A8376B"/>
    <w:rsid w:val="55C248FD"/>
    <w:rsid w:val="55D87B28"/>
    <w:rsid w:val="55DC29B6"/>
    <w:rsid w:val="55DD4241"/>
    <w:rsid w:val="55DF6961"/>
    <w:rsid w:val="55F16964"/>
    <w:rsid w:val="55FA20BB"/>
    <w:rsid w:val="561C1BE8"/>
    <w:rsid w:val="564C4FAB"/>
    <w:rsid w:val="566B6D1E"/>
    <w:rsid w:val="569E129D"/>
    <w:rsid w:val="56BD5854"/>
    <w:rsid w:val="56C76EC1"/>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4E184D"/>
    <w:rsid w:val="58917D2F"/>
    <w:rsid w:val="5894085C"/>
    <w:rsid w:val="58AD3B67"/>
    <w:rsid w:val="58AE4F0C"/>
    <w:rsid w:val="58B85899"/>
    <w:rsid w:val="58C0702C"/>
    <w:rsid w:val="58E363A9"/>
    <w:rsid w:val="59272ECB"/>
    <w:rsid w:val="59307B25"/>
    <w:rsid w:val="595E1678"/>
    <w:rsid w:val="596D5BD4"/>
    <w:rsid w:val="597E3DD8"/>
    <w:rsid w:val="59AB1AC0"/>
    <w:rsid w:val="59B31026"/>
    <w:rsid w:val="59F80043"/>
    <w:rsid w:val="59FA4535"/>
    <w:rsid w:val="5A09252F"/>
    <w:rsid w:val="5A0B2778"/>
    <w:rsid w:val="5A2A7C7B"/>
    <w:rsid w:val="5A3E2560"/>
    <w:rsid w:val="5A5D3B6E"/>
    <w:rsid w:val="5A637A76"/>
    <w:rsid w:val="5A686384"/>
    <w:rsid w:val="5A6D33BA"/>
    <w:rsid w:val="5A792B1F"/>
    <w:rsid w:val="5A874767"/>
    <w:rsid w:val="5AA85BE2"/>
    <w:rsid w:val="5AAD6F28"/>
    <w:rsid w:val="5AC451BA"/>
    <w:rsid w:val="5AD63A24"/>
    <w:rsid w:val="5AE51FB6"/>
    <w:rsid w:val="5B2E1A1D"/>
    <w:rsid w:val="5B843A1C"/>
    <w:rsid w:val="5B873E3F"/>
    <w:rsid w:val="5B974F87"/>
    <w:rsid w:val="5C02690E"/>
    <w:rsid w:val="5C196DA7"/>
    <w:rsid w:val="5C2A048C"/>
    <w:rsid w:val="5C35640B"/>
    <w:rsid w:val="5C7422AE"/>
    <w:rsid w:val="5C80234E"/>
    <w:rsid w:val="5C8A680C"/>
    <w:rsid w:val="5CE45C2B"/>
    <w:rsid w:val="5CEB387F"/>
    <w:rsid w:val="5D0C4701"/>
    <w:rsid w:val="5D0F0395"/>
    <w:rsid w:val="5D221076"/>
    <w:rsid w:val="5D397964"/>
    <w:rsid w:val="5D551783"/>
    <w:rsid w:val="5D5A391C"/>
    <w:rsid w:val="5D5C31CE"/>
    <w:rsid w:val="5D5F10C0"/>
    <w:rsid w:val="5D891B7B"/>
    <w:rsid w:val="5D8A5E82"/>
    <w:rsid w:val="5D930F65"/>
    <w:rsid w:val="5D945FAA"/>
    <w:rsid w:val="5DAD38EE"/>
    <w:rsid w:val="5E006862"/>
    <w:rsid w:val="5E0207B9"/>
    <w:rsid w:val="5E093CEF"/>
    <w:rsid w:val="5E1834A1"/>
    <w:rsid w:val="5E261785"/>
    <w:rsid w:val="5E4A7017"/>
    <w:rsid w:val="5E552BBA"/>
    <w:rsid w:val="5E611C10"/>
    <w:rsid w:val="5E626095"/>
    <w:rsid w:val="5E6B4108"/>
    <w:rsid w:val="5E74631F"/>
    <w:rsid w:val="5E765627"/>
    <w:rsid w:val="5E7A0F3F"/>
    <w:rsid w:val="5E866777"/>
    <w:rsid w:val="5EF50A1B"/>
    <w:rsid w:val="5EFC7377"/>
    <w:rsid w:val="5F012A1A"/>
    <w:rsid w:val="5F06174D"/>
    <w:rsid w:val="5F3A3602"/>
    <w:rsid w:val="5F45733B"/>
    <w:rsid w:val="5F4C0C3F"/>
    <w:rsid w:val="5F5B211E"/>
    <w:rsid w:val="5F6013EB"/>
    <w:rsid w:val="5F6277C6"/>
    <w:rsid w:val="5F6D0B1D"/>
    <w:rsid w:val="5F8D0B82"/>
    <w:rsid w:val="5FCC5339"/>
    <w:rsid w:val="5FE34A5B"/>
    <w:rsid w:val="5FFE1E36"/>
    <w:rsid w:val="60172C7B"/>
    <w:rsid w:val="60232584"/>
    <w:rsid w:val="602745AC"/>
    <w:rsid w:val="60305BC5"/>
    <w:rsid w:val="605864BB"/>
    <w:rsid w:val="607330CE"/>
    <w:rsid w:val="607A3F88"/>
    <w:rsid w:val="60825176"/>
    <w:rsid w:val="60873AD9"/>
    <w:rsid w:val="609F2AC4"/>
    <w:rsid w:val="60C413D5"/>
    <w:rsid w:val="60FA2EE8"/>
    <w:rsid w:val="61054A27"/>
    <w:rsid w:val="610A52BC"/>
    <w:rsid w:val="611D2366"/>
    <w:rsid w:val="61421856"/>
    <w:rsid w:val="615227C4"/>
    <w:rsid w:val="61654E3F"/>
    <w:rsid w:val="6182292A"/>
    <w:rsid w:val="618B5F69"/>
    <w:rsid w:val="61985864"/>
    <w:rsid w:val="619F7F92"/>
    <w:rsid w:val="61BB155E"/>
    <w:rsid w:val="61BD2EFD"/>
    <w:rsid w:val="61F94C26"/>
    <w:rsid w:val="62000E56"/>
    <w:rsid w:val="62244584"/>
    <w:rsid w:val="624F3E49"/>
    <w:rsid w:val="625473B0"/>
    <w:rsid w:val="62586279"/>
    <w:rsid w:val="62632286"/>
    <w:rsid w:val="62775066"/>
    <w:rsid w:val="62885958"/>
    <w:rsid w:val="628903DB"/>
    <w:rsid w:val="62C860CC"/>
    <w:rsid w:val="62F40B65"/>
    <w:rsid w:val="62FC2CFE"/>
    <w:rsid w:val="63024505"/>
    <w:rsid w:val="633923BD"/>
    <w:rsid w:val="63540CCD"/>
    <w:rsid w:val="635B1DB5"/>
    <w:rsid w:val="63711FED"/>
    <w:rsid w:val="63880DDC"/>
    <w:rsid w:val="63885935"/>
    <w:rsid w:val="6389298F"/>
    <w:rsid w:val="638D750D"/>
    <w:rsid w:val="63AC52D2"/>
    <w:rsid w:val="63AC6CC0"/>
    <w:rsid w:val="63B048E8"/>
    <w:rsid w:val="64043733"/>
    <w:rsid w:val="64055776"/>
    <w:rsid w:val="64175397"/>
    <w:rsid w:val="64240056"/>
    <w:rsid w:val="643E143A"/>
    <w:rsid w:val="644A0C02"/>
    <w:rsid w:val="646E4B35"/>
    <w:rsid w:val="648B6EEF"/>
    <w:rsid w:val="64C158BF"/>
    <w:rsid w:val="64CE2EAA"/>
    <w:rsid w:val="65092215"/>
    <w:rsid w:val="653C3090"/>
    <w:rsid w:val="65854376"/>
    <w:rsid w:val="658767BE"/>
    <w:rsid w:val="65882CD5"/>
    <w:rsid w:val="65892531"/>
    <w:rsid w:val="65E616BA"/>
    <w:rsid w:val="66153939"/>
    <w:rsid w:val="66195831"/>
    <w:rsid w:val="662E75B1"/>
    <w:rsid w:val="66342C2E"/>
    <w:rsid w:val="663E784C"/>
    <w:rsid w:val="66551A38"/>
    <w:rsid w:val="666D1F69"/>
    <w:rsid w:val="667133EA"/>
    <w:rsid w:val="6688495F"/>
    <w:rsid w:val="668B6A45"/>
    <w:rsid w:val="66D11D0B"/>
    <w:rsid w:val="66DE04FB"/>
    <w:rsid w:val="66F85C8F"/>
    <w:rsid w:val="67090CF6"/>
    <w:rsid w:val="671E7365"/>
    <w:rsid w:val="67230B7E"/>
    <w:rsid w:val="672F3F24"/>
    <w:rsid w:val="673E055F"/>
    <w:rsid w:val="67551CE3"/>
    <w:rsid w:val="67A22552"/>
    <w:rsid w:val="67A530AB"/>
    <w:rsid w:val="67B22DCC"/>
    <w:rsid w:val="67BE71AA"/>
    <w:rsid w:val="67D90273"/>
    <w:rsid w:val="67DE5875"/>
    <w:rsid w:val="67E212BA"/>
    <w:rsid w:val="67E55852"/>
    <w:rsid w:val="67EB1AB4"/>
    <w:rsid w:val="67FA1285"/>
    <w:rsid w:val="68551F4F"/>
    <w:rsid w:val="68607FA6"/>
    <w:rsid w:val="68647B92"/>
    <w:rsid w:val="687C10C9"/>
    <w:rsid w:val="68840C16"/>
    <w:rsid w:val="68876EFB"/>
    <w:rsid w:val="68884654"/>
    <w:rsid w:val="689F444F"/>
    <w:rsid w:val="68B96DBB"/>
    <w:rsid w:val="68CA2805"/>
    <w:rsid w:val="68E85AE5"/>
    <w:rsid w:val="68E937A3"/>
    <w:rsid w:val="693E15D3"/>
    <w:rsid w:val="69627681"/>
    <w:rsid w:val="6977531D"/>
    <w:rsid w:val="69B51747"/>
    <w:rsid w:val="69BD5BBB"/>
    <w:rsid w:val="69CC2BFF"/>
    <w:rsid w:val="69D327F2"/>
    <w:rsid w:val="69FD55B8"/>
    <w:rsid w:val="6A0B1C62"/>
    <w:rsid w:val="6A0C584D"/>
    <w:rsid w:val="6A0D3F4C"/>
    <w:rsid w:val="6A2406C8"/>
    <w:rsid w:val="6A4B328A"/>
    <w:rsid w:val="6A4B36BE"/>
    <w:rsid w:val="6A8F2B46"/>
    <w:rsid w:val="6A9C2A7B"/>
    <w:rsid w:val="6AAF1267"/>
    <w:rsid w:val="6AB20DE6"/>
    <w:rsid w:val="6ABA3454"/>
    <w:rsid w:val="6ADC5EF8"/>
    <w:rsid w:val="6ADE0BD1"/>
    <w:rsid w:val="6AE96859"/>
    <w:rsid w:val="6B147746"/>
    <w:rsid w:val="6B24787C"/>
    <w:rsid w:val="6B33152A"/>
    <w:rsid w:val="6B573233"/>
    <w:rsid w:val="6B5B6274"/>
    <w:rsid w:val="6B694FD4"/>
    <w:rsid w:val="6B710BD6"/>
    <w:rsid w:val="6B935D53"/>
    <w:rsid w:val="6C196F71"/>
    <w:rsid w:val="6C226FCB"/>
    <w:rsid w:val="6C31226F"/>
    <w:rsid w:val="6C390C24"/>
    <w:rsid w:val="6C552F0B"/>
    <w:rsid w:val="6C8C2DF7"/>
    <w:rsid w:val="6C8C67B7"/>
    <w:rsid w:val="6C9D744C"/>
    <w:rsid w:val="6CFD6256"/>
    <w:rsid w:val="6CFE67A8"/>
    <w:rsid w:val="6D167928"/>
    <w:rsid w:val="6D261515"/>
    <w:rsid w:val="6D26299B"/>
    <w:rsid w:val="6D4772EC"/>
    <w:rsid w:val="6D6D4FC1"/>
    <w:rsid w:val="6D8007DE"/>
    <w:rsid w:val="6D9078AF"/>
    <w:rsid w:val="6DAA3FEF"/>
    <w:rsid w:val="6DBC294D"/>
    <w:rsid w:val="6DC0172B"/>
    <w:rsid w:val="6DCB690C"/>
    <w:rsid w:val="6DD41A5B"/>
    <w:rsid w:val="6DF43C2E"/>
    <w:rsid w:val="6DF51CA3"/>
    <w:rsid w:val="6E8335BD"/>
    <w:rsid w:val="6E8E12EF"/>
    <w:rsid w:val="6E9045AA"/>
    <w:rsid w:val="6E972936"/>
    <w:rsid w:val="6EB74327"/>
    <w:rsid w:val="6EC91D52"/>
    <w:rsid w:val="6ED35697"/>
    <w:rsid w:val="6ED446C5"/>
    <w:rsid w:val="6F184A18"/>
    <w:rsid w:val="6F2A7D94"/>
    <w:rsid w:val="6F802313"/>
    <w:rsid w:val="6F8331F1"/>
    <w:rsid w:val="6FAE1A09"/>
    <w:rsid w:val="6FD75BF8"/>
    <w:rsid w:val="6FEF3B3E"/>
    <w:rsid w:val="707723D0"/>
    <w:rsid w:val="70DB77AC"/>
    <w:rsid w:val="70F5661B"/>
    <w:rsid w:val="70FF0D7D"/>
    <w:rsid w:val="71360107"/>
    <w:rsid w:val="713B688E"/>
    <w:rsid w:val="7183561A"/>
    <w:rsid w:val="71BE6408"/>
    <w:rsid w:val="71D43752"/>
    <w:rsid w:val="71D7083C"/>
    <w:rsid w:val="71F1796A"/>
    <w:rsid w:val="720846CC"/>
    <w:rsid w:val="72154626"/>
    <w:rsid w:val="72202699"/>
    <w:rsid w:val="72262B5D"/>
    <w:rsid w:val="72283FF7"/>
    <w:rsid w:val="722E7212"/>
    <w:rsid w:val="723A0474"/>
    <w:rsid w:val="725923E4"/>
    <w:rsid w:val="72864BF7"/>
    <w:rsid w:val="729023FC"/>
    <w:rsid w:val="733470C6"/>
    <w:rsid w:val="73533CC2"/>
    <w:rsid w:val="73C0646E"/>
    <w:rsid w:val="742222F5"/>
    <w:rsid w:val="742348D0"/>
    <w:rsid w:val="74476126"/>
    <w:rsid w:val="744A23BB"/>
    <w:rsid w:val="74624977"/>
    <w:rsid w:val="74706664"/>
    <w:rsid w:val="7475702A"/>
    <w:rsid w:val="747F3682"/>
    <w:rsid w:val="749C4185"/>
    <w:rsid w:val="74A60E8D"/>
    <w:rsid w:val="74A73931"/>
    <w:rsid w:val="74BE006A"/>
    <w:rsid w:val="75067759"/>
    <w:rsid w:val="752E6DCD"/>
    <w:rsid w:val="7551380D"/>
    <w:rsid w:val="75600BE5"/>
    <w:rsid w:val="7564475C"/>
    <w:rsid w:val="75834A5C"/>
    <w:rsid w:val="7583797F"/>
    <w:rsid w:val="75952EE8"/>
    <w:rsid w:val="75D03F20"/>
    <w:rsid w:val="75D04F34"/>
    <w:rsid w:val="75D20F1D"/>
    <w:rsid w:val="75DA2C18"/>
    <w:rsid w:val="75F54412"/>
    <w:rsid w:val="761969BC"/>
    <w:rsid w:val="761D08E0"/>
    <w:rsid w:val="76400B70"/>
    <w:rsid w:val="765D347C"/>
    <w:rsid w:val="76826699"/>
    <w:rsid w:val="76C87133"/>
    <w:rsid w:val="76CD08D5"/>
    <w:rsid w:val="76DB4B92"/>
    <w:rsid w:val="76FF4961"/>
    <w:rsid w:val="77052AA4"/>
    <w:rsid w:val="77136511"/>
    <w:rsid w:val="77340A39"/>
    <w:rsid w:val="77351FD0"/>
    <w:rsid w:val="77472422"/>
    <w:rsid w:val="777F31F2"/>
    <w:rsid w:val="77BC4C63"/>
    <w:rsid w:val="77D1700D"/>
    <w:rsid w:val="77E4568D"/>
    <w:rsid w:val="77EC04CC"/>
    <w:rsid w:val="78006A23"/>
    <w:rsid w:val="78775729"/>
    <w:rsid w:val="78A42DB0"/>
    <w:rsid w:val="78A656AB"/>
    <w:rsid w:val="78B2245C"/>
    <w:rsid w:val="78E172CC"/>
    <w:rsid w:val="78EA1D1F"/>
    <w:rsid w:val="7904172F"/>
    <w:rsid w:val="79062AD2"/>
    <w:rsid w:val="790F7E27"/>
    <w:rsid w:val="792A231A"/>
    <w:rsid w:val="79316829"/>
    <w:rsid w:val="79404FE3"/>
    <w:rsid w:val="797C7409"/>
    <w:rsid w:val="797E66A9"/>
    <w:rsid w:val="79A97383"/>
    <w:rsid w:val="79E27E8B"/>
    <w:rsid w:val="79F850CE"/>
    <w:rsid w:val="79FD443C"/>
    <w:rsid w:val="7A1D1975"/>
    <w:rsid w:val="7A3902E6"/>
    <w:rsid w:val="7A3E5150"/>
    <w:rsid w:val="7A4670D6"/>
    <w:rsid w:val="7A534B63"/>
    <w:rsid w:val="7A615382"/>
    <w:rsid w:val="7A653600"/>
    <w:rsid w:val="7A67303B"/>
    <w:rsid w:val="7A835439"/>
    <w:rsid w:val="7AAB1D04"/>
    <w:rsid w:val="7ABA4368"/>
    <w:rsid w:val="7AD05746"/>
    <w:rsid w:val="7AF92CA6"/>
    <w:rsid w:val="7B226FCC"/>
    <w:rsid w:val="7B257FFD"/>
    <w:rsid w:val="7B343476"/>
    <w:rsid w:val="7B5A2978"/>
    <w:rsid w:val="7B5A7E4C"/>
    <w:rsid w:val="7B667AF9"/>
    <w:rsid w:val="7B7468F8"/>
    <w:rsid w:val="7BE64CF7"/>
    <w:rsid w:val="7BEE0103"/>
    <w:rsid w:val="7BFD48E8"/>
    <w:rsid w:val="7C0A0FE4"/>
    <w:rsid w:val="7C254906"/>
    <w:rsid w:val="7C4022C0"/>
    <w:rsid w:val="7C5022FF"/>
    <w:rsid w:val="7C590818"/>
    <w:rsid w:val="7C6E0182"/>
    <w:rsid w:val="7C7C10F6"/>
    <w:rsid w:val="7C853BEA"/>
    <w:rsid w:val="7C881368"/>
    <w:rsid w:val="7CE27788"/>
    <w:rsid w:val="7D0357E5"/>
    <w:rsid w:val="7D0C32F1"/>
    <w:rsid w:val="7D0F408D"/>
    <w:rsid w:val="7D491C6C"/>
    <w:rsid w:val="7D5429C0"/>
    <w:rsid w:val="7D6E6D43"/>
    <w:rsid w:val="7D6F7570"/>
    <w:rsid w:val="7D7069D2"/>
    <w:rsid w:val="7D894AA5"/>
    <w:rsid w:val="7D9B4E14"/>
    <w:rsid w:val="7DAD6DD7"/>
    <w:rsid w:val="7DB57A34"/>
    <w:rsid w:val="7DDB10A1"/>
    <w:rsid w:val="7DE60973"/>
    <w:rsid w:val="7DEF0916"/>
    <w:rsid w:val="7E1E5218"/>
    <w:rsid w:val="7E7514D4"/>
    <w:rsid w:val="7E9A4E1F"/>
    <w:rsid w:val="7EA7723A"/>
    <w:rsid w:val="7EB659FE"/>
    <w:rsid w:val="7EBC6AFC"/>
    <w:rsid w:val="7EF56FBB"/>
    <w:rsid w:val="7EFC38CE"/>
    <w:rsid w:val="7F067E4D"/>
    <w:rsid w:val="7F0768EB"/>
    <w:rsid w:val="7F143BEC"/>
    <w:rsid w:val="7F6137FA"/>
    <w:rsid w:val="7F715AF2"/>
    <w:rsid w:val="7F793597"/>
    <w:rsid w:val="7F886E69"/>
    <w:rsid w:val="7FCF2D12"/>
    <w:rsid w:val="7FFA1DC8"/>
    <w:rsid w:val="7FFD7480"/>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30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9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semiHidden/>
    <w:unhideWhenUsed/>
    <w:qFormat/>
    <w:uiPriority w:val="1"/>
  </w:style>
  <w:style w:type="table" w:default="1" w:styleId="66">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135"/>
    <w:qFormat/>
    <w:uiPriority w:val="0"/>
    <w:rPr>
      <w:rFonts w:ascii="宋体" w:hAnsi="Courier New" w:cs="Arial"/>
      <w:snapToGrid w:val="0"/>
      <w:szCs w:val="21"/>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index 8"/>
    <w:basedOn w:val="1"/>
    <w:next w:val="1"/>
    <w:qFormat/>
    <w:uiPriority w:val="0"/>
    <w:pPr>
      <w:ind w:left="2940"/>
    </w:p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203"/>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12"/>
    <w:qFormat/>
    <w:uiPriority w:val="0"/>
    <w:pPr>
      <w:shd w:val="clear" w:color="auto" w:fill="000080"/>
    </w:pPr>
  </w:style>
  <w:style w:type="paragraph" w:styleId="21">
    <w:name w:val="annotation text"/>
    <w:basedOn w:val="1"/>
    <w:link w:val="351"/>
    <w:qFormat/>
    <w:uiPriority w:val="99"/>
    <w:pPr>
      <w:jc w:val="left"/>
    </w:pPr>
  </w:style>
  <w:style w:type="paragraph" w:styleId="22">
    <w:name w:val="Salutation"/>
    <w:basedOn w:val="1"/>
    <w:next w:val="1"/>
    <w:link w:val="305"/>
    <w:qFormat/>
    <w:uiPriority w:val="0"/>
    <w:rPr>
      <w:rFonts w:ascii="仿宋_GB2312" w:eastAsia="仿宋_GB2312"/>
      <w:sz w:val="28"/>
      <w:szCs w:val="20"/>
    </w:rPr>
  </w:style>
  <w:style w:type="paragraph" w:styleId="23">
    <w:name w:val="Body Text 3"/>
    <w:basedOn w:val="1"/>
    <w:link w:val="33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7"/>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8"/>
    <w:qFormat/>
    <w:uiPriority w:val="0"/>
    <w:pPr>
      <w:ind w:firstLine="420"/>
    </w:pPr>
    <w:rPr>
      <w:rFonts w:hAnsi="Calibri" w:cs="Times New Roman"/>
      <w:snapToGrid/>
      <w:szCs w:val="20"/>
    </w:rPr>
  </w:style>
  <w:style w:type="paragraph" w:styleId="27">
    <w:name w:val="Body Text Indent"/>
    <w:basedOn w:val="1"/>
    <w:next w:val="1"/>
    <w:link w:val="272"/>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91"/>
    <w:qFormat/>
    <w:uiPriority w:val="0"/>
    <w:pPr>
      <w:ind w:left="100" w:leftChars="2500"/>
    </w:pPr>
    <w:rPr>
      <w:rFonts w:ascii="宋体"/>
      <w:sz w:val="24"/>
      <w:szCs w:val="21"/>
      <w:lang w:val="zh-CN"/>
    </w:rPr>
  </w:style>
  <w:style w:type="paragraph" w:styleId="38">
    <w:name w:val="Body Text Indent 2"/>
    <w:basedOn w:val="1"/>
    <w:link w:val="315"/>
    <w:qFormat/>
    <w:uiPriority w:val="0"/>
    <w:pPr>
      <w:spacing w:line="360" w:lineRule="auto"/>
      <w:ind w:firstLine="601"/>
      <w:textAlignment w:val="baseline"/>
    </w:pPr>
    <w:rPr>
      <w:rFonts w:ascii="宋体"/>
      <w:kern w:val="0"/>
      <w:sz w:val="28"/>
      <w:szCs w:val="20"/>
    </w:rPr>
  </w:style>
  <w:style w:type="paragraph" w:styleId="39">
    <w:name w:val="endnote text"/>
    <w:basedOn w:val="1"/>
    <w:link w:val="938"/>
    <w:qFormat/>
    <w:uiPriority w:val="0"/>
    <w:rPr>
      <w:lang w:val="zh-CN"/>
    </w:rPr>
  </w:style>
  <w:style w:type="paragraph" w:styleId="40">
    <w:name w:val="Balloon Text"/>
    <w:basedOn w:val="1"/>
    <w:link w:val="198"/>
    <w:qFormat/>
    <w:uiPriority w:val="0"/>
    <w:rPr>
      <w:sz w:val="18"/>
      <w:szCs w:val="18"/>
    </w:rPr>
  </w:style>
  <w:style w:type="paragraph" w:styleId="41">
    <w:name w:val="footer"/>
    <w:basedOn w:val="1"/>
    <w:link w:val="390"/>
    <w:qFormat/>
    <w:uiPriority w:val="99"/>
    <w:pPr>
      <w:tabs>
        <w:tab w:val="center" w:pos="4153"/>
        <w:tab w:val="right" w:pos="8306"/>
      </w:tabs>
      <w:snapToGrid w:val="0"/>
      <w:jc w:val="left"/>
    </w:pPr>
    <w:rPr>
      <w:sz w:val="18"/>
      <w:szCs w:val="18"/>
    </w:rPr>
  </w:style>
  <w:style w:type="paragraph" w:styleId="42">
    <w:name w:val="envelope return"/>
    <w:basedOn w:val="1"/>
    <w:qFormat/>
    <w:uiPriority w:val="0"/>
    <w:pPr>
      <w:snapToGrid w:val="0"/>
    </w:pPr>
    <w:rPr>
      <w:rFonts w:ascii="Arial" w:hAnsi="Arial"/>
    </w:rPr>
  </w:style>
  <w:style w:type="paragraph" w:styleId="43">
    <w:name w:val="header"/>
    <w:basedOn w:val="1"/>
    <w:link w:val="399"/>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52"/>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4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7"/>
    <w:link w:val="317"/>
    <w:qFormat/>
    <w:uiPriority w:val="0"/>
    <w:pPr>
      <w:adjustRightInd/>
      <w:snapToGrid/>
      <w:spacing w:before="60" w:after="60" w:line="300" w:lineRule="exact"/>
      <w:ind w:firstLine="0"/>
    </w:pPr>
    <w:rPr>
      <w:rFonts w:ascii="Calibri"/>
      <w:snapToGrid/>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382"/>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309"/>
    <w:qFormat/>
    <w:uiPriority w:val="0"/>
    <w:pPr>
      <w:spacing w:after="120" w:line="480" w:lineRule="auto"/>
    </w:pPr>
  </w:style>
  <w:style w:type="paragraph" w:styleId="59">
    <w:name w:val="HTML Preformatted"/>
    <w:basedOn w:val="1"/>
    <w:link w:val="3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93"/>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1"/>
    <w:next w:val="21"/>
    <w:link w:val="106"/>
    <w:qFormat/>
    <w:uiPriority w:val="0"/>
    <w:rPr>
      <w:b/>
      <w:bCs/>
    </w:rPr>
  </w:style>
  <w:style w:type="paragraph" w:styleId="63">
    <w:name w:val="Body Text First Indent 2"/>
    <w:basedOn w:val="27"/>
    <w:next w:val="64"/>
    <w:link w:val="131"/>
    <w:qFormat/>
    <w:uiPriority w:val="0"/>
    <w:pPr>
      <w:adjustRightInd/>
      <w:spacing w:after="120" w:line="240" w:lineRule="auto"/>
      <w:ind w:left="420" w:leftChars="200" w:firstLine="210"/>
    </w:pPr>
    <w:rPr>
      <w:sz w:val="21"/>
    </w:rPr>
  </w:style>
  <w:style w:type="paragraph" w:customStyle="1" w:styleId="64">
    <w:name w:val="文章正文"/>
    <w:basedOn w:val="1"/>
    <w:next w:val="65"/>
    <w:qFormat/>
    <w:uiPriority w:val="0"/>
    <w:pPr>
      <w:spacing w:line="360" w:lineRule="auto"/>
      <w:ind w:firstLine="200" w:firstLineChars="200"/>
    </w:pPr>
    <w:rPr>
      <w:sz w:val="24"/>
    </w:rPr>
  </w:style>
  <w:style w:type="paragraph" w:customStyle="1" w:styleId="65">
    <w:name w:val="公式样式 变量"/>
    <w:qFormat/>
    <w:uiPriority w:val="0"/>
    <w:rPr>
      <w:rFonts w:ascii="Times New Roman" w:hAnsi="Times New Roman" w:eastAsia="宋体" w:cs="Times New Roman"/>
      <w:i/>
      <w:lang w:val="en-US" w:eastAsia="zh-CN" w:bidi="ar-SA"/>
    </w:rPr>
  </w:style>
  <w:style w:type="table" w:styleId="67">
    <w:name w:val="Table Grid"/>
    <w:basedOn w:val="6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Theme"/>
    <w:basedOn w:val="6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9">
    <w:name w:val="Table Elegant"/>
    <w:basedOn w:val="6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0">
    <w:name w:val="Table Grid 5"/>
    <w:basedOn w:val="66"/>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qFormat/>
    <w:uiPriority w:val="22"/>
    <w:rPr>
      <w:b/>
      <w:bCs/>
    </w:rPr>
  </w:style>
  <w:style w:type="character" w:styleId="75">
    <w:name w:val="endnote reference"/>
    <w:qFormat/>
    <w:uiPriority w:val="0"/>
    <w:rPr>
      <w:vertAlign w:val="superscript"/>
    </w:rPr>
  </w:style>
  <w:style w:type="character" w:styleId="76">
    <w:name w:val="page number"/>
    <w:basedOn w:val="73"/>
    <w:qFormat/>
    <w:uiPriority w:val="0"/>
    <w:rPr>
      <w:rFonts w:ascii="Arial" w:hAnsi="Arial" w:eastAsia="黑体" w:cs="Arial"/>
      <w:snapToGrid w:val="0"/>
      <w:kern w:val="0"/>
      <w:szCs w:val="21"/>
    </w:rPr>
  </w:style>
  <w:style w:type="character" w:styleId="77">
    <w:name w:val="FollowedHyperlink"/>
    <w:qFormat/>
    <w:uiPriority w:val="99"/>
    <w:rPr>
      <w:rFonts w:ascii="Arial" w:hAnsi="Arial" w:eastAsia="黑体" w:cs="Arial"/>
      <w:snapToGrid w:val="0"/>
      <w:color w:val="000000"/>
      <w:kern w:val="0"/>
      <w:sz w:val="18"/>
      <w:szCs w:val="18"/>
      <w:u w:val="none"/>
    </w:rPr>
  </w:style>
  <w:style w:type="character" w:styleId="78">
    <w:name w:val="Emphasis"/>
    <w:qFormat/>
    <w:uiPriority w:val="20"/>
    <w:rPr>
      <w:color w:val="CC0033"/>
    </w:rPr>
  </w:style>
  <w:style w:type="character" w:styleId="79">
    <w:name w:val="line number"/>
    <w:basedOn w:val="73"/>
    <w:qFormat/>
    <w:uiPriority w:val="0"/>
    <w:rPr>
      <w:rFonts w:ascii="Arial" w:hAnsi="Arial" w:eastAsia="黑体" w:cs="Arial"/>
      <w:snapToGrid w:val="0"/>
      <w:kern w:val="0"/>
      <w:szCs w:val="21"/>
    </w:rPr>
  </w:style>
  <w:style w:type="character" w:styleId="80">
    <w:name w:val="Hyperlink"/>
    <w:qFormat/>
    <w:uiPriority w:val="99"/>
    <w:rPr>
      <w:rFonts w:ascii="Arial" w:hAnsi="Arial" w:eastAsia="黑体" w:cs="Arial"/>
      <w:snapToGrid w:val="0"/>
      <w:color w:val="000000"/>
      <w:kern w:val="0"/>
      <w:sz w:val="18"/>
      <w:szCs w:val="18"/>
      <w:u w:val="none"/>
    </w:rPr>
  </w:style>
  <w:style w:type="character" w:styleId="81">
    <w:name w:val="HTML Code"/>
    <w:qFormat/>
    <w:uiPriority w:val="0"/>
    <w:rPr>
      <w:rFonts w:ascii="黑体" w:hAnsi="Courier New" w:eastAsia="黑体" w:cs="楷体_GB2312"/>
      <w:sz w:val="20"/>
      <w:szCs w:val="20"/>
    </w:rPr>
  </w:style>
  <w:style w:type="character" w:styleId="82">
    <w:name w:val="annotation reference"/>
    <w:qFormat/>
    <w:uiPriority w:val="99"/>
    <w:rPr>
      <w:sz w:val="21"/>
      <w:szCs w:val="21"/>
    </w:rPr>
  </w:style>
  <w:style w:type="character" w:customStyle="1" w:styleId="83">
    <w:name w:val="标题 2 Char"/>
    <w:qFormat/>
    <w:uiPriority w:val="0"/>
    <w:rPr>
      <w:rFonts w:ascii="Arial" w:hAnsi="Arial" w:eastAsia="黑体"/>
      <w:b/>
      <w:kern w:val="2"/>
      <w:sz w:val="32"/>
      <w:lang w:val="en-US" w:eastAsia="zh-CN"/>
    </w:rPr>
  </w:style>
  <w:style w:type="paragraph" w:customStyle="1" w:styleId="84">
    <w:name w:val="xl53"/>
    <w:basedOn w:val="1"/>
    <w:next w:val="1"/>
    <w:qFormat/>
    <w:uiPriority w:val="0"/>
    <w:pPr>
      <w:spacing w:before="280" w:after="280" w:line="100" w:lineRule="exact"/>
      <w:jc w:val="center"/>
    </w:pPr>
    <w:rPr>
      <w:b/>
      <w:sz w:val="20"/>
    </w:rPr>
  </w:style>
  <w:style w:type="paragraph" w:customStyle="1" w:styleId="85">
    <w:name w:val="正文首行缩进1"/>
    <w:basedOn w:val="25"/>
    <w:next w:val="1"/>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6">
    <w:name w:val="Default"/>
    <w:next w:val="87"/>
    <w:link w:val="24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8">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89">
    <w:name w:val="[Normal]"/>
    <w:qFormat/>
    <w:uiPriority w:val="0"/>
    <w:rPr>
      <w:rFonts w:ascii="宋体" w:hAnsi="宋体" w:eastAsia="宋体" w:cs="Times New Roman"/>
      <w:sz w:val="24"/>
      <w:lang w:val="zh-CN" w:eastAsia="zh-CN" w:bidi="ar-SA"/>
    </w:rPr>
  </w:style>
  <w:style w:type="paragraph" w:styleId="90">
    <w:name w:val="List Paragraph"/>
    <w:basedOn w:val="1"/>
    <w:qFormat/>
    <w:uiPriority w:val="34"/>
    <w:pPr>
      <w:spacing w:line="360" w:lineRule="auto"/>
      <w:ind w:firstLine="200" w:firstLineChars="200"/>
    </w:pPr>
    <w:rPr>
      <w:rFonts w:eastAsia="楷体_GB2312" w:cs="Lucida Sans"/>
      <w:sz w:val="24"/>
    </w:rPr>
  </w:style>
  <w:style w:type="paragraph" w:customStyle="1" w:styleId="91">
    <w:name w:val="正文文本首行缩进 21"/>
    <w:basedOn w:val="27"/>
    <w:qFormat/>
    <w:uiPriority w:val="99"/>
    <w:pPr>
      <w:spacing w:line="200" w:lineRule="atLeast"/>
      <w:ind w:firstLine="420"/>
    </w:pPr>
    <w:rPr>
      <w:rFonts w:hAnsi="Courier New"/>
      <w:spacing w:val="-4"/>
      <w:sz w:val="18"/>
    </w:rPr>
  </w:style>
  <w:style w:type="character" w:customStyle="1" w:styleId="92">
    <w:name w:val="表格非标题文字 Char"/>
    <w:link w:val="93"/>
    <w:qFormat/>
    <w:uiPriority w:val="0"/>
    <w:rPr>
      <w:rFonts w:ascii="Futura Bk" w:hAnsi="Futura Bk"/>
      <w:kern w:val="2"/>
      <w:sz w:val="18"/>
      <w:szCs w:val="21"/>
      <w:lang w:val="en-US" w:eastAsia="zh-CN" w:bidi="ar-SA"/>
    </w:rPr>
  </w:style>
  <w:style w:type="paragraph" w:customStyle="1" w:styleId="93">
    <w:name w:val="表格非标题文字"/>
    <w:link w:val="9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4">
    <w:name w:val="*正文 Char"/>
    <w:link w:val="95"/>
    <w:qFormat/>
    <w:locked/>
    <w:uiPriority w:val="0"/>
    <w:rPr>
      <w:rFonts w:ascii="宋体" w:hAnsi="宋体"/>
      <w:sz w:val="24"/>
    </w:rPr>
  </w:style>
  <w:style w:type="paragraph" w:customStyle="1" w:styleId="95">
    <w:name w:val="*正文"/>
    <w:basedOn w:val="1"/>
    <w:link w:val="94"/>
    <w:qFormat/>
    <w:uiPriority w:val="0"/>
    <w:pPr>
      <w:snapToGrid w:val="0"/>
      <w:spacing w:line="360" w:lineRule="auto"/>
      <w:ind w:firstLine="482"/>
      <w:jc w:val="left"/>
    </w:pPr>
    <w:rPr>
      <w:rFonts w:ascii="宋体" w:hAnsi="宋体"/>
      <w:kern w:val="0"/>
      <w:sz w:val="24"/>
      <w:szCs w:val="20"/>
    </w:rPr>
  </w:style>
  <w:style w:type="character" w:customStyle="1" w:styleId="96">
    <w:name w:val="Char Char71"/>
    <w:semiHidden/>
    <w:qFormat/>
    <w:uiPriority w:val="0"/>
    <w:rPr>
      <w:rFonts w:eastAsia="宋体"/>
      <w:kern w:val="2"/>
      <w:sz w:val="21"/>
      <w:szCs w:val="24"/>
      <w:lang w:val="en-US" w:eastAsia="zh-CN" w:bidi="ar-SA"/>
    </w:rPr>
  </w:style>
  <w:style w:type="character" w:customStyle="1" w:styleId="97">
    <w:name w:val="Char Char6"/>
    <w:qFormat/>
    <w:uiPriority w:val="0"/>
    <w:rPr>
      <w:rFonts w:eastAsia="宋体"/>
      <w:kern w:val="2"/>
      <w:sz w:val="21"/>
      <w:szCs w:val="24"/>
      <w:lang w:val="en-US" w:eastAsia="zh-CN" w:bidi="ar-SA"/>
    </w:rPr>
  </w:style>
  <w:style w:type="character" w:customStyle="1" w:styleId="98">
    <w:name w:val="正文缩进 Char"/>
    <w:qFormat/>
    <w:uiPriority w:val="0"/>
    <w:rPr>
      <w:rFonts w:eastAsia="宋体"/>
      <w:kern w:val="2"/>
      <w:sz w:val="21"/>
      <w:lang w:val="en-US" w:eastAsia="zh-CN"/>
    </w:rPr>
  </w:style>
  <w:style w:type="character" w:customStyle="1" w:styleId="99">
    <w:name w:val="正文首行缩进 Char1"/>
    <w:qFormat/>
    <w:uiPriority w:val="0"/>
    <w:rPr>
      <w:rFonts w:ascii="宋体" w:hAnsi="Times New Roman" w:eastAsia="宋体" w:cs="Times New Roman"/>
      <w:snapToGrid w:val="0"/>
      <w:kern w:val="2"/>
      <w:sz w:val="24"/>
      <w:szCs w:val="21"/>
      <w:lang w:val="zh-CN"/>
    </w:rPr>
  </w:style>
  <w:style w:type="character" w:customStyle="1" w:styleId="100">
    <w:name w:val="Char Char28"/>
    <w:qFormat/>
    <w:uiPriority w:val="6"/>
    <w:rPr>
      <w:rFonts w:ascii="仿宋_GB2312" w:hAnsi="仿宋_GB2312" w:eastAsia="仿宋_GB2312"/>
      <w:kern w:val="1"/>
      <w:sz w:val="28"/>
    </w:rPr>
  </w:style>
  <w:style w:type="character" w:customStyle="1" w:styleId="10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2">
    <w:name w:val="Heading 1 Char"/>
    <w:qFormat/>
    <w:uiPriority w:val="6"/>
    <w:rPr>
      <w:rFonts w:ascii="Times New Roman" w:hAnsi="Times New Roman" w:eastAsia="黑体" w:cs="Times New Roman"/>
      <w:b/>
      <w:kern w:val="0"/>
      <w:sz w:val="24"/>
      <w:szCs w:val="24"/>
    </w:rPr>
  </w:style>
  <w:style w:type="character" w:customStyle="1" w:styleId="103">
    <w:name w:val="U_正文 Char"/>
    <w:link w:val="104"/>
    <w:qFormat/>
    <w:uiPriority w:val="0"/>
    <w:rPr>
      <w:sz w:val="24"/>
      <w:szCs w:val="24"/>
    </w:rPr>
  </w:style>
  <w:style w:type="paragraph" w:customStyle="1" w:styleId="104">
    <w:name w:val="U_正文"/>
    <w:basedOn w:val="1"/>
    <w:link w:val="103"/>
    <w:qFormat/>
    <w:uiPriority w:val="0"/>
    <w:pPr>
      <w:adjustRightInd/>
      <w:spacing w:beforeLines="20" w:afterLines="20" w:line="300" w:lineRule="auto"/>
      <w:ind w:firstLine="200" w:firstLineChars="200"/>
    </w:pPr>
    <w:rPr>
      <w:kern w:val="0"/>
      <w:sz w:val="24"/>
    </w:rPr>
  </w:style>
  <w:style w:type="character" w:customStyle="1" w:styleId="105">
    <w:name w:val="HTML 地址 Char1"/>
    <w:qFormat/>
    <w:uiPriority w:val="0"/>
    <w:rPr>
      <w:rFonts w:ascii="Times New Roman" w:hAnsi="Times New Roman" w:eastAsia="宋体" w:cs="Times New Roman"/>
      <w:i/>
      <w:iCs/>
      <w:szCs w:val="24"/>
    </w:rPr>
  </w:style>
  <w:style w:type="character" w:customStyle="1" w:styleId="106">
    <w:name w:val="批注主题 字符"/>
    <w:link w:val="62"/>
    <w:qFormat/>
    <w:uiPriority w:val="0"/>
    <w:rPr>
      <w:b/>
      <w:bCs/>
      <w:kern w:val="2"/>
      <w:sz w:val="21"/>
      <w:szCs w:val="24"/>
    </w:rPr>
  </w:style>
  <w:style w:type="character" w:customStyle="1" w:styleId="107">
    <w:name w:val="Char Char51"/>
    <w:qFormat/>
    <w:uiPriority w:val="0"/>
    <w:rPr>
      <w:rFonts w:ascii="宋体" w:hAnsi="Courier New" w:eastAsia="宋体"/>
      <w:kern w:val="2"/>
      <w:sz w:val="21"/>
      <w:lang w:val="en-US" w:eastAsia="zh-CN"/>
    </w:rPr>
  </w:style>
  <w:style w:type="character" w:customStyle="1" w:styleId="108">
    <w:name w:val="表正文 Char"/>
    <w:qFormat/>
    <w:uiPriority w:val="0"/>
    <w:rPr>
      <w:rFonts w:ascii="宋体" w:eastAsia="宋体"/>
      <w:snapToGrid w:val="0"/>
      <w:color w:val="000000"/>
      <w:kern w:val="28"/>
      <w:sz w:val="28"/>
      <w:lang w:val="en-US" w:eastAsia="zh-CN" w:bidi="ar-SA"/>
    </w:rPr>
  </w:style>
  <w:style w:type="character" w:customStyle="1" w:styleId="109">
    <w:name w:val="Char Char34"/>
    <w:qFormat/>
    <w:uiPriority w:val="6"/>
    <w:rPr>
      <w:b/>
      <w:kern w:val="1"/>
      <w:sz w:val="28"/>
      <w:szCs w:val="28"/>
    </w:rPr>
  </w:style>
  <w:style w:type="character" w:customStyle="1" w:styleId="11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11">
    <w:name w:val="哈哈正文 Char"/>
    <w:link w:val="112"/>
    <w:qFormat/>
    <w:uiPriority w:val="0"/>
    <w:rPr>
      <w:rFonts w:ascii="宋体" w:hAnsi="宋体" w:eastAsia="宋体"/>
      <w:kern w:val="2"/>
      <w:sz w:val="24"/>
      <w:lang w:bidi="ar-SA"/>
    </w:rPr>
  </w:style>
  <w:style w:type="paragraph" w:customStyle="1" w:styleId="112">
    <w:name w:val="哈哈正文"/>
    <w:basedOn w:val="1"/>
    <w:link w:val="111"/>
    <w:qFormat/>
    <w:uiPriority w:val="0"/>
    <w:pPr>
      <w:adjustRightInd/>
      <w:spacing w:line="360" w:lineRule="auto"/>
      <w:ind w:firstLine="200" w:firstLineChars="200"/>
    </w:pPr>
    <w:rPr>
      <w:rFonts w:ascii="宋体" w:hAnsi="宋体"/>
      <w:sz w:val="24"/>
      <w:szCs w:val="20"/>
    </w:rPr>
  </w:style>
  <w:style w:type="character" w:customStyle="1" w:styleId="113">
    <w:name w:val="未处理的提及1"/>
    <w:qFormat/>
    <w:uiPriority w:val="0"/>
    <w:rPr>
      <w:color w:val="808080"/>
      <w:shd w:val="clear" w:color="auto" w:fill="E6E6E6"/>
    </w:rPr>
  </w:style>
  <w:style w:type="character" w:customStyle="1" w:styleId="114">
    <w:name w:val="txt"/>
    <w:qFormat/>
    <w:uiPriority w:val="0"/>
    <w:rPr>
      <w:rFonts w:ascii="仿宋_GB2312" w:eastAsia="微软雅黑"/>
      <w:b/>
      <w:kern w:val="2"/>
      <w:sz w:val="32"/>
      <w:szCs w:val="32"/>
      <w:lang w:val="en-US" w:eastAsia="zh-CN" w:bidi="ar-SA"/>
    </w:rPr>
  </w:style>
  <w:style w:type="character" w:customStyle="1" w:styleId="115">
    <w:name w:val="二级标题 Char Char"/>
    <w:qFormat/>
    <w:uiPriority w:val="0"/>
    <w:rPr>
      <w:rFonts w:ascii="宋体" w:hAnsi="宋体" w:eastAsia="宋体"/>
      <w:b/>
      <w:snapToGrid w:val="0"/>
      <w:kern w:val="2"/>
      <w:sz w:val="24"/>
      <w:szCs w:val="24"/>
      <w:lang w:val="en-US" w:eastAsia="zh-CN" w:bidi="ar-SA"/>
    </w:rPr>
  </w:style>
  <w:style w:type="character" w:customStyle="1" w:styleId="116">
    <w:name w:val="Char Char32"/>
    <w:qFormat/>
    <w:uiPriority w:val="6"/>
    <w:rPr>
      <w:b/>
      <w:kern w:val="1"/>
      <w:sz w:val="24"/>
      <w:szCs w:val="24"/>
    </w:rPr>
  </w:style>
  <w:style w:type="character" w:customStyle="1" w:styleId="117">
    <w:name w:val="PI Char1"/>
    <w:qFormat/>
    <w:uiPriority w:val="0"/>
    <w:rPr>
      <w:rFonts w:ascii="宋体" w:hAnsi="宋体"/>
      <w:kern w:val="2"/>
      <w:sz w:val="24"/>
      <w:szCs w:val="24"/>
    </w:rPr>
  </w:style>
  <w:style w:type="character" w:customStyle="1" w:styleId="118">
    <w:name w:val="tw4winTerm"/>
    <w:qFormat/>
    <w:uiPriority w:val="0"/>
    <w:rPr>
      <w:color w:val="0000FF"/>
    </w:rPr>
  </w:style>
  <w:style w:type="character" w:customStyle="1" w:styleId="119">
    <w:name w:val="Footer Char"/>
    <w:qFormat/>
    <w:locked/>
    <w:uiPriority w:val="0"/>
    <w:rPr>
      <w:rFonts w:eastAsia="宋体"/>
      <w:kern w:val="2"/>
      <w:sz w:val="18"/>
      <w:lang w:val="en-US" w:eastAsia="zh-CN" w:bidi="ar-SA"/>
    </w:rPr>
  </w:style>
  <w:style w:type="character" w:customStyle="1" w:styleId="120">
    <w:name w:val="普通文字 Char Char1"/>
    <w:qFormat/>
    <w:uiPriority w:val="0"/>
    <w:rPr>
      <w:rFonts w:ascii="宋体" w:hAnsi="Courier New"/>
      <w:kern w:val="2"/>
      <w:sz w:val="21"/>
    </w:rPr>
  </w:style>
  <w:style w:type="character" w:customStyle="1" w:styleId="121">
    <w:name w:val="Char Char101"/>
    <w:qFormat/>
    <w:uiPriority w:val="6"/>
    <w:rPr>
      <w:rFonts w:ascii="宋体" w:hAnsi="宋体"/>
      <w:kern w:val="2"/>
      <w:sz w:val="21"/>
      <w:szCs w:val="24"/>
      <w:lang w:val="en-US" w:eastAsia="zh-CN"/>
    </w:rPr>
  </w:style>
  <w:style w:type="character" w:customStyle="1" w:styleId="122">
    <w:name w:val="标题 4 Char"/>
    <w:qFormat/>
    <w:uiPriority w:val="0"/>
    <w:rPr>
      <w:rFonts w:ascii="Arial" w:hAnsi="Arial" w:eastAsia="黑体"/>
      <w:b/>
      <w:kern w:val="2"/>
      <w:sz w:val="28"/>
    </w:rPr>
  </w:style>
  <w:style w:type="character" w:customStyle="1" w:styleId="123">
    <w:name w:val="链接"/>
    <w:qFormat/>
    <w:uiPriority w:val="0"/>
    <w:rPr>
      <w:color w:val="0000FF"/>
      <w:sz w:val="21"/>
      <w:szCs w:val="21"/>
      <w:u w:val="single"/>
    </w:rPr>
  </w:style>
  <w:style w:type="character" w:customStyle="1" w:styleId="124">
    <w:name w:val="h4 Char"/>
    <w:qFormat/>
    <w:uiPriority w:val="0"/>
    <w:rPr>
      <w:rFonts w:ascii="Arial" w:hAnsi="Arial" w:eastAsia="黑体"/>
      <w:b/>
      <w:bCs/>
      <w:kern w:val="2"/>
      <w:sz w:val="28"/>
      <w:szCs w:val="28"/>
      <w:lang w:val="zh-CN" w:eastAsia="zh-CN" w:bidi="ar-SA"/>
    </w:rPr>
  </w:style>
  <w:style w:type="character" w:customStyle="1" w:styleId="125">
    <w:name w:val="5正文 Char"/>
    <w:link w:val="126"/>
    <w:qFormat/>
    <w:uiPriority w:val="0"/>
    <w:rPr>
      <w:rFonts w:ascii="仿宋_GB2312" w:hAnsi="微软雅黑" w:eastAsia="仿宋_GB2312"/>
      <w:sz w:val="28"/>
      <w:szCs w:val="21"/>
    </w:rPr>
  </w:style>
  <w:style w:type="paragraph" w:customStyle="1" w:styleId="126">
    <w:name w:val="5正文"/>
    <w:basedOn w:val="1"/>
    <w:link w:val="12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7">
    <w:name w:val="标题 3 字符"/>
    <w:qFormat/>
    <w:uiPriority w:val="9"/>
    <w:rPr>
      <w:b/>
      <w:bCs/>
      <w:kern w:val="2"/>
      <w:sz w:val="32"/>
      <w:szCs w:val="32"/>
    </w:rPr>
  </w:style>
  <w:style w:type="character" w:customStyle="1" w:styleId="128">
    <w:name w:val="样式6 Char"/>
    <w:qFormat/>
    <w:uiPriority w:val="0"/>
    <w:rPr>
      <w:rFonts w:ascii="仿宋_GB2312" w:hAnsi="宋体" w:eastAsia="仿宋_GB2312"/>
      <w:b/>
      <w:bCs/>
      <w:kern w:val="2"/>
      <w:sz w:val="24"/>
      <w:szCs w:val="24"/>
      <w:lang w:val="en-US" w:eastAsia="zh-CN" w:bidi="ar-SA"/>
    </w:rPr>
  </w:style>
  <w:style w:type="character" w:customStyle="1" w:styleId="129">
    <w:name w:val="Char Char14"/>
    <w:qFormat/>
    <w:uiPriority w:val="6"/>
    <w:rPr>
      <w:rFonts w:ascii="黑体" w:hAnsi="黑体" w:eastAsia="黑体"/>
    </w:rPr>
  </w:style>
  <w:style w:type="character" w:customStyle="1" w:styleId="130">
    <w:name w:val="Heading 2 Hidden Char"/>
    <w:qFormat/>
    <w:uiPriority w:val="0"/>
    <w:rPr>
      <w:rFonts w:ascii="仿宋_GB2312" w:eastAsia="仿宋_GB2312"/>
      <w:b/>
      <w:bCs/>
      <w:kern w:val="2"/>
      <w:sz w:val="24"/>
      <w:szCs w:val="24"/>
      <w:lang w:val="zh-CN" w:eastAsia="zh-CN" w:bidi="ar-SA"/>
    </w:rPr>
  </w:style>
  <w:style w:type="character" w:customStyle="1" w:styleId="131">
    <w:name w:val="正文文本首行缩进 2 字符"/>
    <w:link w:val="63"/>
    <w:qFormat/>
    <w:uiPriority w:val="0"/>
    <w:rPr>
      <w:rFonts w:ascii="宋体" w:hAnsi="宋体"/>
      <w:kern w:val="2"/>
      <w:sz w:val="21"/>
      <w:szCs w:val="24"/>
    </w:rPr>
  </w:style>
  <w:style w:type="character" w:customStyle="1" w:styleId="132">
    <w:name w:val="font11"/>
    <w:qFormat/>
    <w:uiPriority w:val="0"/>
    <w:rPr>
      <w:rFonts w:hint="default" w:ascii="Times New Roman" w:hAnsi="Times New Roman" w:cs="Times New Roman"/>
      <w:color w:val="000000"/>
      <w:sz w:val="22"/>
      <w:szCs w:val="22"/>
      <w:u w:val="none"/>
    </w:rPr>
  </w:style>
  <w:style w:type="character" w:customStyle="1" w:styleId="133">
    <w:name w:val="表正文 Char1"/>
    <w:qFormat/>
    <w:uiPriority w:val="0"/>
    <w:rPr>
      <w:rFonts w:ascii="宋体" w:eastAsia="宋体"/>
      <w:snapToGrid w:val="0"/>
      <w:color w:val="000000"/>
      <w:kern w:val="28"/>
      <w:sz w:val="28"/>
    </w:rPr>
  </w:style>
  <w:style w:type="character" w:customStyle="1" w:styleId="134">
    <w:name w:val="blue1"/>
    <w:basedOn w:val="73"/>
    <w:qFormat/>
    <w:uiPriority w:val="0"/>
    <w:rPr>
      <w:rFonts w:ascii="Arial" w:hAnsi="Arial" w:eastAsia="黑体" w:cs="Arial"/>
      <w:snapToGrid w:val="0"/>
      <w:kern w:val="0"/>
      <w:szCs w:val="21"/>
    </w:rPr>
  </w:style>
  <w:style w:type="character" w:customStyle="1" w:styleId="135">
    <w:name w:val="纯文本 字符1"/>
    <w:link w:val="2"/>
    <w:qFormat/>
    <w:uiPriority w:val="0"/>
    <w:rPr>
      <w:rFonts w:ascii="宋体" w:hAnsi="Courier New" w:eastAsia="宋体" w:cs="Arial"/>
      <w:snapToGrid w:val="0"/>
      <w:kern w:val="2"/>
      <w:sz w:val="21"/>
      <w:szCs w:val="21"/>
      <w:lang w:val="en-US" w:eastAsia="zh-CN" w:bidi="ar-SA"/>
    </w:rPr>
  </w:style>
  <w:style w:type="character" w:customStyle="1" w:styleId="136">
    <w:name w:val="标书1 Char"/>
    <w:qFormat/>
    <w:uiPriority w:val="0"/>
    <w:rPr>
      <w:rFonts w:eastAsia="宋体"/>
      <w:b/>
      <w:bCs/>
      <w:kern w:val="44"/>
      <w:sz w:val="44"/>
      <w:szCs w:val="44"/>
      <w:lang w:val="en-US" w:eastAsia="zh-CN" w:bidi="ar-SA"/>
    </w:rPr>
  </w:style>
  <w:style w:type="character" w:customStyle="1" w:styleId="137">
    <w:name w:val="样式5 Char"/>
    <w:qFormat/>
    <w:uiPriority w:val="0"/>
    <w:rPr>
      <w:rFonts w:ascii="仿宋_GB2312" w:hAnsi="仿宋" w:eastAsia="仿宋_GB2312"/>
      <w:kern w:val="2"/>
      <w:sz w:val="24"/>
      <w:szCs w:val="24"/>
    </w:rPr>
  </w:style>
  <w:style w:type="character" w:customStyle="1" w:styleId="138">
    <w:name w:val="样式4 Char"/>
    <w:qFormat/>
    <w:uiPriority w:val="0"/>
    <w:rPr>
      <w:rFonts w:ascii="仿宋_GB2312" w:hAnsi="仿宋" w:eastAsia="仿宋_GB2312"/>
      <w:b/>
      <w:kern w:val="2"/>
      <w:sz w:val="32"/>
      <w:szCs w:val="32"/>
      <w:lang w:bidi="ar-SA"/>
    </w:rPr>
  </w:style>
  <w:style w:type="character" w:customStyle="1" w:styleId="139">
    <w:name w:val="插图说明 Char"/>
    <w:qFormat/>
    <w:uiPriority w:val="0"/>
    <w:rPr>
      <w:rFonts w:eastAsia="黑体"/>
      <w:sz w:val="24"/>
      <w:lang w:val="en-US" w:eastAsia="zh-CN"/>
    </w:rPr>
  </w:style>
  <w:style w:type="character" w:customStyle="1" w:styleId="140">
    <w:name w:val="正文2 Char Char"/>
    <w:link w:val="141"/>
    <w:qFormat/>
    <w:uiPriority w:val="0"/>
    <w:rPr>
      <w:rFonts w:eastAsia="宋体"/>
      <w:kern w:val="2"/>
      <w:sz w:val="24"/>
      <w:lang w:val="en-US" w:eastAsia="zh-CN" w:bidi="ar-SA"/>
    </w:rPr>
  </w:style>
  <w:style w:type="paragraph" w:customStyle="1" w:styleId="141">
    <w:name w:val="正文2"/>
    <w:basedOn w:val="1"/>
    <w:link w:val="140"/>
    <w:qFormat/>
    <w:uiPriority w:val="0"/>
    <w:pPr>
      <w:spacing w:before="156" w:line="360" w:lineRule="auto"/>
      <w:ind w:firstLine="510" w:firstLineChars="200"/>
    </w:pPr>
    <w:rPr>
      <w:sz w:val="24"/>
      <w:szCs w:val="20"/>
    </w:rPr>
  </w:style>
  <w:style w:type="character" w:customStyle="1" w:styleId="142">
    <w:name w:val="Char Char24"/>
    <w:qFormat/>
    <w:uiPriority w:val="6"/>
    <w:rPr>
      <w:kern w:val="1"/>
      <w:sz w:val="21"/>
    </w:rPr>
  </w:style>
  <w:style w:type="character" w:customStyle="1" w:styleId="143">
    <w:name w:val="副标题 字符"/>
    <w:link w:val="49"/>
    <w:qFormat/>
    <w:uiPriority w:val="0"/>
    <w:rPr>
      <w:rFonts w:ascii="Arial" w:hAnsi="Arial" w:eastAsia="隶书"/>
      <w:b/>
      <w:bCs/>
      <w:kern w:val="28"/>
      <w:sz w:val="44"/>
      <w:szCs w:val="32"/>
      <w:lang w:val="en-US" w:eastAsia="zh-CN" w:bidi="ar-SA"/>
    </w:rPr>
  </w:style>
  <w:style w:type="character" w:customStyle="1" w:styleId="144">
    <w:name w:val="普通文字 Char1 Char"/>
    <w:qFormat/>
    <w:uiPriority w:val="0"/>
    <w:rPr>
      <w:rFonts w:ascii="宋体" w:hAnsi="Courier New" w:eastAsia="宋体"/>
      <w:kern w:val="2"/>
      <w:sz w:val="21"/>
      <w:szCs w:val="24"/>
      <w:lang w:val="en-US" w:eastAsia="zh-CN" w:bidi="ar-SA"/>
    </w:rPr>
  </w:style>
  <w:style w:type="character" w:customStyle="1" w:styleId="145">
    <w:name w:val="h3 Char1"/>
    <w:qFormat/>
    <w:uiPriority w:val="0"/>
    <w:rPr>
      <w:rFonts w:eastAsia="宋体"/>
      <w:b/>
      <w:bCs/>
      <w:kern w:val="2"/>
      <w:sz w:val="32"/>
      <w:szCs w:val="32"/>
      <w:lang w:bidi="ar-SA"/>
    </w:rPr>
  </w:style>
  <w:style w:type="character" w:customStyle="1" w:styleId="146">
    <w:name w:val="标题 Char1"/>
    <w:qFormat/>
    <w:uiPriority w:val="0"/>
    <w:rPr>
      <w:rFonts w:ascii="Cambria" w:hAnsi="Cambria" w:eastAsia="宋体" w:cs="Times New Roman"/>
      <w:b/>
      <w:bCs/>
      <w:sz w:val="32"/>
      <w:szCs w:val="32"/>
      <w:lang w:bidi="ar-SA"/>
    </w:rPr>
  </w:style>
  <w:style w:type="character" w:customStyle="1" w:styleId="147">
    <w:name w:val="gf正文1 Char"/>
    <w:qFormat/>
    <w:uiPriority w:val="0"/>
    <w:rPr>
      <w:rFonts w:ascii="宋体" w:hAnsi="宋体" w:eastAsia="宋体" w:cs="宋体"/>
      <w:kern w:val="2"/>
      <w:sz w:val="24"/>
      <w:szCs w:val="24"/>
      <w:lang w:val="en-US" w:eastAsia="zh-CN" w:bidi="ar-SA"/>
    </w:rPr>
  </w:style>
  <w:style w:type="character" w:customStyle="1" w:styleId="148">
    <w:name w:val="正文文本缩进 Char1"/>
    <w:qFormat/>
    <w:uiPriority w:val="0"/>
    <w:rPr>
      <w:rFonts w:ascii="Calibri" w:hAnsi="Calibri"/>
      <w:sz w:val="28"/>
    </w:rPr>
  </w:style>
  <w:style w:type="character" w:customStyle="1" w:styleId="149">
    <w:name w:val="No Spacing Char"/>
    <w:link w:val="150"/>
    <w:qFormat/>
    <w:uiPriority w:val="1"/>
    <w:rPr>
      <w:sz w:val="22"/>
      <w:szCs w:val="22"/>
      <w:lang w:val="en-US" w:eastAsia="zh-CN" w:bidi="ar-SA"/>
    </w:rPr>
  </w:style>
  <w:style w:type="paragraph" w:customStyle="1" w:styleId="150">
    <w:name w:val="无间隔1"/>
    <w:link w:val="149"/>
    <w:qFormat/>
    <w:uiPriority w:val="1"/>
    <w:rPr>
      <w:rFonts w:ascii="Times New Roman" w:hAnsi="Times New Roman" w:eastAsia="宋体" w:cs="Times New Roman"/>
      <w:sz w:val="22"/>
      <w:szCs w:val="22"/>
      <w:lang w:val="en-US" w:eastAsia="zh-CN" w:bidi="ar-SA"/>
    </w:rPr>
  </w:style>
  <w:style w:type="character" w:customStyle="1" w:styleId="151">
    <w:name w:val="样式7 Char"/>
    <w:qFormat/>
    <w:uiPriority w:val="0"/>
    <w:rPr>
      <w:rFonts w:ascii="仿宋_GB2312" w:hAnsi="仿宋" w:eastAsia="仿宋_GB2312"/>
      <w:b/>
      <w:kern w:val="2"/>
      <w:sz w:val="24"/>
      <w:szCs w:val="24"/>
    </w:rPr>
  </w:style>
  <w:style w:type="character" w:customStyle="1" w:styleId="152">
    <w:name w:val="font12gray1"/>
    <w:qFormat/>
    <w:uiPriority w:val="0"/>
    <w:rPr>
      <w:rFonts w:ascii="仿宋_GB2312" w:eastAsia="微软雅黑"/>
      <w:b/>
      <w:spacing w:val="300"/>
      <w:kern w:val="2"/>
      <w:sz w:val="18"/>
      <w:szCs w:val="18"/>
      <w:lang w:val="en-US" w:eastAsia="zh-CN" w:bidi="ar-SA"/>
    </w:rPr>
  </w:style>
  <w:style w:type="character" w:customStyle="1" w:styleId="153">
    <w:name w:val="Char Char7"/>
    <w:semiHidden/>
    <w:qFormat/>
    <w:uiPriority w:val="0"/>
    <w:rPr>
      <w:rFonts w:eastAsia="宋体"/>
      <w:kern w:val="2"/>
      <w:sz w:val="21"/>
      <w:szCs w:val="24"/>
      <w:lang w:val="en-US" w:eastAsia="zh-CN" w:bidi="ar-SA"/>
    </w:rPr>
  </w:style>
  <w:style w:type="character" w:customStyle="1" w:styleId="154">
    <w:name w:val="表名 Char"/>
    <w:qFormat/>
    <w:uiPriority w:val="0"/>
    <w:rPr>
      <w:rFonts w:eastAsia="宋体"/>
      <w:b/>
      <w:bCs/>
      <w:kern w:val="2"/>
      <w:sz w:val="24"/>
      <w:szCs w:val="24"/>
      <w:lang w:val="en-US" w:eastAsia="zh-CN" w:bidi="ar-SA"/>
    </w:rPr>
  </w:style>
  <w:style w:type="character" w:customStyle="1" w:styleId="155">
    <w:name w:val="Document Map Char"/>
    <w:qFormat/>
    <w:locked/>
    <w:uiPriority w:val="0"/>
    <w:rPr>
      <w:rFonts w:eastAsia="宋体"/>
      <w:kern w:val="2"/>
      <w:sz w:val="21"/>
      <w:szCs w:val="24"/>
      <w:lang w:val="en-US" w:eastAsia="zh-CN" w:bidi="ar-SA"/>
    </w:rPr>
  </w:style>
  <w:style w:type="character" w:customStyle="1" w:styleId="156">
    <w:name w:val="font41"/>
    <w:qFormat/>
    <w:uiPriority w:val="0"/>
    <w:rPr>
      <w:rFonts w:hint="eastAsia" w:ascii="仿宋_GB2312" w:eastAsia="仿宋_GB2312" w:cs="仿宋_GB2312"/>
      <w:color w:val="000000"/>
      <w:sz w:val="22"/>
      <w:szCs w:val="22"/>
      <w:u w:val="none"/>
    </w:rPr>
  </w:style>
  <w:style w:type="character" w:customStyle="1" w:styleId="157">
    <w:name w:val="标题 6 字符"/>
    <w:link w:val="8"/>
    <w:qFormat/>
    <w:uiPriority w:val="0"/>
    <w:rPr>
      <w:rFonts w:ascii="Arial" w:hAnsi="Arial" w:eastAsia="黑体"/>
      <w:b/>
      <w:bCs/>
      <w:kern w:val="2"/>
      <w:sz w:val="24"/>
      <w:szCs w:val="24"/>
    </w:rPr>
  </w:style>
  <w:style w:type="character" w:customStyle="1" w:styleId="158">
    <w:name w:val="纯文本 Char_0"/>
    <w:link w:val="159"/>
    <w:qFormat/>
    <w:uiPriority w:val="0"/>
    <w:rPr>
      <w:rFonts w:ascii="宋体" w:hAnsi="Courier New"/>
      <w:kern w:val="2"/>
      <w:sz w:val="21"/>
      <w:szCs w:val="21"/>
      <w:lang w:val="en-US" w:eastAsia="zh-CN"/>
    </w:rPr>
  </w:style>
  <w:style w:type="paragraph" w:customStyle="1" w:styleId="159">
    <w:name w:val="纯文本_0_0"/>
    <w:basedOn w:val="160"/>
    <w:link w:val="158"/>
    <w:qFormat/>
    <w:uiPriority w:val="0"/>
    <w:rPr>
      <w:rFonts w:ascii="宋体" w:hAnsi="Courier New"/>
      <w:szCs w:val="21"/>
    </w:rPr>
  </w:style>
  <w:style w:type="paragraph" w:customStyle="1" w:styleId="16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1">
    <w:name w:val="Balloon Text Char"/>
    <w:qFormat/>
    <w:locked/>
    <w:uiPriority w:val="0"/>
    <w:rPr>
      <w:rFonts w:eastAsia="宋体"/>
      <w:kern w:val="2"/>
      <w:sz w:val="18"/>
      <w:szCs w:val="18"/>
      <w:lang w:val="en-US" w:eastAsia="zh-CN" w:bidi="ar-SA"/>
    </w:rPr>
  </w:style>
  <w:style w:type="character" w:customStyle="1" w:styleId="162">
    <w:name w:val="正文 项目2 Char"/>
    <w:basedOn w:val="163"/>
    <w:qFormat/>
    <w:uiPriority w:val="0"/>
    <w:rPr>
      <w:rFonts w:ascii="仿宋_GB2312" w:hAnsi="仿宋_GB2312" w:eastAsia="仿宋_GB2312"/>
      <w:kern w:val="2"/>
      <w:sz w:val="24"/>
      <w:lang w:bidi="ar-SA"/>
    </w:rPr>
  </w:style>
  <w:style w:type="character" w:customStyle="1" w:styleId="163">
    <w:name w:val="正文 项目 Char"/>
    <w:qFormat/>
    <w:uiPriority w:val="0"/>
    <w:rPr>
      <w:rFonts w:ascii="仿宋_GB2312" w:hAnsi="仿宋_GB2312" w:eastAsia="仿宋_GB2312"/>
      <w:kern w:val="2"/>
      <w:sz w:val="24"/>
      <w:lang w:bidi="ar-SA"/>
    </w:rPr>
  </w:style>
  <w:style w:type="character" w:customStyle="1" w:styleId="164">
    <w:name w:val="h Char Char1"/>
    <w:qFormat/>
    <w:uiPriority w:val="0"/>
    <w:rPr>
      <w:rFonts w:eastAsia="宋体"/>
      <w:kern w:val="2"/>
      <w:sz w:val="18"/>
      <w:szCs w:val="18"/>
      <w:lang w:val="en-US" w:eastAsia="zh-CN" w:bidi="ar-SA"/>
    </w:rPr>
  </w:style>
  <w:style w:type="character" w:customStyle="1" w:styleId="165">
    <w:name w:val="Char Char27"/>
    <w:qFormat/>
    <w:uiPriority w:val="6"/>
    <w:rPr>
      <w:rFonts w:ascii="宋体" w:hAnsi="宋体" w:eastAsia="宋体"/>
      <w:color w:val="000000"/>
      <w:kern w:val="1"/>
      <w:sz w:val="28"/>
      <w:lang w:val="en-US" w:eastAsia="zh-CN" w:bidi="ar-SA"/>
    </w:rPr>
  </w:style>
  <w:style w:type="character" w:customStyle="1" w:styleId="166">
    <w:name w:val="px14"/>
    <w:qFormat/>
    <w:uiPriority w:val="0"/>
    <w:rPr>
      <w:rFonts w:ascii="仿宋_GB2312" w:eastAsia="微软雅黑" w:cs="Times New Roman"/>
      <w:b/>
      <w:kern w:val="2"/>
      <w:sz w:val="32"/>
      <w:szCs w:val="32"/>
      <w:lang w:val="en-US" w:eastAsia="zh-CN" w:bidi="ar-SA"/>
    </w:rPr>
  </w:style>
  <w:style w:type="character" w:customStyle="1" w:styleId="167">
    <w:name w:val="HTML 预设格式 Char1"/>
    <w:qFormat/>
    <w:uiPriority w:val="0"/>
    <w:rPr>
      <w:rFonts w:ascii="Courier New" w:hAnsi="Courier New" w:eastAsia="宋体" w:cs="Courier New"/>
      <w:sz w:val="20"/>
      <w:szCs w:val="20"/>
    </w:rPr>
  </w:style>
  <w:style w:type="character" w:customStyle="1" w:styleId="168">
    <w:name w:val="普通文字 Char1"/>
    <w:qFormat/>
    <w:uiPriority w:val="0"/>
    <w:rPr>
      <w:rFonts w:ascii="宋体" w:hAnsi="Courier New" w:eastAsia="宋体"/>
      <w:kern w:val="2"/>
      <w:sz w:val="21"/>
      <w:lang w:val="en-US" w:eastAsia="zh-CN"/>
    </w:rPr>
  </w:style>
  <w:style w:type="character" w:customStyle="1" w:styleId="169">
    <w:name w:val="hei16b1"/>
    <w:qFormat/>
    <w:uiPriority w:val="0"/>
    <w:rPr>
      <w:rFonts w:hint="default" w:ascii="Arial" w:hAnsi="Arial" w:cs="Arial"/>
      <w:b/>
      <w:bCs/>
      <w:color w:val="000000"/>
      <w:sz w:val="24"/>
      <w:szCs w:val="24"/>
    </w:rPr>
  </w:style>
  <w:style w:type="character" w:customStyle="1" w:styleId="170">
    <w:name w:val="正文（绿盟科技） Char"/>
    <w:link w:val="171"/>
    <w:qFormat/>
    <w:uiPriority w:val="0"/>
    <w:rPr>
      <w:rFonts w:ascii="Arial" w:hAnsi="Arial"/>
      <w:sz w:val="21"/>
      <w:szCs w:val="21"/>
    </w:rPr>
  </w:style>
  <w:style w:type="paragraph" w:customStyle="1" w:styleId="171">
    <w:name w:val="正文（绿盟科技）"/>
    <w:link w:val="170"/>
    <w:qFormat/>
    <w:uiPriority w:val="0"/>
    <w:pPr>
      <w:spacing w:line="300" w:lineRule="auto"/>
    </w:pPr>
    <w:rPr>
      <w:rFonts w:ascii="Arial" w:hAnsi="Arial" w:eastAsia="宋体" w:cs="Times New Roman"/>
      <w:sz w:val="21"/>
      <w:szCs w:val="21"/>
      <w:lang w:val="en-US" w:eastAsia="zh-CN" w:bidi="ar-SA"/>
    </w:rPr>
  </w:style>
  <w:style w:type="character" w:customStyle="1" w:styleId="172">
    <w:name w:val="Char Char19"/>
    <w:qFormat/>
    <w:uiPriority w:val="6"/>
    <w:rPr>
      <w:rFonts w:ascii="宋体" w:hAnsi="宋体"/>
      <w:i/>
      <w:sz w:val="24"/>
      <w:szCs w:val="24"/>
    </w:rPr>
  </w:style>
  <w:style w:type="character" w:customStyle="1" w:styleId="173">
    <w:name w:val="页脚 Char"/>
    <w:qFormat/>
    <w:uiPriority w:val="0"/>
    <w:rPr>
      <w:rFonts w:eastAsia="仿宋_GB2312"/>
      <w:kern w:val="2"/>
      <w:sz w:val="18"/>
      <w:lang w:val="en-US" w:eastAsia="zh-CN"/>
    </w:rPr>
  </w:style>
  <w:style w:type="character" w:customStyle="1" w:styleId="174">
    <w:name w:val="批注主题 Char"/>
    <w:qFormat/>
    <w:uiPriority w:val="0"/>
    <w:rPr>
      <w:rFonts w:eastAsia="宋体"/>
      <w:b/>
      <w:bCs/>
      <w:kern w:val="2"/>
      <w:sz w:val="21"/>
      <w:szCs w:val="24"/>
      <w:lang w:val="en-US" w:eastAsia="zh-CN" w:bidi="ar-SA"/>
    </w:rPr>
  </w:style>
  <w:style w:type="character" w:customStyle="1" w:styleId="175">
    <w:name w:val="Comment Text Char"/>
    <w:qFormat/>
    <w:locked/>
    <w:uiPriority w:val="0"/>
    <w:rPr>
      <w:rFonts w:ascii="宋体" w:hAnsi="宋体" w:eastAsia="宋体"/>
      <w:kern w:val="2"/>
      <w:sz w:val="24"/>
      <w:lang w:val="en-US" w:eastAsia="zh-CN" w:bidi="ar-SA"/>
    </w:rPr>
  </w:style>
  <w:style w:type="character" w:customStyle="1" w:styleId="176">
    <w:name w:val="标题 2 字符"/>
    <w:qFormat/>
    <w:uiPriority w:val="1"/>
    <w:rPr>
      <w:rFonts w:ascii="仿宋_GB2312" w:hAnsi="Times New Roman" w:eastAsia="仿宋_GB2312" w:cs="Times New Roman"/>
      <w:b/>
      <w:kern w:val="2"/>
      <w:sz w:val="24"/>
      <w:lang w:val="zh-CN"/>
    </w:rPr>
  </w:style>
  <w:style w:type="character" w:customStyle="1" w:styleId="177">
    <w:name w:val="Char Char72"/>
    <w:qFormat/>
    <w:uiPriority w:val="0"/>
    <w:rPr>
      <w:rFonts w:eastAsia="宋体"/>
      <w:kern w:val="2"/>
      <w:sz w:val="21"/>
      <w:szCs w:val="24"/>
      <w:lang w:val="en-US" w:eastAsia="zh-CN" w:bidi="ar-SA"/>
    </w:rPr>
  </w:style>
  <w:style w:type="character" w:customStyle="1" w:styleId="178">
    <w:name w:val="正文文本缩进 Char2"/>
    <w:qFormat/>
    <w:uiPriority w:val="0"/>
    <w:rPr>
      <w:rFonts w:ascii="Times New Roman" w:hAnsi="Times New Roman" w:eastAsia="宋体" w:cs="Times New Roman"/>
      <w:snapToGrid w:val="0"/>
      <w:kern w:val="0"/>
      <w:szCs w:val="24"/>
    </w:rPr>
  </w:style>
  <w:style w:type="character" w:customStyle="1" w:styleId="179">
    <w:name w:val="样式2 Char"/>
    <w:qFormat/>
    <w:uiPriority w:val="0"/>
    <w:rPr>
      <w:rFonts w:ascii="仿宋_GB2312" w:hAnsi="仿宋" w:eastAsia="仿宋_GB2312" w:cs="仿宋_GB2312"/>
      <w:b/>
      <w:bCs/>
      <w:sz w:val="32"/>
      <w:szCs w:val="30"/>
      <w:lang w:val="zh-CN"/>
    </w:rPr>
  </w:style>
  <w:style w:type="character" w:customStyle="1" w:styleId="180">
    <w:name w:val="表格名称[858D7CFB-ED40-4347-BF05-701D383B685F]"/>
    <w:link w:val="181"/>
    <w:qFormat/>
    <w:uiPriority w:val="0"/>
    <w:rPr>
      <w:sz w:val="32"/>
    </w:rPr>
  </w:style>
  <w:style w:type="paragraph" w:customStyle="1" w:styleId="181">
    <w:name w:val="表格名称"/>
    <w:basedOn w:val="4"/>
    <w:link w:val="180"/>
    <w:qFormat/>
    <w:uiPriority w:val="0"/>
    <w:pPr>
      <w:snapToGrid w:val="0"/>
      <w:spacing w:before="240" w:after="240" w:line="240" w:lineRule="auto"/>
      <w:ind w:left="0" w:firstLine="0"/>
      <w:jc w:val="center"/>
    </w:pPr>
    <w:rPr>
      <w:rFonts w:ascii="Calibri" w:hAnsi="Calibri" w:eastAsia="宋体"/>
      <w:kern w:val="0"/>
      <w:szCs w:val="20"/>
    </w:rPr>
  </w:style>
  <w:style w:type="character" w:customStyle="1" w:styleId="182">
    <w:name w:val="Char Char4"/>
    <w:qFormat/>
    <w:uiPriority w:val="0"/>
    <w:rPr>
      <w:rFonts w:eastAsia="宋体"/>
      <w:b/>
      <w:sz w:val="24"/>
      <w:lang w:val="en-GB" w:eastAsia="zh-CN" w:bidi="ar-SA"/>
    </w:rPr>
  </w:style>
  <w:style w:type="character" w:customStyle="1" w:styleId="183">
    <w:name w:val="c7 style3"/>
    <w:qFormat/>
    <w:uiPriority w:val="0"/>
  </w:style>
  <w:style w:type="character" w:customStyle="1" w:styleId="184">
    <w:name w:val="正文文本 3 Char1"/>
    <w:semiHidden/>
    <w:qFormat/>
    <w:uiPriority w:val="99"/>
    <w:rPr>
      <w:rFonts w:ascii="Times New Roman" w:hAnsi="Times New Roman" w:eastAsia="宋体" w:cs="Times New Roman"/>
      <w:sz w:val="16"/>
      <w:szCs w:val="16"/>
    </w:rPr>
  </w:style>
  <w:style w:type="character" w:customStyle="1" w:styleId="185">
    <w:name w:val="tw4winInternal"/>
    <w:qFormat/>
    <w:uiPriority w:val="0"/>
    <w:rPr>
      <w:rFonts w:ascii="Courier New" w:hAnsi="Courier New" w:cs="Courier New"/>
      <w:color w:val="FF0000"/>
      <w:lang w:val="en-US" w:eastAsia="zh-CN"/>
    </w:rPr>
  </w:style>
  <w:style w:type="character" w:customStyle="1" w:styleId="186">
    <w:name w:val="Char Char10"/>
    <w:semiHidden/>
    <w:qFormat/>
    <w:uiPriority w:val="0"/>
    <w:rPr>
      <w:rFonts w:ascii="宋体" w:hAnsi="宋体"/>
      <w:kern w:val="2"/>
      <w:sz w:val="21"/>
      <w:szCs w:val="24"/>
      <w:lang w:val="en-US" w:eastAsia="zh-CN"/>
    </w:rPr>
  </w:style>
  <w:style w:type="character" w:customStyle="1" w:styleId="187">
    <w:name w:val="shadow11"/>
    <w:qFormat/>
    <w:uiPriority w:val="0"/>
    <w:rPr>
      <w:color w:val="000000"/>
      <w:sz w:val="21"/>
    </w:rPr>
  </w:style>
  <w:style w:type="character" w:customStyle="1" w:styleId="188">
    <w:name w:val="正文非缩进 Char3"/>
    <w:qFormat/>
    <w:uiPriority w:val="0"/>
    <w:rPr>
      <w:rFonts w:ascii="宋体" w:eastAsia="宋体"/>
      <w:snapToGrid w:val="0"/>
      <w:color w:val="000000"/>
      <w:kern w:val="28"/>
      <w:sz w:val="28"/>
      <w:lang w:val="en-US" w:eastAsia="zh-CN" w:bidi="ar-SA"/>
    </w:rPr>
  </w:style>
  <w:style w:type="character" w:customStyle="1" w:styleId="189">
    <w:name w:val="Char Char"/>
    <w:qFormat/>
    <w:uiPriority w:val="0"/>
    <w:rPr>
      <w:rFonts w:ascii="宋体" w:hAnsi="Courier New" w:eastAsia="宋体"/>
      <w:kern w:val="2"/>
      <w:sz w:val="21"/>
      <w:lang w:val="en-US" w:eastAsia="zh-CN" w:bidi="ar-SA"/>
    </w:rPr>
  </w:style>
  <w:style w:type="character" w:customStyle="1" w:styleId="190">
    <w:name w:val="签名 Char1"/>
    <w:qFormat/>
    <w:uiPriority w:val="0"/>
    <w:rPr>
      <w:rFonts w:ascii="Times New Roman" w:hAnsi="Times New Roman" w:eastAsia="宋体" w:cs="Times New Roman"/>
      <w:szCs w:val="24"/>
    </w:rPr>
  </w:style>
  <w:style w:type="character" w:customStyle="1" w:styleId="191">
    <w:name w:val="日期 字符"/>
    <w:link w:val="37"/>
    <w:qFormat/>
    <w:uiPriority w:val="0"/>
    <w:rPr>
      <w:rFonts w:ascii="宋体"/>
      <w:kern w:val="2"/>
      <w:sz w:val="24"/>
      <w:szCs w:val="21"/>
      <w:lang w:val="zh-CN"/>
    </w:rPr>
  </w:style>
  <w:style w:type="character" w:customStyle="1" w:styleId="192">
    <w:name w:val="标题 9 字符"/>
    <w:link w:val="11"/>
    <w:qFormat/>
    <w:uiPriority w:val="0"/>
    <w:rPr>
      <w:rFonts w:ascii="Arial" w:hAnsi="Arial" w:eastAsia="黑体"/>
      <w:kern w:val="2"/>
      <w:sz w:val="21"/>
      <w:szCs w:val="21"/>
    </w:rPr>
  </w:style>
  <w:style w:type="character" w:customStyle="1" w:styleId="193">
    <w:name w:val="Char Char18"/>
    <w:qFormat/>
    <w:uiPriority w:val="6"/>
    <w:rPr>
      <w:rFonts w:ascii="宋体" w:hAnsi="宋体"/>
      <w:sz w:val="28"/>
    </w:rPr>
  </w:style>
  <w:style w:type="character" w:customStyle="1" w:styleId="194">
    <w:name w:val="批注文字 Char"/>
    <w:qFormat/>
    <w:uiPriority w:val="99"/>
    <w:rPr>
      <w:kern w:val="2"/>
      <w:sz w:val="21"/>
      <w:szCs w:val="24"/>
    </w:rPr>
  </w:style>
  <w:style w:type="character" w:customStyle="1" w:styleId="195">
    <w:name w:val="Char Char22"/>
    <w:qFormat/>
    <w:uiPriority w:val="6"/>
    <w:rPr>
      <w:rFonts w:ascii="宋体" w:hAnsi="宋体"/>
      <w:kern w:val="1"/>
      <w:sz w:val="24"/>
      <w:szCs w:val="24"/>
    </w:rPr>
  </w:style>
  <w:style w:type="character" w:customStyle="1" w:styleId="196">
    <w:name w:val="pt141"/>
    <w:qFormat/>
    <w:uiPriority w:val="0"/>
    <w:rPr>
      <w:color w:val="330066"/>
      <w:sz w:val="22"/>
      <w:szCs w:val="22"/>
    </w:rPr>
  </w:style>
  <w:style w:type="character" w:customStyle="1" w:styleId="197">
    <w:name w:val="正文文本缩进 2 Char1"/>
    <w:semiHidden/>
    <w:qFormat/>
    <w:uiPriority w:val="99"/>
    <w:rPr>
      <w:rFonts w:ascii="Times New Roman" w:hAnsi="Times New Roman" w:eastAsia="宋体" w:cs="Times New Roman"/>
      <w:szCs w:val="24"/>
    </w:rPr>
  </w:style>
  <w:style w:type="character" w:customStyle="1" w:styleId="198">
    <w:name w:val="批注框文本 字符1"/>
    <w:link w:val="40"/>
    <w:qFormat/>
    <w:uiPriority w:val="0"/>
    <w:rPr>
      <w:kern w:val="2"/>
      <w:sz w:val="18"/>
      <w:szCs w:val="18"/>
    </w:rPr>
  </w:style>
  <w:style w:type="character" w:customStyle="1" w:styleId="199">
    <w:name w:val="Char Char611"/>
    <w:qFormat/>
    <w:uiPriority w:val="0"/>
    <w:rPr>
      <w:rFonts w:eastAsia="宋体"/>
      <w:kern w:val="2"/>
      <w:sz w:val="21"/>
      <w:szCs w:val="24"/>
      <w:lang w:val="en-US" w:eastAsia="zh-CN" w:bidi="ar-SA"/>
    </w:rPr>
  </w:style>
  <w:style w:type="character" w:customStyle="1" w:styleId="200">
    <w:name w:val="highlight1"/>
    <w:qFormat/>
    <w:uiPriority w:val="0"/>
    <w:rPr>
      <w:rFonts w:ascii="仿宋_GB2312" w:eastAsia="微软雅黑"/>
      <w:b/>
      <w:kern w:val="2"/>
      <w:sz w:val="23"/>
      <w:szCs w:val="23"/>
      <w:lang w:val="en-US" w:eastAsia="zh-CN" w:bidi="ar-SA"/>
    </w:rPr>
  </w:style>
  <w:style w:type="character" w:customStyle="1" w:styleId="201">
    <w:name w:val="my正文 Char"/>
    <w:link w:val="202"/>
    <w:qFormat/>
    <w:locked/>
    <w:uiPriority w:val="0"/>
    <w:rPr>
      <w:rFonts w:ascii="Tahoma" w:hAnsi="Tahoma"/>
      <w:sz w:val="24"/>
      <w:szCs w:val="24"/>
    </w:rPr>
  </w:style>
  <w:style w:type="paragraph" w:customStyle="1" w:styleId="202">
    <w:name w:val="my正文"/>
    <w:basedOn w:val="1"/>
    <w:link w:val="201"/>
    <w:qFormat/>
    <w:uiPriority w:val="0"/>
    <w:pPr>
      <w:adjustRightInd/>
      <w:spacing w:line="360" w:lineRule="auto"/>
      <w:ind w:firstLine="480" w:firstLineChars="200"/>
    </w:pPr>
    <w:rPr>
      <w:rFonts w:ascii="Tahoma" w:hAnsi="Tahoma"/>
      <w:kern w:val="0"/>
      <w:sz w:val="24"/>
    </w:rPr>
  </w:style>
  <w:style w:type="character" w:customStyle="1" w:styleId="203">
    <w:name w:val="正文缩进 字符2"/>
    <w:link w:val="17"/>
    <w:qFormat/>
    <w:uiPriority w:val="0"/>
    <w:rPr>
      <w:rFonts w:ascii="宋体" w:eastAsia="宋体"/>
      <w:snapToGrid w:val="0"/>
      <w:color w:val="000000"/>
      <w:kern w:val="28"/>
      <w:sz w:val="28"/>
      <w:lang w:val="en-US" w:eastAsia="zh-CN" w:bidi="ar-SA"/>
    </w:rPr>
  </w:style>
  <w:style w:type="character" w:customStyle="1" w:styleId="204">
    <w:name w:val="Used by Word for text of Help footnotes Char Char1"/>
    <w:qFormat/>
    <w:uiPriority w:val="0"/>
    <w:rPr>
      <w:color w:val="0000FF"/>
      <w:sz w:val="21"/>
    </w:rPr>
  </w:style>
  <w:style w:type="character" w:customStyle="1" w:styleId="205">
    <w:name w:val="页眉 Char"/>
    <w:qFormat/>
    <w:uiPriority w:val="0"/>
    <w:rPr>
      <w:rFonts w:eastAsia="仿宋_GB2312"/>
      <w:kern w:val="2"/>
      <w:sz w:val="18"/>
      <w:lang w:val="en-US" w:eastAsia="zh-CN"/>
    </w:rPr>
  </w:style>
  <w:style w:type="character" w:customStyle="1" w:styleId="206">
    <w:name w:val="FA正文 Char Char"/>
    <w:qFormat/>
    <w:uiPriority w:val="0"/>
    <w:rPr>
      <w:rFonts w:hAnsi="宋体"/>
      <w:kern w:val="2"/>
      <w:sz w:val="24"/>
      <w:lang w:bidi="ar-SA"/>
    </w:rPr>
  </w:style>
  <w:style w:type="character" w:customStyle="1" w:styleId="207">
    <w:name w:val="纯文本 字符"/>
    <w:qFormat/>
    <w:uiPriority w:val="0"/>
    <w:rPr>
      <w:rFonts w:ascii="宋体" w:hAnsi="Courier New" w:eastAsia="宋体" w:cs="Arial"/>
      <w:snapToGrid w:val="0"/>
      <w:kern w:val="2"/>
      <w:sz w:val="21"/>
      <w:szCs w:val="21"/>
      <w:lang w:val="en-US" w:eastAsia="zh-CN" w:bidi="ar-SA"/>
    </w:rPr>
  </w:style>
  <w:style w:type="character" w:customStyle="1" w:styleId="208">
    <w:name w:val="3级 Char"/>
    <w:link w:val="209"/>
    <w:qFormat/>
    <w:uiPriority w:val="0"/>
    <w:rPr>
      <w:rFonts w:ascii="宋体" w:hAnsi="宋体"/>
      <w:b/>
      <w:bCs/>
      <w:snapToGrid/>
      <w:sz w:val="28"/>
    </w:rPr>
  </w:style>
  <w:style w:type="paragraph" w:customStyle="1" w:styleId="209">
    <w:name w:val="3级"/>
    <w:basedOn w:val="210"/>
    <w:link w:val="208"/>
    <w:qFormat/>
    <w:uiPriority w:val="0"/>
    <w:pPr>
      <w:ind w:left="0" w:right="466" w:firstLine="288"/>
    </w:pPr>
    <w:rPr>
      <w:rFonts w:hAnsi="宋体"/>
      <w:snapToGrid/>
    </w:rPr>
  </w:style>
  <w:style w:type="paragraph" w:customStyle="1" w:styleId="21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11">
    <w:name w:val="myp11"/>
    <w:qFormat/>
    <w:uiPriority w:val="0"/>
    <w:rPr>
      <w:rFonts w:ascii="仿宋_GB2312" w:eastAsia="微软雅黑"/>
      <w:b/>
      <w:kern w:val="2"/>
      <w:sz w:val="32"/>
      <w:szCs w:val="32"/>
      <w:lang w:val="en-US" w:eastAsia="zh-CN" w:bidi="ar-SA"/>
    </w:rPr>
  </w:style>
  <w:style w:type="character" w:customStyle="1" w:styleId="212">
    <w:name w:val="文档结构图 字符"/>
    <w:link w:val="20"/>
    <w:qFormat/>
    <w:uiPriority w:val="0"/>
    <w:rPr>
      <w:kern w:val="2"/>
      <w:sz w:val="21"/>
      <w:szCs w:val="24"/>
      <w:shd w:val="clear" w:color="auto" w:fill="000080"/>
    </w:rPr>
  </w:style>
  <w:style w:type="character" w:customStyle="1" w:styleId="213">
    <w:name w:val="H6 Char"/>
    <w:qFormat/>
    <w:uiPriority w:val="0"/>
    <w:rPr>
      <w:rFonts w:ascii="Arial" w:hAnsi="Arial" w:eastAsia="黑体"/>
      <w:b/>
      <w:bCs/>
      <w:kern w:val="2"/>
      <w:sz w:val="24"/>
      <w:szCs w:val="24"/>
    </w:rPr>
  </w:style>
  <w:style w:type="character" w:customStyle="1" w:styleId="214">
    <w:name w:val="Char Char91"/>
    <w:qFormat/>
    <w:uiPriority w:val="0"/>
    <w:rPr>
      <w:rFonts w:eastAsia="宋体"/>
      <w:kern w:val="2"/>
      <w:sz w:val="18"/>
      <w:szCs w:val="18"/>
      <w:lang w:val="en-US" w:eastAsia="zh-CN" w:bidi="ar-SA"/>
    </w:rPr>
  </w:style>
  <w:style w:type="character" w:customStyle="1" w:styleId="215">
    <w:name w:val="副标题 Char1"/>
    <w:qFormat/>
    <w:uiPriority w:val="0"/>
    <w:rPr>
      <w:rFonts w:ascii="Cambria" w:hAnsi="Cambria" w:eastAsia="宋体" w:cs="Times New Roman"/>
      <w:b/>
      <w:bCs/>
      <w:snapToGrid w:val="0"/>
      <w:kern w:val="28"/>
      <w:sz w:val="32"/>
      <w:szCs w:val="32"/>
    </w:rPr>
  </w:style>
  <w:style w:type="character" w:customStyle="1" w:styleId="216">
    <w:name w:val="font61"/>
    <w:qFormat/>
    <w:uiPriority w:val="0"/>
    <w:rPr>
      <w:rFonts w:hint="eastAsia" w:ascii="仿宋" w:hAnsi="仿宋" w:eastAsia="仿宋" w:cs="仿宋"/>
      <w:color w:val="000000"/>
      <w:sz w:val="20"/>
      <w:szCs w:val="20"/>
      <w:u w:val="none"/>
    </w:rPr>
  </w:style>
  <w:style w:type="character" w:customStyle="1" w:styleId="21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8">
    <w:name w:val="Char Char211"/>
    <w:qFormat/>
    <w:uiPriority w:val="0"/>
    <w:rPr>
      <w:rFonts w:eastAsia="宋体"/>
      <w:b/>
      <w:bCs/>
      <w:kern w:val="2"/>
      <w:sz w:val="21"/>
      <w:szCs w:val="24"/>
      <w:lang w:val="en-US" w:eastAsia="zh-CN" w:bidi="ar-SA"/>
    </w:rPr>
  </w:style>
  <w:style w:type="character" w:customStyle="1" w:styleId="219">
    <w:name w:val="maywed421"/>
    <w:qFormat/>
    <w:uiPriority w:val="0"/>
    <w:rPr>
      <w:color w:val="366FB6"/>
      <w:u w:val="none"/>
    </w:rPr>
  </w:style>
  <w:style w:type="character" w:customStyle="1" w:styleId="220">
    <w:name w:val="正文文本缩进 Char"/>
    <w:qFormat/>
    <w:uiPriority w:val="0"/>
    <w:rPr>
      <w:rFonts w:ascii="宋体" w:hAnsi="宋体"/>
      <w:kern w:val="2"/>
      <w:sz w:val="24"/>
      <w:szCs w:val="24"/>
    </w:rPr>
  </w:style>
  <w:style w:type="character" w:customStyle="1" w:styleId="221">
    <w:name w:val="Char Char102"/>
    <w:semiHidden/>
    <w:qFormat/>
    <w:uiPriority w:val="0"/>
    <w:rPr>
      <w:rFonts w:ascii="宋体" w:hAnsi="宋体"/>
      <w:kern w:val="2"/>
      <w:sz w:val="21"/>
      <w:szCs w:val="24"/>
      <w:lang w:val="en-US" w:eastAsia="zh-CN"/>
    </w:rPr>
  </w:style>
  <w:style w:type="character" w:customStyle="1" w:styleId="222">
    <w:name w:val="页眉 Char1"/>
    <w:qFormat/>
    <w:uiPriority w:val="0"/>
    <w:rPr>
      <w:rFonts w:eastAsia="宋体"/>
      <w:kern w:val="2"/>
      <w:sz w:val="18"/>
      <w:szCs w:val="18"/>
      <w:lang w:val="en-US" w:eastAsia="zh-CN" w:bidi="ar-SA"/>
    </w:rPr>
  </w:style>
  <w:style w:type="character" w:customStyle="1" w:styleId="223">
    <w:name w:val="md"/>
    <w:basedOn w:val="73"/>
    <w:qFormat/>
    <w:uiPriority w:val="0"/>
    <w:rPr>
      <w:rFonts w:ascii="Arial" w:hAnsi="Arial" w:eastAsia="黑体" w:cs="Arial"/>
      <w:snapToGrid w:val="0"/>
      <w:kern w:val="0"/>
      <w:szCs w:val="21"/>
    </w:rPr>
  </w:style>
  <w:style w:type="character" w:customStyle="1" w:styleId="224">
    <w:name w:val="big1"/>
    <w:qFormat/>
    <w:uiPriority w:val="0"/>
    <w:rPr>
      <w:rFonts w:hint="eastAsia" w:ascii="宋体" w:hAnsi="宋体" w:eastAsia="宋体"/>
      <w:color w:val="333333"/>
      <w:sz w:val="22"/>
      <w:szCs w:val="22"/>
    </w:rPr>
  </w:style>
  <w:style w:type="character" w:customStyle="1" w:styleId="225">
    <w:name w:val="Char Char311"/>
    <w:qFormat/>
    <w:uiPriority w:val="0"/>
    <w:rPr>
      <w:rFonts w:eastAsia="宋体"/>
      <w:kern w:val="2"/>
      <w:sz w:val="21"/>
      <w:szCs w:val="24"/>
      <w:lang w:val="en-US" w:eastAsia="zh-CN" w:bidi="ar-SA"/>
    </w:rPr>
  </w:style>
  <w:style w:type="character" w:customStyle="1" w:styleId="226">
    <w:name w:val="Char Char81"/>
    <w:qFormat/>
    <w:uiPriority w:val="6"/>
    <w:rPr>
      <w:rFonts w:eastAsia="宋体"/>
      <w:b/>
      <w:sz w:val="24"/>
      <w:lang w:val="en-GB" w:eastAsia="zh-CN"/>
    </w:rPr>
  </w:style>
  <w:style w:type="character" w:customStyle="1" w:styleId="227">
    <w:name w:val="样式3 Char"/>
    <w:basedOn w:val="179"/>
    <w:qFormat/>
    <w:uiPriority w:val="0"/>
    <w:rPr>
      <w:rFonts w:ascii="仿宋_GB2312" w:hAnsi="仿宋" w:eastAsia="仿宋_GB2312" w:cs="仿宋_GB2312"/>
      <w:sz w:val="32"/>
      <w:szCs w:val="30"/>
      <w:lang w:val="zh-CN"/>
    </w:rPr>
  </w:style>
  <w:style w:type="character" w:customStyle="1" w:styleId="228">
    <w:name w:val="HTML 地址 字符"/>
    <w:link w:val="32"/>
    <w:qFormat/>
    <w:uiPriority w:val="0"/>
    <w:rPr>
      <w:rFonts w:ascii="宋体" w:hAnsi="宋体"/>
      <w:i/>
      <w:iCs/>
      <w:sz w:val="24"/>
      <w:szCs w:val="24"/>
    </w:rPr>
  </w:style>
  <w:style w:type="character" w:customStyle="1" w:styleId="229">
    <w:name w:val="正文首行缩进 2 Char1"/>
    <w:qFormat/>
    <w:uiPriority w:val="0"/>
    <w:rPr>
      <w:rFonts w:ascii="Times New Roman" w:hAnsi="Times New Roman" w:eastAsia="宋体" w:cs="Times New Roman"/>
      <w:kern w:val="2"/>
      <w:sz w:val="24"/>
      <w:szCs w:val="24"/>
    </w:rPr>
  </w:style>
  <w:style w:type="character" w:customStyle="1" w:styleId="230">
    <w:name w:val="副标题 Char2"/>
    <w:qFormat/>
    <w:uiPriority w:val="0"/>
    <w:rPr>
      <w:rFonts w:ascii="Cambria" w:hAnsi="Cambria" w:eastAsia="宋体" w:cs="Times New Roman"/>
      <w:b/>
      <w:bCs/>
      <w:snapToGrid w:val="0"/>
      <w:kern w:val="28"/>
      <w:sz w:val="32"/>
      <w:szCs w:val="32"/>
    </w:rPr>
  </w:style>
  <w:style w:type="character" w:customStyle="1" w:styleId="231">
    <w:name w:val="标题4-dyf Char"/>
    <w:link w:val="232"/>
    <w:qFormat/>
    <w:uiPriority w:val="0"/>
    <w:rPr>
      <w:rFonts w:ascii="Cambria" w:hAnsi="Cambria"/>
      <w:b/>
      <w:bCs/>
      <w:color w:val="000000"/>
      <w:kern w:val="2"/>
      <w:sz w:val="21"/>
      <w:szCs w:val="21"/>
    </w:rPr>
  </w:style>
  <w:style w:type="paragraph" w:customStyle="1" w:styleId="232">
    <w:name w:val="标题4-dyf"/>
    <w:basedOn w:val="6"/>
    <w:link w:val="23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3">
    <w:name w:val="dectext1"/>
    <w:qFormat/>
    <w:uiPriority w:val="0"/>
    <w:rPr>
      <w:rFonts w:ascii="宋体" w:hAnsi="宋体" w:eastAsia="宋体"/>
      <w:color w:val="333333"/>
      <w:sz w:val="21"/>
      <w:szCs w:val="21"/>
      <w:u w:val="none"/>
    </w:rPr>
  </w:style>
  <w:style w:type="character" w:customStyle="1" w:styleId="234">
    <w:name w:val="冯 Char"/>
    <w:link w:val="235"/>
    <w:qFormat/>
    <w:uiPriority w:val="0"/>
    <w:rPr>
      <w:rFonts w:ascii="宋体" w:hAnsi="宋体"/>
      <w:color w:val="000000"/>
      <w:sz w:val="24"/>
      <w:szCs w:val="24"/>
    </w:rPr>
  </w:style>
  <w:style w:type="paragraph" w:customStyle="1" w:styleId="235">
    <w:name w:val="冯"/>
    <w:basedOn w:val="1"/>
    <w:link w:val="234"/>
    <w:qFormat/>
    <w:uiPriority w:val="0"/>
    <w:pPr>
      <w:widowControl/>
      <w:adjustRightInd/>
      <w:spacing w:line="360" w:lineRule="auto"/>
      <w:ind w:firstLine="480" w:firstLineChars="200"/>
    </w:pPr>
    <w:rPr>
      <w:rFonts w:ascii="宋体" w:hAnsi="宋体"/>
      <w:color w:val="000000"/>
      <w:kern w:val="0"/>
      <w:sz w:val="24"/>
    </w:rPr>
  </w:style>
  <w:style w:type="character" w:customStyle="1" w:styleId="236">
    <w:name w:val="Header Char"/>
    <w:qFormat/>
    <w:locked/>
    <w:uiPriority w:val="0"/>
    <w:rPr>
      <w:rFonts w:eastAsia="宋体"/>
      <w:kern w:val="2"/>
      <w:sz w:val="18"/>
      <w:szCs w:val="18"/>
      <w:lang w:val="en-US" w:eastAsia="zh-CN" w:bidi="ar-SA"/>
    </w:rPr>
  </w:style>
  <w:style w:type="character" w:customStyle="1" w:styleId="237">
    <w:name w:val="Char Char12"/>
    <w:qFormat/>
    <w:uiPriority w:val="0"/>
    <w:rPr>
      <w:rFonts w:ascii="仿宋_GB2312" w:eastAsia="仿宋_GB2312"/>
      <w:b/>
      <w:bCs/>
      <w:kern w:val="2"/>
      <w:sz w:val="24"/>
      <w:szCs w:val="24"/>
      <w:lang w:val="zh-CN" w:eastAsia="zh-CN" w:bidi="ar-SA"/>
    </w:rPr>
  </w:style>
  <w:style w:type="character" w:customStyle="1" w:styleId="238">
    <w:name w:val="题注 字符"/>
    <w:link w:val="18"/>
    <w:qFormat/>
    <w:uiPriority w:val="0"/>
    <w:rPr>
      <w:b/>
      <w:kern w:val="2"/>
      <w:sz w:val="28"/>
    </w:rPr>
  </w:style>
  <w:style w:type="character" w:customStyle="1" w:styleId="239">
    <w:name w:val="普通文字 Char3"/>
    <w:qFormat/>
    <w:uiPriority w:val="0"/>
    <w:rPr>
      <w:rFonts w:ascii="宋体" w:hAnsi="Courier New" w:eastAsia="宋体"/>
      <w:kern w:val="2"/>
      <w:sz w:val="21"/>
      <w:lang w:val="en-US" w:eastAsia="zh-CN" w:bidi="ar-SA"/>
    </w:rPr>
  </w:style>
  <w:style w:type="character" w:customStyle="1" w:styleId="240">
    <w:name w:val="公文正文 Char"/>
    <w:qFormat/>
    <w:uiPriority w:val="0"/>
    <w:rPr>
      <w:rFonts w:ascii="仿宋_GB2312" w:eastAsia="仿宋_GB2312"/>
      <w:kern w:val="2"/>
      <w:sz w:val="24"/>
      <w:szCs w:val="24"/>
      <w:lang w:val="en-US" w:eastAsia="zh-CN" w:bidi="ar-SA"/>
    </w:rPr>
  </w:style>
  <w:style w:type="character" w:customStyle="1" w:styleId="241">
    <w:name w:val="正文首行缩进 Char Char Char Char Char"/>
    <w:qFormat/>
    <w:uiPriority w:val="0"/>
    <w:rPr>
      <w:rFonts w:ascii="宋体"/>
      <w:kern w:val="2"/>
      <w:sz w:val="24"/>
      <w:lang w:val="zh-CN"/>
    </w:rPr>
  </w:style>
  <w:style w:type="character" w:customStyle="1" w:styleId="242">
    <w:name w:val="PI Char"/>
    <w:qFormat/>
    <w:uiPriority w:val="0"/>
    <w:rPr>
      <w:rFonts w:ascii="宋体" w:hAnsi="宋体" w:eastAsia="宋体"/>
      <w:kern w:val="2"/>
      <w:sz w:val="24"/>
      <w:szCs w:val="24"/>
      <w:lang w:val="en-US" w:eastAsia="zh-CN" w:bidi="ar-SA"/>
    </w:rPr>
  </w:style>
  <w:style w:type="character" w:customStyle="1" w:styleId="243">
    <w:name w:val="Default Char"/>
    <w:link w:val="86"/>
    <w:qFormat/>
    <w:uiPriority w:val="0"/>
    <w:rPr>
      <w:rFonts w:ascii="仿宋_GB2312" w:eastAsia="仿宋_GB2312" w:cs="仿宋_GB2312"/>
      <w:color w:val="000000"/>
      <w:sz w:val="24"/>
      <w:szCs w:val="24"/>
      <w:lang w:val="en-US" w:eastAsia="zh-CN" w:bidi="ar-SA"/>
    </w:rPr>
  </w:style>
  <w:style w:type="character" w:customStyle="1" w:styleId="244">
    <w:name w:val="style91"/>
    <w:qFormat/>
    <w:uiPriority w:val="0"/>
    <w:rPr>
      <w:color w:val="333333"/>
    </w:rPr>
  </w:style>
  <w:style w:type="character" w:customStyle="1" w:styleId="245">
    <w:name w:val="列出段落 Char2"/>
    <w:qFormat/>
    <w:uiPriority w:val="34"/>
    <w:rPr>
      <w:rFonts w:ascii="Calibri" w:hAnsi="Calibri"/>
      <w:kern w:val="2"/>
      <w:sz w:val="28"/>
    </w:rPr>
  </w:style>
  <w:style w:type="character" w:customStyle="1" w:styleId="246">
    <w:name w:val="mdeck"/>
    <w:qFormat/>
    <w:uiPriority w:val="0"/>
    <w:rPr>
      <w:rFonts w:ascii="仿宋_GB2312" w:eastAsia="微软雅黑"/>
      <w:b/>
      <w:kern w:val="2"/>
      <w:sz w:val="32"/>
      <w:szCs w:val="32"/>
      <w:lang w:val="en-US" w:eastAsia="zh-CN" w:bidi="ar-SA"/>
    </w:rPr>
  </w:style>
  <w:style w:type="character" w:customStyle="1" w:styleId="247">
    <w:name w:val="unnamed11"/>
    <w:qFormat/>
    <w:uiPriority w:val="0"/>
    <w:rPr>
      <w:sz w:val="20"/>
      <w:szCs w:val="20"/>
    </w:rPr>
  </w:style>
  <w:style w:type="character" w:customStyle="1" w:styleId="248">
    <w:name w:val="正文文本 Char2"/>
    <w:semiHidden/>
    <w:qFormat/>
    <w:uiPriority w:val="99"/>
    <w:rPr>
      <w:rFonts w:ascii="Times New Roman" w:hAnsi="Times New Roman" w:eastAsia="宋体" w:cs="Times New Roman"/>
      <w:snapToGrid w:val="0"/>
      <w:kern w:val="0"/>
      <w:szCs w:val="24"/>
    </w:rPr>
  </w:style>
  <w:style w:type="character" w:customStyle="1" w:styleId="249">
    <w:name w:val="标书正文格式 Char"/>
    <w:qFormat/>
    <w:uiPriority w:val="0"/>
    <w:rPr>
      <w:rFonts w:eastAsia="楷体_GB2312"/>
      <w:kern w:val="2"/>
      <w:sz w:val="24"/>
      <w:szCs w:val="24"/>
      <w:lang w:bidi="ar-SA"/>
    </w:rPr>
  </w:style>
  <w:style w:type="character" w:customStyle="1" w:styleId="250">
    <w:name w:val="Char Char11"/>
    <w:qFormat/>
    <w:locked/>
    <w:uiPriority w:val="0"/>
    <w:rPr>
      <w:rFonts w:ascii="宋体" w:hAnsi="宋体" w:eastAsia="宋体"/>
      <w:b/>
      <w:kern w:val="2"/>
      <w:sz w:val="24"/>
      <w:szCs w:val="24"/>
      <w:lang w:val="en-US" w:eastAsia="zh-CN" w:bidi="ar-SA"/>
    </w:rPr>
  </w:style>
  <w:style w:type="character" w:customStyle="1" w:styleId="251">
    <w:name w:val="ca-131"/>
    <w:qFormat/>
    <w:uiPriority w:val="0"/>
    <w:rPr>
      <w:rFonts w:hint="eastAsia" w:ascii="仿宋_GB2312" w:eastAsia="仿宋_GB2312"/>
      <w:b/>
      <w:bCs/>
      <w:color w:val="000000"/>
      <w:spacing w:val="-20"/>
      <w:sz w:val="24"/>
      <w:szCs w:val="24"/>
    </w:rPr>
  </w:style>
  <w:style w:type="character" w:customStyle="1" w:styleId="252">
    <w:name w:val="tw4winMark"/>
    <w:qFormat/>
    <w:uiPriority w:val="0"/>
    <w:rPr>
      <w:rFonts w:ascii="Courier New" w:hAnsi="Courier New" w:cs="Courier New"/>
      <w:vanish/>
      <w:color w:val="800080"/>
      <w:sz w:val="24"/>
      <w:szCs w:val="24"/>
      <w:vertAlign w:val="subscript"/>
    </w:rPr>
  </w:style>
  <w:style w:type="character" w:customStyle="1" w:styleId="253">
    <w:name w:val="正文样式 Char"/>
    <w:link w:val="254"/>
    <w:qFormat/>
    <w:uiPriority w:val="0"/>
    <w:rPr>
      <w:rFonts w:ascii="Calibri" w:hAnsi="Calibri"/>
      <w:sz w:val="24"/>
      <w:szCs w:val="24"/>
    </w:rPr>
  </w:style>
  <w:style w:type="paragraph" w:customStyle="1" w:styleId="254">
    <w:name w:val="正文样式"/>
    <w:basedOn w:val="1"/>
    <w:link w:val="253"/>
    <w:qFormat/>
    <w:uiPriority w:val="0"/>
    <w:pPr>
      <w:adjustRightInd/>
      <w:spacing w:line="360" w:lineRule="auto"/>
      <w:ind w:firstLine="480" w:firstLineChars="200"/>
    </w:pPr>
    <w:rPr>
      <w:kern w:val="0"/>
      <w:sz w:val="24"/>
    </w:rPr>
  </w:style>
  <w:style w:type="character" w:customStyle="1" w:styleId="255">
    <w:name w:val="表正文 Char3"/>
    <w:qFormat/>
    <w:uiPriority w:val="0"/>
    <w:rPr>
      <w:rFonts w:eastAsia="宋体"/>
    </w:rPr>
  </w:style>
  <w:style w:type="character" w:customStyle="1" w:styleId="256">
    <w:name w:val="H5 Char"/>
    <w:qFormat/>
    <w:uiPriority w:val="0"/>
    <w:rPr>
      <w:b/>
      <w:bCs/>
      <w:kern w:val="2"/>
      <w:sz w:val="28"/>
      <w:szCs w:val="28"/>
    </w:rPr>
  </w:style>
  <w:style w:type="character" w:customStyle="1" w:styleId="257">
    <w:name w:val="Char Char3"/>
    <w:qFormat/>
    <w:uiPriority w:val="0"/>
    <w:rPr>
      <w:rFonts w:eastAsia="宋体"/>
      <w:kern w:val="2"/>
      <w:sz w:val="21"/>
      <w:szCs w:val="24"/>
      <w:lang w:val="en-US" w:eastAsia="zh-CN" w:bidi="ar-SA"/>
    </w:rPr>
  </w:style>
  <w:style w:type="character" w:customStyle="1" w:styleId="258">
    <w:name w:val="正文 编号 Char"/>
    <w:qFormat/>
    <w:uiPriority w:val="0"/>
    <w:rPr>
      <w:rFonts w:ascii="仿宋_GB2312" w:hAnsi="仿宋_GB2312" w:eastAsia="仿宋_GB2312"/>
      <w:kern w:val="2"/>
      <w:sz w:val="24"/>
      <w:lang w:bidi="ar-SA"/>
    </w:rPr>
  </w:style>
  <w:style w:type="character" w:customStyle="1" w:styleId="259">
    <w:name w:val="question-title2"/>
    <w:qFormat/>
    <w:uiPriority w:val="6"/>
    <w:rPr>
      <w:rFonts w:ascii="Arial" w:hAnsi="Arial" w:eastAsia="黑体" w:cs="Arial"/>
      <w:snapToGrid w:val="0"/>
      <w:kern w:val="0"/>
      <w:szCs w:val="21"/>
    </w:rPr>
  </w:style>
  <w:style w:type="character" w:customStyle="1" w:styleId="260">
    <w:name w:val="gf正文1 Char Char"/>
    <w:link w:val="261"/>
    <w:qFormat/>
    <w:uiPriority w:val="0"/>
    <w:rPr>
      <w:rFonts w:ascii="宋体" w:hAnsi="宋体" w:cs="宋体"/>
      <w:kern w:val="2"/>
      <w:sz w:val="24"/>
      <w:szCs w:val="24"/>
    </w:rPr>
  </w:style>
  <w:style w:type="paragraph" w:customStyle="1" w:styleId="261">
    <w:name w:val="gf正文1"/>
    <w:basedOn w:val="1"/>
    <w:link w:val="26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2">
    <w:name w:val="Char Char15"/>
    <w:qFormat/>
    <w:uiPriority w:val="6"/>
    <w:rPr>
      <w:rFonts w:ascii="宋体" w:hAnsi="宋体"/>
      <w:kern w:val="1"/>
      <w:sz w:val="21"/>
    </w:rPr>
  </w:style>
  <w:style w:type="character" w:customStyle="1" w:styleId="263">
    <w:name w:val="正文缩进 Char3"/>
    <w:qFormat/>
    <w:uiPriority w:val="0"/>
    <w:rPr>
      <w:rFonts w:ascii="宋体" w:eastAsia="宋体"/>
      <w:snapToGrid w:val="0"/>
      <w:color w:val="000000"/>
      <w:kern w:val="28"/>
      <w:sz w:val="28"/>
      <w:lang w:val="en-US" w:eastAsia="zh-CN" w:bidi="ar-SA"/>
    </w:rPr>
  </w:style>
  <w:style w:type="character" w:customStyle="1" w:styleId="264">
    <w:name w:val="列出段落 Char1"/>
    <w:link w:val="265"/>
    <w:qFormat/>
    <w:uiPriority w:val="0"/>
    <w:rPr>
      <w:rFonts w:ascii="Calibri" w:hAnsi="Calibri"/>
      <w:sz w:val="24"/>
      <w:lang w:eastAsia="en-US"/>
    </w:rPr>
  </w:style>
  <w:style w:type="paragraph" w:customStyle="1" w:styleId="265">
    <w:name w:val="列表1"/>
    <w:basedOn w:val="1"/>
    <w:next w:val="90"/>
    <w:link w:val="264"/>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6">
    <w:name w:val="Char Char8"/>
    <w:qFormat/>
    <w:uiPriority w:val="0"/>
    <w:rPr>
      <w:rFonts w:eastAsia="宋体"/>
      <w:b/>
      <w:sz w:val="24"/>
      <w:lang w:val="en-GB" w:eastAsia="zh-CN"/>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列表段落 字符"/>
    <w:qFormat/>
    <w:uiPriority w:val="99"/>
  </w:style>
  <w:style w:type="character" w:customStyle="1" w:styleId="269">
    <w:name w:val="Ò³Ã¼ Char Char1"/>
    <w:qFormat/>
    <w:uiPriority w:val="0"/>
    <w:rPr>
      <w:rFonts w:eastAsia="宋体"/>
      <w:kern w:val="2"/>
      <w:sz w:val="18"/>
      <w:szCs w:val="18"/>
      <w:lang w:val="en-US" w:eastAsia="zh-CN" w:bidi="ar-SA"/>
    </w:rPr>
  </w:style>
  <w:style w:type="character" w:customStyle="1" w:styleId="270">
    <w:name w:val="方案正文 Char"/>
    <w:qFormat/>
    <w:uiPriority w:val="0"/>
    <w:rPr>
      <w:rFonts w:ascii="仿宋_GB2312" w:eastAsia="仿宋_GB2312"/>
      <w:b/>
      <w:color w:val="000000"/>
      <w:kern w:val="2"/>
      <w:sz w:val="24"/>
      <w:lang w:val="en-US" w:eastAsia="zh-CN" w:bidi="ar-SA"/>
    </w:rPr>
  </w:style>
  <w:style w:type="character" w:customStyle="1" w:styleId="271">
    <w:name w:val="Char Char30"/>
    <w:qFormat/>
    <w:uiPriority w:val="6"/>
    <w:rPr>
      <w:rFonts w:ascii="Arial" w:hAnsi="Arial" w:eastAsia="黑体"/>
      <w:kern w:val="1"/>
      <w:sz w:val="21"/>
      <w:szCs w:val="21"/>
    </w:rPr>
  </w:style>
  <w:style w:type="character" w:customStyle="1" w:styleId="272">
    <w:name w:val="正文文本缩进 字符1"/>
    <w:link w:val="27"/>
    <w:qFormat/>
    <w:uiPriority w:val="0"/>
    <w:rPr>
      <w:rFonts w:ascii="宋体" w:hAnsi="宋体"/>
      <w:kern w:val="2"/>
      <w:sz w:val="24"/>
      <w:szCs w:val="24"/>
    </w:rPr>
  </w:style>
  <w:style w:type="character" w:customStyle="1" w:styleId="273">
    <w:name w:val="font01"/>
    <w:qFormat/>
    <w:uiPriority w:val="0"/>
    <w:rPr>
      <w:rFonts w:hint="eastAsia" w:ascii="微软雅黑" w:hAnsi="微软雅黑" w:eastAsia="微软雅黑" w:cs="微软雅黑"/>
      <w:color w:val="000000"/>
      <w:sz w:val="20"/>
      <w:szCs w:val="20"/>
      <w:u w:val="none"/>
    </w:rPr>
  </w:style>
  <w:style w:type="character" w:customStyle="1" w:styleId="274">
    <w:name w:val="Char Char20"/>
    <w:qFormat/>
    <w:uiPriority w:val="6"/>
    <w:rPr>
      <w:kern w:val="1"/>
      <w:sz w:val="24"/>
    </w:rPr>
  </w:style>
  <w:style w:type="character" w:customStyle="1" w:styleId="275">
    <w:name w:val="tw4winExternal"/>
    <w:qFormat/>
    <w:uiPriority w:val="0"/>
    <w:rPr>
      <w:rFonts w:ascii="Courier New" w:hAnsi="Courier New" w:cs="Courier New"/>
      <w:color w:val="808080"/>
      <w:lang w:val="en-US" w:eastAsia="zh-CN"/>
    </w:rPr>
  </w:style>
  <w:style w:type="character" w:customStyle="1" w:styleId="276">
    <w:name w:val="标题 4 Char1"/>
    <w:qFormat/>
    <w:uiPriority w:val="9"/>
    <w:rPr>
      <w:rFonts w:ascii="Cambria" w:hAnsi="Cambria" w:eastAsia="宋体" w:cs="Times New Roman"/>
      <w:b/>
      <w:bCs/>
      <w:kern w:val="2"/>
      <w:sz w:val="28"/>
      <w:szCs w:val="28"/>
    </w:rPr>
  </w:style>
  <w:style w:type="character" w:customStyle="1" w:styleId="277">
    <w:name w:val="批注文字 Char2"/>
    <w:qFormat/>
    <w:uiPriority w:val="99"/>
    <w:rPr>
      <w:rFonts w:ascii="Times New Roman" w:hAnsi="Times New Roman" w:eastAsia="宋体" w:cs="Times New Roman"/>
      <w:snapToGrid w:val="0"/>
      <w:kern w:val="0"/>
      <w:szCs w:val="24"/>
    </w:rPr>
  </w:style>
  <w:style w:type="character" w:customStyle="1" w:styleId="278">
    <w:name w:val="正文文本 2 Char"/>
    <w:qFormat/>
    <w:uiPriority w:val="0"/>
    <w:rPr>
      <w:rFonts w:eastAsia="宋体"/>
      <w:kern w:val="2"/>
      <w:sz w:val="21"/>
      <w:szCs w:val="24"/>
      <w:lang w:val="en-US" w:eastAsia="zh-CN" w:bidi="ar-SA"/>
    </w:rPr>
  </w:style>
  <w:style w:type="character" w:customStyle="1" w:styleId="279">
    <w:name w:val="Ò³Ã¼ Char Char"/>
    <w:qFormat/>
    <w:uiPriority w:val="0"/>
    <w:rPr>
      <w:rFonts w:eastAsia="宋体"/>
      <w:kern w:val="2"/>
      <w:sz w:val="18"/>
      <w:lang w:val="en-US" w:eastAsia="zh-CN" w:bidi="ar-SA"/>
    </w:rPr>
  </w:style>
  <w:style w:type="character" w:customStyle="1" w:styleId="280">
    <w:name w:val="message1"/>
    <w:qFormat/>
    <w:uiPriority w:val="0"/>
    <w:rPr>
      <w:rFonts w:hint="default" w:ascii="Tahoma" w:hAnsi="Tahoma" w:cs="Tahoma"/>
      <w:sz w:val="18"/>
      <w:szCs w:val="18"/>
    </w:rPr>
  </w:style>
  <w:style w:type="character" w:customStyle="1" w:styleId="281">
    <w:name w:val="Char Char23"/>
    <w:qFormat/>
    <w:uiPriority w:val="6"/>
    <w:rPr>
      <w:color w:val="0000FF"/>
      <w:sz w:val="21"/>
    </w:rPr>
  </w:style>
  <w:style w:type="character" w:customStyle="1" w:styleId="282">
    <w:name w:val="批注框文本 字符"/>
    <w:qFormat/>
    <w:uiPriority w:val="0"/>
    <w:rPr>
      <w:rFonts w:ascii="Arial" w:hAnsi="Arial" w:eastAsia="黑体" w:cs="Arial"/>
      <w:snapToGrid w:val="0"/>
      <w:kern w:val="0"/>
      <w:sz w:val="18"/>
      <w:szCs w:val="18"/>
    </w:rPr>
  </w:style>
  <w:style w:type="character" w:customStyle="1" w:styleId="283">
    <w:name w:val="纯文本 Char2"/>
    <w:semiHidden/>
    <w:qFormat/>
    <w:uiPriority w:val="99"/>
    <w:rPr>
      <w:rFonts w:ascii="宋体" w:hAnsi="Courier New" w:eastAsia="宋体" w:cs="Courier New"/>
    </w:rPr>
  </w:style>
  <w:style w:type="character" w:customStyle="1" w:styleId="284">
    <w:name w:val="Char Char25"/>
    <w:qFormat/>
    <w:uiPriority w:val="6"/>
    <w:rPr>
      <w:rFonts w:ascii="宋体" w:hAnsi="宋体"/>
      <w:kern w:val="1"/>
      <w:sz w:val="24"/>
      <w:lang w:val="zh-CN"/>
    </w:rPr>
  </w:style>
  <w:style w:type="character" w:customStyle="1" w:styleId="285">
    <w:name w:val="Char Char411"/>
    <w:qFormat/>
    <w:uiPriority w:val="0"/>
    <w:rPr>
      <w:rFonts w:eastAsia="宋体"/>
      <w:b/>
      <w:sz w:val="24"/>
      <w:lang w:val="en-GB" w:eastAsia="zh-CN" w:bidi="ar-SA"/>
    </w:rPr>
  </w:style>
  <w:style w:type="character" w:customStyle="1" w:styleId="286">
    <w:name w:val="Heading 7 Char"/>
    <w:qFormat/>
    <w:locked/>
    <w:uiPriority w:val="0"/>
    <w:rPr>
      <w:rFonts w:ascii="宋体" w:hAnsi="宋体" w:eastAsia="宋体"/>
      <w:b/>
      <w:bCs/>
      <w:kern w:val="2"/>
      <w:sz w:val="24"/>
      <w:szCs w:val="24"/>
      <w:lang w:val="en-US" w:eastAsia="zh-CN" w:bidi="ar-SA"/>
    </w:rPr>
  </w:style>
  <w:style w:type="character" w:customStyle="1" w:styleId="287">
    <w:name w:val="此正文 Char"/>
    <w:link w:val="288"/>
    <w:qFormat/>
    <w:uiPriority w:val="0"/>
    <w:rPr>
      <w:kern w:val="2"/>
      <w:sz w:val="24"/>
      <w:szCs w:val="24"/>
    </w:rPr>
  </w:style>
  <w:style w:type="paragraph" w:customStyle="1" w:styleId="288">
    <w:name w:val="此正文"/>
    <w:basedOn w:val="1"/>
    <w:link w:val="287"/>
    <w:qFormat/>
    <w:uiPriority w:val="0"/>
    <w:pPr>
      <w:adjustRightInd/>
      <w:spacing w:line="360" w:lineRule="auto"/>
      <w:ind w:firstLine="200" w:firstLineChars="200"/>
    </w:pPr>
    <w:rPr>
      <w:sz w:val="24"/>
    </w:rPr>
  </w:style>
  <w:style w:type="character" w:customStyle="1" w:styleId="289">
    <w:name w:val="Char Char2"/>
    <w:qFormat/>
    <w:uiPriority w:val="0"/>
    <w:rPr>
      <w:rFonts w:eastAsia="宋体"/>
      <w:b/>
      <w:bCs/>
      <w:kern w:val="2"/>
      <w:sz w:val="21"/>
      <w:szCs w:val="24"/>
      <w:lang w:val="en-US" w:eastAsia="zh-CN" w:bidi="ar-SA"/>
    </w:rPr>
  </w:style>
  <w:style w:type="character" w:customStyle="1" w:styleId="290">
    <w:name w:val="标题 1 字符1"/>
    <w:link w:val="3"/>
    <w:qFormat/>
    <w:uiPriority w:val="9"/>
    <w:rPr>
      <w:b/>
      <w:bCs/>
      <w:kern w:val="44"/>
      <w:sz w:val="44"/>
      <w:szCs w:val="44"/>
    </w:rPr>
  </w:style>
  <w:style w:type="character" w:customStyle="1" w:styleId="291">
    <w:name w:val="Footer-Even Char1"/>
    <w:qFormat/>
    <w:uiPriority w:val="0"/>
    <w:rPr>
      <w:rFonts w:eastAsia="宋体"/>
      <w:kern w:val="2"/>
      <w:sz w:val="18"/>
      <w:szCs w:val="18"/>
      <w:lang w:val="en-US" w:eastAsia="zh-CN" w:bidi="ar-SA"/>
    </w:rPr>
  </w:style>
  <w:style w:type="character" w:customStyle="1" w:styleId="292">
    <w:name w:val="Char Char29"/>
    <w:qFormat/>
    <w:uiPriority w:val="6"/>
    <w:rPr>
      <w:rFonts w:ascii="Arial" w:hAnsi="Arial" w:eastAsia="微软雅黑"/>
      <w:b/>
      <w:kern w:val="1"/>
      <w:sz w:val="44"/>
      <w:szCs w:val="32"/>
      <w:lang w:val="en-US" w:eastAsia="zh-CN" w:bidi="ar-SA"/>
    </w:rPr>
  </w:style>
  <w:style w:type="character" w:customStyle="1" w:styleId="293">
    <w:name w:val="标题 字符"/>
    <w:link w:val="61"/>
    <w:qFormat/>
    <w:uiPriority w:val="10"/>
    <w:rPr>
      <w:b/>
      <w:sz w:val="24"/>
      <w:lang w:val="en-GB"/>
    </w:rPr>
  </w:style>
  <w:style w:type="character" w:customStyle="1" w:styleId="294">
    <w:name w:val="font81"/>
    <w:qFormat/>
    <w:uiPriority w:val="0"/>
    <w:rPr>
      <w:rFonts w:ascii="微软雅黑" w:hAnsi="微软雅黑" w:eastAsia="微软雅黑" w:cs="微软雅黑"/>
      <w:color w:val="000000"/>
      <w:sz w:val="20"/>
      <w:szCs w:val="20"/>
      <w:u w:val="none"/>
    </w:rPr>
  </w:style>
  <w:style w:type="character" w:customStyle="1" w:styleId="295">
    <w:name w:val="Char Char312"/>
    <w:qFormat/>
    <w:uiPriority w:val="0"/>
    <w:rPr>
      <w:rFonts w:ascii="Times New Roman" w:hAnsi="Times New Roman" w:eastAsia="宋体" w:cs="Times New Roman"/>
      <w:b/>
      <w:kern w:val="2"/>
      <w:sz w:val="32"/>
      <w:szCs w:val="24"/>
      <w:lang w:val="en-US" w:eastAsia="zh-CN" w:bidi="ar-SA"/>
    </w:rPr>
  </w:style>
  <w:style w:type="character" w:customStyle="1" w:styleId="296">
    <w:name w:val="t21"/>
    <w:qFormat/>
    <w:uiPriority w:val="0"/>
    <w:rPr>
      <w:rFonts w:ascii="仿宋_GB2312" w:eastAsia="微软雅黑"/>
      <w:b/>
      <w:kern w:val="2"/>
      <w:sz w:val="23"/>
      <w:szCs w:val="23"/>
      <w:lang w:val="en-US" w:eastAsia="zh-CN" w:bidi="ar-SA"/>
    </w:rPr>
  </w:style>
  <w:style w:type="character" w:customStyle="1" w:styleId="297">
    <w:name w:val="样式8 Char"/>
    <w:qFormat/>
    <w:uiPriority w:val="0"/>
    <w:rPr>
      <w:rFonts w:ascii="仿宋_GB2312" w:hAnsi="宋体" w:eastAsia="仿宋_GB2312"/>
      <w:b/>
      <w:bCs/>
      <w:kern w:val="2"/>
      <w:sz w:val="24"/>
      <w:szCs w:val="24"/>
    </w:rPr>
  </w:style>
  <w:style w:type="character" w:customStyle="1" w:styleId="298">
    <w:name w:val="表格 Char Char"/>
    <w:qFormat/>
    <w:uiPriority w:val="0"/>
    <w:rPr>
      <w:rFonts w:ascii="宋体" w:hAnsi="宋体" w:eastAsia="宋体"/>
      <w:lang w:bidi="ar-SA"/>
    </w:rPr>
  </w:style>
  <w:style w:type="character" w:customStyle="1" w:styleId="299">
    <w:name w:val="正文文本 字符1"/>
    <w:qFormat/>
    <w:uiPriority w:val="0"/>
    <w:rPr>
      <w:rFonts w:ascii="Calibri" w:hAnsi="Calibri" w:eastAsia="黑体" w:cs="Arial"/>
      <w:snapToGrid w:val="0"/>
      <w:kern w:val="2"/>
      <w:sz w:val="28"/>
      <w:szCs w:val="21"/>
    </w:rPr>
  </w:style>
  <w:style w:type="character" w:customStyle="1" w:styleId="300">
    <w:name w:val="标题 5 字符"/>
    <w:link w:val="7"/>
    <w:qFormat/>
    <w:uiPriority w:val="9"/>
    <w:rPr>
      <w:b/>
      <w:bCs/>
      <w:kern w:val="2"/>
      <w:sz w:val="28"/>
      <w:szCs w:val="28"/>
    </w:rPr>
  </w:style>
  <w:style w:type="character" w:customStyle="1" w:styleId="301">
    <w:name w:val="标题 6 Char1"/>
    <w:qFormat/>
    <w:uiPriority w:val="0"/>
    <w:rPr>
      <w:rFonts w:ascii="Arial" w:hAnsi="Arial" w:eastAsia="黑体" w:cs="Times New Roman"/>
      <w:b/>
      <w:sz w:val="24"/>
      <w:szCs w:val="20"/>
      <w:lang w:bidi="ar-SA"/>
    </w:rPr>
  </w:style>
  <w:style w:type="character" w:customStyle="1" w:styleId="302">
    <w:name w:val="带编号样式 Char"/>
    <w:qFormat/>
    <w:uiPriority w:val="0"/>
    <w:rPr>
      <w:rFonts w:ascii="仿宋_GB2312" w:eastAsia="仿宋_GB2312"/>
      <w:color w:val="000000"/>
      <w:sz w:val="24"/>
      <w:lang w:bidi="ar-SA"/>
    </w:rPr>
  </w:style>
  <w:style w:type="character" w:customStyle="1" w:styleId="303">
    <w:name w:val="unnamed31"/>
    <w:qFormat/>
    <w:uiPriority w:val="0"/>
    <w:rPr>
      <w:rFonts w:ascii="Tahoma" w:hAnsi="Tahoma" w:eastAsia="宋体"/>
      <w:b/>
      <w:kern w:val="2"/>
      <w:sz w:val="24"/>
      <w:szCs w:val="32"/>
      <w:u w:val="none"/>
      <w:lang w:val="en-US" w:eastAsia="zh-CN" w:bidi="ar-SA"/>
    </w:rPr>
  </w:style>
  <w:style w:type="character" w:customStyle="1" w:styleId="304">
    <w:name w:val="正文首行缩进 Char Char Char Char Char Char1"/>
    <w:qFormat/>
    <w:uiPriority w:val="0"/>
    <w:rPr>
      <w:rFonts w:ascii="宋体" w:eastAsia="宋体"/>
      <w:kern w:val="2"/>
      <w:sz w:val="24"/>
      <w:szCs w:val="24"/>
      <w:lang w:val="zh-CN" w:bidi="ar-SA"/>
    </w:rPr>
  </w:style>
  <w:style w:type="character" w:customStyle="1" w:styleId="305">
    <w:name w:val="称呼 字符"/>
    <w:link w:val="22"/>
    <w:qFormat/>
    <w:uiPriority w:val="0"/>
    <w:rPr>
      <w:rFonts w:ascii="仿宋_GB2312" w:eastAsia="仿宋_GB2312"/>
      <w:kern w:val="2"/>
      <w:sz w:val="28"/>
    </w:rPr>
  </w:style>
  <w:style w:type="character" w:customStyle="1" w:styleId="306">
    <w:name w:val="文本正文 Char Char"/>
    <w:qFormat/>
    <w:locked/>
    <w:uiPriority w:val="0"/>
    <w:rPr>
      <w:sz w:val="24"/>
      <w:lang w:bidi="ar-SA"/>
    </w:rPr>
  </w:style>
  <w:style w:type="character" w:customStyle="1" w:styleId="307">
    <w:name w:val="正文缩进 字符"/>
    <w:qFormat/>
    <w:uiPriority w:val="0"/>
    <w:rPr>
      <w:rFonts w:ascii="宋体" w:eastAsia="宋体"/>
      <w:snapToGrid w:val="0"/>
      <w:color w:val="000000"/>
      <w:kern w:val="28"/>
      <w:sz w:val="28"/>
      <w:lang w:val="en-US" w:eastAsia="zh-CN" w:bidi="ar-SA"/>
    </w:rPr>
  </w:style>
  <w:style w:type="character" w:customStyle="1" w:styleId="308">
    <w:name w:val="HTML 预设格式 字符"/>
    <w:link w:val="59"/>
    <w:qFormat/>
    <w:uiPriority w:val="0"/>
    <w:rPr>
      <w:rFonts w:ascii="黑体" w:hAnsi="Courier New" w:eastAsia="黑体"/>
    </w:rPr>
  </w:style>
  <w:style w:type="character" w:customStyle="1" w:styleId="309">
    <w:name w:val="正文文本 2 字符1"/>
    <w:link w:val="58"/>
    <w:qFormat/>
    <w:uiPriority w:val="0"/>
    <w:rPr>
      <w:kern w:val="2"/>
      <w:sz w:val="21"/>
      <w:szCs w:val="24"/>
    </w:rPr>
  </w:style>
  <w:style w:type="character" w:customStyle="1" w:styleId="310">
    <w:name w:val="样式 样式 标题 4h4H4Fab-4T5Ref Heading 1rh1Heading sqlsect 1.2.3.... +... Char"/>
    <w:link w:val="311"/>
    <w:qFormat/>
    <w:uiPriority w:val="0"/>
    <w:rPr>
      <w:rFonts w:ascii="微软雅黑" w:hAnsi="微软雅黑" w:eastAsia="微软雅黑"/>
      <w:b/>
      <w:bCs/>
      <w:kern w:val="2"/>
      <w:sz w:val="24"/>
      <w:szCs w:val="28"/>
    </w:rPr>
  </w:style>
  <w:style w:type="paragraph" w:customStyle="1" w:styleId="311">
    <w:name w:val="样式 样式 标题 4h4H4Fab-4T5Ref Heading 1rh1Heading sqlsect 1.2.3.... +..."/>
    <w:basedOn w:val="312"/>
    <w:link w:val="310"/>
    <w:qFormat/>
    <w:uiPriority w:val="0"/>
    <w:pPr>
      <w:tabs>
        <w:tab w:val="left" w:pos="2356"/>
      </w:tabs>
    </w:pPr>
  </w:style>
  <w:style w:type="paragraph" w:customStyle="1" w:styleId="312">
    <w:name w:val="样式 标题 4h4H4Fab-4T5Ref Heading 1rh1Heading sqlsect 1.2.3...."/>
    <w:basedOn w:val="6"/>
    <w:link w:val="4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3">
    <w:name w:val="正文非缩进 Char"/>
    <w:qFormat/>
    <w:uiPriority w:val="0"/>
    <w:rPr>
      <w:rFonts w:ascii="宋体" w:eastAsia="宋体"/>
      <w:snapToGrid w:val="0"/>
      <w:color w:val="000000"/>
      <w:kern w:val="28"/>
      <w:sz w:val="28"/>
      <w:lang w:val="en-US" w:eastAsia="zh-CN" w:bidi="ar-SA"/>
    </w:rPr>
  </w:style>
  <w:style w:type="character" w:customStyle="1" w:styleId="314">
    <w:name w:val="标题 7 字符"/>
    <w:link w:val="9"/>
    <w:qFormat/>
    <w:uiPriority w:val="0"/>
    <w:rPr>
      <w:b/>
      <w:bCs/>
      <w:kern w:val="2"/>
      <w:sz w:val="24"/>
      <w:szCs w:val="24"/>
    </w:rPr>
  </w:style>
  <w:style w:type="character" w:customStyle="1" w:styleId="315">
    <w:name w:val="正文文本缩进 2 字符"/>
    <w:link w:val="38"/>
    <w:qFormat/>
    <w:uiPriority w:val="0"/>
    <w:rPr>
      <w:rFonts w:ascii="宋体"/>
      <w:sz w:val="28"/>
    </w:rPr>
  </w:style>
  <w:style w:type="character" w:customStyle="1" w:styleId="316">
    <w:name w:val="Char Char5"/>
    <w:qFormat/>
    <w:uiPriority w:val="0"/>
    <w:rPr>
      <w:rFonts w:ascii="宋体" w:hAnsi="Courier New" w:eastAsia="宋体"/>
      <w:kern w:val="2"/>
      <w:sz w:val="21"/>
      <w:lang w:val="en-US" w:eastAsia="zh-CN"/>
    </w:rPr>
  </w:style>
  <w:style w:type="character" w:customStyle="1" w:styleId="317">
    <w:name w:val="脚注文本 字符"/>
    <w:link w:val="52"/>
    <w:qFormat/>
    <w:uiPriority w:val="0"/>
    <w:rPr>
      <w:color w:val="0000FF"/>
      <w:sz w:val="21"/>
    </w:rPr>
  </w:style>
  <w:style w:type="character" w:customStyle="1" w:styleId="318">
    <w:name w:val="称呼 Char1"/>
    <w:qFormat/>
    <w:uiPriority w:val="0"/>
    <w:rPr>
      <w:rFonts w:ascii="Times New Roman" w:hAnsi="Times New Roman" w:eastAsia="宋体" w:cs="Times New Roman"/>
      <w:szCs w:val="24"/>
    </w:rPr>
  </w:style>
  <w:style w:type="character" w:customStyle="1" w:styleId="319">
    <w:name w:val="正文1 Char"/>
    <w:qFormat/>
    <w:uiPriority w:val="0"/>
    <w:rPr>
      <w:rFonts w:ascii="宋体" w:eastAsia="宋体"/>
      <w:snapToGrid w:val="0"/>
      <w:color w:val="000000"/>
      <w:kern w:val="28"/>
      <w:sz w:val="28"/>
      <w:lang w:val="en-US" w:eastAsia="zh-CN" w:bidi="ar-SA"/>
    </w:rPr>
  </w:style>
  <w:style w:type="character" w:customStyle="1" w:styleId="320">
    <w:name w:val="正文缩进 Char1"/>
    <w:qFormat/>
    <w:uiPriority w:val="0"/>
    <w:rPr>
      <w:rFonts w:ascii="宋体" w:eastAsia="宋体"/>
      <w:snapToGrid w:val="0"/>
      <w:color w:val="000000"/>
      <w:kern w:val="28"/>
      <w:sz w:val="28"/>
      <w:lang w:val="en-US" w:eastAsia="zh-CN" w:bidi="ar-SA"/>
    </w:rPr>
  </w:style>
  <w:style w:type="character" w:customStyle="1" w:styleId="321">
    <w:name w:val="font21"/>
    <w:qFormat/>
    <w:uiPriority w:val="0"/>
    <w:rPr>
      <w:rFonts w:hint="eastAsia" w:ascii="宋体" w:hAnsi="宋体" w:eastAsia="宋体"/>
      <w:kern w:val="2"/>
      <w:sz w:val="28"/>
      <w:szCs w:val="28"/>
      <w:lang w:val="en-US" w:eastAsia="zh-CN" w:bidi="ar-SA"/>
    </w:rPr>
  </w:style>
  <w:style w:type="character" w:customStyle="1" w:styleId="322">
    <w:name w:val="Char Char26"/>
    <w:qFormat/>
    <w:uiPriority w:val="6"/>
    <w:rPr>
      <w:kern w:val="1"/>
      <w:sz w:val="21"/>
      <w:szCs w:val="24"/>
    </w:rPr>
  </w:style>
  <w:style w:type="character" w:customStyle="1" w:styleId="323">
    <w:name w:val="Item List Char"/>
    <w:link w:val="324"/>
    <w:qFormat/>
    <w:uiPriority w:val="0"/>
    <w:rPr>
      <w:rFonts w:ascii="Arial"/>
      <w:bCs/>
      <w:sz w:val="21"/>
      <w:szCs w:val="21"/>
      <w:lang w:val="en-US" w:eastAsia="zh-CN" w:bidi="ar-SA"/>
    </w:rPr>
  </w:style>
  <w:style w:type="paragraph" w:customStyle="1" w:styleId="324">
    <w:name w:val="Item List"/>
    <w:link w:val="32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5">
    <w:name w:val="批注框文本 Char1"/>
    <w:qFormat/>
    <w:uiPriority w:val="0"/>
    <w:rPr>
      <w:rFonts w:ascii="Times New Roman" w:hAnsi="Times New Roman" w:eastAsia="宋体" w:cs="Times New Roman"/>
      <w:sz w:val="18"/>
      <w:szCs w:val="18"/>
    </w:rPr>
  </w:style>
  <w:style w:type="character" w:customStyle="1" w:styleId="326">
    <w:name w:val="纯文本 Char1"/>
    <w:link w:val="327"/>
    <w:qFormat/>
    <w:uiPriority w:val="0"/>
    <w:rPr>
      <w:rFonts w:ascii="宋体" w:hAnsi="Courier New"/>
    </w:rPr>
  </w:style>
  <w:style w:type="paragraph" w:customStyle="1" w:styleId="327">
    <w:name w:val="纯文本1"/>
    <w:basedOn w:val="1"/>
    <w:link w:val="326"/>
    <w:qFormat/>
    <w:uiPriority w:val="0"/>
    <w:pPr>
      <w:adjustRightInd/>
    </w:pPr>
    <w:rPr>
      <w:rFonts w:ascii="宋体" w:hAnsi="Courier New"/>
      <w:kern w:val="0"/>
      <w:sz w:val="20"/>
      <w:szCs w:val="20"/>
    </w:rPr>
  </w:style>
  <w:style w:type="character" w:customStyle="1" w:styleId="328">
    <w:name w:val="正文文本首行缩进 字符"/>
    <w:link w:val="26"/>
    <w:qFormat/>
    <w:uiPriority w:val="0"/>
    <w:rPr>
      <w:rFonts w:ascii="宋体"/>
      <w:kern w:val="2"/>
      <w:sz w:val="24"/>
      <w:lang w:val="zh-CN"/>
    </w:rPr>
  </w:style>
  <w:style w:type="character" w:customStyle="1" w:styleId="329">
    <w:name w:val="h3 Char"/>
    <w:qFormat/>
    <w:uiPriority w:val="0"/>
    <w:rPr>
      <w:rFonts w:eastAsia="宋体"/>
      <w:b/>
      <w:kern w:val="2"/>
      <w:sz w:val="32"/>
      <w:lang w:val="en-US" w:eastAsia="zh-CN" w:bidi="ar-SA"/>
    </w:rPr>
  </w:style>
  <w:style w:type="character" w:customStyle="1" w:styleId="330">
    <w:name w:val="dandyren_title1"/>
    <w:qFormat/>
    <w:uiPriority w:val="0"/>
    <w:rPr>
      <w:b/>
      <w:bCs/>
      <w:color w:val="FF6633"/>
      <w:sz w:val="18"/>
      <w:szCs w:val="18"/>
    </w:rPr>
  </w:style>
  <w:style w:type="character" w:customStyle="1" w:styleId="331">
    <w:name w:val="Char Char31"/>
    <w:qFormat/>
    <w:uiPriority w:val="6"/>
    <w:rPr>
      <w:rFonts w:ascii="Arial" w:hAnsi="Arial" w:eastAsia="黑体"/>
      <w:kern w:val="1"/>
      <w:sz w:val="24"/>
      <w:szCs w:val="24"/>
    </w:rPr>
  </w:style>
  <w:style w:type="character" w:customStyle="1" w:styleId="332">
    <w:name w:val="h Char1"/>
    <w:qFormat/>
    <w:uiPriority w:val="0"/>
    <w:rPr>
      <w:sz w:val="18"/>
      <w:szCs w:val="18"/>
    </w:rPr>
  </w:style>
  <w:style w:type="character" w:customStyle="1" w:styleId="333">
    <w:name w:val="solutionfonts"/>
    <w:qFormat/>
    <w:uiPriority w:val="0"/>
  </w:style>
  <w:style w:type="character" w:customStyle="1" w:styleId="334">
    <w:name w:val="标题 4 字符1"/>
    <w:link w:val="6"/>
    <w:qFormat/>
    <w:uiPriority w:val="9"/>
    <w:rPr>
      <w:rFonts w:ascii="Arial" w:hAnsi="Arial" w:eastAsia="黑体"/>
      <w:b/>
      <w:bCs/>
      <w:kern w:val="2"/>
      <w:sz w:val="28"/>
      <w:szCs w:val="28"/>
      <w:lang w:val="zh-CN"/>
    </w:rPr>
  </w:style>
  <w:style w:type="character" w:customStyle="1" w:styleId="335">
    <w:name w:val="首行缩进 Char"/>
    <w:qFormat/>
    <w:uiPriority w:val="0"/>
    <w:rPr>
      <w:rFonts w:ascii="宋体" w:eastAsia="宋体"/>
      <w:kern w:val="2"/>
      <w:sz w:val="24"/>
      <w:lang w:val="en-US" w:eastAsia="zh-CN" w:bidi="ar-SA"/>
    </w:rPr>
  </w:style>
  <w:style w:type="character" w:customStyle="1" w:styleId="336">
    <w:name w:val="Char Char52"/>
    <w:qFormat/>
    <w:uiPriority w:val="0"/>
    <w:rPr>
      <w:rFonts w:ascii="宋体" w:hAnsi="Courier New" w:eastAsia="宋体"/>
      <w:kern w:val="2"/>
      <w:sz w:val="21"/>
      <w:lang w:val="en-US" w:eastAsia="zh-CN"/>
    </w:rPr>
  </w:style>
  <w:style w:type="character" w:customStyle="1" w:styleId="337">
    <w:name w:val="正文文本 3 字符"/>
    <w:link w:val="23"/>
    <w:qFormat/>
    <w:uiPriority w:val="0"/>
    <w:rPr>
      <w:kern w:val="2"/>
      <w:sz w:val="21"/>
    </w:rPr>
  </w:style>
  <w:style w:type="character" w:customStyle="1" w:styleId="338">
    <w:name w:val="font31"/>
    <w:qFormat/>
    <w:uiPriority w:val="0"/>
    <w:rPr>
      <w:rFonts w:hint="eastAsia" w:ascii="仿宋" w:hAnsi="仿宋" w:eastAsia="仿宋" w:cs="仿宋"/>
      <w:color w:val="000000"/>
      <w:sz w:val="20"/>
      <w:szCs w:val="20"/>
      <w:u w:val="none"/>
    </w:rPr>
  </w:style>
  <w:style w:type="character" w:customStyle="1" w:styleId="339">
    <w:name w:val="正文说明 Char"/>
    <w:link w:val="340"/>
    <w:qFormat/>
    <w:uiPriority w:val="0"/>
    <w:rPr>
      <w:sz w:val="24"/>
      <w:szCs w:val="24"/>
    </w:rPr>
  </w:style>
  <w:style w:type="paragraph" w:customStyle="1" w:styleId="340">
    <w:name w:val="正文说明"/>
    <w:basedOn w:val="1"/>
    <w:link w:val="339"/>
    <w:qFormat/>
    <w:uiPriority w:val="0"/>
    <w:pPr>
      <w:adjustRightInd/>
      <w:spacing w:line="360" w:lineRule="auto"/>
    </w:pPr>
    <w:rPr>
      <w:kern w:val="0"/>
      <w:sz w:val="24"/>
    </w:rPr>
  </w:style>
  <w:style w:type="character" w:customStyle="1" w:styleId="341">
    <w:name w:val="脚注文本 Char1"/>
    <w:qFormat/>
    <w:uiPriority w:val="0"/>
    <w:rPr>
      <w:rFonts w:ascii="Times New Roman" w:hAnsi="Times New Roman" w:eastAsia="宋体" w:cs="Times New Roman"/>
      <w:sz w:val="18"/>
      <w:szCs w:val="18"/>
    </w:rPr>
  </w:style>
  <w:style w:type="character" w:customStyle="1" w:styleId="342">
    <w:name w:val="Char Char1211"/>
    <w:qFormat/>
    <w:uiPriority w:val="0"/>
    <w:rPr>
      <w:rFonts w:ascii="仿宋_GB2312" w:eastAsia="仿宋_GB2312"/>
      <w:b/>
      <w:bCs/>
      <w:kern w:val="2"/>
      <w:sz w:val="24"/>
      <w:szCs w:val="24"/>
      <w:lang w:val="zh-CN" w:eastAsia="zh-CN" w:bidi="ar-SA"/>
    </w:rPr>
  </w:style>
  <w:style w:type="character" w:customStyle="1" w:styleId="343">
    <w:name w:val="标题 Char"/>
    <w:qFormat/>
    <w:uiPriority w:val="0"/>
    <w:rPr>
      <w:rFonts w:eastAsia="宋体"/>
      <w:b/>
      <w:sz w:val="24"/>
      <w:lang w:val="en-GB" w:eastAsia="zh-CN" w:bidi="ar-SA"/>
    </w:rPr>
  </w:style>
  <w:style w:type="character" w:customStyle="1" w:styleId="344">
    <w:name w:val="Char Char35"/>
    <w:qFormat/>
    <w:uiPriority w:val="6"/>
    <w:rPr>
      <w:rFonts w:ascii="Arial" w:hAnsi="Arial" w:eastAsia="黑体"/>
      <w:b/>
      <w:kern w:val="1"/>
      <w:sz w:val="28"/>
      <w:szCs w:val="28"/>
      <w:lang w:val="zh-CN"/>
    </w:rPr>
  </w:style>
  <w:style w:type="character" w:customStyle="1" w:styleId="345">
    <w:name w:val="纯文本 Char Char Char"/>
    <w:qFormat/>
    <w:uiPriority w:val="0"/>
    <w:rPr>
      <w:rFonts w:ascii="宋体" w:hAnsi="Courier New" w:eastAsia="宋体"/>
      <w:kern w:val="2"/>
      <w:sz w:val="21"/>
      <w:lang w:val="en-US" w:eastAsia="zh-CN" w:bidi="ar-SA"/>
    </w:rPr>
  </w:style>
  <w:style w:type="character" w:customStyle="1" w:styleId="346">
    <w:name w:val="Table Text Char"/>
    <w:link w:val="347"/>
    <w:qFormat/>
    <w:uiPriority w:val="0"/>
    <w:rPr>
      <w:sz w:val="24"/>
      <w:szCs w:val="24"/>
    </w:rPr>
  </w:style>
  <w:style w:type="paragraph" w:customStyle="1" w:styleId="347">
    <w:name w:val="Table Text"/>
    <w:basedOn w:val="1"/>
    <w:link w:val="346"/>
    <w:qFormat/>
    <w:uiPriority w:val="0"/>
    <w:pPr>
      <w:widowControl/>
      <w:spacing w:before="60" w:after="60"/>
      <w:jc w:val="left"/>
    </w:pPr>
    <w:rPr>
      <w:kern w:val="0"/>
      <w:sz w:val="24"/>
    </w:rPr>
  </w:style>
  <w:style w:type="character" w:customStyle="1" w:styleId="348">
    <w:name w:val="正文1 Char1"/>
    <w:qFormat/>
    <w:uiPriority w:val="0"/>
    <w:rPr>
      <w:rFonts w:ascii="仿宋_GB2312" w:hAnsi="Courier New" w:eastAsia="仿宋_GB2312"/>
      <w:kern w:val="28"/>
      <w:sz w:val="24"/>
      <w:szCs w:val="24"/>
      <w:lang w:val="en-US" w:eastAsia="zh-CN"/>
    </w:rPr>
  </w:style>
  <w:style w:type="character" w:customStyle="1" w:styleId="349">
    <w:name w:val="页脚 Char1"/>
    <w:qFormat/>
    <w:uiPriority w:val="0"/>
    <w:rPr>
      <w:rFonts w:eastAsia="宋体"/>
      <w:kern w:val="2"/>
      <w:sz w:val="18"/>
      <w:szCs w:val="18"/>
      <w:lang w:val="en-US" w:eastAsia="zh-CN" w:bidi="ar-SA"/>
    </w:rPr>
  </w:style>
  <w:style w:type="character" w:customStyle="1" w:styleId="350">
    <w:name w:val="Bold"/>
    <w:qFormat/>
    <w:uiPriority w:val="0"/>
    <w:rPr>
      <w:rFonts w:ascii="Arial" w:hAnsi="Arial" w:eastAsia="黑体" w:cs="Times New Roman"/>
      <w:b/>
      <w:kern w:val="2"/>
      <w:sz w:val="32"/>
      <w:szCs w:val="32"/>
      <w:lang w:val="en-US" w:eastAsia="zh-CN" w:bidi="ar-SA"/>
    </w:rPr>
  </w:style>
  <w:style w:type="character" w:customStyle="1" w:styleId="351">
    <w:name w:val="批注文字 字符1"/>
    <w:link w:val="21"/>
    <w:qFormat/>
    <w:uiPriority w:val="0"/>
    <w:rPr>
      <w:kern w:val="2"/>
      <w:sz w:val="21"/>
      <w:szCs w:val="24"/>
    </w:rPr>
  </w:style>
  <w:style w:type="character" w:customStyle="1" w:styleId="352">
    <w:name w:val="签名 字符"/>
    <w:link w:val="44"/>
    <w:qFormat/>
    <w:uiPriority w:val="0"/>
    <w:rPr>
      <w:rFonts w:eastAsia="仿宋_GB2312"/>
      <w:sz w:val="24"/>
    </w:rPr>
  </w:style>
  <w:style w:type="character" w:customStyle="1" w:styleId="353">
    <w:name w:val="hui3"/>
    <w:qFormat/>
    <w:uiPriority w:val="0"/>
    <w:rPr>
      <w:color w:val="333333"/>
    </w:rPr>
  </w:style>
  <w:style w:type="character" w:customStyle="1" w:styleId="354">
    <w:name w:val="Char Char17"/>
    <w:qFormat/>
    <w:uiPriority w:val="6"/>
    <w:rPr>
      <w:rFonts w:eastAsia="仿宋_GB2312"/>
      <w:sz w:val="24"/>
    </w:rPr>
  </w:style>
  <w:style w:type="character" w:customStyle="1" w:styleId="355">
    <w:name w:val="标题 4 字符"/>
    <w:qFormat/>
    <w:uiPriority w:val="9"/>
    <w:rPr>
      <w:rFonts w:ascii="等线 Light" w:hAnsi="等线 Light" w:eastAsia="等线 Light" w:cs="Times New Roman"/>
      <w:b/>
      <w:bCs/>
      <w:snapToGrid w:val="0"/>
      <w:kern w:val="0"/>
      <w:sz w:val="28"/>
      <w:szCs w:val="28"/>
    </w:rPr>
  </w:style>
  <w:style w:type="character" w:customStyle="1" w:styleId="356">
    <w:name w:val="Char Char37"/>
    <w:qFormat/>
    <w:uiPriority w:val="6"/>
    <w:rPr>
      <w:b/>
      <w:kern w:val="1"/>
      <w:sz w:val="44"/>
      <w:szCs w:val="44"/>
    </w:rPr>
  </w:style>
  <w:style w:type="character" w:customStyle="1" w:styleId="357">
    <w:name w:val="列出段落 Char"/>
    <w:qFormat/>
    <w:uiPriority w:val="0"/>
    <w:rPr>
      <w:rFonts w:eastAsia="楷体_GB2312" w:cs="Lucida Sans"/>
      <w:kern w:val="2"/>
      <w:sz w:val="24"/>
      <w:szCs w:val="24"/>
      <w:lang w:val="en-US" w:eastAsia="zh-CN" w:bidi="ar-SA"/>
    </w:rPr>
  </w:style>
  <w:style w:type="character" w:customStyle="1" w:styleId="358">
    <w:name w:val="正文文本缩进 3 Char1"/>
    <w:semiHidden/>
    <w:qFormat/>
    <w:uiPriority w:val="99"/>
    <w:rPr>
      <w:rFonts w:ascii="Times New Roman" w:hAnsi="Times New Roman" w:eastAsia="宋体" w:cs="Times New Roman"/>
      <w:sz w:val="16"/>
      <w:szCs w:val="16"/>
    </w:rPr>
  </w:style>
  <w:style w:type="character" w:customStyle="1" w:styleId="359">
    <w:name w:val="公文正文 Char Char"/>
    <w:link w:val="360"/>
    <w:qFormat/>
    <w:uiPriority w:val="0"/>
    <w:rPr>
      <w:rFonts w:ascii="仿宋_GB2312" w:eastAsia="仿宋_GB2312"/>
      <w:kern w:val="2"/>
      <w:sz w:val="24"/>
      <w:szCs w:val="24"/>
    </w:rPr>
  </w:style>
  <w:style w:type="paragraph" w:customStyle="1" w:styleId="360">
    <w:name w:val="公文正文"/>
    <w:basedOn w:val="1"/>
    <w:link w:val="359"/>
    <w:qFormat/>
    <w:uiPriority w:val="0"/>
    <w:pPr>
      <w:adjustRightInd/>
      <w:spacing w:before="156" w:line="360" w:lineRule="auto"/>
      <w:ind w:firstLine="360" w:firstLineChars="200"/>
    </w:pPr>
    <w:rPr>
      <w:rFonts w:ascii="仿宋_GB2312" w:eastAsia="仿宋_GB2312"/>
      <w:sz w:val="24"/>
    </w:rPr>
  </w:style>
  <w:style w:type="character" w:customStyle="1" w:styleId="361">
    <w:name w:val="Table Text Char1"/>
    <w:qFormat/>
    <w:uiPriority w:val="0"/>
    <w:rPr>
      <w:rFonts w:eastAsia="宋体"/>
      <w:sz w:val="24"/>
      <w:szCs w:val="24"/>
      <w:lang w:val="en-US" w:eastAsia="zh-CN" w:bidi="ar-SA"/>
    </w:rPr>
  </w:style>
  <w:style w:type="character" w:customStyle="1" w:styleId="362">
    <w:name w:val="标题 1 Char Char"/>
    <w:qFormat/>
    <w:uiPriority w:val="0"/>
    <w:rPr>
      <w:rFonts w:hint="eastAsia" w:ascii="宋体" w:hAnsi="宋体" w:eastAsia="宋体"/>
      <w:b/>
      <w:spacing w:val="-2"/>
      <w:sz w:val="24"/>
      <w:lang w:val="en-US" w:eastAsia="zh-CN" w:bidi="ar-SA"/>
    </w:rPr>
  </w:style>
  <w:style w:type="character" w:customStyle="1" w:styleId="363">
    <w:name w:val="正文（缩进2汉字） Char"/>
    <w:link w:val="364"/>
    <w:qFormat/>
    <w:uiPriority w:val="0"/>
    <w:rPr>
      <w:rFonts w:ascii="宋体"/>
    </w:rPr>
  </w:style>
  <w:style w:type="paragraph" w:customStyle="1" w:styleId="364">
    <w:name w:val="正文（缩进2汉字）"/>
    <w:basedOn w:val="1"/>
    <w:link w:val="36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5">
    <w:name w:val="标题 8 字符"/>
    <w:link w:val="10"/>
    <w:qFormat/>
    <w:uiPriority w:val="0"/>
    <w:rPr>
      <w:rFonts w:ascii="Arial" w:hAnsi="Arial" w:eastAsia="黑体"/>
      <w:kern w:val="2"/>
      <w:sz w:val="24"/>
      <w:szCs w:val="24"/>
    </w:rPr>
  </w:style>
  <w:style w:type="character" w:customStyle="1" w:styleId="366">
    <w:name w:val="标书表格字体格式 Char"/>
    <w:qFormat/>
    <w:uiPriority w:val="0"/>
    <w:rPr>
      <w:kern w:val="2"/>
      <w:sz w:val="21"/>
      <w:szCs w:val="24"/>
      <w:lang w:bidi="ar-SA"/>
    </w:rPr>
  </w:style>
  <w:style w:type="character" w:customStyle="1" w:styleId="367">
    <w:name w:val="tw4winError"/>
    <w:qFormat/>
    <w:uiPriority w:val="0"/>
    <w:rPr>
      <w:rFonts w:ascii="Courier New" w:hAnsi="Courier New" w:cs="Courier New"/>
      <w:color w:val="00FF00"/>
      <w:sz w:val="40"/>
      <w:szCs w:val="40"/>
    </w:rPr>
  </w:style>
  <w:style w:type="character" w:customStyle="1" w:styleId="368">
    <w:name w:val="Body Text(ch) Char Char"/>
    <w:qFormat/>
    <w:uiPriority w:val="0"/>
    <w:rPr>
      <w:rFonts w:ascii="宋体"/>
      <w:kern w:val="2"/>
      <w:sz w:val="24"/>
      <w:szCs w:val="21"/>
      <w:lang w:val="zh-CN"/>
    </w:rPr>
  </w:style>
  <w:style w:type="character" w:customStyle="1" w:styleId="369">
    <w:name w:val="正文首行缩进两字 Char"/>
    <w:qFormat/>
    <w:uiPriority w:val="0"/>
    <w:rPr>
      <w:sz w:val="24"/>
      <w:szCs w:val="24"/>
      <w:lang w:val="en-US" w:eastAsia="zh-CN" w:bidi="ar-SA"/>
    </w:rPr>
  </w:style>
  <w:style w:type="character" w:customStyle="1" w:styleId="370">
    <w:name w:val="正文文本 Char"/>
    <w:qFormat/>
    <w:uiPriority w:val="0"/>
    <w:rPr>
      <w:rFonts w:eastAsia="宋体"/>
      <w:kern w:val="2"/>
      <w:sz w:val="24"/>
      <w:szCs w:val="24"/>
      <w:lang w:val="en-US" w:eastAsia="zh-CN" w:bidi="ar-SA"/>
    </w:rPr>
  </w:style>
  <w:style w:type="character" w:customStyle="1" w:styleId="371">
    <w:name w:val="文档结构图 字符1"/>
    <w:qFormat/>
    <w:uiPriority w:val="0"/>
    <w:rPr>
      <w:rFonts w:ascii="宋体" w:hAnsi="Calibri" w:eastAsia="黑体" w:cs="Arial"/>
      <w:snapToGrid w:val="0"/>
      <w:kern w:val="2"/>
      <w:sz w:val="18"/>
      <w:szCs w:val="18"/>
    </w:rPr>
  </w:style>
  <w:style w:type="character" w:customStyle="1" w:styleId="372">
    <w:name w:val="content"/>
    <w:qFormat/>
    <w:uiPriority w:val="0"/>
  </w:style>
  <w:style w:type="character" w:customStyle="1" w:styleId="373">
    <w:name w:val="tw4winPopup"/>
    <w:qFormat/>
    <w:uiPriority w:val="0"/>
    <w:rPr>
      <w:rFonts w:ascii="Courier New" w:hAnsi="Courier New" w:cs="Courier New"/>
      <w:color w:val="008000"/>
      <w:lang w:val="en-US" w:eastAsia="zh-CN"/>
    </w:rPr>
  </w:style>
  <w:style w:type="character" w:customStyle="1" w:styleId="374">
    <w:name w:val="param-name"/>
    <w:qFormat/>
    <w:uiPriority w:val="99"/>
    <w:rPr>
      <w:rFonts w:ascii="Arial" w:hAnsi="Arial" w:eastAsia="黑体" w:cs="Arial"/>
      <w:snapToGrid w:val="0"/>
      <w:kern w:val="0"/>
      <w:szCs w:val="21"/>
    </w:rPr>
  </w:style>
  <w:style w:type="character" w:customStyle="1" w:styleId="375">
    <w:name w:val="标准正文格式 Char"/>
    <w:qFormat/>
    <w:uiPriority w:val="0"/>
    <w:rPr>
      <w:rFonts w:ascii="宋体" w:eastAsia="仿宋_GB2312" w:cs="宋体"/>
      <w:color w:val="000000"/>
      <w:sz w:val="24"/>
      <w:lang w:val="en-US" w:eastAsia="zh-CN" w:bidi="ar-SA"/>
    </w:rPr>
  </w:style>
  <w:style w:type="character" w:customStyle="1" w:styleId="376">
    <w:name w:val="Char Char212"/>
    <w:qFormat/>
    <w:uiPriority w:val="0"/>
    <w:rPr>
      <w:rFonts w:eastAsia="宋体"/>
      <w:b/>
      <w:bCs/>
      <w:kern w:val="2"/>
      <w:sz w:val="21"/>
      <w:szCs w:val="24"/>
      <w:lang w:val="en-US" w:eastAsia="zh-CN" w:bidi="ar-SA"/>
    </w:rPr>
  </w:style>
  <w:style w:type="character" w:customStyle="1" w:styleId="377">
    <w:name w:val="文档结构图 Char"/>
    <w:qFormat/>
    <w:uiPriority w:val="0"/>
    <w:rPr>
      <w:rFonts w:eastAsia="宋体"/>
      <w:kern w:val="2"/>
      <w:sz w:val="21"/>
      <w:szCs w:val="24"/>
      <w:lang w:val="en-US" w:eastAsia="zh-CN" w:bidi="ar-SA"/>
    </w:rPr>
  </w:style>
  <w:style w:type="character" w:customStyle="1" w:styleId="378">
    <w:name w:val="zbggmain style9"/>
    <w:qFormat/>
    <w:uiPriority w:val="0"/>
  </w:style>
  <w:style w:type="character" w:customStyle="1" w:styleId="379">
    <w:name w:val="Char Char16"/>
    <w:qFormat/>
    <w:uiPriority w:val="6"/>
    <w:rPr>
      <w:kern w:val="1"/>
      <w:sz w:val="18"/>
      <w:szCs w:val="18"/>
    </w:rPr>
  </w:style>
  <w:style w:type="character" w:customStyle="1" w:styleId="380">
    <w:name w:val="font51"/>
    <w:qFormat/>
    <w:uiPriority w:val="0"/>
    <w:rPr>
      <w:rFonts w:hint="eastAsia" w:ascii="仿宋" w:hAnsi="仿宋" w:eastAsia="仿宋" w:cs="仿宋"/>
      <w:color w:val="000000"/>
      <w:sz w:val="20"/>
      <w:szCs w:val="20"/>
      <w:u w:val="none"/>
    </w:rPr>
  </w:style>
  <w:style w:type="character" w:customStyle="1" w:styleId="381">
    <w:name w:val="Char Char82"/>
    <w:qFormat/>
    <w:uiPriority w:val="0"/>
    <w:rPr>
      <w:rFonts w:eastAsia="宋体"/>
      <w:b/>
      <w:sz w:val="24"/>
      <w:lang w:val="en-GB" w:eastAsia="zh-CN"/>
    </w:rPr>
  </w:style>
  <w:style w:type="character" w:customStyle="1" w:styleId="382">
    <w:name w:val="正文文本缩进 3 字符"/>
    <w:link w:val="55"/>
    <w:qFormat/>
    <w:uiPriority w:val="0"/>
    <w:rPr>
      <w:kern w:val="2"/>
      <w:sz w:val="24"/>
    </w:rPr>
  </w:style>
  <w:style w:type="character" w:customStyle="1" w:styleId="383">
    <w:name w:val="日期 Char1"/>
    <w:semiHidden/>
    <w:qFormat/>
    <w:uiPriority w:val="99"/>
    <w:rPr>
      <w:rFonts w:ascii="Times New Roman" w:hAnsi="Times New Roman" w:eastAsia="宋体" w:cs="Times New Roman"/>
      <w:szCs w:val="24"/>
    </w:rPr>
  </w:style>
  <w:style w:type="character" w:customStyle="1" w:styleId="384">
    <w:name w:val="页眉 字符"/>
    <w:qFormat/>
    <w:uiPriority w:val="99"/>
    <w:rPr>
      <w:kern w:val="2"/>
      <w:sz w:val="18"/>
      <w:szCs w:val="18"/>
    </w:rPr>
  </w:style>
  <w:style w:type="character" w:customStyle="1" w:styleId="385">
    <w:name w:val="Char Char33"/>
    <w:qFormat/>
    <w:uiPriority w:val="6"/>
    <w:rPr>
      <w:rFonts w:ascii="Arial" w:hAnsi="Arial" w:eastAsia="黑体"/>
      <w:b/>
      <w:kern w:val="1"/>
      <w:sz w:val="24"/>
      <w:szCs w:val="24"/>
    </w:rPr>
  </w:style>
  <w:style w:type="character" w:customStyle="1" w:styleId="386">
    <w:name w:val="b11_01b Char"/>
    <w:link w:val="387"/>
    <w:qFormat/>
    <w:uiPriority w:val="0"/>
    <w:rPr>
      <w:rFonts w:ascii="Verdana" w:hAnsi="Verdana"/>
      <w:b/>
      <w:bCs/>
      <w:color w:val="4A82CA"/>
      <w:sz w:val="17"/>
      <w:szCs w:val="17"/>
    </w:rPr>
  </w:style>
  <w:style w:type="paragraph" w:customStyle="1" w:styleId="387">
    <w:name w:val="b11_01b"/>
    <w:basedOn w:val="1"/>
    <w:next w:val="1"/>
    <w:link w:val="38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8">
    <w:name w:val="Char Char121"/>
    <w:qFormat/>
    <w:uiPriority w:val="6"/>
    <w:rPr>
      <w:rFonts w:ascii="仿宋_GB2312" w:eastAsia="仿宋_GB2312"/>
      <w:b/>
      <w:bCs/>
      <w:kern w:val="2"/>
      <w:sz w:val="24"/>
      <w:szCs w:val="24"/>
      <w:lang w:val="zh-CN" w:eastAsia="zh-CN" w:bidi="ar-SA"/>
    </w:rPr>
  </w:style>
  <w:style w:type="character" w:customStyle="1" w:styleId="389">
    <w:name w:val="Footer-Even Char"/>
    <w:qFormat/>
    <w:uiPriority w:val="0"/>
    <w:rPr>
      <w:rFonts w:eastAsia="宋体"/>
      <w:kern w:val="2"/>
      <w:sz w:val="18"/>
      <w:lang w:val="en-US" w:eastAsia="zh-CN" w:bidi="ar-SA"/>
    </w:rPr>
  </w:style>
  <w:style w:type="character" w:customStyle="1" w:styleId="390">
    <w:name w:val="页脚 字符2"/>
    <w:link w:val="41"/>
    <w:qFormat/>
    <w:locked/>
    <w:uiPriority w:val="99"/>
    <w:rPr>
      <w:kern w:val="2"/>
      <w:sz w:val="18"/>
      <w:szCs w:val="18"/>
    </w:rPr>
  </w:style>
  <w:style w:type="character" w:customStyle="1" w:styleId="391">
    <w:name w:val="Char Char36"/>
    <w:qFormat/>
    <w:uiPriority w:val="6"/>
    <w:rPr>
      <w:rFonts w:ascii="仿宋_GB2312" w:hAnsi="仿宋_GB2312" w:eastAsia="仿宋_GB2312" w:cs="Arial"/>
      <w:b/>
      <w:kern w:val="1"/>
      <w:sz w:val="32"/>
      <w:szCs w:val="32"/>
      <w:lang w:val="zh-CN" w:eastAsia="zh-CN" w:bidi="ar-SA"/>
    </w:rPr>
  </w:style>
  <w:style w:type="character" w:customStyle="1" w:styleId="392">
    <w:name w:val="Char Char61"/>
    <w:qFormat/>
    <w:uiPriority w:val="6"/>
    <w:rPr>
      <w:rFonts w:eastAsia="宋体"/>
      <w:kern w:val="2"/>
      <w:sz w:val="21"/>
      <w:szCs w:val="24"/>
      <w:lang w:val="en-US" w:eastAsia="zh-CN" w:bidi="ar-SA"/>
    </w:rPr>
  </w:style>
  <w:style w:type="character" w:customStyle="1" w:styleId="393">
    <w:name w:val="正文文字缩进 2 Char Char"/>
    <w:qFormat/>
    <w:uiPriority w:val="0"/>
    <w:rPr>
      <w:rFonts w:ascii="宋体"/>
      <w:sz w:val="28"/>
    </w:rPr>
  </w:style>
  <w:style w:type="character" w:customStyle="1" w:styleId="394">
    <w:name w:val="f141"/>
    <w:qFormat/>
    <w:uiPriority w:val="0"/>
    <w:rPr>
      <w:rFonts w:ascii="Tahoma" w:hAnsi="Tahoma" w:eastAsia="宋体"/>
      <w:b/>
      <w:kern w:val="2"/>
      <w:sz w:val="21"/>
      <w:szCs w:val="21"/>
      <w:lang w:val="en-US" w:eastAsia="zh-CN" w:bidi="ar-SA"/>
    </w:rPr>
  </w:style>
  <w:style w:type="character" w:customStyle="1" w:styleId="395">
    <w:name w:val="段落 Char Char"/>
    <w:link w:val="396"/>
    <w:qFormat/>
    <w:uiPriority w:val="0"/>
    <w:rPr>
      <w:rFonts w:ascii="宋体" w:hAnsi="宋体"/>
      <w:sz w:val="24"/>
    </w:rPr>
  </w:style>
  <w:style w:type="paragraph" w:customStyle="1" w:styleId="396">
    <w:name w:val="段落"/>
    <w:basedOn w:val="1"/>
    <w:link w:val="395"/>
    <w:qFormat/>
    <w:uiPriority w:val="0"/>
    <w:pPr>
      <w:adjustRightInd/>
      <w:spacing w:line="360" w:lineRule="auto"/>
      <w:ind w:firstLine="480" w:firstLineChars="200"/>
    </w:pPr>
    <w:rPr>
      <w:rFonts w:ascii="宋体" w:hAnsi="宋体"/>
      <w:kern w:val="0"/>
      <w:sz w:val="24"/>
      <w:szCs w:val="20"/>
    </w:rPr>
  </w:style>
  <w:style w:type="character" w:customStyle="1" w:styleId="397">
    <w:name w:val="标题 3 Char2"/>
    <w:qFormat/>
    <w:uiPriority w:val="0"/>
    <w:rPr>
      <w:rFonts w:eastAsia="宋体"/>
      <w:b/>
      <w:bCs/>
      <w:kern w:val="2"/>
      <w:sz w:val="32"/>
      <w:szCs w:val="32"/>
      <w:lang w:val="en-US" w:eastAsia="zh-CN" w:bidi="ar-SA"/>
    </w:rPr>
  </w:style>
  <w:style w:type="character" w:customStyle="1" w:styleId="398">
    <w:name w:val="apple-converted-space"/>
    <w:qFormat/>
    <w:uiPriority w:val="0"/>
  </w:style>
  <w:style w:type="character" w:customStyle="1" w:styleId="399">
    <w:name w:val="页眉 字符2"/>
    <w:link w:val="43"/>
    <w:qFormat/>
    <w:uiPriority w:val="99"/>
    <w:rPr>
      <w:kern w:val="2"/>
      <w:sz w:val="18"/>
      <w:szCs w:val="18"/>
    </w:rPr>
  </w:style>
  <w:style w:type="character" w:customStyle="1" w:styleId="400">
    <w:name w:val="Char Char9"/>
    <w:qFormat/>
    <w:uiPriority w:val="0"/>
    <w:rPr>
      <w:rFonts w:eastAsia="宋体"/>
      <w:kern w:val="2"/>
      <w:sz w:val="18"/>
      <w:szCs w:val="18"/>
      <w:lang w:val="en-US" w:eastAsia="zh-CN" w:bidi="ar-SA"/>
    </w:rPr>
  </w:style>
  <w:style w:type="character" w:customStyle="1" w:styleId="401">
    <w:name w:val="Char Char41"/>
    <w:qFormat/>
    <w:uiPriority w:val="0"/>
    <w:rPr>
      <w:rFonts w:eastAsia="宋体"/>
      <w:b/>
      <w:sz w:val="24"/>
      <w:lang w:val="en-GB" w:eastAsia="zh-CN" w:bidi="ar-SA"/>
    </w:rPr>
  </w:style>
  <w:style w:type="character" w:customStyle="1" w:styleId="402">
    <w:name w:val="large1"/>
    <w:qFormat/>
    <w:uiPriority w:val="0"/>
    <w:rPr>
      <w:rFonts w:hint="eastAsia" w:ascii="宋体" w:hAnsi="宋体" w:eastAsia="宋体"/>
      <w:sz w:val="21"/>
      <w:szCs w:val="21"/>
    </w:rPr>
  </w:style>
  <w:style w:type="character" w:customStyle="1" w:styleId="403">
    <w:name w:val="正文段 Char"/>
    <w:link w:val="404"/>
    <w:qFormat/>
    <w:uiPriority w:val="0"/>
    <w:rPr>
      <w:sz w:val="24"/>
    </w:rPr>
  </w:style>
  <w:style w:type="paragraph" w:customStyle="1" w:styleId="404">
    <w:name w:val="正文段"/>
    <w:basedOn w:val="1"/>
    <w:link w:val="403"/>
    <w:qFormat/>
    <w:uiPriority w:val="0"/>
    <w:pPr>
      <w:widowControl/>
      <w:snapToGrid w:val="0"/>
      <w:spacing w:after="156" w:afterLines="50"/>
      <w:ind w:firstLine="200" w:firstLineChars="200"/>
    </w:pPr>
    <w:rPr>
      <w:kern w:val="0"/>
      <w:sz w:val="24"/>
      <w:szCs w:val="20"/>
    </w:rPr>
  </w:style>
  <w:style w:type="character" w:customStyle="1" w:styleId="405">
    <w:name w:val="Char Char13"/>
    <w:qFormat/>
    <w:uiPriority w:val="6"/>
    <w:rPr>
      <w:rFonts w:ascii="宋体" w:hAnsi="宋体"/>
      <w:kern w:val="1"/>
      <w:sz w:val="21"/>
      <w:szCs w:val="24"/>
    </w:rPr>
  </w:style>
  <w:style w:type="character" w:customStyle="1" w:styleId="40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7">
    <w:name w:val="冯广丽 Char"/>
    <w:link w:val="408"/>
    <w:qFormat/>
    <w:uiPriority w:val="0"/>
    <w:rPr>
      <w:rFonts w:ascii="宋体" w:hAnsi="宋体"/>
      <w:kern w:val="2"/>
      <w:sz w:val="24"/>
      <w:szCs w:val="22"/>
    </w:rPr>
  </w:style>
  <w:style w:type="paragraph" w:customStyle="1" w:styleId="408">
    <w:name w:val="冯广丽"/>
    <w:basedOn w:val="1"/>
    <w:link w:val="407"/>
    <w:qFormat/>
    <w:uiPriority w:val="0"/>
    <w:pPr>
      <w:adjustRightInd/>
      <w:spacing w:line="360" w:lineRule="auto"/>
      <w:ind w:firstLine="480" w:firstLineChars="200"/>
    </w:pPr>
    <w:rPr>
      <w:rFonts w:ascii="宋体" w:hAnsi="宋体"/>
      <w:sz w:val="24"/>
      <w:szCs w:val="22"/>
    </w:rPr>
  </w:style>
  <w:style w:type="character" w:customStyle="1" w:styleId="409">
    <w:name w:val="批注文字 字符"/>
    <w:qFormat/>
    <w:uiPriority w:val="0"/>
    <w:rPr>
      <w:rFonts w:ascii="Arial" w:hAnsi="Arial" w:eastAsia="黑体" w:cs="Arial"/>
      <w:snapToGrid w:val="0"/>
      <w:kern w:val="0"/>
      <w:szCs w:val="21"/>
    </w:rPr>
  </w:style>
  <w:style w:type="character" w:customStyle="1" w:styleId="410">
    <w:name w:val="Char Char161"/>
    <w:qFormat/>
    <w:uiPriority w:val="0"/>
    <w:rPr>
      <w:rFonts w:eastAsia="宋体"/>
      <w:b/>
      <w:kern w:val="2"/>
      <w:sz w:val="32"/>
      <w:lang w:val="en-US" w:eastAsia="zh-CN"/>
    </w:rPr>
  </w:style>
  <w:style w:type="character" w:customStyle="1" w:styleId="411">
    <w:name w:val="javascript"/>
    <w:qFormat/>
    <w:uiPriority w:val="0"/>
  </w:style>
  <w:style w:type="character" w:customStyle="1" w:styleId="412">
    <w:name w:val="图名 Char"/>
    <w:qFormat/>
    <w:uiPriority w:val="0"/>
    <w:rPr>
      <w:rFonts w:ascii="Arial" w:hAnsi="Arial" w:eastAsia="黑体"/>
      <w:kern w:val="2"/>
      <w:sz w:val="24"/>
      <w:szCs w:val="24"/>
      <w:lang w:val="en-US" w:eastAsia="zh-CN" w:bidi="ar-SA"/>
    </w:rPr>
  </w:style>
  <w:style w:type="character" w:customStyle="1" w:styleId="413">
    <w:name w:val="Used by Word for text of Help footnotes Char Char"/>
    <w:qFormat/>
    <w:uiPriority w:val="0"/>
    <w:rPr>
      <w:rFonts w:ascii="Times New Roman" w:hAnsi="Times New Roman" w:eastAsia="宋体" w:cs="Times New Roman"/>
      <w:sz w:val="20"/>
      <w:szCs w:val="20"/>
    </w:rPr>
  </w:style>
  <w:style w:type="character" w:customStyle="1" w:styleId="414">
    <w:name w:val="编号，小四 Char"/>
    <w:link w:val="415"/>
    <w:qFormat/>
    <w:uiPriority w:val="0"/>
    <w:rPr>
      <w:rFonts w:ascii="Arial" w:hAnsi="Arial"/>
      <w:sz w:val="24"/>
    </w:rPr>
  </w:style>
  <w:style w:type="paragraph" w:customStyle="1" w:styleId="415">
    <w:name w:val="编号，小四"/>
    <w:basedOn w:val="1"/>
    <w:link w:val="414"/>
    <w:qFormat/>
    <w:uiPriority w:val="0"/>
    <w:pPr>
      <w:tabs>
        <w:tab w:val="left" w:pos="432"/>
      </w:tabs>
      <w:adjustRightInd/>
      <w:spacing w:line="360" w:lineRule="auto"/>
      <w:ind w:left="432" w:hanging="432"/>
    </w:pPr>
    <w:rPr>
      <w:rFonts w:ascii="Arial" w:hAnsi="Arial"/>
      <w:kern w:val="0"/>
      <w:sz w:val="24"/>
      <w:szCs w:val="20"/>
    </w:rPr>
  </w:style>
  <w:style w:type="character" w:customStyle="1" w:styleId="416">
    <w:name w:val="Font Style82"/>
    <w:qFormat/>
    <w:uiPriority w:val="99"/>
    <w:rPr>
      <w:rFonts w:ascii="宋体" w:eastAsia="宋体" w:cs="宋体"/>
      <w:color w:val="000000"/>
      <w:sz w:val="14"/>
      <w:szCs w:val="14"/>
    </w:rPr>
  </w:style>
  <w:style w:type="character" w:customStyle="1" w:styleId="417">
    <w:name w:val="标题 2 Char Char"/>
    <w:qFormat/>
    <w:uiPriority w:val="0"/>
    <w:rPr>
      <w:rFonts w:ascii="楷体_GB2312" w:hAnsi="Arial" w:eastAsia="楷体_GB2312"/>
      <w:b/>
      <w:bCs/>
      <w:kern w:val="2"/>
      <w:sz w:val="24"/>
      <w:szCs w:val="32"/>
      <w:lang w:val="en-US" w:eastAsia="zh-CN" w:bidi="ar-SA"/>
    </w:rPr>
  </w:style>
  <w:style w:type="character" w:customStyle="1" w:styleId="418">
    <w:name w:val="未用 Char"/>
    <w:qFormat/>
    <w:uiPriority w:val="0"/>
    <w:rPr>
      <w:rFonts w:ascii="Arial" w:hAnsi="Arial" w:eastAsia="黑体"/>
      <w:kern w:val="2"/>
      <w:sz w:val="21"/>
      <w:szCs w:val="21"/>
      <w:lang w:val="en-US" w:eastAsia="zh-CN" w:bidi="ar-SA"/>
    </w:rPr>
  </w:style>
  <w:style w:type="character" w:customStyle="1" w:styleId="419">
    <w:name w:val="myp1111"/>
    <w:qFormat/>
    <w:uiPriority w:val="0"/>
    <w:rPr>
      <w:rFonts w:hint="default" w:ascii="ˎ̥" w:hAnsi="ˎ̥"/>
      <w:color w:val="000000"/>
      <w:sz w:val="20"/>
      <w:szCs w:val="20"/>
      <w:u w:val="none"/>
    </w:rPr>
  </w:style>
  <w:style w:type="character" w:customStyle="1" w:styleId="420">
    <w:name w:val="样式 标题 4h4H4Fab-4T5Ref Heading 1rh1Heading sqlsect 1.2.3.... Char"/>
    <w:link w:val="312"/>
    <w:qFormat/>
    <w:uiPriority w:val="0"/>
    <w:rPr>
      <w:rFonts w:ascii="微软雅黑" w:hAnsi="微软雅黑" w:eastAsia="微软雅黑"/>
      <w:b/>
      <w:bCs/>
      <w:kern w:val="2"/>
      <w:sz w:val="24"/>
      <w:szCs w:val="28"/>
    </w:rPr>
  </w:style>
  <w:style w:type="character" w:customStyle="1" w:styleId="421">
    <w:name w:val="h Char Char"/>
    <w:qFormat/>
    <w:uiPriority w:val="0"/>
    <w:rPr>
      <w:rFonts w:eastAsia="宋体"/>
      <w:kern w:val="2"/>
      <w:sz w:val="18"/>
      <w:lang w:val="en-US" w:eastAsia="zh-CN" w:bidi="ar-SA"/>
    </w:rPr>
  </w:style>
  <w:style w:type="character" w:customStyle="1" w:styleId="422">
    <w:name w:val="仿宋正文 Char"/>
    <w:link w:val="423"/>
    <w:qFormat/>
    <w:uiPriority w:val="0"/>
    <w:rPr>
      <w:rFonts w:ascii="仿宋_GB2312" w:eastAsia="仿宋_GB2312"/>
      <w:kern w:val="2"/>
      <w:sz w:val="24"/>
      <w:lang w:val="en-US" w:eastAsia="zh-CN" w:bidi="ar-SA"/>
    </w:rPr>
  </w:style>
  <w:style w:type="paragraph" w:customStyle="1" w:styleId="423">
    <w:name w:val="仿宋正文"/>
    <w:basedOn w:val="1"/>
    <w:link w:val="422"/>
    <w:qFormat/>
    <w:uiPriority w:val="0"/>
    <w:pPr>
      <w:adjustRightInd/>
      <w:spacing w:line="360" w:lineRule="auto"/>
      <w:ind w:firstLine="480" w:firstLineChars="200"/>
    </w:pPr>
    <w:rPr>
      <w:rFonts w:ascii="仿宋_GB2312" w:eastAsia="仿宋_GB2312"/>
      <w:sz w:val="24"/>
      <w:szCs w:val="20"/>
    </w:rPr>
  </w:style>
  <w:style w:type="character" w:customStyle="1" w:styleId="424">
    <w:name w:val="正文首行缩进 Char Char Char Char Char Char"/>
    <w:qFormat/>
    <w:uiPriority w:val="0"/>
    <w:rPr>
      <w:rFonts w:ascii="宋体" w:eastAsia="宋体"/>
      <w:kern w:val="2"/>
      <w:sz w:val="24"/>
      <w:lang w:val="zh-CN" w:bidi="ar-SA"/>
    </w:rPr>
  </w:style>
  <w:style w:type="character" w:customStyle="1" w:styleId="425">
    <w:name w:val="样式 宋体"/>
    <w:qFormat/>
    <w:uiPriority w:val="0"/>
    <w:rPr>
      <w:rFonts w:ascii="宋体" w:hAnsi="宋体"/>
      <w:sz w:val="24"/>
    </w:rPr>
  </w:style>
  <w:style w:type="character" w:customStyle="1" w:styleId="426">
    <w:name w:val="tw4winJump"/>
    <w:qFormat/>
    <w:uiPriority w:val="0"/>
    <w:rPr>
      <w:rFonts w:ascii="Courier New" w:hAnsi="Courier New" w:cs="Courier New"/>
      <w:color w:val="008080"/>
      <w:lang w:val="en-US" w:eastAsia="zh-CN"/>
    </w:rPr>
  </w:style>
  <w:style w:type="character" w:customStyle="1" w:styleId="427">
    <w:name w:val="标题 1 字符"/>
    <w:qFormat/>
    <w:uiPriority w:val="9"/>
    <w:rPr>
      <w:rFonts w:ascii="Arial" w:hAnsi="Arial" w:eastAsia="黑体" w:cs="Arial"/>
      <w:b/>
      <w:bCs/>
      <w:snapToGrid w:val="0"/>
      <w:kern w:val="44"/>
      <w:sz w:val="44"/>
      <w:szCs w:val="44"/>
    </w:rPr>
  </w:style>
  <w:style w:type="character" w:customStyle="1" w:styleId="428">
    <w:name w:val="style36"/>
    <w:basedOn w:val="73"/>
    <w:qFormat/>
    <w:uiPriority w:val="0"/>
    <w:rPr>
      <w:rFonts w:ascii="Arial" w:hAnsi="Arial" w:eastAsia="黑体" w:cs="Arial"/>
      <w:snapToGrid w:val="0"/>
      <w:kern w:val="0"/>
      <w:szCs w:val="21"/>
    </w:rPr>
  </w:style>
  <w:style w:type="character" w:customStyle="1" w:styleId="429">
    <w:name w:val="pt9"/>
    <w:qFormat/>
    <w:uiPriority w:val="0"/>
    <w:rPr>
      <w:rFonts w:ascii="仿宋_GB2312" w:eastAsia="微软雅黑"/>
      <w:b/>
      <w:kern w:val="2"/>
      <w:sz w:val="32"/>
      <w:szCs w:val="32"/>
      <w:lang w:val="en-US" w:eastAsia="zh-CN" w:bidi="ar-SA"/>
    </w:rPr>
  </w:style>
  <w:style w:type="character" w:customStyle="1" w:styleId="430">
    <w:name w:val="DO_NOT_TRANSLATE"/>
    <w:qFormat/>
    <w:uiPriority w:val="0"/>
    <w:rPr>
      <w:rFonts w:ascii="Courier New" w:hAnsi="Courier New" w:cs="Courier New"/>
      <w:color w:val="800000"/>
      <w:lang w:val="en-US" w:eastAsia="zh-CN"/>
    </w:rPr>
  </w:style>
  <w:style w:type="character" w:customStyle="1" w:styleId="431">
    <w:name w:val="标书1 Char1"/>
    <w:qFormat/>
    <w:uiPriority w:val="0"/>
    <w:rPr>
      <w:rFonts w:eastAsia="宋体"/>
      <w:b/>
      <w:bCs/>
      <w:kern w:val="44"/>
      <w:sz w:val="44"/>
      <w:szCs w:val="44"/>
      <w:lang w:val="en-US" w:eastAsia="zh-CN" w:bidi="ar-SA"/>
    </w:rPr>
  </w:style>
  <w:style w:type="character" w:customStyle="1" w:styleId="432">
    <w:name w:val="页脚 字符"/>
    <w:qFormat/>
    <w:uiPriority w:val="99"/>
    <w:rPr>
      <w:kern w:val="2"/>
      <w:sz w:val="18"/>
      <w:szCs w:val="18"/>
    </w:rPr>
  </w:style>
  <w:style w:type="character" w:customStyle="1" w:styleId="433">
    <w:name w:val="正文2 Char"/>
    <w:qFormat/>
    <w:uiPriority w:val="0"/>
    <w:rPr>
      <w:rFonts w:eastAsia="宋体"/>
      <w:kern w:val="2"/>
      <w:sz w:val="24"/>
      <w:lang w:val="en-US" w:eastAsia="zh-CN" w:bidi="ar-SA"/>
    </w:rPr>
  </w:style>
  <w:style w:type="character" w:customStyle="1" w:styleId="434">
    <w:name w:val="Char Char21"/>
    <w:qFormat/>
    <w:uiPriority w:val="6"/>
    <w:rPr>
      <w:rFonts w:ascii="宋体" w:hAnsi="宋体"/>
      <w:kern w:val="1"/>
      <w:sz w:val="24"/>
      <w:szCs w:val="21"/>
      <w:lang w:val="zh-CN"/>
    </w:rPr>
  </w:style>
  <w:style w:type="character" w:customStyle="1" w:styleId="435">
    <w:name w:val="样式 正文缩进 + 首行缩进:  2 字符 Char Char"/>
    <w:link w:val="436"/>
    <w:qFormat/>
    <w:uiPriority w:val="0"/>
    <w:rPr>
      <w:rFonts w:cs="宋体"/>
      <w:kern w:val="2"/>
      <w:sz w:val="24"/>
    </w:rPr>
  </w:style>
  <w:style w:type="paragraph" w:customStyle="1" w:styleId="436">
    <w:name w:val="样式 正文缩进 + 首行缩进:  2 字符"/>
    <w:basedOn w:val="17"/>
    <w:link w:val="43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7">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8">
    <w:name w:val="gray6"/>
    <w:basedOn w:val="73"/>
    <w:qFormat/>
    <w:uiPriority w:val="0"/>
    <w:rPr>
      <w:rFonts w:ascii="Arial" w:hAnsi="Arial" w:eastAsia="黑体" w:cs="Arial"/>
      <w:snapToGrid w:val="0"/>
      <w:kern w:val="0"/>
      <w:szCs w:val="21"/>
    </w:rPr>
  </w:style>
  <w:style w:type="character" w:customStyle="1" w:styleId="439">
    <w:name w:val="hui"/>
    <w:basedOn w:val="73"/>
    <w:qFormat/>
    <w:uiPriority w:val="0"/>
    <w:rPr>
      <w:rFonts w:ascii="Arial" w:hAnsi="Arial" w:eastAsia="黑体" w:cs="Arial"/>
      <w:snapToGrid w:val="0"/>
      <w:kern w:val="0"/>
      <w:szCs w:val="21"/>
    </w:rPr>
  </w:style>
  <w:style w:type="character" w:customStyle="1" w:styleId="440">
    <w:name w:val="哈哈正文 Char Char"/>
    <w:qFormat/>
    <w:uiPriority w:val="0"/>
    <w:rPr>
      <w:rFonts w:ascii="宋体" w:hAnsi="宋体" w:eastAsia="宋体" w:cs="宋体"/>
      <w:kern w:val="2"/>
      <w:sz w:val="24"/>
      <w:lang w:val="en-US" w:eastAsia="zh-CN" w:bidi="ar-SA"/>
    </w:rPr>
  </w:style>
  <w:style w:type="paragraph" w:customStyle="1" w:styleId="441">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8">
    <w:name w:val="标题4_自定义"/>
    <w:basedOn w:val="6"/>
    <w:qFormat/>
    <w:uiPriority w:val="0"/>
    <w:pPr>
      <w:adjustRightInd/>
      <w:spacing w:before="0" w:after="0" w:line="360" w:lineRule="auto"/>
    </w:pPr>
    <w:rPr>
      <w:rFonts w:ascii="Verdana" w:eastAsia="Verdana"/>
      <w:sz w:val="21"/>
      <w:lang w:val="en-US"/>
    </w:rPr>
  </w:style>
  <w:style w:type="paragraph" w:customStyle="1" w:styleId="449">
    <w:name w:val="正文 内标 序号标"/>
    <w:basedOn w:val="450"/>
    <w:qFormat/>
    <w:uiPriority w:val="0"/>
    <w:pPr>
      <w:tabs>
        <w:tab w:val="left" w:pos="0"/>
      </w:tabs>
      <w:adjustRightInd/>
      <w:spacing w:before="0"/>
      <w:ind w:firstLine="482"/>
    </w:pPr>
    <w:rPr>
      <w:rFonts w:ascii="微软雅黑" w:hAnsi="微软雅黑"/>
      <w:sz w:val="24"/>
      <w:szCs w:val="24"/>
    </w:rPr>
  </w:style>
  <w:style w:type="paragraph" w:customStyle="1" w:styleId="450">
    <w:name w:val="My正文"/>
    <w:basedOn w:val="1"/>
    <w:qFormat/>
    <w:uiPriority w:val="0"/>
    <w:pPr>
      <w:spacing w:before="120" w:line="360" w:lineRule="auto"/>
      <w:ind w:firstLine="567"/>
    </w:pPr>
    <w:rPr>
      <w:rFonts w:ascii="Arial" w:hAnsi="Arial"/>
      <w:sz w:val="20"/>
      <w:szCs w:val="20"/>
    </w:rPr>
  </w:style>
  <w:style w:type="paragraph" w:customStyle="1" w:styleId="45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4">
    <w:name w:val="修订2"/>
    <w:qFormat/>
    <w:uiPriority w:val="0"/>
    <w:rPr>
      <w:rFonts w:ascii="Times New Roman" w:hAnsi="Times New Roman" w:eastAsia="宋体" w:cs="Times New Roman"/>
      <w:kern w:val="2"/>
      <w:sz w:val="21"/>
      <w:lang w:val="en-US" w:eastAsia="zh-CN" w:bidi="ar-SA"/>
    </w:rPr>
  </w:style>
  <w:style w:type="paragraph" w:customStyle="1" w:styleId="45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7">
    <w:name w:val="文章标题"/>
    <w:next w:val="45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8">
    <w:name w:val="封面公司名"/>
    <w:qFormat/>
    <w:uiPriority w:val="0"/>
    <w:pPr>
      <w:jc w:val="center"/>
    </w:pPr>
    <w:rPr>
      <w:rFonts w:ascii="Arial" w:hAnsi="Arial" w:eastAsia="楷体_GB2312" w:cs="宋体"/>
      <w:bCs/>
      <w:kern w:val="2"/>
      <w:sz w:val="28"/>
      <w:lang w:val="en-US" w:eastAsia="zh-CN" w:bidi="ar-SA"/>
    </w:rPr>
  </w:style>
  <w:style w:type="paragraph" w:customStyle="1" w:styleId="459">
    <w:name w:val="Char1 Char Char Char5"/>
    <w:basedOn w:val="1"/>
    <w:qFormat/>
    <w:uiPriority w:val="0"/>
    <w:pPr>
      <w:adjustRightInd/>
      <w:ind w:firstLine="200" w:firstLineChars="200"/>
    </w:pPr>
    <w:rPr>
      <w:rFonts w:ascii="Tahoma" w:hAnsi="Tahoma"/>
      <w:sz w:val="24"/>
      <w:szCs w:val="20"/>
    </w:rPr>
  </w:style>
  <w:style w:type="paragraph" w:customStyle="1" w:styleId="4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2">
    <w:name w:val="Char Char Char Char Char Char Char Char"/>
    <w:basedOn w:val="1"/>
    <w:qFormat/>
    <w:uiPriority w:val="0"/>
    <w:pPr>
      <w:tabs>
        <w:tab w:val="left" w:pos="360"/>
      </w:tabs>
    </w:pPr>
    <w:rPr>
      <w:sz w:val="24"/>
      <w:szCs w:val="20"/>
    </w:rPr>
  </w:style>
  <w:style w:type="paragraph" w:customStyle="1" w:styleId="463">
    <w:name w:val="Char Char11 Char Char Char"/>
    <w:basedOn w:val="1"/>
    <w:qFormat/>
    <w:uiPriority w:val="0"/>
    <w:pPr>
      <w:spacing w:line="360" w:lineRule="auto"/>
    </w:pPr>
    <w:rPr>
      <w:szCs w:val="20"/>
    </w:rPr>
  </w:style>
  <w:style w:type="paragraph" w:customStyle="1" w:styleId="46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6">
    <w:name w:val="样式3"/>
    <w:basedOn w:val="467"/>
    <w:qFormat/>
    <w:uiPriority w:val="0"/>
    <w:pPr>
      <w:tabs>
        <w:tab w:val="left" w:pos="2790"/>
        <w:tab w:val="left" w:pos="4230"/>
      </w:tabs>
      <w:spacing w:before="312" w:beforeLines="100"/>
      <w:jc w:val="left"/>
    </w:pPr>
  </w:style>
  <w:style w:type="paragraph" w:customStyle="1" w:styleId="46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8">
    <w:name w:val="Char Char1 Char Char1 Char Char1"/>
    <w:basedOn w:val="1"/>
    <w:qFormat/>
    <w:uiPriority w:val="0"/>
    <w:pPr>
      <w:tabs>
        <w:tab w:val="left" w:pos="840"/>
      </w:tabs>
      <w:ind w:left="840" w:hanging="420"/>
    </w:pPr>
    <w:rPr>
      <w:rFonts w:ascii="Tahoma" w:hAnsi="Tahoma"/>
      <w:sz w:val="24"/>
    </w:rPr>
  </w:style>
  <w:style w:type="paragraph" w:customStyle="1" w:styleId="46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2">
    <w:name w:val="正文21"/>
    <w:basedOn w:val="1"/>
    <w:qFormat/>
    <w:uiPriority w:val="0"/>
    <w:pPr>
      <w:adjustRightInd/>
      <w:spacing w:before="156" w:line="360" w:lineRule="auto"/>
      <w:ind w:firstLine="510" w:firstLineChars="200"/>
    </w:pPr>
    <w:rPr>
      <w:sz w:val="24"/>
      <w:szCs w:val="20"/>
    </w:rPr>
  </w:style>
  <w:style w:type="paragraph" w:customStyle="1" w:styleId="47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5">
    <w:name w:val="Char1"/>
    <w:basedOn w:val="1"/>
    <w:qFormat/>
    <w:uiPriority w:val="0"/>
    <w:rPr>
      <w:rFonts w:ascii="仿宋_GB2312" w:eastAsia="仿宋_GB2312"/>
      <w:b/>
      <w:sz w:val="32"/>
      <w:szCs w:val="32"/>
    </w:rPr>
  </w:style>
  <w:style w:type="paragraph" w:customStyle="1" w:styleId="47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0">
    <w:name w:val="6级标题"/>
    <w:basedOn w:val="481"/>
    <w:qFormat/>
    <w:uiPriority w:val="0"/>
    <w:pPr>
      <w:keepNext/>
      <w:tabs>
        <w:tab w:val="left" w:pos="360"/>
      </w:tabs>
      <w:spacing w:before="0" w:after="0"/>
      <w:outlineLvl w:val="5"/>
    </w:pPr>
  </w:style>
  <w:style w:type="paragraph" w:customStyle="1" w:styleId="481">
    <w:name w:val="5级标题"/>
    <w:basedOn w:val="48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2">
    <w:name w:val="4级标题"/>
    <w:basedOn w:val="9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3">
    <w:name w:val="样式 正文文本缩进 + 段前: 2 字符"/>
    <w:basedOn w:val="1"/>
    <w:qFormat/>
    <w:uiPriority w:val="0"/>
    <w:pPr>
      <w:adjustRightInd/>
      <w:ind w:left="420" w:leftChars="200"/>
      <w:jc w:val="left"/>
    </w:pPr>
    <w:rPr>
      <w:sz w:val="28"/>
      <w:szCs w:val="20"/>
      <w:lang w:eastAsia="zh-TW"/>
    </w:rPr>
  </w:style>
  <w:style w:type="paragraph" w:customStyle="1" w:styleId="484">
    <w:name w:val="Char2 Char Char"/>
    <w:basedOn w:val="1"/>
    <w:qFormat/>
    <w:uiPriority w:val="0"/>
    <w:pPr>
      <w:adjustRightInd/>
    </w:pPr>
    <w:rPr>
      <w:rFonts w:ascii="Tahoma" w:hAnsi="Tahoma"/>
      <w:sz w:val="24"/>
      <w:szCs w:val="20"/>
    </w:rPr>
  </w:style>
  <w:style w:type="paragraph" w:customStyle="1" w:styleId="485">
    <w:name w:val="_Style 11"/>
    <w:basedOn w:val="1"/>
    <w:qFormat/>
    <w:uiPriority w:val="34"/>
    <w:pPr>
      <w:adjustRightInd/>
      <w:ind w:firstLine="420" w:firstLineChars="200"/>
    </w:pPr>
    <w:rPr>
      <w:rFonts w:eastAsia="仿宋_GB2312"/>
      <w:sz w:val="28"/>
    </w:rPr>
  </w:style>
  <w:style w:type="paragraph" w:customStyle="1" w:styleId="48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7">
    <w:name w:val="Char Char Char"/>
    <w:basedOn w:val="1"/>
    <w:qFormat/>
    <w:uiPriority w:val="0"/>
    <w:rPr>
      <w:rFonts w:ascii="Tahoma" w:hAnsi="Tahoma"/>
      <w:sz w:val="24"/>
      <w:szCs w:val="20"/>
    </w:rPr>
  </w:style>
  <w:style w:type="paragraph" w:customStyle="1" w:styleId="48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90">
    <w:name w:val="No Spacing"/>
    <w:basedOn w:val="1"/>
    <w:link w:val="939"/>
    <w:qFormat/>
    <w:uiPriority w:val="99"/>
    <w:rPr>
      <w:szCs w:val="22"/>
    </w:rPr>
  </w:style>
  <w:style w:type="paragraph" w:customStyle="1" w:styleId="49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2">
    <w:name w:val="Char Char Char Char Char Char Char Char Char Char Char Char1 Char1"/>
    <w:basedOn w:val="1"/>
    <w:qFormat/>
    <w:uiPriority w:val="6"/>
    <w:rPr>
      <w:rFonts w:ascii="Tahoma" w:hAnsi="Tahoma" w:cs="仿宋_GB2312"/>
      <w:sz w:val="24"/>
      <w:szCs w:val="20"/>
    </w:rPr>
  </w:style>
  <w:style w:type="paragraph" w:customStyle="1" w:styleId="49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6">
    <w:name w:val="MM Topic 2"/>
    <w:basedOn w:val="4"/>
    <w:qFormat/>
    <w:uiPriority w:val="0"/>
    <w:pPr>
      <w:tabs>
        <w:tab w:val="left" w:pos="1260"/>
      </w:tabs>
      <w:ind w:left="1260" w:hanging="420"/>
    </w:pPr>
    <w:rPr>
      <w:rFonts w:ascii="Arial" w:hAnsi="Arial" w:eastAsia="黑体"/>
      <w:lang w:val="en-US"/>
    </w:rPr>
  </w:style>
  <w:style w:type="paragraph" w:customStyle="1" w:styleId="497">
    <w:name w:val="五级无标题条"/>
    <w:basedOn w:val="1"/>
    <w:qFormat/>
    <w:uiPriority w:val="0"/>
    <w:pPr>
      <w:adjustRightInd/>
    </w:pPr>
  </w:style>
  <w:style w:type="paragraph" w:customStyle="1" w:styleId="498">
    <w:name w:val="Char5"/>
    <w:basedOn w:val="1"/>
    <w:qFormat/>
    <w:uiPriority w:val="0"/>
    <w:rPr>
      <w:rFonts w:ascii="仿宋_GB2312" w:eastAsia="仿宋_GB2312"/>
      <w:b/>
      <w:sz w:val="32"/>
      <w:szCs w:val="32"/>
    </w:rPr>
  </w:style>
  <w:style w:type="paragraph" w:customStyle="1" w:styleId="49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0">
    <w:name w:val="彩色列表 - 强调文字颜色 12"/>
    <w:basedOn w:val="1"/>
    <w:qFormat/>
    <w:uiPriority w:val="0"/>
    <w:pPr>
      <w:adjustRightInd/>
      <w:ind w:firstLine="420" w:firstLineChars="200"/>
    </w:pPr>
    <w:rPr>
      <w:rFonts w:ascii="Calibri" w:hAnsi="Calibri"/>
      <w:szCs w:val="22"/>
    </w:rPr>
  </w:style>
  <w:style w:type="paragraph" w:customStyle="1" w:styleId="50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2">
    <w:name w:val="Char2"/>
    <w:basedOn w:val="1"/>
    <w:qFormat/>
    <w:uiPriority w:val="0"/>
    <w:rPr>
      <w:rFonts w:ascii="仿宋_GB2312" w:eastAsia="仿宋_GB2312"/>
      <w:b/>
      <w:sz w:val="32"/>
      <w:szCs w:val="32"/>
    </w:rPr>
  </w:style>
  <w:style w:type="paragraph" w:customStyle="1" w:styleId="503">
    <w:name w:val="数字标题3"/>
    <w:basedOn w:val="5"/>
    <w:next w:val="1"/>
    <w:qFormat/>
    <w:uiPriority w:val="0"/>
    <w:pPr>
      <w:spacing w:line="240" w:lineRule="auto"/>
    </w:pPr>
    <w:rPr>
      <w:sz w:val="28"/>
      <w:szCs w:val="28"/>
    </w:rPr>
  </w:style>
  <w:style w:type="paragraph" w:customStyle="1" w:styleId="504">
    <w:name w:val="FA正文"/>
    <w:basedOn w:val="1"/>
    <w:qFormat/>
    <w:uiPriority w:val="0"/>
    <w:pPr>
      <w:spacing w:line="360" w:lineRule="auto"/>
      <w:ind w:firstLine="480" w:firstLineChars="200"/>
    </w:pPr>
    <w:rPr>
      <w:rFonts w:hAnsi="宋体"/>
      <w:sz w:val="24"/>
      <w:szCs w:val="20"/>
    </w:rPr>
  </w:style>
  <w:style w:type="paragraph" w:customStyle="1" w:styleId="505">
    <w:name w:val="MM Topic 5"/>
    <w:basedOn w:val="7"/>
    <w:qFormat/>
    <w:uiPriority w:val="0"/>
    <w:pPr>
      <w:tabs>
        <w:tab w:val="left" w:pos="2520"/>
      </w:tabs>
      <w:adjustRightInd/>
      <w:ind w:left="2520" w:hanging="420"/>
    </w:pPr>
  </w:style>
  <w:style w:type="paragraph" w:customStyle="1" w:styleId="506">
    <w:name w:val="Char Char Char Char Char Char Char Char Char Char1"/>
    <w:basedOn w:val="1"/>
    <w:qFormat/>
    <w:uiPriority w:val="0"/>
    <w:rPr>
      <w:rFonts w:ascii="仿宋_GB2312" w:eastAsia="仿宋_GB2312"/>
      <w:b/>
      <w:sz w:val="32"/>
      <w:szCs w:val="32"/>
    </w:rPr>
  </w:style>
  <w:style w:type="paragraph" w:customStyle="1" w:styleId="50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8">
    <w:name w:val="修订1"/>
    <w:qFormat/>
    <w:uiPriority w:val="3"/>
    <w:rPr>
      <w:rFonts w:ascii="Times New Roman" w:hAnsi="Times New Roman" w:eastAsia="宋体" w:cs="Times New Roman"/>
      <w:color w:val="000000"/>
      <w:kern w:val="1"/>
      <w:sz w:val="21"/>
      <w:lang w:val="en-US" w:eastAsia="zh-CN" w:bidi="ar-SA"/>
    </w:rPr>
  </w:style>
  <w:style w:type="paragraph" w:customStyle="1" w:styleId="509">
    <w:name w:val="Char2 Char Char Char"/>
    <w:basedOn w:val="1"/>
    <w:qFormat/>
    <w:uiPriority w:val="0"/>
    <w:rPr>
      <w:rFonts w:ascii="仿宋_GB2312" w:eastAsia="仿宋_GB2312"/>
      <w:b/>
      <w:sz w:val="32"/>
      <w:szCs w:val="32"/>
    </w:rPr>
  </w:style>
  <w:style w:type="paragraph" w:customStyle="1" w:styleId="510">
    <w:name w:val="Char2 Char Char Char1"/>
    <w:basedOn w:val="1"/>
    <w:qFormat/>
    <w:uiPriority w:val="6"/>
    <w:rPr>
      <w:rFonts w:ascii="仿宋_GB2312" w:eastAsia="仿宋_GB2312"/>
      <w:b/>
      <w:sz w:val="32"/>
      <w:szCs w:val="32"/>
    </w:rPr>
  </w:style>
  <w:style w:type="paragraph" w:customStyle="1" w:styleId="511">
    <w:name w:val="默认段落样式"/>
    <w:basedOn w:val="141"/>
    <w:qFormat/>
    <w:uiPriority w:val="0"/>
    <w:pPr>
      <w:spacing w:before="0"/>
      <w:ind w:firstLine="480"/>
      <w:outlineLvl w:val="2"/>
    </w:pPr>
    <w:rPr>
      <w:rFonts w:ascii="仿宋_GB2312" w:hAnsi="宋体" w:eastAsia="仿宋_GB2312"/>
      <w:color w:val="000000"/>
      <w:szCs w:val="24"/>
    </w:rPr>
  </w:style>
  <w:style w:type="paragraph" w:customStyle="1" w:styleId="512">
    <w:name w:val="图中文字"/>
    <w:basedOn w:val="1"/>
    <w:qFormat/>
    <w:uiPriority w:val="0"/>
    <w:pPr>
      <w:snapToGrid w:val="0"/>
      <w:spacing w:line="0" w:lineRule="atLeast"/>
      <w:ind w:firstLine="200" w:firstLineChars="200"/>
      <w:jc w:val="center"/>
    </w:pPr>
    <w:rPr>
      <w:sz w:val="24"/>
      <w:szCs w:val="20"/>
    </w:rPr>
  </w:style>
  <w:style w:type="paragraph" w:customStyle="1" w:styleId="5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4">
    <w:name w:val="MM Topic 3"/>
    <w:basedOn w:val="5"/>
    <w:qFormat/>
    <w:uiPriority w:val="0"/>
    <w:pPr>
      <w:tabs>
        <w:tab w:val="left" w:pos="1680"/>
      </w:tabs>
      <w:adjustRightInd/>
      <w:ind w:left="1680" w:hanging="420"/>
    </w:pPr>
  </w:style>
  <w:style w:type="paragraph" w:customStyle="1" w:styleId="515">
    <w:name w:val="标准小四"/>
    <w:basedOn w:val="1"/>
    <w:qFormat/>
    <w:uiPriority w:val="0"/>
    <w:pPr>
      <w:spacing w:line="360" w:lineRule="auto"/>
      <w:ind w:firstLine="480" w:firstLineChars="200"/>
    </w:pPr>
    <w:rPr>
      <w:rFonts w:ascii="Arial" w:hAnsi="Arial"/>
      <w:sz w:val="24"/>
      <w:szCs w:val="21"/>
    </w:rPr>
  </w:style>
  <w:style w:type="paragraph" w:customStyle="1" w:styleId="51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7">
    <w:name w:val="表格（小）"/>
    <w:basedOn w:val="1"/>
    <w:qFormat/>
    <w:uiPriority w:val="0"/>
    <w:pPr>
      <w:adjustRightInd/>
      <w:snapToGrid w:val="0"/>
      <w:spacing w:line="300" w:lineRule="auto"/>
    </w:pPr>
    <w:rPr>
      <w:rFonts w:eastAsia="仿宋"/>
      <w:szCs w:val="21"/>
    </w:rPr>
  </w:style>
  <w:style w:type="paragraph" w:customStyle="1" w:styleId="51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9">
    <w:name w:val="Char2 Char Char1"/>
    <w:basedOn w:val="1"/>
    <w:qFormat/>
    <w:uiPriority w:val="6"/>
    <w:pPr>
      <w:adjustRightInd/>
    </w:pPr>
    <w:rPr>
      <w:rFonts w:ascii="Tahoma" w:hAnsi="Tahoma"/>
      <w:sz w:val="24"/>
      <w:szCs w:val="20"/>
    </w:rPr>
  </w:style>
  <w:style w:type="paragraph" w:customStyle="1" w:styleId="520">
    <w:name w:val="列出段落5"/>
    <w:basedOn w:val="1"/>
    <w:qFormat/>
    <w:uiPriority w:val="0"/>
    <w:pPr>
      <w:spacing w:line="360" w:lineRule="auto"/>
      <w:ind w:firstLine="200" w:firstLineChars="200"/>
    </w:pPr>
    <w:rPr>
      <w:rFonts w:eastAsia="楷体_GB2312" w:cs="Lucida Sans"/>
      <w:sz w:val="24"/>
    </w:rPr>
  </w:style>
  <w:style w:type="paragraph" w:customStyle="1" w:styleId="52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2">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2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8">
    <w:name w:val="_Style 3"/>
    <w:basedOn w:val="1"/>
    <w:next w:val="1"/>
    <w:qFormat/>
    <w:uiPriority w:val="0"/>
    <w:pPr>
      <w:adjustRightInd/>
      <w:ind w:firstLine="420" w:firstLineChars="200"/>
    </w:pPr>
    <w:rPr>
      <w:rFonts w:eastAsia="仿宋_GB2312"/>
      <w:sz w:val="28"/>
    </w:rPr>
  </w:style>
  <w:style w:type="paragraph" w:customStyle="1" w:styleId="52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0">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1">
    <w:name w:val="左对齐表格文字"/>
    <w:basedOn w:val="1"/>
    <w:qFormat/>
    <w:uiPriority w:val="0"/>
    <w:pPr>
      <w:adjustRightInd/>
      <w:ind w:firstLine="200" w:firstLineChars="200"/>
      <w:jc w:val="right"/>
    </w:pPr>
  </w:style>
  <w:style w:type="paragraph" w:customStyle="1" w:styleId="532">
    <w:name w:val="Char Char11 Char Char Char Char Char Char Char Char Char"/>
    <w:basedOn w:val="1"/>
    <w:qFormat/>
    <w:uiPriority w:val="0"/>
    <w:pPr>
      <w:spacing w:line="360" w:lineRule="auto"/>
    </w:pPr>
    <w:rPr>
      <w:szCs w:val="20"/>
    </w:rPr>
  </w:style>
  <w:style w:type="paragraph" w:customStyle="1" w:styleId="533">
    <w:name w:val="正文1.25"/>
    <w:basedOn w:val="1"/>
    <w:qFormat/>
    <w:uiPriority w:val="0"/>
    <w:pPr>
      <w:adjustRightInd/>
      <w:spacing w:line="300" w:lineRule="auto"/>
      <w:ind w:firstLine="480" w:firstLineChars="200"/>
    </w:pPr>
    <w:rPr>
      <w:sz w:val="24"/>
      <w:szCs w:val="20"/>
    </w:rPr>
  </w:style>
  <w:style w:type="paragraph" w:customStyle="1" w:styleId="53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Char Char1 Char Char Char1"/>
    <w:basedOn w:val="1"/>
    <w:qFormat/>
    <w:uiPriority w:val="6"/>
    <w:rPr>
      <w:rFonts w:ascii="仿宋_GB2312" w:eastAsia="仿宋_GB2312"/>
      <w:b/>
      <w:sz w:val="32"/>
      <w:szCs w:val="20"/>
    </w:rPr>
  </w:style>
  <w:style w:type="paragraph" w:customStyle="1" w:styleId="538">
    <w:name w:val="列出段落2"/>
    <w:basedOn w:val="1"/>
    <w:qFormat/>
    <w:uiPriority w:val="0"/>
    <w:pPr>
      <w:adjustRightInd/>
      <w:ind w:firstLine="420" w:firstLineChars="200"/>
    </w:pPr>
    <w:rPr>
      <w:rFonts w:ascii="宋体" w:hAnsi="宋体"/>
      <w:sz w:val="24"/>
    </w:rPr>
  </w:style>
  <w:style w:type="paragraph" w:customStyle="1" w:styleId="539">
    <w:name w:val="默认段落字体 Para Char Char Char Char Char Char Char"/>
    <w:basedOn w:val="1"/>
    <w:qFormat/>
    <w:uiPriority w:val="0"/>
    <w:rPr>
      <w:rFonts w:eastAsia="仿宋_GB2312"/>
      <w:sz w:val="28"/>
      <w:szCs w:val="20"/>
    </w:rPr>
  </w:style>
  <w:style w:type="paragraph" w:customStyle="1" w:styleId="54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1">
    <w:name w:val="样式 标题 4PIM 4H4h4bulletblbbH41H42H43H44H45H46H47H48...1"/>
    <w:basedOn w:val="6"/>
    <w:qFormat/>
    <w:uiPriority w:val="0"/>
    <w:pPr>
      <w:widowControl/>
      <w:jc w:val="left"/>
    </w:pPr>
    <w:rPr>
      <w:rFonts w:cs="宋体"/>
      <w:sz w:val="24"/>
      <w:szCs w:val="20"/>
    </w:rPr>
  </w:style>
  <w:style w:type="paragraph" w:customStyle="1" w:styleId="542">
    <w:name w:val="彩色列表 - 强调文字颜色 11"/>
    <w:basedOn w:val="1"/>
    <w:qFormat/>
    <w:uiPriority w:val="0"/>
    <w:pPr>
      <w:adjustRightInd/>
      <w:ind w:firstLine="420" w:firstLineChars="200"/>
    </w:pPr>
    <w:rPr>
      <w:rFonts w:ascii="Calibri" w:hAnsi="Calibri"/>
      <w:szCs w:val="22"/>
    </w:rPr>
  </w:style>
  <w:style w:type="paragraph" w:customStyle="1" w:styleId="54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6">
    <w:name w:val="Char Char Char1 Char1"/>
    <w:basedOn w:val="1"/>
    <w:qFormat/>
    <w:uiPriority w:val="6"/>
    <w:rPr>
      <w:szCs w:val="20"/>
    </w:rPr>
  </w:style>
  <w:style w:type="paragraph" w:customStyle="1" w:styleId="54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5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5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2">
    <w:name w:val="CM14"/>
    <w:basedOn w:val="86"/>
    <w:next w:val="86"/>
    <w:qFormat/>
    <w:uiPriority w:val="0"/>
    <w:pPr>
      <w:spacing w:after="68"/>
    </w:pPr>
    <w:rPr>
      <w:rFonts w:ascii="FHLHE E+ Futura Bk" w:eastAsia="FHLHE E+ Futura Bk" w:cs="Times New Roman"/>
      <w:color w:val="auto"/>
    </w:rPr>
  </w:style>
  <w:style w:type="paragraph" w:customStyle="1" w:styleId="55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6">
    <w:name w:val="正文文字 2"/>
    <w:basedOn w:val="86"/>
    <w:next w:val="86"/>
    <w:qFormat/>
    <w:uiPriority w:val="0"/>
    <w:rPr>
      <w:rFonts w:ascii="宋体" w:eastAsia="宋体" w:cs="Times New Roman"/>
      <w:color w:val="auto"/>
    </w:rPr>
  </w:style>
  <w:style w:type="paragraph" w:customStyle="1" w:styleId="55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8">
    <w:name w:val="Char Char1 Char"/>
    <w:basedOn w:val="1"/>
    <w:qFormat/>
    <w:uiPriority w:val="0"/>
    <w:rPr>
      <w:rFonts w:ascii="仿宋_GB2312" w:eastAsia="仿宋_GB2312"/>
      <w:b/>
      <w:sz w:val="32"/>
      <w:szCs w:val="32"/>
    </w:rPr>
  </w:style>
  <w:style w:type="paragraph" w:customStyle="1" w:styleId="55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1">
    <w:name w:val="Char Char111"/>
    <w:basedOn w:val="1"/>
    <w:qFormat/>
    <w:uiPriority w:val="0"/>
    <w:pPr>
      <w:spacing w:line="360" w:lineRule="auto"/>
    </w:pPr>
    <w:rPr>
      <w:szCs w:val="20"/>
    </w:rPr>
  </w:style>
  <w:style w:type="paragraph" w:customStyle="1" w:styleId="562">
    <w:name w:val="Char"/>
    <w:basedOn w:val="1"/>
    <w:qFormat/>
    <w:uiPriority w:val="0"/>
    <w:rPr>
      <w:rFonts w:ascii="仿宋_GB2312" w:eastAsia="仿宋_GB2312"/>
      <w:b/>
      <w:sz w:val="32"/>
      <w:szCs w:val="32"/>
    </w:rPr>
  </w:style>
  <w:style w:type="paragraph" w:customStyle="1" w:styleId="56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5">
    <w:name w:val="Char Char Char1 Char"/>
    <w:basedOn w:val="1"/>
    <w:qFormat/>
    <w:uiPriority w:val="0"/>
    <w:rPr>
      <w:szCs w:val="20"/>
    </w:rPr>
  </w:style>
  <w:style w:type="paragraph" w:customStyle="1" w:styleId="566">
    <w:name w:val="正文标准"/>
    <w:basedOn w:val="1"/>
    <w:qFormat/>
    <w:uiPriority w:val="0"/>
    <w:pPr>
      <w:adjustRightInd/>
      <w:spacing w:line="360" w:lineRule="auto"/>
      <w:ind w:firstLine="200" w:firstLineChars="200"/>
    </w:pPr>
    <w:rPr>
      <w:rFonts w:ascii="宋体" w:hAnsi="Calibri"/>
      <w:sz w:val="24"/>
    </w:rPr>
  </w:style>
  <w:style w:type="paragraph" w:customStyle="1" w:styleId="56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7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8">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9">
    <w:name w:val="Char Char Char Char Char Char Char Char Char Char"/>
    <w:basedOn w:val="1"/>
    <w:qFormat/>
    <w:uiPriority w:val="0"/>
    <w:rPr>
      <w:rFonts w:ascii="仿宋_GB2312" w:eastAsia="仿宋_GB2312"/>
      <w:b/>
      <w:sz w:val="32"/>
      <w:szCs w:val="32"/>
    </w:rPr>
  </w:style>
  <w:style w:type="paragraph" w:customStyle="1" w:styleId="5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81">
    <w:name w:val="_正文段落"/>
    <w:basedOn w:val="1"/>
    <w:qFormat/>
    <w:uiPriority w:val="0"/>
    <w:pPr>
      <w:adjustRightInd/>
      <w:ind w:firstLine="560"/>
    </w:pPr>
    <w:rPr>
      <w:rFonts w:ascii="仿宋_GB2312" w:hAnsi="仿宋" w:eastAsia="仿宋_GB2312"/>
      <w:kern w:val="0"/>
      <w:sz w:val="28"/>
      <w:szCs w:val="28"/>
    </w:rPr>
  </w:style>
  <w:style w:type="paragraph" w:customStyle="1" w:styleId="58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4">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8">
    <w:name w:val="Char Char Char1 Char2"/>
    <w:basedOn w:val="1"/>
    <w:qFormat/>
    <w:uiPriority w:val="0"/>
    <w:rPr>
      <w:szCs w:val="20"/>
    </w:rPr>
  </w:style>
  <w:style w:type="paragraph" w:customStyle="1" w:styleId="58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90">
    <w:name w:val="默认段落字体 Para Char"/>
    <w:basedOn w:val="1"/>
    <w:qFormat/>
    <w:uiPriority w:val="0"/>
    <w:rPr>
      <w:rFonts w:ascii="Tahoma" w:hAnsi="Tahoma"/>
      <w:sz w:val="24"/>
      <w:szCs w:val="20"/>
    </w:rPr>
  </w:style>
  <w:style w:type="paragraph" w:customStyle="1" w:styleId="591">
    <w:name w:val="标题五"/>
    <w:basedOn w:val="1"/>
    <w:qFormat/>
    <w:uiPriority w:val="0"/>
    <w:pPr>
      <w:adjustRightInd/>
      <w:spacing w:before="156" w:beforeLines="50" w:line="360" w:lineRule="auto"/>
    </w:pPr>
    <w:rPr>
      <w:b/>
      <w:sz w:val="24"/>
    </w:rPr>
  </w:style>
  <w:style w:type="paragraph" w:customStyle="1" w:styleId="592">
    <w:name w:val="Char Char1101"/>
    <w:basedOn w:val="1"/>
    <w:qFormat/>
    <w:uiPriority w:val="0"/>
    <w:pPr>
      <w:spacing w:line="360" w:lineRule="auto"/>
    </w:pPr>
    <w:rPr>
      <w:rFonts w:ascii="Tahoma" w:hAnsi="Tahoma"/>
      <w:sz w:val="24"/>
      <w:szCs w:val="20"/>
    </w:rPr>
  </w:style>
  <w:style w:type="paragraph" w:customStyle="1" w:styleId="593">
    <w:name w:val="Char Char Char Char Char Char Char Char1"/>
    <w:basedOn w:val="1"/>
    <w:qFormat/>
    <w:uiPriority w:val="0"/>
    <w:pPr>
      <w:tabs>
        <w:tab w:val="left" w:pos="360"/>
      </w:tabs>
    </w:pPr>
    <w:rPr>
      <w:sz w:val="24"/>
      <w:szCs w:val="20"/>
    </w:rPr>
  </w:style>
  <w:style w:type="paragraph" w:customStyle="1" w:styleId="594">
    <w:name w:val="Char Char Char 字元 字元"/>
    <w:basedOn w:val="1"/>
    <w:qFormat/>
    <w:uiPriority w:val="0"/>
    <w:pPr>
      <w:adjustRightInd/>
      <w:spacing w:line="360" w:lineRule="auto"/>
      <w:ind w:firstLine="200" w:firstLineChars="200"/>
    </w:pPr>
    <w:rPr>
      <w:szCs w:val="20"/>
    </w:rPr>
  </w:style>
  <w:style w:type="paragraph" w:customStyle="1" w:styleId="59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6">
    <w:name w:val="Char Char Char Char Char Char Char"/>
    <w:basedOn w:val="1"/>
    <w:qFormat/>
    <w:uiPriority w:val="0"/>
    <w:rPr>
      <w:rFonts w:ascii="仿宋_GB2312" w:eastAsia="仿宋_GB2312"/>
      <w:b/>
      <w:sz w:val="32"/>
      <w:szCs w:val="32"/>
    </w:rPr>
  </w:style>
  <w:style w:type="paragraph" w:customStyle="1" w:styleId="59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0">
    <w:name w:val="样式6"/>
    <w:basedOn w:val="2"/>
    <w:qFormat/>
    <w:uiPriority w:val="0"/>
    <w:pPr>
      <w:spacing w:line="460" w:lineRule="exact"/>
      <w:outlineLvl w:val="2"/>
    </w:pPr>
    <w:rPr>
      <w:rFonts w:ascii="仿宋_GB2312" w:hAnsi="宋体" w:eastAsia="仿宋_GB2312"/>
      <w:b/>
      <w:bCs/>
      <w:sz w:val="24"/>
      <w:szCs w:val="24"/>
    </w:rPr>
  </w:style>
  <w:style w:type="paragraph" w:customStyle="1" w:styleId="601">
    <w:name w:val="批注框文本 Char Char"/>
    <w:basedOn w:val="1"/>
    <w:qFormat/>
    <w:uiPriority w:val="0"/>
    <w:pPr>
      <w:adjustRightInd/>
    </w:pPr>
    <w:rPr>
      <w:sz w:val="18"/>
      <w:szCs w:val="20"/>
    </w:rPr>
  </w:style>
  <w:style w:type="paragraph" w:customStyle="1" w:styleId="60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6">
    <w:name w:val="索引 11"/>
    <w:basedOn w:val="1"/>
    <w:next w:val="1"/>
    <w:qFormat/>
    <w:uiPriority w:val="99"/>
    <w:pPr>
      <w:adjustRightInd/>
      <w:spacing w:line="360" w:lineRule="auto"/>
    </w:pPr>
    <w:rPr>
      <w:rFonts w:ascii="仿宋_GB2312" w:eastAsia="仿宋_GB2312"/>
      <w:sz w:val="24"/>
      <w:szCs w:val="20"/>
    </w:rPr>
  </w:style>
  <w:style w:type="paragraph" w:customStyle="1" w:styleId="60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9">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10">
    <w:name w:val="文档正文"/>
    <w:basedOn w:val="1"/>
    <w:qFormat/>
    <w:uiPriority w:val="0"/>
    <w:pPr>
      <w:spacing w:line="480" w:lineRule="atLeast"/>
      <w:ind w:firstLine="567"/>
      <w:textAlignment w:val="baseline"/>
    </w:pPr>
    <w:rPr>
      <w:kern w:val="0"/>
      <w:sz w:val="24"/>
      <w:szCs w:val="20"/>
    </w:rPr>
  </w:style>
  <w:style w:type="paragraph" w:customStyle="1" w:styleId="611">
    <w:name w:val="正文文字表格居中"/>
    <w:basedOn w:val="1"/>
    <w:next w:val="58"/>
    <w:qFormat/>
    <w:uiPriority w:val="0"/>
    <w:pPr>
      <w:snapToGrid w:val="0"/>
      <w:spacing w:line="360" w:lineRule="auto"/>
    </w:pPr>
    <w:rPr>
      <w:rFonts w:ascii="宋体"/>
      <w:b/>
      <w:sz w:val="24"/>
      <w:szCs w:val="20"/>
    </w:rPr>
  </w:style>
  <w:style w:type="paragraph" w:customStyle="1" w:styleId="61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4">
    <w:name w:val="Plain Text1"/>
    <w:basedOn w:val="1"/>
    <w:qFormat/>
    <w:uiPriority w:val="7"/>
    <w:pPr>
      <w:adjustRightInd/>
    </w:pPr>
    <w:rPr>
      <w:rFonts w:ascii="宋体" w:hAnsi="Courier New"/>
    </w:rPr>
  </w:style>
  <w:style w:type="paragraph" w:customStyle="1" w:styleId="615">
    <w:name w:val="Char3"/>
    <w:basedOn w:val="1"/>
    <w:qFormat/>
    <w:uiPriority w:val="0"/>
    <w:pPr>
      <w:adjustRightInd/>
    </w:pPr>
    <w:rPr>
      <w:rFonts w:ascii="仿宋_GB2312" w:eastAsia="仿宋_GB2312"/>
      <w:b/>
      <w:sz w:val="32"/>
      <w:szCs w:val="32"/>
    </w:rPr>
  </w:style>
  <w:style w:type="paragraph" w:customStyle="1" w:styleId="61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8">
    <w:name w:val="标题2"/>
    <w:basedOn w:val="4"/>
    <w:next w:val="1"/>
    <w:qFormat/>
    <w:uiPriority w:val="0"/>
    <w:pPr>
      <w:tabs>
        <w:tab w:val="left" w:pos="578"/>
        <w:tab w:val="left" w:pos="900"/>
        <w:tab w:val="left" w:pos="1440"/>
      </w:tabs>
      <w:ind w:left="1440" w:hanging="360"/>
    </w:pPr>
    <w:rPr>
      <w:rFonts w:ascii="仿宋" w:eastAsia="仿宋" w:cs="宋体"/>
      <w:szCs w:val="28"/>
    </w:rPr>
  </w:style>
  <w:style w:type="paragraph" w:customStyle="1" w:styleId="619">
    <w:name w:val="List Paragraph1"/>
    <w:basedOn w:val="1"/>
    <w:qFormat/>
    <w:uiPriority w:val="0"/>
    <w:pPr>
      <w:spacing w:line="360" w:lineRule="auto"/>
      <w:ind w:firstLine="200" w:firstLineChars="200"/>
    </w:pPr>
    <w:rPr>
      <w:rFonts w:eastAsia="楷体_GB2312" w:cs="Lucida Sans"/>
      <w:sz w:val="24"/>
    </w:rPr>
  </w:style>
  <w:style w:type="paragraph" w:customStyle="1" w:styleId="62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2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3">
    <w:name w:val="Char3 Char Char Char"/>
    <w:basedOn w:val="1"/>
    <w:qFormat/>
    <w:uiPriority w:val="0"/>
    <w:pPr>
      <w:widowControl/>
      <w:adjustRightInd/>
      <w:spacing w:after="160" w:line="240" w:lineRule="exact"/>
      <w:jc w:val="left"/>
    </w:pPr>
    <w:rPr>
      <w:szCs w:val="20"/>
    </w:rPr>
  </w:style>
  <w:style w:type="paragraph" w:customStyle="1" w:styleId="624">
    <w:name w:val="表格标题2"/>
    <w:basedOn w:val="625"/>
    <w:qFormat/>
    <w:uiPriority w:val="0"/>
    <w:rPr>
      <w:b/>
    </w:rPr>
  </w:style>
  <w:style w:type="paragraph" w:customStyle="1" w:styleId="625">
    <w:name w:val="表格内文"/>
    <w:basedOn w:val="1"/>
    <w:qFormat/>
    <w:uiPriority w:val="0"/>
    <w:pPr>
      <w:adjustRightInd/>
      <w:spacing w:line="360" w:lineRule="auto"/>
    </w:pPr>
    <w:rPr>
      <w:rFonts w:ascii="宋体" w:hAnsi="宋体" w:cs="宋体"/>
      <w:color w:val="000000"/>
      <w:szCs w:val="20"/>
    </w:rPr>
  </w:style>
  <w:style w:type="paragraph" w:customStyle="1" w:styleId="626">
    <w:name w:val="Char Char Char Char Char Char Char Char Char Char2"/>
    <w:basedOn w:val="1"/>
    <w:qFormat/>
    <w:uiPriority w:val="0"/>
    <w:rPr>
      <w:rFonts w:ascii="仿宋_GB2312" w:eastAsia="仿宋_GB2312"/>
      <w:b/>
      <w:sz w:val="32"/>
      <w:szCs w:val="32"/>
    </w:rPr>
  </w:style>
  <w:style w:type="paragraph" w:customStyle="1" w:styleId="62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9">
    <w:name w:val="Char Char11 Char Char Char Char Char Char Char Char Char11"/>
    <w:basedOn w:val="1"/>
    <w:qFormat/>
    <w:uiPriority w:val="0"/>
    <w:pPr>
      <w:spacing w:line="360" w:lineRule="auto"/>
    </w:pPr>
    <w:rPr>
      <w:szCs w:val="20"/>
    </w:rPr>
  </w:style>
  <w:style w:type="paragraph" w:customStyle="1" w:styleId="63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3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32">
    <w:name w:val="MM Topic 1"/>
    <w:basedOn w:val="3"/>
    <w:qFormat/>
    <w:uiPriority w:val="0"/>
    <w:pPr>
      <w:tabs>
        <w:tab w:val="left" w:pos="840"/>
      </w:tabs>
      <w:adjustRightInd/>
      <w:ind w:left="840" w:hanging="420"/>
    </w:pPr>
  </w:style>
  <w:style w:type="paragraph" w:customStyle="1" w:styleId="63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4">
    <w:name w:val="文本正文 Char"/>
    <w:basedOn w:val="1"/>
    <w:qFormat/>
    <w:uiPriority w:val="0"/>
    <w:pPr>
      <w:spacing w:line="360" w:lineRule="auto"/>
      <w:ind w:firstLine="200" w:firstLineChars="200"/>
    </w:pPr>
    <w:rPr>
      <w:kern w:val="0"/>
      <w:sz w:val="24"/>
      <w:szCs w:val="20"/>
    </w:rPr>
  </w:style>
  <w:style w:type="paragraph" w:customStyle="1" w:styleId="635">
    <w:name w:val="表格"/>
    <w:basedOn w:val="1"/>
    <w:qFormat/>
    <w:uiPriority w:val="0"/>
    <w:pPr>
      <w:snapToGrid w:val="0"/>
      <w:ind w:firstLine="42" w:firstLineChars="21"/>
    </w:pPr>
    <w:rPr>
      <w:rFonts w:ascii="宋体" w:hAnsi="宋体"/>
      <w:kern w:val="0"/>
      <w:sz w:val="20"/>
      <w:szCs w:val="20"/>
    </w:rPr>
  </w:style>
  <w:style w:type="paragraph" w:customStyle="1" w:styleId="63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9">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0">
    <w:name w:val="EB_表格"/>
    <w:basedOn w:val="1"/>
    <w:qFormat/>
    <w:uiPriority w:val="0"/>
    <w:pPr>
      <w:adjustRightInd/>
      <w:spacing w:line="300" w:lineRule="auto"/>
      <w:jc w:val="center"/>
    </w:pPr>
  </w:style>
  <w:style w:type="paragraph" w:customStyle="1" w:styleId="641">
    <w:name w:val="_Style 6"/>
    <w:basedOn w:val="1"/>
    <w:qFormat/>
    <w:uiPriority w:val="34"/>
    <w:pPr>
      <w:adjustRightInd/>
      <w:ind w:firstLine="420" w:firstLineChars="200"/>
    </w:pPr>
    <w:rPr>
      <w:rFonts w:eastAsia="仿宋_GB2312"/>
      <w:sz w:val="28"/>
    </w:rPr>
  </w:style>
  <w:style w:type="paragraph" w:customStyle="1" w:styleId="64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6">
    <w:name w:val="正文表标题"/>
    <w:next w:val="64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9">
    <w:name w:val="trademark"/>
    <w:qFormat/>
    <w:uiPriority w:val="0"/>
    <w:pPr>
      <w:spacing w:after="60"/>
    </w:pPr>
    <w:rPr>
      <w:rFonts w:ascii="Futura Bk" w:hAnsi="Futura Bk" w:eastAsia="宋体" w:cs="Times New Roman"/>
      <w:sz w:val="15"/>
      <w:lang w:val="en-US" w:eastAsia="en-US" w:bidi="ar-SA"/>
    </w:rPr>
  </w:style>
  <w:style w:type="paragraph" w:customStyle="1" w:styleId="65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1">
    <w:name w:val="Char Char1 Char Char Char Char Char Char1"/>
    <w:basedOn w:val="1"/>
    <w:qFormat/>
    <w:uiPriority w:val="0"/>
    <w:rPr>
      <w:rFonts w:ascii="仿宋_GB2312" w:eastAsia="仿宋_GB2312"/>
      <w:b/>
      <w:sz w:val="32"/>
      <w:szCs w:val="20"/>
    </w:rPr>
  </w:style>
  <w:style w:type="paragraph" w:customStyle="1" w:styleId="65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3">
    <w:name w:val="Char1 Char Char Char1"/>
    <w:basedOn w:val="1"/>
    <w:qFormat/>
    <w:uiPriority w:val="0"/>
    <w:pPr>
      <w:adjustRightInd/>
      <w:ind w:firstLine="200" w:firstLineChars="200"/>
    </w:pPr>
    <w:rPr>
      <w:rFonts w:ascii="Tahoma" w:hAnsi="Tahoma"/>
      <w:sz w:val="24"/>
      <w:szCs w:val="20"/>
    </w:rPr>
  </w:style>
  <w:style w:type="paragraph" w:customStyle="1" w:styleId="654">
    <w:name w:val="a1"/>
    <w:basedOn w:val="1"/>
    <w:qFormat/>
    <w:uiPriority w:val="0"/>
    <w:pPr>
      <w:widowControl/>
      <w:spacing w:line="300" w:lineRule="atLeast"/>
      <w:jc w:val="left"/>
    </w:pPr>
    <w:rPr>
      <w:rFonts w:ascii="宋体" w:hAnsi="宋体"/>
      <w:kern w:val="0"/>
      <w:sz w:val="18"/>
      <w:szCs w:val="20"/>
    </w:rPr>
  </w:style>
  <w:style w:type="paragraph" w:customStyle="1" w:styleId="655">
    <w:name w:val="样式7"/>
    <w:basedOn w:val="656"/>
    <w:next w:val="1"/>
    <w:qFormat/>
    <w:uiPriority w:val="0"/>
    <w:pPr>
      <w:spacing w:after="156" w:afterLines="50"/>
      <w:jc w:val="left"/>
      <w:outlineLvl w:val="3"/>
    </w:pPr>
    <w:rPr>
      <w:sz w:val="24"/>
      <w:szCs w:val="24"/>
    </w:rPr>
  </w:style>
  <w:style w:type="paragraph" w:customStyle="1" w:styleId="65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9">
    <w:name w:val="样式 样式2 + 左侧:  1 字符 右侧:  1 字符"/>
    <w:basedOn w:val="46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0">
    <w:name w:val="Char2 Char Char2"/>
    <w:basedOn w:val="1"/>
    <w:qFormat/>
    <w:uiPriority w:val="0"/>
    <w:pPr>
      <w:adjustRightInd/>
    </w:pPr>
    <w:rPr>
      <w:rFonts w:ascii="Tahoma" w:hAnsi="Tahoma"/>
      <w:sz w:val="24"/>
      <w:szCs w:val="20"/>
    </w:rPr>
  </w:style>
  <w:style w:type="paragraph" w:customStyle="1" w:styleId="66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2">
    <w:name w:val="三级条标题"/>
    <w:basedOn w:val="663"/>
    <w:next w:val="647"/>
    <w:qFormat/>
    <w:uiPriority w:val="0"/>
    <w:pPr>
      <w:tabs>
        <w:tab w:val="left" w:pos="1260"/>
        <w:tab w:val="left" w:pos="1680"/>
        <w:tab w:val="left" w:pos="2100"/>
        <w:tab w:val="left" w:pos="2520"/>
      </w:tabs>
      <w:ind w:left="2520"/>
      <w:outlineLvl w:val="4"/>
    </w:pPr>
  </w:style>
  <w:style w:type="paragraph" w:customStyle="1" w:styleId="663">
    <w:name w:val="二级条标题"/>
    <w:basedOn w:val="664"/>
    <w:next w:val="647"/>
    <w:qFormat/>
    <w:uiPriority w:val="0"/>
    <w:pPr>
      <w:tabs>
        <w:tab w:val="left" w:pos="1260"/>
        <w:tab w:val="left" w:pos="1680"/>
        <w:tab w:val="left" w:pos="2100"/>
      </w:tabs>
      <w:ind w:left="0"/>
      <w:outlineLvl w:val="3"/>
    </w:pPr>
  </w:style>
  <w:style w:type="paragraph" w:customStyle="1" w:styleId="664">
    <w:name w:val="一级条标题"/>
    <w:basedOn w:val="665"/>
    <w:next w:val="647"/>
    <w:qFormat/>
    <w:uiPriority w:val="0"/>
    <w:pPr>
      <w:tabs>
        <w:tab w:val="left" w:pos="1260"/>
        <w:tab w:val="left" w:pos="1680"/>
      </w:tabs>
      <w:spacing w:before="0" w:beforeLines="0" w:after="0" w:afterLines="0"/>
      <w:ind w:left="1680"/>
      <w:outlineLvl w:val="2"/>
    </w:pPr>
  </w:style>
  <w:style w:type="paragraph" w:customStyle="1" w:styleId="665">
    <w:name w:val="章标题"/>
    <w:next w:val="64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2">
    <w:name w:val="正文 项目2"/>
    <w:basedOn w:val="673"/>
    <w:qFormat/>
    <w:uiPriority w:val="0"/>
    <w:pPr>
      <w:tabs>
        <w:tab w:val="left" w:pos="840"/>
      </w:tabs>
      <w:spacing w:after="0"/>
      <w:ind w:left="900"/>
    </w:pPr>
  </w:style>
  <w:style w:type="paragraph" w:customStyle="1" w:styleId="67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4">
    <w:name w:val="Body Text 2*"/>
    <w:basedOn w:val="1"/>
    <w:qFormat/>
    <w:uiPriority w:val="6"/>
    <w:pPr>
      <w:widowControl/>
      <w:adjustRightInd/>
      <w:ind w:left="720" w:hanging="720"/>
    </w:pPr>
    <w:rPr>
      <w:color w:val="000000"/>
      <w:kern w:val="0"/>
      <w:sz w:val="24"/>
      <w:szCs w:val="20"/>
      <w:lang w:val="en-GB"/>
    </w:rPr>
  </w:style>
  <w:style w:type="paragraph" w:customStyle="1" w:styleId="675">
    <w:name w:val="表1"/>
    <w:basedOn w:val="1"/>
    <w:qFormat/>
    <w:uiPriority w:val="0"/>
    <w:pPr>
      <w:tabs>
        <w:tab w:val="left" w:pos="703"/>
      </w:tabs>
      <w:adjustRightInd/>
      <w:spacing w:line="360" w:lineRule="auto"/>
      <w:ind w:left="703"/>
      <w:jc w:val="center"/>
    </w:pPr>
  </w:style>
  <w:style w:type="paragraph" w:customStyle="1" w:styleId="67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9">
    <w:name w:val="2级标题"/>
    <w:basedOn w:val="680"/>
    <w:qFormat/>
    <w:uiPriority w:val="0"/>
    <w:pPr>
      <w:jc w:val="left"/>
      <w:outlineLvl w:val="1"/>
    </w:pPr>
    <w:rPr>
      <w:rFonts w:ascii="Times New Roman" w:hAnsi="Times New Roman" w:eastAsia="仿宋"/>
      <w:sz w:val="30"/>
    </w:rPr>
  </w:style>
  <w:style w:type="paragraph" w:customStyle="1" w:styleId="68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8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8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5">
    <w:name w:val="bullet"/>
    <w:basedOn w:val="1"/>
    <w:qFormat/>
    <w:uiPriority w:val="0"/>
    <w:pPr>
      <w:tabs>
        <w:tab w:val="left" w:pos="840"/>
      </w:tabs>
      <w:adjustRightInd/>
      <w:ind w:left="840" w:hanging="420"/>
    </w:pPr>
  </w:style>
  <w:style w:type="paragraph" w:customStyle="1" w:styleId="68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MM Topic 4"/>
    <w:basedOn w:val="6"/>
    <w:qFormat/>
    <w:uiPriority w:val="0"/>
    <w:pPr>
      <w:tabs>
        <w:tab w:val="left" w:pos="2100"/>
      </w:tabs>
      <w:adjustRightInd/>
      <w:ind w:left="2100" w:hanging="420"/>
    </w:pPr>
    <w:rPr>
      <w:lang w:val="en-US"/>
    </w:rPr>
  </w:style>
  <w:style w:type="paragraph" w:customStyle="1" w:styleId="69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6">
    <w:name w:val="Char Char11 Char Char Char Char Char Char Char Char Char1"/>
    <w:basedOn w:val="1"/>
    <w:qFormat/>
    <w:uiPriority w:val="6"/>
    <w:pPr>
      <w:spacing w:line="360" w:lineRule="auto"/>
    </w:pPr>
    <w:rPr>
      <w:szCs w:val="20"/>
    </w:rPr>
  </w:style>
  <w:style w:type="paragraph" w:customStyle="1" w:styleId="69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0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6">
    <w:name w:val="单元格居中"/>
    <w:basedOn w:val="1"/>
    <w:qFormat/>
    <w:uiPriority w:val="0"/>
    <w:pPr>
      <w:adjustRightInd/>
      <w:spacing w:line="360" w:lineRule="auto"/>
      <w:jc w:val="center"/>
    </w:pPr>
    <w:rPr>
      <w:sz w:val="24"/>
    </w:rPr>
  </w:style>
  <w:style w:type="paragraph" w:customStyle="1" w:styleId="70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8">
    <w:name w:val="Char Char Char Char Char Char Char1"/>
    <w:basedOn w:val="1"/>
    <w:qFormat/>
    <w:uiPriority w:val="6"/>
    <w:rPr>
      <w:rFonts w:ascii="仿宋_GB2312" w:eastAsia="仿宋_GB2312"/>
      <w:b/>
      <w:sz w:val="32"/>
      <w:szCs w:val="32"/>
    </w:rPr>
  </w:style>
  <w:style w:type="paragraph" w:customStyle="1" w:styleId="709">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1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11">
    <w:name w:val="Char3 Char Char Char11"/>
    <w:basedOn w:val="1"/>
    <w:qFormat/>
    <w:uiPriority w:val="0"/>
    <w:pPr>
      <w:widowControl/>
      <w:adjustRightInd/>
      <w:spacing w:after="160" w:line="240" w:lineRule="exact"/>
      <w:jc w:val="left"/>
    </w:pPr>
    <w:rPr>
      <w:szCs w:val="20"/>
    </w:rPr>
  </w:style>
  <w:style w:type="paragraph" w:customStyle="1" w:styleId="712">
    <w:name w:val="Char Char1121"/>
    <w:basedOn w:val="1"/>
    <w:qFormat/>
    <w:uiPriority w:val="0"/>
    <w:pPr>
      <w:spacing w:line="360" w:lineRule="auto"/>
    </w:pPr>
    <w:rPr>
      <w:szCs w:val="20"/>
    </w:rPr>
  </w:style>
  <w:style w:type="paragraph" w:customStyle="1" w:styleId="71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5">
    <w:name w:val="Normal0"/>
    <w:qFormat/>
    <w:uiPriority w:val="0"/>
    <w:rPr>
      <w:rFonts w:ascii="Times New Roman" w:hAnsi="Times New Roman" w:eastAsia="宋体" w:cs="Times New Roman"/>
      <w:lang w:val="en-US" w:eastAsia="en-US" w:bidi="ar-SA"/>
    </w:rPr>
  </w:style>
  <w:style w:type="paragraph" w:customStyle="1" w:styleId="716">
    <w:name w:val="带编号样式"/>
    <w:basedOn w:val="634"/>
    <w:qFormat/>
    <w:uiPriority w:val="0"/>
    <w:pPr>
      <w:tabs>
        <w:tab w:val="left" w:pos="840"/>
      </w:tabs>
      <w:snapToGrid w:val="0"/>
      <w:ind w:left="840" w:hanging="420" w:firstLineChars="0"/>
    </w:pPr>
    <w:rPr>
      <w:rFonts w:ascii="仿宋_GB2312" w:eastAsia="仿宋_GB2312"/>
      <w:color w:val="000000"/>
    </w:rPr>
  </w:style>
  <w:style w:type="paragraph" w:customStyle="1" w:styleId="71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9">
    <w:name w:val="封面"/>
    <w:basedOn w:val="1"/>
    <w:qFormat/>
    <w:uiPriority w:val="0"/>
    <w:pPr>
      <w:spacing w:line="360" w:lineRule="atLeast"/>
      <w:jc w:val="right"/>
      <w:textAlignment w:val="baseline"/>
    </w:pPr>
    <w:rPr>
      <w:rFonts w:ascii="Symbol" w:hAnsi="Symbol"/>
      <w:kern w:val="0"/>
      <w:szCs w:val="20"/>
    </w:rPr>
  </w:style>
  <w:style w:type="paragraph" w:customStyle="1" w:styleId="72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22">
    <w:name w:val="默认段落字体 Para Char Char Char1 Char"/>
    <w:basedOn w:val="1"/>
    <w:qFormat/>
    <w:uiPriority w:val="0"/>
    <w:pPr>
      <w:spacing w:line="240" w:lineRule="atLeast"/>
      <w:ind w:left="420" w:firstLine="420"/>
    </w:pPr>
    <w:rPr>
      <w:sz w:val="24"/>
    </w:rPr>
  </w:style>
  <w:style w:type="paragraph" w:customStyle="1" w:styleId="723">
    <w:name w:val="WW-正文文字缩进 2"/>
    <w:basedOn w:val="1"/>
    <w:qFormat/>
    <w:uiPriority w:val="0"/>
    <w:pPr>
      <w:suppressAutoHyphens/>
      <w:adjustRightInd/>
      <w:ind w:firstLine="420"/>
    </w:pPr>
    <w:rPr>
      <w:kern w:val="1"/>
      <w:szCs w:val="20"/>
    </w:rPr>
  </w:style>
  <w:style w:type="paragraph" w:customStyle="1" w:styleId="72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6">
    <w:name w:val="有符号正文"/>
    <w:basedOn w:val="1"/>
    <w:qFormat/>
    <w:uiPriority w:val="0"/>
    <w:pPr>
      <w:adjustRightInd/>
      <w:spacing w:line="400" w:lineRule="exact"/>
      <w:ind w:firstLine="200" w:firstLineChars="200"/>
    </w:pPr>
    <w:rPr>
      <w:rFonts w:ascii="Arial" w:hAnsi="Arial"/>
    </w:rPr>
  </w:style>
  <w:style w:type="paragraph" w:customStyle="1" w:styleId="72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9">
    <w:name w:val="4"/>
    <w:basedOn w:val="1"/>
    <w:next w:val="38"/>
    <w:qFormat/>
    <w:uiPriority w:val="0"/>
    <w:pPr>
      <w:spacing w:after="120" w:line="480" w:lineRule="auto"/>
      <w:ind w:left="420" w:leftChars="200"/>
    </w:pPr>
    <w:rPr>
      <w:sz w:val="24"/>
      <w:szCs w:val="20"/>
    </w:rPr>
  </w:style>
  <w:style w:type="paragraph" w:customStyle="1" w:styleId="73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2">
    <w:name w:val="样式 标题 3H3 + 两端对齐"/>
    <w:basedOn w:val="5"/>
    <w:qFormat/>
    <w:uiPriority w:val="0"/>
    <w:pPr>
      <w:keepLines w:val="0"/>
      <w:spacing w:before="0" w:after="0" w:line="240" w:lineRule="auto"/>
      <w:jc w:val="left"/>
    </w:pPr>
    <w:rPr>
      <w:rFonts w:cs="宋体"/>
      <w:sz w:val="21"/>
      <w:szCs w:val="20"/>
    </w:rPr>
  </w:style>
  <w:style w:type="paragraph" w:customStyle="1" w:styleId="73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8">
    <w:name w:val="Char Char1 Char Char Char"/>
    <w:basedOn w:val="1"/>
    <w:qFormat/>
    <w:uiPriority w:val="0"/>
    <w:rPr>
      <w:rFonts w:ascii="仿宋_GB2312" w:eastAsia="仿宋_GB2312"/>
      <w:b/>
      <w:sz w:val="32"/>
      <w:szCs w:val="20"/>
    </w:rPr>
  </w:style>
  <w:style w:type="paragraph" w:customStyle="1" w:styleId="73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4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4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42">
    <w:name w:val="Char Char1 Char Char Char2"/>
    <w:basedOn w:val="1"/>
    <w:qFormat/>
    <w:uiPriority w:val="0"/>
    <w:rPr>
      <w:rFonts w:ascii="仿宋_GB2312" w:eastAsia="仿宋_GB2312"/>
      <w:b/>
      <w:sz w:val="32"/>
      <w:szCs w:val="32"/>
    </w:rPr>
  </w:style>
  <w:style w:type="paragraph" w:customStyle="1" w:styleId="743">
    <w:name w:val="Char3 Char Char Char1"/>
    <w:basedOn w:val="1"/>
    <w:qFormat/>
    <w:uiPriority w:val="6"/>
    <w:pPr>
      <w:widowControl/>
      <w:adjustRightInd/>
      <w:spacing w:after="160" w:line="240" w:lineRule="exact"/>
      <w:jc w:val="left"/>
    </w:pPr>
    <w:rPr>
      <w:szCs w:val="20"/>
    </w:rPr>
  </w:style>
  <w:style w:type="paragraph" w:customStyle="1" w:styleId="744">
    <w:name w:val="Char1 Char Char Char21"/>
    <w:basedOn w:val="1"/>
    <w:qFormat/>
    <w:uiPriority w:val="0"/>
    <w:rPr>
      <w:rFonts w:ascii="Tahoma" w:hAnsi="Tahoma"/>
      <w:sz w:val="24"/>
      <w:szCs w:val="20"/>
    </w:rPr>
  </w:style>
  <w:style w:type="paragraph" w:customStyle="1" w:styleId="74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6">
    <w:name w:val="正文（标题三）"/>
    <w:basedOn w:val="1"/>
    <w:qFormat/>
    <w:uiPriority w:val="0"/>
    <w:pPr>
      <w:spacing w:line="360" w:lineRule="auto"/>
      <w:ind w:firstLine="200" w:firstLineChars="200"/>
    </w:pPr>
    <w:rPr>
      <w:sz w:val="24"/>
    </w:rPr>
  </w:style>
  <w:style w:type="paragraph" w:customStyle="1" w:styleId="74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52">
    <w:name w:val="Char1 Char Char Char4"/>
    <w:basedOn w:val="1"/>
    <w:qFormat/>
    <w:uiPriority w:val="0"/>
    <w:pPr>
      <w:adjustRightInd/>
      <w:ind w:firstLine="200" w:firstLineChars="200"/>
    </w:pPr>
    <w:rPr>
      <w:rFonts w:ascii="Tahoma" w:hAnsi="Tahoma"/>
      <w:sz w:val="24"/>
      <w:szCs w:val="20"/>
    </w:rPr>
  </w:style>
  <w:style w:type="paragraph" w:customStyle="1" w:styleId="753">
    <w:name w:val="_标题2"/>
    <w:basedOn w:val="720"/>
    <w:next w:val="72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4">
    <w:name w:val="样式1 + (中宋体"/>
    <w:basedOn w:val="73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8">
    <w:name w:val="四号　首行缩进"/>
    <w:basedOn w:val="1"/>
    <w:qFormat/>
    <w:uiPriority w:val="0"/>
    <w:pPr>
      <w:adjustRightInd/>
      <w:spacing w:line="360" w:lineRule="auto"/>
    </w:pPr>
    <w:rPr>
      <w:rFonts w:ascii="宋体" w:hAnsi="宋体"/>
      <w:szCs w:val="20"/>
    </w:rPr>
  </w:style>
  <w:style w:type="paragraph" w:customStyle="1" w:styleId="75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60">
    <w:name w:val="Char Char Char Char Char Char Char Char Char Char Char1 Char"/>
    <w:basedOn w:val="1"/>
    <w:qFormat/>
    <w:uiPriority w:val="0"/>
    <w:pPr>
      <w:adjustRightInd/>
    </w:pPr>
    <w:rPr>
      <w:rFonts w:ascii="Tahoma" w:hAnsi="Tahoma"/>
      <w:sz w:val="24"/>
    </w:rPr>
  </w:style>
  <w:style w:type="paragraph" w:customStyle="1" w:styleId="761">
    <w:name w:val="Char Char Char Char11"/>
    <w:basedOn w:val="1"/>
    <w:qFormat/>
    <w:uiPriority w:val="0"/>
    <w:rPr>
      <w:rFonts w:ascii="Tahoma" w:hAnsi="Tahoma"/>
      <w:sz w:val="24"/>
      <w:szCs w:val="20"/>
    </w:rPr>
  </w:style>
  <w:style w:type="paragraph" w:customStyle="1" w:styleId="76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3">
    <w:name w:val="Char Char Char Char"/>
    <w:basedOn w:val="1"/>
    <w:qFormat/>
    <w:uiPriority w:val="0"/>
    <w:rPr>
      <w:rFonts w:ascii="Tahoma" w:hAnsi="Tahoma"/>
      <w:sz w:val="24"/>
      <w:szCs w:val="20"/>
    </w:rPr>
  </w:style>
  <w:style w:type="paragraph" w:customStyle="1" w:styleId="76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5">
    <w:name w:val="Char19"/>
    <w:basedOn w:val="1"/>
    <w:qFormat/>
    <w:uiPriority w:val="0"/>
    <w:pPr>
      <w:adjustRightInd/>
    </w:pPr>
    <w:rPr>
      <w:szCs w:val="20"/>
    </w:rPr>
  </w:style>
  <w:style w:type="paragraph" w:customStyle="1" w:styleId="76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8">
    <w:name w:val="_Style 5"/>
    <w:basedOn w:val="1"/>
    <w:qFormat/>
    <w:uiPriority w:val="34"/>
    <w:pPr>
      <w:adjustRightInd/>
      <w:ind w:firstLine="420" w:firstLineChars="200"/>
    </w:pPr>
    <w:rPr>
      <w:rFonts w:eastAsia="仿宋_GB2312"/>
      <w:sz w:val="28"/>
    </w:rPr>
  </w:style>
  <w:style w:type="paragraph" w:customStyle="1" w:styleId="76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7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2">
    <w:name w:val="标书表格字体格式"/>
    <w:next w:val="766"/>
    <w:qFormat/>
    <w:uiPriority w:val="0"/>
    <w:rPr>
      <w:rFonts w:ascii="Times New Roman" w:hAnsi="Times New Roman" w:eastAsia="宋体" w:cs="Times New Roman"/>
      <w:kern w:val="2"/>
      <w:sz w:val="21"/>
      <w:szCs w:val="24"/>
      <w:lang w:val="en-US" w:eastAsia="zh-CN" w:bidi="ar-SA"/>
    </w:rPr>
  </w:style>
  <w:style w:type="paragraph" w:customStyle="1" w:styleId="77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5">
    <w:name w:val="修订3"/>
    <w:qFormat/>
    <w:uiPriority w:val="0"/>
    <w:rPr>
      <w:rFonts w:ascii="Times New Roman" w:hAnsi="Times New Roman" w:eastAsia="宋体" w:cs="Times New Roman"/>
      <w:kern w:val="2"/>
      <w:sz w:val="21"/>
      <w:lang w:val="en-US" w:eastAsia="zh-CN" w:bidi="ar-SA"/>
    </w:rPr>
  </w:style>
  <w:style w:type="paragraph" w:customStyle="1" w:styleId="776">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8">
    <w:name w:val="表文字"/>
    <w:qFormat/>
    <w:uiPriority w:val="0"/>
    <w:rPr>
      <w:rFonts w:ascii="宋体" w:hAnsi="Times New Roman" w:eastAsia="宋体" w:cs="Times New Roman"/>
      <w:kern w:val="2"/>
      <w:lang w:val="en-US" w:eastAsia="zh-CN" w:bidi="ar-SA"/>
    </w:rPr>
  </w:style>
  <w:style w:type="paragraph" w:customStyle="1" w:styleId="779">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82">
    <w:name w:val="Char Char Char Char Char Char Char Char2"/>
    <w:basedOn w:val="1"/>
    <w:qFormat/>
    <w:uiPriority w:val="0"/>
    <w:pPr>
      <w:tabs>
        <w:tab w:val="left" w:pos="360"/>
      </w:tabs>
    </w:pPr>
    <w:rPr>
      <w:sz w:val="24"/>
      <w:szCs w:val="20"/>
    </w:rPr>
  </w:style>
  <w:style w:type="paragraph" w:customStyle="1" w:styleId="78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5">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8">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9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91">
    <w:name w:val="p0"/>
    <w:basedOn w:val="1"/>
    <w:qFormat/>
    <w:uiPriority w:val="0"/>
    <w:pPr>
      <w:widowControl/>
      <w:adjustRightInd/>
    </w:pPr>
    <w:rPr>
      <w:kern w:val="0"/>
      <w:szCs w:val="21"/>
    </w:rPr>
  </w:style>
  <w:style w:type="paragraph" w:customStyle="1" w:styleId="792">
    <w:name w:val="Char6"/>
    <w:basedOn w:val="1"/>
    <w:qFormat/>
    <w:uiPriority w:val="0"/>
    <w:rPr>
      <w:rFonts w:ascii="仿宋_GB2312" w:eastAsia="仿宋_GB2312"/>
      <w:b/>
      <w:sz w:val="32"/>
      <w:szCs w:val="32"/>
    </w:rPr>
  </w:style>
  <w:style w:type="paragraph" w:customStyle="1" w:styleId="793">
    <w:name w:val="Char111"/>
    <w:basedOn w:val="1"/>
    <w:qFormat/>
    <w:uiPriority w:val="0"/>
    <w:rPr>
      <w:rFonts w:ascii="仿宋_GB2312" w:eastAsia="仿宋_GB2312"/>
      <w:b/>
      <w:sz w:val="32"/>
      <w:szCs w:val="32"/>
    </w:rPr>
  </w:style>
  <w:style w:type="paragraph" w:customStyle="1" w:styleId="794">
    <w:name w:val="标题3"/>
    <w:basedOn w:val="5"/>
    <w:next w:val="55"/>
    <w:qFormat/>
    <w:uiPriority w:val="0"/>
    <w:pPr>
      <w:tabs>
        <w:tab w:val="clear" w:pos="900"/>
      </w:tabs>
      <w:spacing w:after="0" w:line="360" w:lineRule="auto"/>
    </w:pPr>
    <w:rPr>
      <w:rFonts w:ascii="仿宋" w:hAnsi="仿宋" w:eastAsia="仿宋" w:cs="仿宋"/>
    </w:rPr>
  </w:style>
  <w:style w:type="paragraph" w:customStyle="1" w:styleId="79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7">
    <w:name w:val="Char1 Char Char Char2"/>
    <w:basedOn w:val="1"/>
    <w:qFormat/>
    <w:uiPriority w:val="0"/>
    <w:pPr>
      <w:adjustRightInd/>
      <w:ind w:firstLine="200" w:firstLineChars="200"/>
    </w:pPr>
    <w:rPr>
      <w:rFonts w:ascii="Tahoma" w:hAnsi="Tahoma"/>
      <w:sz w:val="24"/>
      <w:szCs w:val="20"/>
    </w:rPr>
  </w:style>
  <w:style w:type="paragraph" w:customStyle="1" w:styleId="79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800">
    <w:name w:val="Char Char Char Char Char Char Char2"/>
    <w:basedOn w:val="1"/>
    <w:qFormat/>
    <w:uiPriority w:val="0"/>
    <w:rPr>
      <w:rFonts w:ascii="仿宋_GB2312" w:eastAsia="仿宋_GB2312"/>
      <w:b/>
      <w:sz w:val="32"/>
      <w:szCs w:val="32"/>
    </w:rPr>
  </w:style>
  <w:style w:type="paragraph" w:customStyle="1" w:styleId="801">
    <w:name w:val="五级条标题"/>
    <w:basedOn w:val="802"/>
    <w:next w:val="647"/>
    <w:qFormat/>
    <w:uiPriority w:val="0"/>
    <w:pPr>
      <w:tabs>
        <w:tab w:val="left" w:pos="1260"/>
        <w:tab w:val="left" w:pos="1680"/>
        <w:tab w:val="left" w:pos="2100"/>
        <w:tab w:val="left" w:pos="2940"/>
        <w:tab w:val="left" w:pos="3360"/>
      </w:tabs>
      <w:ind w:left="3360"/>
      <w:outlineLvl w:val="6"/>
    </w:pPr>
  </w:style>
  <w:style w:type="paragraph" w:customStyle="1" w:styleId="802">
    <w:name w:val="四级条标题"/>
    <w:basedOn w:val="662"/>
    <w:next w:val="647"/>
    <w:qFormat/>
    <w:uiPriority w:val="0"/>
    <w:pPr>
      <w:tabs>
        <w:tab w:val="left" w:pos="2940"/>
        <w:tab w:val="clear" w:pos="2520"/>
      </w:tabs>
      <w:ind w:left="2940"/>
      <w:outlineLvl w:val="5"/>
    </w:pPr>
  </w:style>
  <w:style w:type="paragraph" w:customStyle="1" w:styleId="80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4">
    <w:name w:val="Char23"/>
    <w:basedOn w:val="1"/>
    <w:qFormat/>
    <w:uiPriority w:val="0"/>
    <w:rPr>
      <w:rFonts w:ascii="仿宋_GB2312" w:eastAsia="仿宋_GB2312"/>
      <w:b/>
      <w:sz w:val="32"/>
      <w:szCs w:val="32"/>
    </w:rPr>
  </w:style>
  <w:style w:type="paragraph" w:customStyle="1" w:styleId="80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7">
    <w:name w:val="首行缩进"/>
    <w:basedOn w:val="1"/>
    <w:qFormat/>
    <w:uiPriority w:val="0"/>
    <w:pPr>
      <w:spacing w:line="360" w:lineRule="auto"/>
      <w:ind w:firstLine="480" w:firstLineChars="200"/>
    </w:pPr>
    <w:rPr>
      <w:rFonts w:ascii="宋体"/>
      <w:sz w:val="24"/>
      <w:szCs w:val="20"/>
    </w:rPr>
  </w:style>
  <w:style w:type="paragraph" w:customStyle="1" w:styleId="80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9">
    <w:name w:val="单元格左对齐"/>
    <w:basedOn w:val="1"/>
    <w:qFormat/>
    <w:uiPriority w:val="0"/>
    <w:pPr>
      <w:adjustRightInd/>
      <w:spacing w:line="360" w:lineRule="auto"/>
    </w:pPr>
    <w:rPr>
      <w:sz w:val="24"/>
    </w:rPr>
  </w:style>
  <w:style w:type="paragraph" w:customStyle="1" w:styleId="810">
    <w:name w:val="正文主体"/>
    <w:basedOn w:val="631"/>
    <w:qFormat/>
    <w:uiPriority w:val="0"/>
  </w:style>
  <w:style w:type="paragraph" w:customStyle="1" w:styleId="81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1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4">
    <w:name w:val="正文（首行缩进2字符）"/>
    <w:basedOn w:val="1"/>
    <w:qFormat/>
    <w:uiPriority w:val="0"/>
    <w:pPr>
      <w:adjustRightInd/>
      <w:spacing w:line="360" w:lineRule="auto"/>
      <w:ind w:firstLine="480" w:firstLineChars="200"/>
    </w:pPr>
    <w:rPr>
      <w:sz w:val="24"/>
      <w:szCs w:val="20"/>
    </w:rPr>
  </w:style>
  <w:style w:type="paragraph" w:customStyle="1" w:styleId="815">
    <w:name w:val="P1"/>
    <w:basedOn w:val="1"/>
    <w:qFormat/>
    <w:uiPriority w:val="0"/>
    <w:pPr>
      <w:adjustRightInd/>
      <w:spacing w:line="288" w:lineRule="auto"/>
      <w:ind w:firstLine="425" w:firstLineChars="200"/>
    </w:pPr>
  </w:style>
  <w:style w:type="paragraph" w:customStyle="1" w:styleId="816">
    <w:name w:val="列表内容"/>
    <w:basedOn w:val="1"/>
    <w:next w:val="1"/>
    <w:qFormat/>
    <w:uiPriority w:val="0"/>
    <w:pPr>
      <w:widowControl/>
      <w:tabs>
        <w:tab w:val="left" w:pos="840"/>
      </w:tabs>
      <w:ind w:left="840" w:hanging="420"/>
      <w:jc w:val="left"/>
    </w:pPr>
    <w:rPr>
      <w:kern w:val="0"/>
      <w:sz w:val="18"/>
    </w:rPr>
  </w:style>
  <w:style w:type="paragraph" w:customStyle="1" w:styleId="817">
    <w:name w:val="Char Char11 Char Char Char1"/>
    <w:basedOn w:val="1"/>
    <w:qFormat/>
    <w:uiPriority w:val="6"/>
    <w:pPr>
      <w:spacing w:line="360" w:lineRule="auto"/>
    </w:pPr>
    <w:rPr>
      <w:szCs w:val="20"/>
    </w:rPr>
  </w:style>
  <w:style w:type="paragraph" w:customStyle="1" w:styleId="81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2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2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2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3">
    <w:name w:val="默认段落字体 Para Char Char Char Char"/>
    <w:basedOn w:val="1"/>
    <w:qFormat/>
    <w:uiPriority w:val="0"/>
    <w:pPr>
      <w:spacing w:line="360" w:lineRule="auto"/>
    </w:pPr>
    <w:rPr>
      <w:szCs w:val="20"/>
    </w:rPr>
  </w:style>
  <w:style w:type="paragraph" w:customStyle="1" w:styleId="82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6">
    <w:name w:val="Char2 Char Char Char2"/>
    <w:basedOn w:val="1"/>
    <w:qFormat/>
    <w:uiPriority w:val="0"/>
    <w:rPr>
      <w:rFonts w:ascii="仿宋_GB2312" w:eastAsia="仿宋_GB2312"/>
      <w:b/>
      <w:sz w:val="32"/>
      <w:szCs w:val="32"/>
    </w:rPr>
  </w:style>
  <w:style w:type="paragraph" w:customStyle="1" w:styleId="82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9">
    <w:name w:val="正文 首行缩进:  2 字符 Char"/>
    <w:basedOn w:val="1"/>
    <w:qFormat/>
    <w:uiPriority w:val="0"/>
    <w:pPr>
      <w:adjustRightInd/>
      <w:spacing w:line="360" w:lineRule="auto"/>
      <w:ind w:firstLine="480"/>
    </w:pPr>
    <w:rPr>
      <w:rFonts w:cs="宋体"/>
      <w:sz w:val="24"/>
      <w:szCs w:val="20"/>
    </w:rPr>
  </w:style>
  <w:style w:type="paragraph" w:customStyle="1" w:styleId="830">
    <w:name w:val="Char Char4 Char Char"/>
    <w:basedOn w:val="1"/>
    <w:qFormat/>
    <w:uiPriority w:val="0"/>
    <w:pPr>
      <w:widowControl/>
      <w:adjustRightInd/>
      <w:spacing w:after="160" w:line="240" w:lineRule="exact"/>
      <w:jc w:val="left"/>
    </w:pPr>
  </w:style>
  <w:style w:type="paragraph" w:customStyle="1" w:styleId="83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32">
    <w:name w:val="Char Char11 Char Char Char2"/>
    <w:basedOn w:val="1"/>
    <w:qFormat/>
    <w:uiPriority w:val="0"/>
    <w:pPr>
      <w:spacing w:line="360" w:lineRule="auto"/>
    </w:pPr>
    <w:rPr>
      <w:szCs w:val="20"/>
    </w:rPr>
  </w:style>
  <w:style w:type="paragraph" w:customStyle="1" w:styleId="83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9">
    <w:name w:val="Char311"/>
    <w:basedOn w:val="1"/>
    <w:qFormat/>
    <w:uiPriority w:val="0"/>
    <w:pPr>
      <w:adjustRightInd/>
      <w:ind w:firstLine="200" w:firstLineChars="200"/>
    </w:pPr>
    <w:rPr>
      <w:rFonts w:ascii="Tahoma" w:hAnsi="Tahoma"/>
      <w:sz w:val="24"/>
      <w:szCs w:val="20"/>
    </w:rPr>
  </w:style>
  <w:style w:type="paragraph" w:customStyle="1" w:styleId="84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4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42">
    <w:name w:val="正文 内标"/>
    <w:basedOn w:val="757"/>
    <w:qFormat/>
    <w:uiPriority w:val="0"/>
    <w:pPr>
      <w:tabs>
        <w:tab w:val="left" w:pos="0"/>
      </w:tabs>
      <w:ind w:left="900" w:firstLine="0" w:firstLineChars="0"/>
    </w:pPr>
  </w:style>
  <w:style w:type="paragraph" w:customStyle="1" w:styleId="843">
    <w:name w:val="Bulleted List"/>
    <w:basedOn w:val="1"/>
    <w:qFormat/>
    <w:uiPriority w:val="0"/>
    <w:pPr>
      <w:tabs>
        <w:tab w:val="left" w:pos="1260"/>
      </w:tabs>
      <w:adjustRightInd/>
      <w:ind w:left="1260" w:hanging="420"/>
    </w:pPr>
  </w:style>
  <w:style w:type="paragraph" w:customStyle="1" w:styleId="84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5">
    <w:name w:val="样式 左侧:  0.85 厘米"/>
    <w:basedOn w:val="1"/>
    <w:qFormat/>
    <w:uiPriority w:val="2"/>
    <w:pPr>
      <w:adjustRightInd/>
      <w:spacing w:line="360" w:lineRule="auto"/>
    </w:pPr>
    <w:rPr>
      <w:rFonts w:cs="宋体"/>
      <w:sz w:val="24"/>
      <w:szCs w:val="20"/>
    </w:rPr>
  </w:style>
  <w:style w:type="paragraph" w:customStyle="1" w:styleId="846">
    <w:name w:val="Char Char Char Char Char Char Char Char Char Char Char Char1 Char"/>
    <w:basedOn w:val="1"/>
    <w:qFormat/>
    <w:uiPriority w:val="0"/>
    <w:rPr>
      <w:rFonts w:ascii="Tahoma" w:hAnsi="Tahoma" w:cs="仿宋_GB2312"/>
      <w:sz w:val="24"/>
      <w:szCs w:val="20"/>
    </w:rPr>
  </w:style>
  <w:style w:type="paragraph" w:customStyle="1" w:styleId="84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4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0">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51">
    <w:name w:val="Char Char1 Char Char Char Char Char Char"/>
    <w:basedOn w:val="1"/>
    <w:qFormat/>
    <w:uiPriority w:val="0"/>
    <w:rPr>
      <w:rFonts w:ascii="仿宋_GB2312" w:eastAsia="仿宋_GB2312"/>
      <w:b/>
      <w:sz w:val="32"/>
      <w:szCs w:val="20"/>
    </w:rPr>
  </w:style>
  <w:style w:type="paragraph" w:customStyle="1" w:styleId="85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53">
    <w:name w:val="Char Char1 Char Char Char Char Char Char2"/>
    <w:basedOn w:val="1"/>
    <w:qFormat/>
    <w:uiPriority w:val="0"/>
    <w:rPr>
      <w:rFonts w:ascii="仿宋_GB2312" w:eastAsia="仿宋_GB2312"/>
      <w:b/>
      <w:sz w:val="32"/>
      <w:szCs w:val="20"/>
    </w:rPr>
  </w:style>
  <w:style w:type="paragraph" w:customStyle="1" w:styleId="85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6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6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3">
    <w:name w:val="Char31"/>
    <w:basedOn w:val="1"/>
    <w:qFormat/>
    <w:uiPriority w:val="0"/>
    <w:pPr>
      <w:adjustRightInd/>
    </w:pPr>
    <w:rPr>
      <w:rFonts w:ascii="仿宋_GB2312" w:eastAsia="仿宋_GB2312"/>
      <w:b/>
      <w:sz w:val="32"/>
      <w:szCs w:val="32"/>
    </w:rPr>
  </w:style>
  <w:style w:type="paragraph" w:customStyle="1" w:styleId="86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7">
    <w:name w:val="Char Char1"/>
    <w:basedOn w:val="1"/>
    <w:qFormat/>
    <w:uiPriority w:val="0"/>
    <w:pPr>
      <w:widowControl/>
      <w:spacing w:after="160" w:line="240" w:lineRule="exact"/>
      <w:jc w:val="left"/>
    </w:pPr>
    <w:rPr>
      <w:rFonts w:eastAsia="仿宋_GB2312"/>
      <w:sz w:val="28"/>
    </w:rPr>
  </w:style>
  <w:style w:type="paragraph" w:customStyle="1" w:styleId="868">
    <w:name w:val="Char21"/>
    <w:basedOn w:val="1"/>
    <w:qFormat/>
    <w:uiPriority w:val="0"/>
    <w:pPr>
      <w:adjustRightInd/>
      <w:ind w:firstLine="200" w:firstLineChars="200"/>
    </w:pPr>
    <w:rPr>
      <w:rFonts w:ascii="仿宋_GB2312" w:eastAsia="仿宋_GB2312"/>
      <w:b/>
      <w:sz w:val="32"/>
      <w:szCs w:val="32"/>
    </w:rPr>
  </w:style>
  <w:style w:type="paragraph" w:customStyle="1" w:styleId="869">
    <w:name w:val="列表段落1"/>
    <w:basedOn w:val="1"/>
    <w:qFormat/>
    <w:uiPriority w:val="34"/>
    <w:pPr>
      <w:adjustRightInd/>
      <w:ind w:right="238" w:firstLine="420"/>
    </w:pPr>
    <w:rPr>
      <w:rFonts w:ascii="Calibri" w:hAnsi="Calibri"/>
      <w:sz w:val="24"/>
    </w:rPr>
  </w:style>
  <w:style w:type="paragraph" w:customStyle="1" w:styleId="870">
    <w:name w:val="Char Char110"/>
    <w:basedOn w:val="1"/>
    <w:qFormat/>
    <w:uiPriority w:val="6"/>
    <w:pPr>
      <w:spacing w:line="360" w:lineRule="auto"/>
    </w:pPr>
    <w:rPr>
      <w:rFonts w:ascii="Tahoma" w:hAnsi="Tahoma"/>
      <w:sz w:val="24"/>
      <w:szCs w:val="20"/>
    </w:rPr>
  </w:style>
  <w:style w:type="paragraph" w:customStyle="1" w:styleId="87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7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5">
    <w:name w:val="Char Char Char Char Char Char Char Char Char Char Char Char1 Char2"/>
    <w:basedOn w:val="1"/>
    <w:qFormat/>
    <w:uiPriority w:val="0"/>
    <w:rPr>
      <w:rFonts w:ascii="Tahoma" w:hAnsi="Tahoma" w:cs="仿宋_GB2312"/>
      <w:sz w:val="24"/>
      <w:szCs w:val="20"/>
    </w:rPr>
  </w:style>
  <w:style w:type="paragraph" w:customStyle="1" w:styleId="87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80">
    <w:name w:val="_Style 12"/>
    <w:basedOn w:val="20"/>
    <w:qFormat/>
    <w:uiPriority w:val="0"/>
    <w:pPr>
      <w:snapToGrid w:val="0"/>
      <w:spacing w:line="360" w:lineRule="auto"/>
    </w:pPr>
  </w:style>
  <w:style w:type="paragraph" w:customStyle="1" w:styleId="88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8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83">
    <w:name w:val="_Style 94"/>
    <w:basedOn w:val="1"/>
    <w:next w:val="90"/>
    <w:qFormat/>
    <w:uiPriority w:val="34"/>
    <w:pPr>
      <w:adjustRightInd/>
      <w:spacing w:line="360" w:lineRule="auto"/>
      <w:ind w:firstLine="200" w:firstLineChars="200"/>
    </w:pPr>
    <w:rPr>
      <w:rFonts w:ascii="Calibri" w:hAnsi="Calibri"/>
      <w:sz w:val="28"/>
      <w:szCs w:val="20"/>
    </w:rPr>
  </w:style>
  <w:style w:type="paragraph" w:customStyle="1" w:styleId="88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7">
    <w:name w:val="3级标题"/>
    <w:basedOn w:val="679"/>
    <w:qFormat/>
    <w:uiPriority w:val="0"/>
    <w:pPr>
      <w:outlineLvl w:val="2"/>
    </w:pPr>
  </w:style>
  <w:style w:type="paragraph" w:customStyle="1" w:styleId="88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9">
    <w:name w:val="Char1 Char Char Char3"/>
    <w:basedOn w:val="1"/>
    <w:qFormat/>
    <w:uiPriority w:val="0"/>
    <w:pPr>
      <w:adjustRightInd/>
      <w:ind w:firstLine="200" w:firstLineChars="200"/>
    </w:pPr>
    <w:rPr>
      <w:rFonts w:ascii="Tahoma" w:hAnsi="Tahoma"/>
      <w:sz w:val="24"/>
      <w:szCs w:val="20"/>
    </w:rPr>
  </w:style>
  <w:style w:type="paragraph" w:customStyle="1" w:styleId="89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91">
    <w:name w:val="MM Empty"/>
    <w:basedOn w:val="1"/>
    <w:qFormat/>
    <w:uiPriority w:val="0"/>
    <w:pPr>
      <w:adjustRightInd/>
    </w:pPr>
  </w:style>
  <w:style w:type="paragraph" w:customStyle="1" w:styleId="892">
    <w:name w:val="Char24"/>
    <w:basedOn w:val="1"/>
    <w:qFormat/>
    <w:uiPriority w:val="0"/>
    <w:rPr>
      <w:rFonts w:ascii="仿宋_GB2312" w:eastAsia="仿宋_GB2312"/>
      <w:b/>
      <w:sz w:val="32"/>
      <w:szCs w:val="32"/>
    </w:rPr>
  </w:style>
  <w:style w:type="paragraph" w:customStyle="1" w:styleId="893">
    <w:name w:val="正文箭头"/>
    <w:basedOn w:val="545"/>
    <w:qFormat/>
    <w:uiPriority w:val="0"/>
  </w:style>
  <w:style w:type="paragraph" w:customStyle="1" w:styleId="894">
    <w:name w:val="U_编号2"/>
    <w:basedOn w:val="1"/>
    <w:qFormat/>
    <w:uiPriority w:val="0"/>
    <w:pPr>
      <w:tabs>
        <w:tab w:val="left" w:pos="785"/>
      </w:tabs>
      <w:adjustRightInd/>
      <w:spacing w:beforeLines="10" w:afterLines="10" w:line="300" w:lineRule="auto"/>
    </w:pPr>
    <w:rPr>
      <w:sz w:val="24"/>
    </w:rPr>
  </w:style>
  <w:style w:type="paragraph" w:customStyle="1" w:styleId="89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9">
    <w:name w:val="_Style 1"/>
    <w:basedOn w:val="1"/>
    <w:qFormat/>
    <w:uiPriority w:val="34"/>
    <w:pPr>
      <w:adjustRightInd/>
      <w:ind w:firstLine="420" w:firstLineChars="200"/>
    </w:pPr>
    <w:rPr>
      <w:rFonts w:eastAsia="仿宋_GB2312"/>
      <w:sz w:val="28"/>
    </w:rPr>
  </w:style>
  <w:style w:type="paragraph" w:customStyle="1" w:styleId="900">
    <w:name w:val="表格 内容"/>
    <w:basedOn w:val="736"/>
    <w:qFormat/>
    <w:uiPriority w:val="0"/>
    <w:rPr>
      <w:b w:val="0"/>
      <w:sz w:val="20"/>
    </w:rPr>
  </w:style>
  <w:style w:type="paragraph" w:customStyle="1" w:styleId="901">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02">
    <w:name w:val="数字标题5"/>
    <w:basedOn w:val="7"/>
    <w:next w:val="1"/>
    <w:qFormat/>
    <w:uiPriority w:val="0"/>
    <w:pPr>
      <w:tabs>
        <w:tab w:val="left" w:pos="1080"/>
      </w:tabs>
      <w:ind w:left="1080" w:hanging="1080"/>
    </w:pPr>
  </w:style>
  <w:style w:type="paragraph" w:customStyle="1" w:styleId="903">
    <w:name w:val="数字标题1"/>
    <w:basedOn w:val="3"/>
    <w:next w:val="1"/>
    <w:qFormat/>
    <w:uiPriority w:val="0"/>
    <w:pPr>
      <w:tabs>
        <w:tab w:val="left" w:pos="480"/>
      </w:tabs>
      <w:ind w:left="480" w:hanging="480"/>
    </w:pPr>
  </w:style>
  <w:style w:type="paragraph" w:customStyle="1" w:styleId="904">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7">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8">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10">
    <w:name w:val="0"/>
    <w:basedOn w:val="1"/>
    <w:qFormat/>
    <w:uiPriority w:val="0"/>
    <w:pPr>
      <w:widowControl/>
    </w:pPr>
    <w:rPr>
      <w:kern w:val="0"/>
      <w:sz w:val="24"/>
      <w:szCs w:val="20"/>
    </w:rPr>
  </w:style>
  <w:style w:type="paragraph" w:customStyle="1" w:styleId="911">
    <w:name w:val="Char Char113"/>
    <w:basedOn w:val="1"/>
    <w:qFormat/>
    <w:uiPriority w:val="0"/>
    <w:pPr>
      <w:widowControl/>
      <w:spacing w:after="160" w:line="240" w:lineRule="exact"/>
      <w:jc w:val="left"/>
    </w:pPr>
    <w:rPr>
      <w:rFonts w:eastAsia="仿宋_GB2312"/>
      <w:sz w:val="28"/>
    </w:rPr>
  </w:style>
  <w:style w:type="paragraph" w:customStyle="1" w:styleId="91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3">
    <w:name w:val="_Style 8"/>
    <w:basedOn w:val="1"/>
    <w:qFormat/>
    <w:uiPriority w:val="34"/>
    <w:pPr>
      <w:adjustRightInd/>
      <w:ind w:firstLine="420" w:firstLineChars="200"/>
    </w:pPr>
    <w:rPr>
      <w:rFonts w:eastAsia="仿宋_GB2312"/>
      <w:sz w:val="28"/>
    </w:rPr>
  </w:style>
  <w:style w:type="paragraph" w:customStyle="1" w:styleId="914">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5">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6">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7">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9">
    <w:name w:val="Char Char112"/>
    <w:basedOn w:val="1"/>
    <w:qFormat/>
    <w:uiPriority w:val="6"/>
    <w:pPr>
      <w:widowControl/>
      <w:spacing w:after="160" w:line="240" w:lineRule="exact"/>
      <w:jc w:val="left"/>
    </w:pPr>
    <w:rPr>
      <w:rFonts w:eastAsia="仿宋_GB2312"/>
      <w:sz w:val="28"/>
    </w:rPr>
  </w:style>
  <w:style w:type="paragraph" w:customStyle="1" w:styleId="920">
    <w:name w:val="正文 图"/>
    <w:basedOn w:val="450"/>
    <w:qFormat/>
    <w:uiPriority w:val="0"/>
    <w:pPr>
      <w:adjustRightInd/>
      <w:spacing w:before="0"/>
      <w:ind w:firstLine="0"/>
      <w:jc w:val="center"/>
    </w:pPr>
    <w:rPr>
      <w:rFonts w:ascii="微软雅黑" w:hAnsi="微软雅黑"/>
    </w:rPr>
  </w:style>
  <w:style w:type="paragraph" w:customStyle="1" w:styleId="921">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2">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3">
    <w:name w:val="Thf"/>
    <w:basedOn w:val="569"/>
    <w:qFormat/>
    <w:uiPriority w:val="0"/>
    <w:pPr>
      <w:ind w:left="0"/>
    </w:pPr>
  </w:style>
  <w:style w:type="paragraph" w:customStyle="1" w:styleId="924">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5">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6">
    <w:name w:val="注释"/>
    <w:basedOn w:val="1"/>
    <w:qFormat/>
    <w:uiPriority w:val="0"/>
    <w:pPr>
      <w:adjustRightInd/>
      <w:spacing w:line="360" w:lineRule="auto"/>
      <w:ind w:firstLine="480"/>
    </w:pPr>
    <w:rPr>
      <w:sz w:val="24"/>
    </w:rPr>
  </w:style>
  <w:style w:type="table" w:customStyle="1" w:styleId="927">
    <w:name w:val="网格型2"/>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1"/>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6"/>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0">
    <w:name w:val="网格型3"/>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1">
    <w:name w:val="网格型4"/>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2">
    <w:name w:val="网格型5"/>
    <w:basedOn w:val="66"/>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3">
    <w:name w:val="列出段落111"/>
    <w:basedOn w:val="1"/>
    <w:qFormat/>
    <w:uiPriority w:val="34"/>
    <w:pPr>
      <w:ind w:firstLine="420" w:firstLineChars="200"/>
    </w:pPr>
  </w:style>
  <w:style w:type="character" w:customStyle="1" w:styleId="934">
    <w:name w:val="交叉引用"/>
    <w:qFormat/>
    <w:uiPriority w:val="1"/>
    <w:rPr>
      <w:rFonts w:ascii="Arial" w:hAnsi="Arial" w:eastAsia="黑体"/>
      <w:snapToGrid w:val="0"/>
      <w:color w:val="0000FF"/>
      <w:kern w:val="0"/>
      <w:sz w:val="20"/>
      <w:szCs w:val="21"/>
      <w:u w:val="single"/>
      <w:lang w:val="en-US" w:eastAsia="zh-CN"/>
    </w:rPr>
  </w:style>
  <w:style w:type="character" w:customStyle="1" w:styleId="935">
    <w:name w:val="正文缩进 字符1"/>
    <w:qFormat/>
    <w:uiPriority w:val="0"/>
    <w:rPr>
      <w:rFonts w:ascii="宋体" w:eastAsia="宋体"/>
      <w:snapToGrid w:val="0"/>
      <w:color w:val="000000"/>
      <w:kern w:val="28"/>
      <w:sz w:val="28"/>
      <w:lang w:val="en-US" w:eastAsia="zh-CN" w:bidi="ar-SA"/>
    </w:rPr>
  </w:style>
  <w:style w:type="character" w:customStyle="1" w:styleId="936">
    <w:name w:val="页脚 字符1"/>
    <w:qFormat/>
    <w:locked/>
    <w:uiPriority w:val="99"/>
    <w:rPr>
      <w:kern w:val="2"/>
      <w:sz w:val="18"/>
      <w:szCs w:val="18"/>
    </w:rPr>
  </w:style>
  <w:style w:type="character" w:customStyle="1" w:styleId="937">
    <w:name w:val="页眉 字符1"/>
    <w:qFormat/>
    <w:uiPriority w:val="99"/>
    <w:rPr>
      <w:kern w:val="2"/>
      <w:sz w:val="18"/>
      <w:szCs w:val="18"/>
    </w:rPr>
  </w:style>
  <w:style w:type="character" w:customStyle="1" w:styleId="938">
    <w:name w:val="尾注文本 字符"/>
    <w:link w:val="39"/>
    <w:qFormat/>
    <w:uiPriority w:val="0"/>
    <w:rPr>
      <w:kern w:val="2"/>
      <w:sz w:val="21"/>
      <w:szCs w:val="24"/>
      <w:lang w:val="zh-CN"/>
    </w:rPr>
  </w:style>
  <w:style w:type="character" w:customStyle="1" w:styleId="939">
    <w:name w:val="无间隔 字符"/>
    <w:link w:val="490"/>
    <w:qFormat/>
    <w:uiPriority w:val="99"/>
    <w:rPr>
      <w:kern w:val="2"/>
      <w:sz w:val="21"/>
      <w:szCs w:val="22"/>
    </w:rPr>
  </w:style>
  <w:style w:type="character" w:customStyle="1" w:styleId="940">
    <w:name w:val="标准文本 Char Char"/>
    <w:link w:val="941"/>
    <w:qFormat/>
    <w:uiPriority w:val="0"/>
    <w:rPr>
      <w:rFonts w:cs="宋体"/>
      <w:kern w:val="2"/>
      <w:sz w:val="24"/>
    </w:rPr>
  </w:style>
  <w:style w:type="paragraph" w:customStyle="1" w:styleId="941">
    <w:name w:val="标准文本"/>
    <w:basedOn w:val="1"/>
    <w:link w:val="940"/>
    <w:qFormat/>
    <w:uiPriority w:val="0"/>
    <w:pPr>
      <w:adjustRightInd/>
      <w:spacing w:line="360" w:lineRule="auto"/>
      <w:ind w:firstLine="480" w:firstLineChars="200"/>
    </w:pPr>
    <w:rPr>
      <w:rFonts w:cs="宋体"/>
      <w:sz w:val="24"/>
      <w:szCs w:val="20"/>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paragraph" w:customStyle="1" w:styleId="955">
    <w:name w:val="_Style 947"/>
    <w:basedOn w:val="1"/>
    <w:next w:val="90"/>
    <w:qFormat/>
    <w:uiPriority w:val="34"/>
    <w:pPr>
      <w:adjustRightInd/>
      <w:ind w:firstLine="420" w:firstLineChars="200"/>
    </w:pPr>
  </w:style>
  <w:style w:type="paragraph" w:customStyle="1" w:styleId="95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7">
    <w:name w:val="纯文本2"/>
    <w:basedOn w:val="1"/>
    <w:qFormat/>
    <w:uiPriority w:val="0"/>
    <w:pPr>
      <w:adjustRightInd/>
      <w:snapToGrid w:val="0"/>
      <w:jc w:val="left"/>
    </w:pPr>
    <w:rPr>
      <w:rFonts w:ascii="Century Gothic" w:hAnsi="楷体_GB2312" w:eastAsia="Century Gothic"/>
      <w:szCs w:val="20"/>
    </w:rPr>
  </w:style>
  <w:style w:type="paragraph" w:customStyle="1" w:styleId="95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60">
    <w:name w:val="节"/>
    <w:basedOn w:val="4"/>
    <w:qFormat/>
    <w:uiPriority w:val="0"/>
    <w:pPr>
      <w:tabs>
        <w:tab w:val="clear" w:pos="432"/>
      </w:tabs>
      <w:spacing w:before="160" w:after="160" w:line="720" w:lineRule="exact"/>
      <w:ind w:left="0" w:firstLine="0"/>
      <w:jc w:val="center"/>
    </w:pPr>
    <w:rPr>
      <w:rFonts w:ascii="Arial" w:hAnsi="Arial" w:eastAsia="楷体"/>
      <w:color w:val="000000"/>
      <w:spacing w:val="14"/>
      <w:kern w:val="24"/>
      <w:sz w:val="28"/>
      <w:szCs w:val="20"/>
      <w:lang w:val="en-US"/>
    </w:rPr>
  </w:style>
  <w:style w:type="paragraph" w:customStyle="1" w:styleId="961">
    <w:name w:val="Blockquote"/>
    <w:basedOn w:val="1"/>
    <w:qFormat/>
    <w:uiPriority w:val="0"/>
    <w:pPr>
      <w:autoSpaceDE w:val="0"/>
      <w:autoSpaceDN w:val="0"/>
      <w:spacing w:before="100" w:after="100"/>
      <w:ind w:left="360" w:right="360"/>
      <w:jc w:val="left"/>
    </w:pPr>
    <w:rPr>
      <w:kern w:val="0"/>
      <w:sz w:val="24"/>
      <w:szCs w:val="20"/>
    </w:rPr>
  </w:style>
  <w:style w:type="paragraph" w:customStyle="1" w:styleId="962">
    <w:name w:val="p1"/>
    <w:basedOn w:val="1"/>
    <w:qFormat/>
    <w:uiPriority w:val="0"/>
    <w:pPr>
      <w:widowControl/>
      <w:adjustRightInd/>
      <w:jc w:val="left"/>
    </w:pPr>
    <w:rPr>
      <w:rFonts w:ascii=".PingFang SC" w:eastAsia=".PingFang SC"/>
      <w:color w:val="454545"/>
      <w:kern w:val="0"/>
      <w:sz w:val="18"/>
      <w:szCs w:val="18"/>
    </w:rPr>
  </w:style>
  <w:style w:type="paragraph" w:customStyle="1" w:styleId="963">
    <w:name w:val="Table Paragraph"/>
    <w:basedOn w:val="1"/>
    <w:qFormat/>
    <w:uiPriority w:val="0"/>
    <w:pPr>
      <w:adjustRightInd/>
      <w:jc w:val="left"/>
    </w:pPr>
    <w:rPr>
      <w:rFonts w:ascii="Calibri" w:hAnsi="Calibri"/>
      <w:kern w:val="0"/>
      <w:sz w:val="22"/>
      <w:szCs w:val="22"/>
      <w:lang w:eastAsia="en-US"/>
    </w:rPr>
  </w:style>
  <w:style w:type="paragraph" w:customStyle="1" w:styleId="9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7">
    <w:name w:val="ksfind_class_select1"/>
    <w:basedOn w:val="73"/>
    <w:qFormat/>
    <w:uiPriority w:val="0"/>
    <w:rPr>
      <w:color w:val="000000"/>
      <w:shd w:val="clear" w:color="auto" w:fill="EFD200"/>
    </w:rPr>
  </w:style>
  <w:style w:type="character" w:customStyle="1" w:styleId="968">
    <w:name w:val="font71"/>
    <w:qFormat/>
    <w:uiPriority w:val="0"/>
    <w:rPr>
      <w:rFonts w:hint="eastAsia" w:ascii="宋体" w:hAnsi="宋体" w:eastAsia="宋体" w:cs="宋体"/>
      <w:color w:val="000000"/>
      <w:sz w:val="22"/>
      <w:szCs w:val="22"/>
      <w:u w:val="none"/>
    </w:rPr>
  </w:style>
  <w:style w:type="character" w:customStyle="1" w:styleId="969">
    <w:name w:val="font91"/>
    <w:qFormat/>
    <w:uiPriority w:val="0"/>
    <w:rPr>
      <w:rFonts w:hint="eastAsia" w:ascii="仿宋" w:hAnsi="仿宋" w:eastAsia="仿宋" w:cs="仿宋"/>
      <w:color w:val="000000"/>
      <w:sz w:val="22"/>
      <w:szCs w:val="22"/>
      <w:u w:val="none"/>
    </w:rPr>
  </w:style>
  <w:style w:type="paragraph" w:customStyle="1" w:styleId="970">
    <w:name w:val="Body text|1"/>
    <w:basedOn w:val="1"/>
    <w:qFormat/>
    <w:uiPriority w:val="0"/>
    <w:pPr>
      <w:spacing w:line="391" w:lineRule="auto"/>
      <w:ind w:firstLine="400"/>
    </w:pPr>
    <w:rPr>
      <w:rFonts w:ascii="宋体" w:hAnsi="宋体" w:cs="宋体"/>
      <w:lang w:val="zh-TW" w:eastAsia="zh-TW" w:bidi="zh-TW"/>
    </w:rPr>
  </w:style>
  <w:style w:type="character" w:customStyle="1" w:styleId="971">
    <w:name w:val="font101"/>
    <w:basedOn w:val="73"/>
    <w:qFormat/>
    <w:uiPriority w:val="0"/>
    <w:rPr>
      <w:rFonts w:hint="eastAsia" w:ascii="宋体" w:hAnsi="宋体" w:eastAsia="宋体" w:cs="宋体"/>
      <w:color w:val="FF0000"/>
      <w:sz w:val="20"/>
      <w:szCs w:val="20"/>
      <w:u w:val="none"/>
    </w:rPr>
  </w:style>
  <w:style w:type="paragraph" w:customStyle="1" w:styleId="972">
    <w:name w:val="封面编号"/>
    <w:basedOn w:val="1"/>
    <w:qFormat/>
    <w:uiPriority w:val="0"/>
    <w:pPr>
      <w:spacing w:line="360" w:lineRule="auto"/>
      <w:jc w:val="center"/>
    </w:pPr>
    <w:rPr>
      <w:rFonts w:ascii="黑体" w:hAnsi="宋体" w:eastAsia="黑体" w:cs="宋体"/>
      <w:b/>
      <w:bCs/>
      <w:sz w:val="38"/>
      <w:szCs w:val="20"/>
    </w:rPr>
  </w:style>
  <w:style w:type="table" w:customStyle="1" w:styleId="973">
    <w:name w:val="Table Normal"/>
    <w:semiHidden/>
    <w:unhideWhenUsed/>
    <w:qFormat/>
    <w:uiPriority w:val="0"/>
    <w:tblPr>
      <w:tblCellMar>
        <w:top w:w="0" w:type="dxa"/>
        <w:left w:w="0" w:type="dxa"/>
        <w:bottom w:w="0" w:type="dxa"/>
        <w:right w:w="0" w:type="dxa"/>
      </w:tblCellMar>
    </w:tblPr>
  </w:style>
  <w:style w:type="character" w:customStyle="1" w:styleId="97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975">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47</Pages>
  <Words>4209</Words>
  <Characters>23993</Characters>
  <Lines>199</Lines>
  <Paragraphs>56</Paragraphs>
  <TotalTime>205</TotalTime>
  <ScaleCrop>false</ScaleCrop>
  <LinksUpToDate>false</LinksUpToDate>
  <CharactersWithSpaces>28146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WPS_1691460266</cp:lastModifiedBy>
  <cp:lastPrinted>2021-12-27T03:06:00Z</cp:lastPrinted>
  <dcterms:modified xsi:type="dcterms:W3CDTF">2023-12-12T05:21:46Z</dcterms:modified>
  <dc:title>杭州市市民卡扩大发卡工程</dc:title>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CF23F9C7D08448E1BF0436AF24F500D0_13</vt:lpwstr>
  </property>
  <property fmtid="{D5CDD505-2E9C-101B-9397-08002B2CF9AE}" pid="5" name="commondata">
    <vt:lpwstr>eyJoZGlkIjoiMzdkYTNjODAzOWEyZTBjZWI2OWE0Y2U2MTNhOGNiNmUifQ==</vt:lpwstr>
  </property>
</Properties>
</file>